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bidi w:val="0"/>
        <w:rPr>
          <w:color w:val="auto"/>
          <w:highlight w:val="none"/>
        </w:rPr>
      </w:pPr>
    </w:p>
    <w:p>
      <w:pPr>
        <w:jc w:val="distribute"/>
        <w:rPr>
          <w:rFonts w:ascii="新宋体" w:hAnsi="新宋体" w:eastAsia="新宋体" w:cs="新宋体"/>
          <w:b/>
          <w:bCs/>
          <w:color w:val="auto"/>
          <w:sz w:val="52"/>
          <w:szCs w:val="52"/>
          <w:highlight w:val="none"/>
        </w:rPr>
      </w:pPr>
      <w:r>
        <w:rPr>
          <w:rFonts w:hint="eastAsia" w:ascii="新宋体" w:hAnsi="新宋体" w:eastAsia="新宋体"/>
          <w:color w:val="auto"/>
          <w:spacing w:val="20"/>
          <w:sz w:val="84"/>
          <w:highlight w:val="none"/>
        </w:rPr>
        <w:t>温州市政府（分散）采购</w:t>
      </w:r>
    </w:p>
    <w:p>
      <w:pPr>
        <w:jc w:val="center"/>
        <w:rPr>
          <w:rFonts w:ascii="新宋体" w:hAnsi="新宋体" w:eastAsia="新宋体" w:cs="新宋体"/>
          <w:b/>
          <w:bCs/>
          <w:color w:val="auto"/>
          <w:spacing w:val="26"/>
          <w:sz w:val="52"/>
          <w:highlight w:val="none"/>
        </w:rPr>
      </w:pPr>
    </w:p>
    <w:p>
      <w:pPr>
        <w:ind w:firstLine="2357" w:firstLineChars="235"/>
        <w:rPr>
          <w:rFonts w:ascii="新宋体" w:hAnsi="新宋体" w:eastAsia="新宋体" w:cs="新宋体"/>
          <w:b/>
          <w:bCs/>
          <w:color w:val="auto"/>
          <w:spacing w:val="140"/>
          <w:sz w:val="72"/>
          <w:highlight w:val="none"/>
        </w:rPr>
      </w:pPr>
    </w:p>
    <w:p>
      <w:pPr>
        <w:adjustRightInd w:val="0"/>
        <w:snapToGrid w:val="0"/>
        <w:spacing w:line="480" w:lineRule="auto"/>
        <w:ind w:right="361"/>
        <w:jc w:val="center"/>
        <w:rPr>
          <w:rFonts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rPr>
        <w:t>招 标 文 件</w:t>
      </w:r>
    </w:p>
    <w:p>
      <w:pPr>
        <w:spacing w:line="800" w:lineRule="exact"/>
        <w:ind w:firstLine="1140" w:firstLineChars="300"/>
        <w:jc w:val="left"/>
        <w:rPr>
          <w:rFonts w:ascii="新宋体" w:hAnsi="新宋体" w:eastAsia="新宋体" w:cs="新宋体"/>
          <w:b/>
          <w:color w:val="auto"/>
          <w:spacing w:val="40"/>
          <w:sz w:val="30"/>
          <w:szCs w:val="30"/>
          <w:highlight w:val="none"/>
        </w:rPr>
      </w:pPr>
      <w:r>
        <w:rPr>
          <w:rFonts w:hint="eastAsia" w:ascii="新宋体" w:hAnsi="新宋体" w:eastAsia="新宋体" w:cs="新宋体"/>
          <w:color w:val="auto"/>
          <w:spacing w:val="40"/>
          <w:sz w:val="30"/>
          <w:szCs w:val="30"/>
          <w:highlight w:val="none"/>
        </w:rPr>
        <w:t>项 目 编 号</w:t>
      </w:r>
      <w:r>
        <w:rPr>
          <w:rFonts w:hint="eastAsia" w:ascii="新宋体" w:hAnsi="新宋体" w:eastAsia="新宋体" w:cs="新宋体"/>
          <w:color w:val="auto"/>
          <w:spacing w:val="40"/>
          <w:sz w:val="28"/>
          <w:highlight w:val="none"/>
        </w:rPr>
        <w:t>：</w:t>
      </w:r>
      <w:r>
        <w:rPr>
          <w:rFonts w:hint="eastAsia" w:ascii="新宋体" w:hAnsi="新宋体" w:eastAsia="新宋体" w:cs="新宋体"/>
          <w:b/>
          <w:bCs/>
          <w:color w:val="auto"/>
          <w:sz w:val="30"/>
          <w:szCs w:val="30"/>
          <w:highlight w:val="none"/>
        </w:rPr>
        <w:t xml:space="preserve"> </w:t>
      </w:r>
      <w:r>
        <w:rPr>
          <w:rFonts w:hint="eastAsia" w:ascii="新宋体" w:hAnsi="新宋体" w:eastAsia="新宋体" w:cs="新宋体"/>
          <w:b/>
          <w:bCs/>
          <w:color w:val="auto"/>
          <w:sz w:val="30"/>
          <w:szCs w:val="30"/>
          <w:highlight w:val="none"/>
          <w:lang w:eastAsia="zh-CN"/>
        </w:rPr>
        <w:t>ZJHJ-ZFCG-2022-21</w:t>
      </w:r>
      <w:r>
        <w:rPr>
          <w:rFonts w:hint="eastAsia" w:ascii="新宋体" w:hAnsi="新宋体" w:eastAsia="新宋体" w:cs="新宋体"/>
          <w:b/>
          <w:bCs/>
          <w:color w:val="auto"/>
          <w:sz w:val="30"/>
          <w:szCs w:val="30"/>
          <w:highlight w:val="none"/>
        </w:rPr>
        <w:t xml:space="preserve"> </w:t>
      </w:r>
    </w:p>
    <w:p>
      <w:pPr>
        <w:spacing w:line="800" w:lineRule="exact"/>
        <w:ind w:firstLine="1140" w:firstLineChars="300"/>
        <w:rPr>
          <w:rFonts w:hint="eastAsia" w:ascii="新宋体" w:hAnsi="新宋体" w:eastAsia="新宋体" w:cs="新宋体"/>
          <w:b/>
          <w:color w:val="auto"/>
          <w:spacing w:val="28"/>
          <w:sz w:val="30"/>
          <w:szCs w:val="30"/>
          <w:highlight w:val="none"/>
          <w:lang w:eastAsia="zh-CN"/>
        </w:rPr>
      </w:pPr>
      <w:r>
        <w:rPr>
          <w:rFonts w:hint="eastAsia" w:ascii="新宋体" w:hAnsi="新宋体" w:eastAsia="新宋体" w:cs="新宋体"/>
          <w:color w:val="auto"/>
          <w:spacing w:val="40"/>
          <w:sz w:val="30"/>
          <w:szCs w:val="30"/>
          <w:highlight w:val="none"/>
        </w:rPr>
        <w:t>项 目 名 称：</w:t>
      </w:r>
      <w:r>
        <w:rPr>
          <w:rFonts w:hint="eastAsia" w:ascii="新宋体" w:hAnsi="新宋体" w:eastAsia="新宋体" w:cs="新宋体"/>
          <w:b/>
          <w:bCs/>
          <w:color w:val="auto"/>
          <w:spacing w:val="40"/>
          <w:sz w:val="30"/>
          <w:szCs w:val="30"/>
          <w:highlight w:val="none"/>
          <w:lang w:eastAsia="zh-CN"/>
        </w:rPr>
        <w:t>生态系统碳汇能力提升项目-智慧园林建设工程（一期）智能化项目</w:t>
      </w:r>
    </w:p>
    <w:p>
      <w:pPr>
        <w:spacing w:line="800" w:lineRule="exact"/>
        <w:ind w:left="3794" w:leftChars="540" w:hanging="2660" w:hangingChars="700"/>
        <w:rPr>
          <w:rFonts w:ascii="新宋体" w:hAnsi="新宋体" w:eastAsia="新宋体" w:cs="新宋体"/>
          <w:b/>
          <w:color w:val="auto"/>
          <w:spacing w:val="40"/>
          <w:sz w:val="30"/>
          <w:szCs w:val="30"/>
          <w:highlight w:val="none"/>
        </w:rPr>
      </w:pPr>
      <w:r>
        <w:rPr>
          <w:rFonts w:hint="eastAsia" w:ascii="新宋体" w:hAnsi="新宋体" w:eastAsia="新宋体" w:cs="新宋体"/>
          <w:color w:val="auto"/>
          <w:spacing w:val="40"/>
          <w:sz w:val="30"/>
          <w:szCs w:val="30"/>
          <w:highlight w:val="none"/>
        </w:rPr>
        <w:t>采 购 方 式：</w:t>
      </w:r>
      <w:r>
        <w:rPr>
          <w:rFonts w:hint="eastAsia" w:ascii="新宋体" w:hAnsi="新宋体" w:eastAsia="新宋体" w:cs="新宋体"/>
          <w:b/>
          <w:color w:val="auto"/>
          <w:spacing w:val="40"/>
          <w:sz w:val="30"/>
          <w:szCs w:val="30"/>
          <w:highlight w:val="none"/>
        </w:rPr>
        <w:t>公开招标</w:t>
      </w:r>
    </w:p>
    <w:p>
      <w:pPr>
        <w:spacing w:line="800" w:lineRule="exact"/>
        <w:ind w:left="3794" w:leftChars="540" w:hanging="2660" w:hangingChars="700"/>
        <w:rPr>
          <w:color w:val="auto"/>
          <w:highlight w:val="none"/>
        </w:rPr>
      </w:pPr>
      <w:r>
        <w:rPr>
          <w:rFonts w:hint="eastAsia" w:ascii="新宋体" w:hAnsi="新宋体" w:eastAsia="新宋体"/>
          <w:color w:val="auto"/>
          <w:spacing w:val="40"/>
          <w:sz w:val="30"/>
          <w:szCs w:val="30"/>
          <w:highlight w:val="none"/>
        </w:rPr>
        <w:t>评 审 方 式：</w:t>
      </w:r>
      <w:r>
        <w:rPr>
          <w:rFonts w:hint="eastAsia" w:ascii="新宋体" w:hAnsi="新宋体" w:eastAsia="新宋体"/>
          <w:b/>
          <w:bCs/>
          <w:color w:val="auto"/>
          <w:spacing w:val="40"/>
          <w:sz w:val="30"/>
          <w:szCs w:val="30"/>
          <w:highlight w:val="none"/>
        </w:rPr>
        <w:t>线上电子招投标</w:t>
      </w:r>
    </w:p>
    <w:p>
      <w:pPr>
        <w:spacing w:line="600" w:lineRule="exact"/>
        <w:ind w:firstLine="1620" w:firstLineChars="450"/>
        <w:rPr>
          <w:rFonts w:ascii="新宋体" w:hAnsi="新宋体" w:eastAsia="新宋体" w:cs="新宋体"/>
          <w:color w:val="auto"/>
          <w:spacing w:val="30"/>
          <w:sz w:val="30"/>
          <w:highlight w:val="none"/>
        </w:rPr>
      </w:pPr>
    </w:p>
    <w:p>
      <w:pPr>
        <w:pStyle w:val="4"/>
        <w:rPr>
          <w:color w:val="auto"/>
          <w:highlight w:val="none"/>
        </w:rPr>
      </w:pPr>
    </w:p>
    <w:p>
      <w:pPr>
        <w:spacing w:line="600" w:lineRule="exact"/>
        <w:ind w:firstLine="1800" w:firstLineChars="500"/>
        <w:rPr>
          <w:rFonts w:ascii="新宋体" w:hAnsi="新宋体" w:eastAsia="新宋体" w:cs="新宋体"/>
          <w:color w:val="auto"/>
          <w:sz w:val="30"/>
          <w:highlight w:val="none"/>
        </w:rPr>
      </w:pPr>
      <w:r>
        <w:rPr>
          <w:rFonts w:hint="eastAsia" w:ascii="新宋体" w:hAnsi="新宋体" w:eastAsia="新宋体" w:cs="新宋体"/>
          <w:color w:val="auto"/>
          <w:spacing w:val="30"/>
          <w:sz w:val="30"/>
          <w:highlight w:val="none"/>
        </w:rPr>
        <w:t>招 标 人:</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30"/>
          <w:highlight w:val="none"/>
          <w:lang w:eastAsia="zh-CN"/>
        </w:rPr>
        <w:t>温州市鹿城区园林绿化管理中心</w:t>
      </w:r>
      <w:r>
        <w:rPr>
          <w:rFonts w:hint="eastAsia" w:ascii="新宋体" w:hAnsi="新宋体" w:eastAsia="新宋体" w:cs="新宋体"/>
          <w:color w:val="auto"/>
          <w:sz w:val="30"/>
          <w:highlight w:val="none"/>
        </w:rPr>
        <w:t xml:space="preserve">     </w:t>
      </w:r>
    </w:p>
    <w:p>
      <w:pPr>
        <w:spacing w:line="600" w:lineRule="exact"/>
        <w:ind w:firstLine="1800" w:firstLineChars="500"/>
        <w:rPr>
          <w:rFonts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招标代理机构：浙江恒杰工程管理有限公司</w:t>
      </w:r>
    </w:p>
    <w:p>
      <w:pPr>
        <w:spacing w:line="600" w:lineRule="exact"/>
        <w:jc w:val="center"/>
        <w:rPr>
          <w:rFonts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二0二二年</w:t>
      </w:r>
      <w:r>
        <w:rPr>
          <w:rFonts w:hint="eastAsia" w:ascii="新宋体" w:hAnsi="新宋体" w:eastAsia="新宋体" w:cs="新宋体"/>
          <w:color w:val="auto"/>
          <w:spacing w:val="30"/>
          <w:sz w:val="30"/>
          <w:highlight w:val="none"/>
          <w:lang w:val="en-US" w:eastAsia="zh-CN"/>
        </w:rPr>
        <w:t>六</w:t>
      </w:r>
      <w:r>
        <w:rPr>
          <w:rFonts w:hint="eastAsia" w:ascii="新宋体" w:hAnsi="新宋体" w:eastAsia="新宋体" w:cs="新宋体"/>
          <w:color w:val="auto"/>
          <w:spacing w:val="30"/>
          <w:sz w:val="30"/>
          <w:highlight w:val="none"/>
        </w:rPr>
        <w:t>月</w:t>
      </w:r>
    </w:p>
    <w:p>
      <w:pPr>
        <w:rPr>
          <w:rFonts w:ascii="新宋体" w:hAnsi="新宋体" w:eastAsia="新宋体" w:cs="新宋体"/>
          <w:color w:val="auto"/>
          <w:spacing w:val="30"/>
          <w:sz w:val="30"/>
          <w:highlight w:val="none"/>
        </w:rPr>
      </w:pPr>
    </w:p>
    <w:p>
      <w:pPr>
        <w:rPr>
          <w:rFonts w:ascii="新宋体" w:hAnsi="新宋体" w:eastAsia="新宋体" w:cs="新宋体"/>
          <w:color w:val="auto"/>
          <w:spacing w:val="30"/>
          <w:sz w:val="30"/>
          <w:highlight w:val="none"/>
        </w:rPr>
      </w:pPr>
    </w:p>
    <w:p>
      <w:pPr>
        <w:rPr>
          <w:rFonts w:ascii="新宋体" w:hAnsi="新宋体" w:eastAsia="新宋体" w:cs="新宋体"/>
          <w:color w:val="auto"/>
          <w:spacing w:val="30"/>
          <w:sz w:val="30"/>
          <w:highlight w:val="none"/>
        </w:rPr>
      </w:pPr>
    </w:p>
    <w:p>
      <w:pPr>
        <w:rPr>
          <w:color w:val="auto"/>
          <w:highlight w:val="none"/>
        </w:rPr>
      </w:pPr>
    </w:p>
    <w:p>
      <w:pPr>
        <w:jc w:val="center"/>
        <w:rPr>
          <w:color w:val="auto"/>
          <w:sz w:val="28"/>
          <w:szCs w:val="28"/>
          <w:highlight w:val="none"/>
        </w:rPr>
      </w:pPr>
      <w:r>
        <w:rPr>
          <w:rFonts w:ascii="宋体" w:hAnsi="宋体"/>
          <w:color w:val="auto"/>
          <w:sz w:val="28"/>
          <w:szCs w:val="28"/>
          <w:highlight w:val="none"/>
        </w:rPr>
        <w:t>目录</w:t>
      </w:r>
    </w:p>
    <w:p>
      <w:pPr>
        <w:pStyle w:val="39"/>
        <w:tabs>
          <w:tab w:val="right" w:leader="dot" w:pos="9972"/>
        </w:tabs>
        <w:spacing w:line="460" w:lineRule="exact"/>
        <w:rPr>
          <w:rFonts w:ascii="新宋体" w:hAnsi="新宋体" w:eastAsia="新宋体" w:cs="新宋体"/>
          <w:color w:val="auto"/>
          <w:sz w:val="22"/>
          <w:szCs w:val="22"/>
          <w:highlight w:val="none"/>
        </w:rPr>
      </w:pPr>
      <w:r>
        <w:rPr>
          <w:rFonts w:ascii="新宋体" w:hAnsi="新宋体" w:eastAsia="新宋体" w:cs="新宋体"/>
          <w:color w:val="auto"/>
          <w:sz w:val="22"/>
          <w:highlight w:val="none"/>
        </w:rPr>
        <w:fldChar w:fldCharType="begin"/>
      </w:r>
      <w:r>
        <w:rPr>
          <w:rFonts w:ascii="新宋体" w:hAnsi="新宋体" w:eastAsia="新宋体" w:cs="新宋体"/>
          <w:color w:val="auto"/>
          <w:sz w:val="22"/>
          <w:highlight w:val="none"/>
        </w:rPr>
        <w:instrText xml:space="preserve">TOC \o "1-2" \h \u </w:instrText>
      </w:r>
      <w:r>
        <w:rPr>
          <w:rFonts w:ascii="新宋体" w:hAnsi="新宋体" w:eastAsia="新宋体" w:cs="新宋体"/>
          <w:color w:val="auto"/>
          <w:sz w:val="22"/>
          <w:highlight w:val="none"/>
        </w:rPr>
        <w:fldChar w:fldCharType="separate"/>
      </w:r>
      <w:r>
        <w:rPr>
          <w:color w:val="auto"/>
          <w:highlight w:val="none"/>
        </w:rPr>
        <w:fldChar w:fldCharType="begin"/>
      </w:r>
      <w:r>
        <w:rPr>
          <w:color w:val="auto"/>
          <w:highlight w:val="none"/>
        </w:rPr>
        <w:instrText xml:space="preserve"> HYPERLINK \l "_Toc17954" </w:instrText>
      </w:r>
      <w:r>
        <w:rPr>
          <w:color w:val="auto"/>
          <w:highlight w:val="none"/>
        </w:rPr>
        <w:fldChar w:fldCharType="separate"/>
      </w:r>
      <w:r>
        <w:rPr>
          <w:rFonts w:hint="eastAsia" w:ascii="新宋体" w:hAnsi="新宋体" w:eastAsia="新宋体" w:cs="新宋体"/>
          <w:bCs/>
          <w:color w:val="auto"/>
          <w:sz w:val="22"/>
          <w:szCs w:val="22"/>
          <w:highlight w:val="none"/>
        </w:rPr>
        <w:t>第一册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_Toc17954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45"/>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"_Toc8729" </w:instrText>
      </w:r>
      <w:r>
        <w:rPr>
          <w:color w:val="auto"/>
          <w:highlight w:val="none"/>
        </w:rPr>
        <w:fldChar w:fldCharType="separate"/>
      </w:r>
      <w:r>
        <w:rPr>
          <w:rFonts w:hint="eastAsia" w:ascii="新宋体" w:hAnsi="新宋体" w:eastAsia="新宋体" w:cs="新宋体"/>
          <w:bCs/>
          <w:color w:val="auto"/>
          <w:sz w:val="22"/>
          <w:szCs w:val="22"/>
          <w:highlight w:val="none"/>
        </w:rPr>
        <w:t>通  用  文  本</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_Toc8729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9"/>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"_Toc8515" </w:instrText>
      </w:r>
      <w:r>
        <w:rPr>
          <w:color w:val="auto"/>
          <w:highlight w:val="none"/>
        </w:rPr>
        <w:fldChar w:fldCharType="separate"/>
      </w:r>
      <w:r>
        <w:rPr>
          <w:rFonts w:hint="eastAsia" w:ascii="新宋体" w:hAnsi="新宋体" w:eastAsia="新宋体" w:cs="新宋体"/>
          <w:color w:val="auto"/>
          <w:sz w:val="22"/>
          <w:szCs w:val="22"/>
          <w:highlight w:val="none"/>
        </w:rPr>
        <w:t>招 标 公 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_Toc8515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9"/>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"_Toc14751" </w:instrText>
      </w:r>
      <w:r>
        <w:rPr>
          <w:color w:val="auto"/>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fldChar w:fldCharType="end"/>
      </w:r>
    </w:p>
    <w:p>
      <w:pPr>
        <w:pStyle w:val="45"/>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"_Toc21714" </w:instrText>
      </w:r>
      <w:r>
        <w:rPr>
          <w:color w:val="auto"/>
          <w:highlight w:val="none"/>
        </w:rPr>
        <w:fldChar w:fldCharType="separate"/>
      </w:r>
      <w:r>
        <w:rPr>
          <w:rFonts w:hint="eastAsia" w:ascii="新宋体" w:hAnsi="新宋体" w:eastAsia="新宋体" w:cs="新宋体"/>
          <w:bCs/>
          <w:color w:val="auto"/>
          <w:sz w:val="22"/>
          <w:szCs w:val="22"/>
          <w:highlight w:val="none"/>
        </w:rPr>
        <w:t>投 标 须 知 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fldChar w:fldCharType="end"/>
      </w:r>
    </w:p>
    <w:p>
      <w:pPr>
        <w:pStyle w:val="45"/>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"_Toc23975" </w:instrText>
      </w:r>
      <w:r>
        <w:rPr>
          <w:color w:val="auto"/>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_Toc23975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45"/>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"_Toc5521" </w:instrText>
      </w:r>
      <w:r>
        <w:rPr>
          <w:color w:val="auto"/>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_Toc5521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45"/>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"_Toc4484" </w:instrText>
      </w:r>
      <w:r>
        <w:rPr>
          <w:color w:val="auto"/>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_Toc4484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45"/>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"_Toc8645" </w:instrText>
      </w:r>
      <w:r>
        <w:rPr>
          <w:color w:val="auto"/>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_Toc8645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45"/>
        <w:tabs>
          <w:tab w:val="right" w:leader="dot" w:pos="9972"/>
        </w:tabs>
        <w:spacing w:line="460" w:lineRule="exact"/>
        <w:rPr>
          <w:rFonts w:hint="eastAsia"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"_Toc22310" </w:instrText>
      </w:r>
      <w:r>
        <w:rPr>
          <w:color w:val="auto"/>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7</w:t>
      </w:r>
    </w:p>
    <w:p>
      <w:pPr>
        <w:pStyle w:val="45"/>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"_Toc27979" </w:instrText>
      </w:r>
      <w:r>
        <w:rPr>
          <w:color w:val="auto"/>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_Toc27979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9"/>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"_Toc3569" </w:instrText>
      </w:r>
      <w:r>
        <w:rPr>
          <w:color w:val="auto"/>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_Toc3569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pPr>
        <w:pStyle w:val="39"/>
        <w:tabs>
          <w:tab w:val="right" w:leader="dot" w:pos="9972"/>
        </w:tabs>
        <w:spacing w:line="460" w:lineRule="exact"/>
        <w:rPr>
          <w:rFonts w:hint="eastAsia"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"_Toc24920" </w:instrText>
      </w:r>
      <w:r>
        <w:rPr>
          <w:color w:val="auto"/>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3</w:t>
      </w:r>
    </w:p>
    <w:p>
      <w:pPr>
        <w:pStyle w:val="45"/>
        <w:tabs>
          <w:tab w:val="right" w:leader="dot" w:pos="9972"/>
        </w:tabs>
        <w:spacing w:line="460" w:lineRule="exact"/>
        <w:rPr>
          <w:rFonts w:hint="default"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"_Toc17249" </w:instrText>
      </w:r>
      <w:r>
        <w:rPr>
          <w:color w:val="auto"/>
          <w:highlight w:val="none"/>
        </w:rPr>
        <w:fldChar w:fldCharType="separate"/>
      </w:r>
      <w:r>
        <w:rPr>
          <w:rFonts w:hint="eastAsia" w:ascii="新宋体" w:hAnsi="新宋体" w:eastAsia="新宋体" w:cs="新宋体"/>
          <w:bCs/>
          <w:color w:val="auto"/>
          <w:sz w:val="22"/>
          <w:szCs w:val="22"/>
          <w:highlight w:val="none"/>
        </w:rPr>
        <w:t>专 用 文 本</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60</w:t>
      </w:r>
    </w:p>
    <w:p>
      <w:pPr>
        <w:pStyle w:val="39"/>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"_Toc11811" </w:instrText>
      </w:r>
      <w:r>
        <w:rPr>
          <w:color w:val="auto"/>
          <w:highlight w:val="none"/>
        </w:rPr>
        <w:fldChar w:fldCharType="separate"/>
      </w:r>
      <w:r>
        <w:rPr>
          <w:rFonts w:hint="eastAsia" w:ascii="新宋体" w:hAnsi="新宋体" w:eastAsia="新宋体" w:cs="新宋体"/>
          <w:color w:val="auto"/>
          <w:sz w:val="22"/>
          <w:szCs w:val="22"/>
          <w:highlight w:val="none"/>
        </w:rPr>
        <w:t xml:space="preserve">第四部分   </w:t>
      </w:r>
      <w:r>
        <w:rPr>
          <w:rFonts w:hint="eastAsia" w:ascii="新宋体" w:hAnsi="新宋体" w:eastAsia="新宋体" w:cs="新宋体"/>
          <w:bCs/>
          <w:color w:val="auto"/>
          <w:sz w:val="22"/>
          <w:szCs w:val="22"/>
          <w:highlight w:val="none"/>
        </w:rPr>
        <w:t>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61</w:t>
      </w:r>
      <w:r>
        <w:rPr>
          <w:rFonts w:hint="eastAsia" w:ascii="新宋体" w:hAnsi="新宋体" w:eastAsia="新宋体" w:cs="新宋体"/>
          <w:color w:val="auto"/>
          <w:sz w:val="22"/>
          <w:szCs w:val="22"/>
          <w:highlight w:val="none"/>
        </w:rPr>
        <w:fldChar w:fldCharType="end"/>
      </w:r>
    </w:p>
    <w:p>
      <w:pPr>
        <w:pStyle w:val="39"/>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"_Toc30146" </w:instrText>
      </w:r>
      <w:r>
        <w:rPr>
          <w:color w:val="auto"/>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6</w:t>
      </w:r>
    </w:p>
    <w:p>
      <w:pPr>
        <w:pStyle w:val="45"/>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"_Toc20279" </w:instrText>
      </w:r>
      <w:r>
        <w:rPr>
          <w:color w:val="auto"/>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6</w:t>
      </w:r>
    </w:p>
    <w:p>
      <w:pPr>
        <w:pStyle w:val="45"/>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"_Toc16715" </w:instrText>
      </w:r>
      <w:r>
        <w:rPr>
          <w:color w:val="auto"/>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6</w:t>
      </w:r>
    </w:p>
    <w:p>
      <w:pPr>
        <w:pStyle w:val="45"/>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"_Toc21609" </w:instrText>
      </w:r>
      <w:r>
        <w:rPr>
          <w:color w:val="auto"/>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6</w:t>
      </w:r>
    </w:p>
    <w:p>
      <w:pPr>
        <w:pStyle w:val="45"/>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"_Toc28909" </w:instrText>
      </w:r>
      <w:r>
        <w:rPr>
          <w:color w:val="auto"/>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6</w:t>
      </w:r>
    </w:p>
    <w:p>
      <w:pPr>
        <w:pStyle w:val="45"/>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"_Toc9209" </w:instrText>
      </w:r>
      <w:r>
        <w:rPr>
          <w:color w:val="auto"/>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6</w:t>
      </w:r>
    </w:p>
    <w:p>
      <w:pPr>
        <w:pStyle w:val="45"/>
        <w:tabs>
          <w:tab w:val="right" w:leader="dot" w:pos="9972"/>
        </w:tabs>
        <w:spacing w:line="460" w:lineRule="exact"/>
        <w:rPr>
          <w:rFonts w:ascii="新宋体" w:hAnsi="新宋体" w:eastAsia="新宋体" w:cs="新宋体"/>
          <w:color w:val="auto"/>
          <w:sz w:val="22"/>
          <w:szCs w:val="22"/>
          <w:highlight w:val="none"/>
        </w:rPr>
      </w:pPr>
      <w:r>
        <w:rPr>
          <w:color w:val="auto"/>
          <w:highlight w:val="none"/>
        </w:rPr>
        <w:fldChar w:fldCharType="begin"/>
      </w:r>
      <w:r>
        <w:rPr>
          <w:color w:val="auto"/>
          <w:highlight w:val="none"/>
        </w:rPr>
        <w:instrText xml:space="preserve"> HYPERLINK \l "_Toc4730" </w:instrText>
      </w:r>
      <w:r>
        <w:rPr>
          <w:color w:val="auto"/>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8</w:t>
      </w:r>
    </w:p>
    <w:p>
      <w:pPr>
        <w:pStyle w:val="45"/>
        <w:tabs>
          <w:tab w:val="right" w:leader="dot" w:pos="9972"/>
        </w:tabs>
        <w:spacing w:line="460" w:lineRule="exact"/>
        <w:rPr>
          <w:rFonts w:hint="eastAsia" w:eastAsia="新宋体"/>
          <w:color w:val="auto"/>
          <w:highlight w:val="none"/>
          <w:lang w:val="en-US" w:eastAsia="zh-CN"/>
        </w:rPr>
      </w:pPr>
      <w:r>
        <w:rPr>
          <w:color w:val="auto"/>
          <w:highlight w:val="none"/>
        </w:rPr>
        <w:fldChar w:fldCharType="begin"/>
      </w:r>
      <w:r>
        <w:rPr>
          <w:color w:val="auto"/>
          <w:highlight w:val="none"/>
        </w:rPr>
        <w:instrText xml:space="preserve"> HYPERLINK \l "_Toc3005" </w:instrText>
      </w:r>
      <w:r>
        <w:rPr>
          <w:color w:val="auto"/>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9</w:t>
      </w:r>
    </w:p>
    <w:p>
      <w:pPr>
        <w:spacing w:line="600" w:lineRule="exact"/>
        <w:ind w:firstLine="525" w:firstLineChars="250"/>
        <w:rPr>
          <w:rFonts w:ascii="新宋体" w:hAnsi="新宋体" w:eastAsia="新宋体" w:cs="新宋体"/>
          <w:color w:val="auto"/>
          <w:sz w:val="22"/>
          <w:highlight w:val="none"/>
        </w:rPr>
      </w:pPr>
      <w:r>
        <w:rPr>
          <w:rFonts w:ascii="新宋体" w:hAnsi="新宋体" w:eastAsia="新宋体" w:cs="新宋体"/>
          <w:color w:val="auto"/>
          <w:highlight w:val="none"/>
        </w:rPr>
        <w:fldChar w:fldCharType="end"/>
      </w:r>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pStyle w:val="26"/>
        <w:rPr>
          <w:rFonts w:ascii="新宋体" w:hAnsi="新宋体" w:eastAsia="新宋体" w:cs="新宋体"/>
          <w:color w:val="auto"/>
          <w:highlight w:val="none"/>
        </w:rPr>
      </w:pPr>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rPr>
          <w:rFonts w:ascii="新宋体" w:hAnsi="新宋体" w:eastAsia="新宋体" w:cs="新宋体"/>
          <w:b/>
          <w:color w:val="auto"/>
          <w:sz w:val="22"/>
          <w:szCs w:val="22"/>
          <w:highlight w:val="none"/>
        </w:rPr>
      </w:pPr>
    </w:p>
    <w:p>
      <w:pPr>
        <w:rPr>
          <w:rFonts w:ascii="新宋体" w:hAnsi="新宋体" w:eastAsia="新宋体" w:cs="新宋体"/>
          <w:b/>
          <w:color w:val="auto"/>
          <w:sz w:val="22"/>
          <w:szCs w:val="22"/>
          <w:highlight w:val="none"/>
        </w:rPr>
      </w:pPr>
    </w:p>
    <w:p>
      <w:pPr>
        <w:rPr>
          <w:color w:val="auto"/>
          <w:highlight w:val="none"/>
        </w:rPr>
      </w:pPr>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jc w:val="center"/>
        <w:outlineLvl w:val="0"/>
        <w:rPr>
          <w:rFonts w:ascii="新宋体" w:hAnsi="新宋体" w:eastAsia="新宋体" w:cs="新宋体"/>
          <w:b/>
          <w:bCs/>
          <w:color w:val="auto"/>
          <w:sz w:val="52"/>
          <w:szCs w:val="52"/>
          <w:highlight w:val="none"/>
        </w:rPr>
      </w:pPr>
      <w:bookmarkStart w:id="0" w:name="_Toc17954"/>
      <w:r>
        <w:rPr>
          <w:rFonts w:hint="eastAsia" w:ascii="新宋体" w:hAnsi="新宋体" w:eastAsia="新宋体" w:cs="新宋体"/>
          <w:b/>
          <w:bCs/>
          <w:color w:val="auto"/>
          <w:sz w:val="52"/>
          <w:szCs w:val="52"/>
          <w:highlight w:val="none"/>
        </w:rPr>
        <w:t>第一册</w:t>
      </w:r>
      <w:bookmarkEnd w:id="0"/>
    </w:p>
    <w:p>
      <w:pPr>
        <w:rPr>
          <w:rFonts w:ascii="新宋体" w:hAnsi="新宋体" w:eastAsia="新宋体" w:cs="新宋体"/>
          <w:b/>
          <w:bCs/>
          <w:color w:val="auto"/>
          <w:sz w:val="48"/>
          <w:highlight w:val="none"/>
        </w:rPr>
      </w:pPr>
    </w:p>
    <w:p>
      <w:pPr>
        <w:jc w:val="center"/>
        <w:outlineLvl w:val="1"/>
        <w:rPr>
          <w:rFonts w:ascii="新宋体" w:hAnsi="新宋体" w:eastAsia="新宋体" w:cs="新宋体"/>
          <w:b/>
          <w:bCs/>
          <w:color w:val="auto"/>
          <w:sz w:val="48"/>
          <w:highlight w:val="none"/>
        </w:rPr>
      </w:pPr>
      <w:bookmarkStart w:id="1" w:name="_Toc8729"/>
      <w:r>
        <w:rPr>
          <w:rFonts w:hint="eastAsia" w:ascii="新宋体" w:hAnsi="新宋体" w:eastAsia="新宋体" w:cs="新宋体"/>
          <w:b/>
          <w:bCs/>
          <w:color w:val="auto"/>
          <w:sz w:val="48"/>
          <w:highlight w:val="none"/>
        </w:rPr>
        <w:t>通  用  文  本</w:t>
      </w:r>
      <w:bookmarkEnd w:id="1"/>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spacing w:line="360" w:lineRule="auto"/>
        <w:jc w:val="center"/>
        <w:rPr>
          <w:rFonts w:ascii="新宋体" w:hAnsi="新宋体" w:eastAsia="新宋体" w:cs="新宋体"/>
          <w:b/>
          <w:color w:val="auto"/>
          <w:sz w:val="22"/>
          <w:szCs w:val="22"/>
          <w:highlight w:val="none"/>
        </w:rPr>
      </w:pPr>
    </w:p>
    <w:p>
      <w:pPr>
        <w:pStyle w:val="10"/>
        <w:rPr>
          <w:rFonts w:ascii="新宋体" w:hAnsi="新宋体" w:eastAsia="新宋体" w:cs="新宋体"/>
          <w:b w:val="0"/>
          <w:color w:val="auto"/>
          <w:sz w:val="22"/>
          <w:szCs w:val="22"/>
          <w:highlight w:val="none"/>
        </w:rPr>
      </w:pPr>
    </w:p>
    <w:p>
      <w:pPr>
        <w:rPr>
          <w:rFonts w:ascii="新宋体" w:hAnsi="新宋体" w:eastAsia="新宋体" w:cs="新宋体"/>
          <w:b/>
          <w:color w:val="auto"/>
          <w:sz w:val="22"/>
          <w:szCs w:val="22"/>
          <w:highlight w:val="none"/>
        </w:rPr>
      </w:pPr>
    </w:p>
    <w:p>
      <w:pPr>
        <w:pStyle w:val="10"/>
        <w:rPr>
          <w:rFonts w:ascii="新宋体" w:hAnsi="新宋体" w:eastAsia="新宋体" w:cs="新宋体"/>
          <w:b w:val="0"/>
          <w:color w:val="auto"/>
          <w:sz w:val="22"/>
          <w:szCs w:val="22"/>
          <w:highlight w:val="none"/>
        </w:rPr>
      </w:pPr>
    </w:p>
    <w:p>
      <w:pPr>
        <w:rPr>
          <w:rFonts w:ascii="新宋体" w:hAnsi="新宋体" w:eastAsia="新宋体" w:cs="新宋体"/>
          <w:b/>
          <w:color w:val="auto"/>
          <w:sz w:val="22"/>
          <w:szCs w:val="22"/>
          <w:highlight w:val="none"/>
        </w:rPr>
      </w:pPr>
    </w:p>
    <w:p>
      <w:pPr>
        <w:pStyle w:val="10"/>
        <w:rPr>
          <w:rFonts w:ascii="新宋体" w:hAnsi="新宋体" w:eastAsia="新宋体" w:cs="新宋体"/>
          <w:b w:val="0"/>
          <w:color w:val="auto"/>
          <w:sz w:val="22"/>
          <w:szCs w:val="22"/>
          <w:highlight w:val="none"/>
        </w:rPr>
      </w:pPr>
    </w:p>
    <w:p>
      <w:pPr>
        <w:rPr>
          <w:rFonts w:ascii="新宋体" w:hAnsi="新宋体" w:eastAsia="新宋体" w:cs="新宋体"/>
          <w:b/>
          <w:color w:val="auto"/>
          <w:sz w:val="22"/>
          <w:szCs w:val="22"/>
          <w:highlight w:val="none"/>
        </w:rPr>
      </w:pPr>
    </w:p>
    <w:p>
      <w:pPr>
        <w:pStyle w:val="10"/>
        <w:rPr>
          <w:color w:val="auto"/>
          <w:highlight w:val="none"/>
        </w:rPr>
      </w:pPr>
    </w:p>
    <w:p>
      <w:pPr>
        <w:rPr>
          <w:color w:val="auto"/>
          <w:highlight w:val="none"/>
        </w:rPr>
      </w:pPr>
    </w:p>
    <w:p>
      <w:pPr>
        <w:rPr>
          <w:color w:val="auto"/>
          <w:highlight w:val="none"/>
        </w:rPr>
      </w:pPr>
    </w:p>
    <w:p>
      <w:pPr>
        <w:rPr>
          <w:color w:val="auto"/>
          <w:highlight w:val="none"/>
        </w:rPr>
      </w:pPr>
    </w:p>
    <w:p>
      <w:pPr>
        <w:pStyle w:val="24"/>
        <w:spacing w:line="460" w:lineRule="exact"/>
        <w:ind w:left="602" w:hanging="602"/>
        <w:jc w:val="center"/>
        <w:outlineLvl w:val="0"/>
        <w:rPr>
          <w:rFonts w:ascii="新宋体" w:hAnsi="新宋体" w:eastAsia="新宋体"/>
          <w:b/>
          <w:color w:val="auto"/>
          <w:sz w:val="30"/>
          <w:highlight w:val="none"/>
        </w:rPr>
      </w:pPr>
      <w:bookmarkStart w:id="2" w:name="_Toc8515"/>
    </w:p>
    <w:p>
      <w:pPr>
        <w:rPr>
          <w:rFonts w:hint="eastAsia" w:ascii="新宋体" w:hAnsi="新宋体" w:eastAsia="新宋体"/>
          <w:b/>
          <w:color w:val="auto"/>
          <w:sz w:val="30"/>
          <w:highlight w:val="none"/>
        </w:rPr>
      </w:pPr>
      <w:r>
        <w:rPr>
          <w:rFonts w:hint="eastAsia" w:ascii="新宋体" w:hAnsi="新宋体" w:eastAsia="新宋体"/>
          <w:b/>
          <w:color w:val="auto"/>
          <w:sz w:val="30"/>
          <w:highlight w:val="none"/>
        </w:rPr>
        <w:br w:type="page"/>
      </w:r>
    </w:p>
    <w:p>
      <w:pPr>
        <w:pStyle w:val="24"/>
        <w:spacing w:line="460" w:lineRule="exact"/>
        <w:ind w:left="602" w:hanging="602"/>
        <w:jc w:val="center"/>
        <w:outlineLvl w:val="0"/>
        <w:rPr>
          <w:rFonts w:ascii="新宋体" w:hAnsi="新宋体" w:eastAsia="新宋体"/>
          <w:b/>
          <w:color w:val="auto"/>
          <w:sz w:val="30"/>
          <w:highlight w:val="none"/>
        </w:rPr>
      </w:pPr>
      <w:r>
        <w:rPr>
          <w:rFonts w:hint="eastAsia" w:ascii="新宋体" w:hAnsi="新宋体" w:eastAsia="新宋体"/>
          <w:b/>
          <w:color w:val="auto"/>
          <w:sz w:val="30"/>
          <w:highlight w:val="none"/>
        </w:rPr>
        <w:t>招 标 公 告</w:t>
      </w:r>
      <w:bookmarkEnd w:id="2"/>
    </w:p>
    <w:p>
      <w:pPr>
        <w:tabs>
          <w:tab w:val="left" w:pos="360"/>
        </w:tabs>
        <w:spacing w:line="460" w:lineRule="exact"/>
        <w:ind w:firstLine="552" w:firstLineChars="250"/>
        <w:rPr>
          <w:rFonts w:ascii="新宋体" w:hAnsi="新宋体" w:eastAsia="新宋体"/>
          <w:b/>
          <w:bCs/>
          <w:color w:val="auto"/>
          <w:sz w:val="22"/>
          <w:highlight w:val="none"/>
        </w:rPr>
      </w:pPr>
      <w:r>
        <w:rPr>
          <w:rFonts w:hint="eastAsia" w:ascii="新宋体" w:hAnsi="新宋体" w:eastAsia="新宋体"/>
          <w:b/>
          <w:bCs/>
          <w:color w:val="auto"/>
          <w:sz w:val="22"/>
          <w:highlight w:val="none"/>
        </w:rPr>
        <w:t>项目概况</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lang w:eastAsia="zh-CN"/>
        </w:rPr>
        <w:t>生态系统碳汇能力提升项目-智慧园林建设工程（一期）智能化项目</w:t>
      </w:r>
      <w:r>
        <w:rPr>
          <w:rFonts w:hint="eastAsia" w:ascii="新宋体" w:hAnsi="新宋体" w:eastAsia="新宋体"/>
          <w:color w:val="auto"/>
          <w:sz w:val="22"/>
          <w:highlight w:val="none"/>
        </w:rPr>
        <w:t>招标项目的潜在投标人应在浙江政府采购网获取（下载）招标文件，并于2022年</w:t>
      </w:r>
      <w:r>
        <w:rPr>
          <w:rFonts w:hint="eastAsia" w:ascii="新宋体" w:hAnsi="新宋体" w:eastAsia="新宋体"/>
          <w:color w:val="auto"/>
          <w:sz w:val="22"/>
          <w:highlight w:val="none"/>
          <w:lang w:val="en-US" w:eastAsia="zh-CN"/>
        </w:rPr>
        <w:t>6</w:t>
      </w:r>
      <w:r>
        <w:rPr>
          <w:rFonts w:hint="eastAsia" w:ascii="新宋体" w:hAnsi="新宋体" w:eastAsia="新宋体"/>
          <w:color w:val="auto"/>
          <w:sz w:val="22"/>
          <w:highlight w:val="none"/>
        </w:rPr>
        <w:t>月</w:t>
      </w:r>
      <w:r>
        <w:rPr>
          <w:rFonts w:hint="eastAsia" w:ascii="新宋体" w:hAnsi="新宋体" w:eastAsia="新宋体"/>
          <w:color w:val="auto"/>
          <w:sz w:val="22"/>
          <w:highlight w:val="none"/>
          <w:lang w:val="en-US" w:eastAsia="zh-CN"/>
        </w:rPr>
        <w:t>27</w:t>
      </w:r>
      <w:r>
        <w:rPr>
          <w:rFonts w:hint="eastAsia" w:ascii="新宋体" w:hAnsi="新宋体" w:eastAsia="新宋体"/>
          <w:color w:val="auto"/>
          <w:sz w:val="22"/>
          <w:highlight w:val="none"/>
        </w:rPr>
        <w:t>日 09:30（北京时间）前递交（上传）投标文件。</w:t>
      </w:r>
    </w:p>
    <w:p>
      <w:pPr>
        <w:tabs>
          <w:tab w:val="left" w:pos="360"/>
        </w:tabs>
        <w:spacing w:line="460" w:lineRule="exact"/>
        <w:ind w:firstLine="552" w:firstLineChars="250"/>
        <w:outlineLvl w:val="1"/>
        <w:rPr>
          <w:rFonts w:ascii="黑体" w:hAnsi="宋体" w:eastAsia="黑体" w:cs="黑体"/>
          <w:color w:val="auto"/>
          <w:sz w:val="27"/>
          <w:szCs w:val="27"/>
          <w:highlight w:val="none"/>
        </w:rPr>
      </w:pPr>
      <w:bookmarkStart w:id="3" w:name="_Toc15561"/>
      <w:r>
        <w:rPr>
          <w:rFonts w:hint="eastAsia" w:ascii="新宋体" w:hAnsi="新宋体" w:eastAsia="新宋体"/>
          <w:b/>
          <w:bCs/>
          <w:color w:val="auto"/>
          <w:sz w:val="22"/>
          <w:highlight w:val="none"/>
        </w:rPr>
        <w:t>一、项目基本情况</w:t>
      </w:r>
      <w:bookmarkEnd w:id="3"/>
      <w:r>
        <w:rPr>
          <w:rFonts w:hint="eastAsia" w:ascii="新宋体" w:hAnsi="新宋体" w:eastAsia="新宋体"/>
          <w:b/>
          <w:bCs/>
          <w:color w:val="auto"/>
          <w:sz w:val="22"/>
          <w:highlight w:val="none"/>
        </w:rPr>
        <w:t xml:space="preserve"> </w:t>
      </w:r>
    </w:p>
    <w:p>
      <w:pPr>
        <w:tabs>
          <w:tab w:val="left" w:pos="360"/>
        </w:tabs>
        <w:spacing w:line="460" w:lineRule="exact"/>
        <w:ind w:firstLine="550" w:firstLineChars="25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rPr>
        <w:t>项目编号：</w:t>
      </w:r>
      <w:r>
        <w:rPr>
          <w:rFonts w:hint="eastAsia" w:ascii="新宋体" w:hAnsi="新宋体" w:eastAsia="新宋体"/>
          <w:color w:val="auto"/>
          <w:sz w:val="22"/>
          <w:highlight w:val="none"/>
          <w:lang w:eastAsia="zh-CN"/>
        </w:rPr>
        <w:t>ZJHJ-ZFCG-2022-21</w:t>
      </w:r>
    </w:p>
    <w:p>
      <w:pPr>
        <w:tabs>
          <w:tab w:val="left" w:pos="360"/>
        </w:tabs>
        <w:spacing w:line="460" w:lineRule="exact"/>
        <w:ind w:firstLine="550" w:firstLineChars="25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rPr>
        <w:t>项目名称：</w:t>
      </w:r>
      <w:r>
        <w:rPr>
          <w:rFonts w:hint="eastAsia" w:ascii="新宋体" w:hAnsi="新宋体" w:eastAsia="新宋体"/>
          <w:color w:val="auto"/>
          <w:sz w:val="22"/>
          <w:highlight w:val="none"/>
          <w:lang w:eastAsia="zh-CN"/>
        </w:rPr>
        <w:t>生态系统碳汇能力提升项目-智慧园林建设工程（一期）智能化项目</w:t>
      </w:r>
    </w:p>
    <w:p>
      <w:pPr>
        <w:tabs>
          <w:tab w:val="left" w:pos="360"/>
        </w:tabs>
        <w:spacing w:line="460" w:lineRule="exact"/>
        <w:ind w:firstLine="550" w:firstLineChars="250"/>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rPr>
        <w:t>预算金额（元）：</w:t>
      </w:r>
      <w:r>
        <w:rPr>
          <w:rFonts w:hint="eastAsia" w:ascii="新宋体" w:hAnsi="新宋体" w:eastAsia="新宋体"/>
          <w:color w:val="auto"/>
          <w:sz w:val="22"/>
          <w:highlight w:val="none"/>
          <w:lang w:val="en-US" w:eastAsia="zh-CN"/>
        </w:rPr>
        <w:t>23107000</w:t>
      </w:r>
    </w:p>
    <w:p>
      <w:pPr>
        <w:tabs>
          <w:tab w:val="left" w:pos="360"/>
        </w:tabs>
        <w:spacing w:line="460" w:lineRule="exact"/>
        <w:ind w:firstLine="550" w:firstLineChars="250"/>
        <w:rPr>
          <w:rFonts w:hint="default" w:eastAsia="新宋体"/>
          <w:color w:val="auto"/>
          <w:highlight w:val="none"/>
          <w:lang w:val="en-US" w:eastAsia="zh-CN"/>
        </w:rPr>
      </w:pPr>
      <w:r>
        <w:rPr>
          <w:rFonts w:hint="eastAsia" w:ascii="新宋体" w:hAnsi="新宋体" w:eastAsia="新宋体"/>
          <w:color w:val="auto"/>
          <w:sz w:val="22"/>
          <w:highlight w:val="none"/>
        </w:rPr>
        <w:t>最高限价（元）：</w:t>
      </w:r>
      <w:r>
        <w:rPr>
          <w:rFonts w:hint="eastAsia" w:ascii="新宋体" w:hAnsi="新宋体" w:eastAsia="新宋体"/>
          <w:color w:val="auto"/>
          <w:sz w:val="22"/>
          <w:highlight w:val="none"/>
          <w:lang w:val="en-US" w:eastAsia="zh-CN"/>
        </w:rPr>
        <w:t>23107000</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采购需求：具体详见招标文件</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合同履约期限：具体详见招标文件 </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 本项目不接受联合体投标</w:t>
      </w:r>
    </w:p>
    <w:p>
      <w:pPr>
        <w:tabs>
          <w:tab w:val="left" w:pos="360"/>
        </w:tabs>
        <w:spacing w:line="460" w:lineRule="exact"/>
        <w:ind w:firstLine="552" w:firstLineChars="250"/>
        <w:outlineLvl w:val="1"/>
        <w:rPr>
          <w:rFonts w:ascii="新宋体" w:hAnsi="新宋体" w:eastAsia="新宋体"/>
          <w:b/>
          <w:bCs/>
          <w:color w:val="auto"/>
          <w:sz w:val="22"/>
          <w:highlight w:val="none"/>
        </w:rPr>
      </w:pPr>
      <w:r>
        <w:rPr>
          <w:rFonts w:hint="eastAsia" w:ascii="新宋体" w:hAnsi="新宋体" w:eastAsia="新宋体" w:cs="新宋体"/>
          <w:b/>
          <w:color w:val="auto"/>
          <w:sz w:val="22"/>
          <w:szCs w:val="22"/>
          <w:highlight w:val="none"/>
        </w:rPr>
        <w:t xml:space="preserve"> </w:t>
      </w:r>
      <w:bookmarkStart w:id="4" w:name="_Toc23037"/>
      <w:bookmarkStart w:id="5" w:name="_Toc26780"/>
      <w:r>
        <w:rPr>
          <w:rFonts w:hint="eastAsia" w:ascii="新宋体" w:hAnsi="新宋体" w:eastAsia="新宋体"/>
          <w:b/>
          <w:bCs/>
          <w:color w:val="auto"/>
          <w:sz w:val="22"/>
          <w:highlight w:val="none"/>
        </w:rPr>
        <w:t>二、申请人的资格要求：</w:t>
      </w:r>
      <w:bookmarkEnd w:id="4"/>
      <w:bookmarkEnd w:id="5"/>
    </w:p>
    <w:p>
      <w:pPr>
        <w:tabs>
          <w:tab w:val="left" w:pos="360"/>
        </w:tabs>
        <w:spacing w:line="460" w:lineRule="exact"/>
        <w:ind w:firstLine="550" w:firstLineChars="250"/>
        <w:rPr>
          <w:rFonts w:ascii="新宋体" w:hAnsi="新宋体" w:eastAsia="新宋体"/>
          <w:color w:val="auto"/>
          <w:sz w:val="22"/>
          <w:highlight w:val="none"/>
        </w:rPr>
      </w:pPr>
      <w:bookmarkStart w:id="6" w:name="_Toc23405"/>
      <w:r>
        <w:rPr>
          <w:rFonts w:hint="eastAsia" w:ascii="新宋体" w:hAnsi="新宋体" w:eastAsia="新宋体"/>
          <w:color w:val="auto"/>
          <w:sz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2、落实政府采购政策需满足的资格要求：无</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3、本项目的特定资格要求：无  </w:t>
      </w:r>
    </w:p>
    <w:bookmarkEnd w:id="6"/>
    <w:p>
      <w:pPr>
        <w:tabs>
          <w:tab w:val="left" w:pos="360"/>
        </w:tabs>
        <w:spacing w:line="460" w:lineRule="exact"/>
        <w:ind w:firstLine="552" w:firstLineChars="250"/>
        <w:outlineLvl w:val="1"/>
        <w:rPr>
          <w:rFonts w:ascii="新宋体" w:hAnsi="新宋体" w:eastAsia="新宋体"/>
          <w:b/>
          <w:bCs/>
          <w:color w:val="auto"/>
          <w:sz w:val="22"/>
          <w:highlight w:val="none"/>
        </w:rPr>
      </w:pPr>
      <w:bookmarkStart w:id="7" w:name="_Toc19876"/>
      <w:r>
        <w:rPr>
          <w:rFonts w:hint="eastAsia" w:ascii="新宋体" w:hAnsi="新宋体" w:eastAsia="新宋体"/>
          <w:b/>
          <w:bCs/>
          <w:color w:val="auto"/>
          <w:sz w:val="22"/>
          <w:highlight w:val="none"/>
        </w:rPr>
        <w:t>三、获取招标文件 </w:t>
      </w:r>
      <w:bookmarkEnd w:id="7"/>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时间：2022年</w:t>
      </w:r>
      <w:r>
        <w:rPr>
          <w:rFonts w:hint="eastAsia" w:ascii="新宋体" w:hAnsi="新宋体" w:eastAsia="新宋体"/>
          <w:color w:val="auto"/>
          <w:sz w:val="22"/>
          <w:highlight w:val="none"/>
          <w:lang w:val="en-US" w:eastAsia="zh-CN"/>
        </w:rPr>
        <w:t>6</w:t>
      </w:r>
      <w:r>
        <w:rPr>
          <w:rFonts w:hint="eastAsia" w:ascii="新宋体" w:hAnsi="新宋体" w:eastAsia="新宋体"/>
          <w:color w:val="auto"/>
          <w:sz w:val="22"/>
          <w:highlight w:val="none"/>
        </w:rPr>
        <w:t>月</w:t>
      </w:r>
      <w:r>
        <w:rPr>
          <w:rFonts w:hint="eastAsia" w:ascii="新宋体" w:hAnsi="新宋体" w:eastAsia="新宋体"/>
          <w:color w:val="auto"/>
          <w:sz w:val="22"/>
          <w:highlight w:val="none"/>
          <w:lang w:val="en-US" w:eastAsia="zh-CN"/>
        </w:rPr>
        <w:t>2</w:t>
      </w:r>
      <w:r>
        <w:rPr>
          <w:rFonts w:hint="eastAsia" w:ascii="新宋体" w:hAnsi="新宋体" w:eastAsia="新宋体"/>
          <w:color w:val="auto"/>
          <w:sz w:val="22"/>
          <w:highlight w:val="none"/>
        </w:rPr>
        <w:t>日至2022年</w:t>
      </w:r>
      <w:r>
        <w:rPr>
          <w:rFonts w:hint="eastAsia" w:ascii="新宋体" w:hAnsi="新宋体" w:eastAsia="新宋体"/>
          <w:color w:val="auto"/>
          <w:sz w:val="22"/>
          <w:highlight w:val="none"/>
          <w:lang w:val="en-US" w:eastAsia="zh-CN"/>
        </w:rPr>
        <w:t>6</w:t>
      </w:r>
      <w:r>
        <w:rPr>
          <w:rFonts w:hint="eastAsia" w:ascii="新宋体" w:hAnsi="新宋体" w:eastAsia="新宋体"/>
          <w:color w:val="auto"/>
          <w:sz w:val="22"/>
          <w:highlight w:val="none"/>
        </w:rPr>
        <w:t>月</w:t>
      </w:r>
      <w:r>
        <w:rPr>
          <w:rFonts w:hint="eastAsia" w:ascii="新宋体" w:hAnsi="新宋体" w:eastAsia="新宋体"/>
          <w:color w:val="auto"/>
          <w:sz w:val="22"/>
          <w:highlight w:val="none"/>
          <w:lang w:val="en-US" w:eastAsia="zh-CN"/>
        </w:rPr>
        <w:t>27</w:t>
      </w:r>
      <w:r>
        <w:rPr>
          <w:rFonts w:hint="eastAsia" w:ascii="新宋体" w:hAnsi="新宋体" w:eastAsia="新宋体"/>
          <w:color w:val="auto"/>
          <w:sz w:val="22"/>
          <w:highlight w:val="none"/>
        </w:rPr>
        <w:t>日，每天上午00:00至12:00，下午12:00至23:59（北京时间，线上获取法定节假日均可，线下获取文件法定节假日除外）</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地点（网址）：政府采购云平台（https://login.zcygov.cn）  </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 方式：1、本项目招标文件实行“政府采购云平台”在线获取，不提供招标文件纸质版。供应商获取招标文件前应先完成“政府采购云平台”的账号注册；</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2、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3、供应商获取招标文件时须提交的文件资料：无；</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注：请供应商按上述要求获取招标文件，如未在“政采云”系统内完成相关流程，引起的投标无效责任自负。</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售价（元）：0</w:t>
      </w:r>
    </w:p>
    <w:p>
      <w:pPr>
        <w:tabs>
          <w:tab w:val="left" w:pos="360"/>
        </w:tabs>
        <w:spacing w:line="460" w:lineRule="exact"/>
        <w:ind w:firstLine="552" w:firstLineChars="250"/>
        <w:outlineLvl w:val="1"/>
        <w:rPr>
          <w:rFonts w:ascii="新宋体" w:hAnsi="新宋体" w:eastAsia="新宋体"/>
          <w:b/>
          <w:bCs/>
          <w:color w:val="auto"/>
          <w:sz w:val="22"/>
          <w:highlight w:val="none"/>
        </w:rPr>
      </w:pPr>
      <w:bookmarkStart w:id="8" w:name="_Toc31226"/>
      <w:bookmarkStart w:id="9" w:name="_Toc24902"/>
      <w:r>
        <w:rPr>
          <w:rFonts w:hint="eastAsia" w:ascii="新宋体" w:hAnsi="新宋体" w:eastAsia="新宋体"/>
          <w:b/>
          <w:bCs/>
          <w:color w:val="auto"/>
          <w:sz w:val="22"/>
          <w:highlight w:val="none"/>
        </w:rPr>
        <w:t>四、提交投标文件截止时间、开标时间和地点</w:t>
      </w:r>
      <w:bookmarkEnd w:id="8"/>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提交投标文件截止时间：2022年</w:t>
      </w:r>
      <w:r>
        <w:rPr>
          <w:rFonts w:hint="eastAsia" w:ascii="新宋体" w:hAnsi="新宋体" w:eastAsia="新宋体"/>
          <w:color w:val="auto"/>
          <w:sz w:val="22"/>
          <w:highlight w:val="none"/>
          <w:lang w:val="en-US" w:eastAsia="zh-CN"/>
        </w:rPr>
        <w:t>6</w:t>
      </w:r>
      <w:r>
        <w:rPr>
          <w:rFonts w:hint="eastAsia" w:ascii="新宋体" w:hAnsi="新宋体" w:eastAsia="新宋体"/>
          <w:color w:val="auto"/>
          <w:sz w:val="22"/>
          <w:highlight w:val="none"/>
        </w:rPr>
        <w:t>月</w:t>
      </w:r>
      <w:r>
        <w:rPr>
          <w:rFonts w:hint="eastAsia" w:ascii="新宋体" w:hAnsi="新宋体" w:eastAsia="新宋体"/>
          <w:color w:val="auto"/>
          <w:sz w:val="22"/>
          <w:highlight w:val="none"/>
          <w:lang w:val="en-US" w:eastAsia="zh-CN"/>
        </w:rPr>
        <w:t>27</w:t>
      </w:r>
      <w:r>
        <w:rPr>
          <w:rFonts w:hint="eastAsia" w:ascii="新宋体" w:hAnsi="新宋体" w:eastAsia="新宋体"/>
          <w:color w:val="auto"/>
          <w:sz w:val="22"/>
          <w:highlight w:val="none"/>
        </w:rPr>
        <w:t>日 09:30（北京时间）</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投标地点（网址）：政府采购云平台（https://login.zcygov.cn）  </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开标时间：2022年</w:t>
      </w:r>
      <w:r>
        <w:rPr>
          <w:rFonts w:hint="eastAsia" w:ascii="新宋体" w:hAnsi="新宋体" w:eastAsia="新宋体"/>
          <w:color w:val="auto"/>
          <w:sz w:val="22"/>
          <w:highlight w:val="none"/>
          <w:lang w:val="en-US" w:eastAsia="zh-CN"/>
        </w:rPr>
        <w:t>6</w:t>
      </w:r>
      <w:r>
        <w:rPr>
          <w:rFonts w:hint="eastAsia" w:ascii="新宋体" w:hAnsi="新宋体" w:eastAsia="新宋体"/>
          <w:color w:val="auto"/>
          <w:sz w:val="22"/>
          <w:highlight w:val="none"/>
        </w:rPr>
        <w:t>月</w:t>
      </w:r>
      <w:r>
        <w:rPr>
          <w:rFonts w:hint="eastAsia" w:ascii="新宋体" w:hAnsi="新宋体" w:eastAsia="新宋体"/>
          <w:color w:val="auto"/>
          <w:sz w:val="22"/>
          <w:highlight w:val="none"/>
          <w:lang w:val="en-US" w:eastAsia="zh-CN"/>
        </w:rPr>
        <w:t>27</w:t>
      </w:r>
      <w:r>
        <w:rPr>
          <w:rFonts w:hint="eastAsia" w:ascii="新宋体" w:hAnsi="新宋体" w:eastAsia="新宋体"/>
          <w:color w:val="auto"/>
          <w:sz w:val="22"/>
          <w:highlight w:val="none"/>
        </w:rPr>
        <w:t>日 09:30 </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开标地点（网址）：</w:t>
      </w:r>
      <w:r>
        <w:rPr>
          <w:rFonts w:hint="eastAsia" w:ascii="新宋体" w:hAnsi="新宋体" w:eastAsia="新宋体"/>
          <w:color w:val="auto"/>
          <w:sz w:val="22"/>
          <w:highlight w:val="none"/>
          <w:lang w:eastAsia="zh-CN"/>
        </w:rPr>
        <w:t>温州市公共资源交易中心鹿城分中心三楼开标区（本项目采用在线投标方式，投标供应商无须前往开标现场）</w:t>
      </w:r>
    </w:p>
    <w:bookmarkEnd w:id="9"/>
    <w:p>
      <w:pPr>
        <w:tabs>
          <w:tab w:val="left" w:pos="360"/>
        </w:tabs>
        <w:spacing w:line="460" w:lineRule="exact"/>
        <w:ind w:firstLine="552" w:firstLineChars="250"/>
        <w:outlineLvl w:val="1"/>
        <w:rPr>
          <w:rFonts w:ascii="新宋体" w:hAnsi="新宋体" w:eastAsia="新宋体"/>
          <w:b/>
          <w:bCs/>
          <w:color w:val="auto"/>
          <w:sz w:val="22"/>
          <w:highlight w:val="none"/>
        </w:rPr>
      </w:pPr>
      <w:bookmarkStart w:id="10" w:name="_Toc25563"/>
      <w:r>
        <w:rPr>
          <w:rFonts w:hint="eastAsia" w:ascii="新宋体" w:hAnsi="新宋体" w:eastAsia="新宋体"/>
          <w:b/>
          <w:bCs/>
          <w:color w:val="auto"/>
          <w:sz w:val="22"/>
          <w:highlight w:val="none"/>
        </w:rPr>
        <w:t>五、公告期限 </w:t>
      </w:r>
      <w:bookmarkEnd w:id="10"/>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自本公告发布之日起5个工作日。</w:t>
      </w:r>
    </w:p>
    <w:p>
      <w:pPr>
        <w:tabs>
          <w:tab w:val="left" w:pos="360"/>
        </w:tabs>
        <w:spacing w:line="460" w:lineRule="exact"/>
        <w:ind w:firstLine="552" w:firstLineChars="250"/>
        <w:outlineLvl w:val="1"/>
        <w:rPr>
          <w:rFonts w:ascii="新宋体" w:hAnsi="新宋体" w:eastAsia="新宋体"/>
          <w:b/>
          <w:bCs/>
          <w:color w:val="auto"/>
          <w:sz w:val="22"/>
          <w:highlight w:val="none"/>
        </w:rPr>
      </w:pPr>
      <w:bookmarkStart w:id="11" w:name="_Toc5626"/>
      <w:r>
        <w:rPr>
          <w:rFonts w:hint="eastAsia" w:ascii="新宋体" w:hAnsi="新宋体" w:eastAsia="新宋体"/>
          <w:b/>
          <w:bCs/>
          <w:color w:val="auto"/>
          <w:sz w:val="22"/>
          <w:highlight w:val="none"/>
        </w:rPr>
        <w:t>六、其他补充事宜</w:t>
      </w:r>
      <w:bookmarkEnd w:id="11"/>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招标人提出质疑，对其他内容的以书面形式向招标人和采购代理机构提出质疑。质疑供应商对招标人、采购代理机构的答复不满意或者招标人、采购代理机构未在规定的时间内作出答复的，可以在答复期满后十五个工作日内向同级政府采购监督管理部门投诉。</w:t>
      </w:r>
      <w:r>
        <w:rPr>
          <w:rFonts w:hint="eastAsia" w:ascii="新宋体" w:hAnsi="新宋体" w:eastAsia="新宋体"/>
          <w:color w:val="auto"/>
          <w:sz w:val="22"/>
          <w:highlight w:val="none"/>
        </w:rPr>
        <w:br w:type="textWrapping"/>
      </w:r>
      <w:r>
        <w:rPr>
          <w:rFonts w:hint="eastAsia" w:ascii="新宋体" w:hAnsi="新宋体" w:eastAsia="新宋体"/>
          <w:color w:val="auto"/>
          <w:sz w:val="22"/>
          <w:highlight w:val="none"/>
        </w:rPr>
        <w:t xml:space="preserve">    2.提交方式：质疑函范本、投诉书范本请到浙江政府采购网下载专区下载。供应商可在政采云系统--项目采购--询问质疑投诉中在线提交质疑，如对质疑回复不满，可通过浙江政务服务网--政府采购投诉处理--在线办理向财政部门提起投诉（注意：需在线质疑后才可在线投诉），并电话告知相关招标人、代理机构、财政部门。</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 3、投标人应当在投标截止时间前，将生成的“电子加密投标文件”上传递交至“政府采购云平台”。投标截止时间以后上传递交的投标文件将被“政府采购云平台”拒收。 4、投标人在“政府采购云平台”完成“电子加密投标文件”的上传递交后，还可以在投标截止时间前递交以介质（U盘）存储的数据电文形式的“备份投标文件”，“备份投标文件”应当密封包装并在包装上标注投标项目名称、投标人名称并加盖公章。（可以（邮寄形式，建议顺丰）在投标截止时间前递交，并需采购代理机构确认是否收到） 5、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 　　　　</w:t>
      </w:r>
    </w:p>
    <w:p>
      <w:pPr>
        <w:tabs>
          <w:tab w:val="left" w:pos="360"/>
        </w:tabs>
        <w:spacing w:line="460" w:lineRule="exact"/>
        <w:ind w:firstLine="552" w:firstLineChars="250"/>
        <w:outlineLvl w:val="1"/>
        <w:rPr>
          <w:rFonts w:ascii="新宋体" w:hAnsi="新宋体" w:eastAsia="新宋体"/>
          <w:b/>
          <w:bCs/>
          <w:color w:val="auto"/>
          <w:sz w:val="22"/>
          <w:highlight w:val="none"/>
        </w:rPr>
      </w:pPr>
      <w:bookmarkStart w:id="12" w:name="_Toc15109"/>
      <w:r>
        <w:rPr>
          <w:rFonts w:hint="eastAsia" w:ascii="新宋体" w:hAnsi="新宋体" w:eastAsia="新宋体"/>
          <w:b/>
          <w:bCs/>
          <w:color w:val="auto"/>
          <w:sz w:val="22"/>
          <w:highlight w:val="none"/>
        </w:rPr>
        <w:t>七、对本次采购提出询问、质疑、投诉，请按以下方式联系</w:t>
      </w:r>
      <w:bookmarkEnd w:id="12"/>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 1、招标人信息</w:t>
      </w:r>
    </w:p>
    <w:p>
      <w:pPr>
        <w:tabs>
          <w:tab w:val="left" w:pos="360"/>
        </w:tabs>
        <w:spacing w:line="460" w:lineRule="exact"/>
        <w:ind w:firstLine="770" w:firstLineChars="350"/>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rPr>
        <w:t xml:space="preserve"> 名       称：</w:t>
      </w:r>
      <w:r>
        <w:rPr>
          <w:rFonts w:hint="eastAsia" w:ascii="新宋体" w:hAnsi="新宋体" w:eastAsia="新宋体"/>
          <w:color w:val="auto"/>
          <w:sz w:val="22"/>
          <w:highlight w:val="none"/>
          <w:lang w:eastAsia="zh-CN"/>
        </w:rPr>
        <w:t>温州市鹿城区园林绿化管理中心</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 地       址：杨府山公园北门道德馆旁</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 传       真：/</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 项目联系人（询问）：林凯</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 项目联系方式（询问）：0577-88832996</w:t>
      </w:r>
    </w:p>
    <w:p>
      <w:pPr>
        <w:tabs>
          <w:tab w:val="left" w:pos="360"/>
        </w:tabs>
        <w:spacing w:line="460" w:lineRule="exact"/>
        <w:ind w:firstLine="880" w:firstLineChars="40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2、采购代理机构信息 </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名    称：浙江恒杰工程管理有限公司</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地    址：温州市鹿城区黎明西路236号国际贸易中心29楼</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传    真：0577-88118617</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项目联系人（询问）：林磊</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项目联系方式（询问）：13868808710</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质疑联系人：林开敏</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质疑联系方式：18957717310</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 3、同级政府采购监督管理部门</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名    称：温州市鹿城区财政局</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地    址：温州市鹿城区江滨西路552号</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传    真：/</w:t>
      </w:r>
    </w:p>
    <w:p>
      <w:pPr>
        <w:tabs>
          <w:tab w:val="left" w:pos="360"/>
        </w:tabs>
        <w:spacing w:line="460" w:lineRule="exact"/>
        <w:ind w:firstLine="770" w:firstLineChars="350"/>
        <w:rPr>
          <w:rFonts w:hint="eastAsia" w:ascii="新宋体" w:hAnsi="新宋体" w:eastAsia="新宋体"/>
          <w:color w:val="auto"/>
          <w:sz w:val="22"/>
          <w:highlight w:val="none"/>
        </w:rPr>
      </w:pPr>
      <w:r>
        <w:rPr>
          <w:rFonts w:hint="eastAsia" w:ascii="新宋体" w:hAnsi="新宋体" w:eastAsia="新宋体"/>
          <w:color w:val="auto"/>
          <w:sz w:val="22"/>
          <w:highlight w:val="none"/>
        </w:rPr>
        <w:t>联系人 ：黄女士</w:t>
      </w:r>
    </w:p>
    <w:p>
      <w:pPr>
        <w:tabs>
          <w:tab w:val="left" w:pos="360"/>
        </w:tabs>
        <w:spacing w:line="46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olor w:val="auto"/>
          <w:sz w:val="22"/>
          <w:highlight w:val="none"/>
        </w:rPr>
        <w:t>监督投诉电话：0577-88359173</w:t>
      </w:r>
    </w:p>
    <w:p>
      <w:pPr>
        <w:tabs>
          <w:tab w:val="left" w:pos="360"/>
        </w:tabs>
        <w:spacing w:line="460" w:lineRule="exact"/>
        <w:ind w:firstLine="550" w:firstLineChars="250"/>
        <w:rPr>
          <w:rFonts w:ascii="新宋体" w:hAnsi="新宋体" w:eastAsia="新宋体"/>
          <w:color w:val="auto"/>
          <w:sz w:val="22"/>
          <w:highlight w:val="none"/>
        </w:rPr>
      </w:pPr>
    </w:p>
    <w:p>
      <w:pPr>
        <w:tabs>
          <w:tab w:val="left" w:pos="360"/>
        </w:tabs>
        <w:spacing w:line="460" w:lineRule="exact"/>
        <w:ind w:firstLine="550" w:firstLineChars="250"/>
        <w:rPr>
          <w:rFonts w:ascii="新宋体" w:hAnsi="新宋体" w:eastAsia="新宋体"/>
          <w:color w:val="auto"/>
          <w:sz w:val="22"/>
          <w:highlight w:val="none"/>
        </w:rPr>
      </w:pPr>
    </w:p>
    <w:p>
      <w:pPr>
        <w:tabs>
          <w:tab w:val="left" w:pos="360"/>
        </w:tabs>
        <w:spacing w:line="460" w:lineRule="exact"/>
        <w:ind w:firstLine="550" w:firstLineChars="250"/>
        <w:rPr>
          <w:rFonts w:ascii="新宋体" w:hAnsi="新宋体" w:eastAsia="新宋体"/>
          <w:color w:val="auto"/>
          <w:sz w:val="22"/>
          <w:highlight w:val="none"/>
        </w:rPr>
      </w:pPr>
    </w:p>
    <w:p>
      <w:pPr>
        <w:tabs>
          <w:tab w:val="left" w:pos="360"/>
        </w:tabs>
        <w:spacing w:line="460" w:lineRule="exact"/>
        <w:ind w:firstLine="550" w:firstLineChars="250"/>
        <w:rPr>
          <w:rFonts w:ascii="新宋体" w:hAnsi="新宋体" w:eastAsia="新宋体"/>
          <w:color w:val="auto"/>
          <w:sz w:val="22"/>
          <w:highlight w:val="none"/>
        </w:rPr>
      </w:pPr>
    </w:p>
    <w:p>
      <w:pPr>
        <w:pStyle w:val="10"/>
        <w:rPr>
          <w:color w:val="auto"/>
          <w:highlight w:val="none"/>
        </w:rPr>
      </w:pPr>
    </w:p>
    <w:p>
      <w:pPr>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spacing w:line="460" w:lineRule="exact"/>
        <w:ind w:left="433" w:leftChars="206" w:firstLine="0" w:firstLineChars="0"/>
        <w:jc w:val="center"/>
        <w:outlineLvl w:val="0"/>
        <w:rPr>
          <w:rFonts w:ascii="新宋体" w:hAnsi="新宋体" w:eastAsia="新宋体"/>
          <w:b/>
          <w:color w:val="auto"/>
          <w:sz w:val="30"/>
          <w:highlight w:val="none"/>
        </w:rPr>
      </w:pPr>
      <w:bookmarkStart w:id="13" w:name="_Toc14751"/>
      <w:r>
        <w:rPr>
          <w:rFonts w:hint="eastAsia" w:ascii="新宋体" w:hAnsi="新宋体" w:eastAsia="新宋体"/>
          <w:b/>
          <w:color w:val="auto"/>
          <w:sz w:val="30"/>
          <w:highlight w:val="none"/>
        </w:rPr>
        <w:br w:type="page"/>
      </w:r>
      <w:r>
        <w:rPr>
          <w:rFonts w:hint="eastAsia" w:ascii="新宋体" w:hAnsi="新宋体" w:eastAsia="新宋体"/>
          <w:b/>
          <w:color w:val="auto"/>
          <w:sz w:val="30"/>
          <w:highlight w:val="none"/>
        </w:rPr>
        <w:t>第一部分    投标人须知</w:t>
      </w:r>
      <w:bookmarkEnd w:id="13"/>
    </w:p>
    <w:p>
      <w:pPr>
        <w:keepNext/>
        <w:keepLines/>
        <w:shd w:val="clear" w:color="auto" w:fill="FFFFFF"/>
        <w:tabs>
          <w:tab w:val="left" w:pos="706"/>
        </w:tabs>
        <w:snapToGrid w:val="0"/>
        <w:spacing w:line="460" w:lineRule="exact"/>
        <w:jc w:val="center"/>
        <w:outlineLvl w:val="1"/>
        <w:rPr>
          <w:rFonts w:ascii="新宋体" w:hAnsi="新宋体" w:eastAsia="新宋体" w:cs="新宋体"/>
          <w:b/>
          <w:bCs/>
          <w:color w:val="auto"/>
          <w:sz w:val="22"/>
          <w:szCs w:val="22"/>
          <w:highlight w:val="none"/>
        </w:rPr>
      </w:pPr>
      <w:bookmarkStart w:id="14" w:name="_Toc33194387"/>
      <w:bookmarkStart w:id="15" w:name="_Toc21714"/>
      <w:bookmarkStart w:id="16" w:name="_Toc233618971"/>
      <w:bookmarkStart w:id="17" w:name="_Toc354996695"/>
      <w:r>
        <w:rPr>
          <w:rFonts w:hint="eastAsia" w:ascii="新宋体" w:hAnsi="新宋体" w:eastAsia="新宋体" w:cs="新宋体"/>
          <w:b/>
          <w:bCs/>
          <w:color w:val="auto"/>
          <w:sz w:val="22"/>
          <w:szCs w:val="22"/>
          <w:highlight w:val="none"/>
        </w:rPr>
        <w:t>投 标 须 知 前 附 表</w:t>
      </w:r>
      <w:bookmarkEnd w:id="14"/>
      <w:bookmarkEnd w:id="15"/>
      <w:bookmarkEnd w:id="16"/>
      <w:bookmarkEnd w:id="17"/>
    </w:p>
    <w:tbl>
      <w:tblPr>
        <w:tblStyle w:val="52"/>
        <w:tblW w:w="102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09"/>
        <w:gridCol w:w="9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788"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788" w:type="dxa"/>
            <w:tcBorders>
              <w:top w:val="single" w:color="000000" w:sz="2" w:space="0"/>
              <w:left w:val="single" w:color="000000" w:sz="2" w:space="0"/>
              <w:bottom w:val="single" w:color="000000" w:sz="2" w:space="0"/>
              <w:right w:val="single" w:color="000000" w:sz="8" w:space="0"/>
            </w:tcBorders>
          </w:tcPr>
          <w:p>
            <w:pPr>
              <w:tabs>
                <w:tab w:val="left" w:pos="360"/>
              </w:tabs>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一、项目名称：</w:t>
            </w:r>
            <w:r>
              <w:rPr>
                <w:rFonts w:hint="eastAsia" w:ascii="新宋体" w:hAnsi="新宋体" w:eastAsia="新宋体" w:cs="新宋体"/>
                <w:color w:val="auto"/>
                <w:sz w:val="22"/>
                <w:szCs w:val="22"/>
                <w:highlight w:val="none"/>
                <w:lang w:eastAsia="zh-CN"/>
              </w:rPr>
              <w:t>生态系统碳汇能力提升项目-智慧园林建设工程（一期）智能化项目</w:t>
            </w:r>
          </w:p>
          <w:p>
            <w:pPr>
              <w:pStyle w:val="48"/>
              <w:spacing w:before="0" w:beforeAutospacing="0" w:after="0" w:afterAutospacing="0"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二、采购内容</w:t>
            </w:r>
          </w:p>
          <w:p>
            <w:pPr>
              <w:pStyle w:val="48"/>
              <w:spacing w:before="0" w:beforeAutospacing="0" w:after="0" w:afterAutospacing="0" w:line="460" w:lineRule="exact"/>
              <w:ind w:firstLine="5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tbl>
            <w:tblPr>
              <w:tblStyle w:val="52"/>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710"/>
              <w:gridCol w:w="840"/>
              <w:gridCol w:w="900"/>
              <w:gridCol w:w="1968"/>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27"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预号</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1968"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val="en-US" w:eastAsia="zh-CN"/>
                    </w:rPr>
                    <w:t>万</w:t>
                  </w:r>
                  <w:r>
                    <w:rPr>
                      <w:rFonts w:hint="eastAsia" w:ascii="新宋体" w:hAnsi="新宋体" w:eastAsia="新宋体" w:cs="新宋体"/>
                      <w:color w:val="auto"/>
                      <w:sz w:val="22"/>
                      <w:szCs w:val="22"/>
                      <w:highlight w:val="none"/>
                    </w:rPr>
                    <w:t>元）</w:t>
                  </w:r>
                </w:p>
              </w:tc>
              <w:tc>
                <w:tcPr>
                  <w:tcW w:w="22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02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w:t>
                  </w:r>
                </w:p>
              </w:tc>
              <w:tc>
                <w:tcPr>
                  <w:tcW w:w="2710" w:type="dxa"/>
                  <w:tcBorders>
                    <w:top w:val="single" w:color="auto" w:sz="4" w:space="0"/>
                    <w:left w:val="single" w:color="auto" w:sz="4" w:space="0"/>
                    <w:right w:val="single" w:color="auto" w:sz="4" w:space="0"/>
                  </w:tcBorders>
                  <w:vAlign w:val="center"/>
                </w:tcPr>
                <w:p>
                  <w:pPr>
                    <w:widowControl/>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生态系统碳汇能力提升项目-智慧园林建设工程（一期）智能化项目</w:t>
                  </w:r>
                </w:p>
              </w:tc>
              <w:tc>
                <w:tcPr>
                  <w:tcW w:w="840" w:type="dxa"/>
                  <w:tcBorders>
                    <w:top w:val="single" w:color="auto" w:sz="4" w:space="0"/>
                    <w:left w:val="single" w:color="auto" w:sz="4" w:space="0"/>
                    <w:right w:val="single" w:color="auto" w:sz="4" w:space="0"/>
                  </w:tcBorders>
                  <w:vAlign w:val="center"/>
                </w:tcPr>
                <w:p>
                  <w:pPr>
                    <w:widowControl/>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900" w:type="dxa"/>
                  <w:tcBorders>
                    <w:top w:val="single" w:color="auto" w:sz="4" w:space="0"/>
                    <w:left w:val="single" w:color="auto" w:sz="4" w:space="0"/>
                    <w:right w:val="single" w:color="auto" w:sz="4" w:space="0"/>
                  </w:tcBorders>
                  <w:vAlign w:val="center"/>
                </w:tcPr>
                <w:p>
                  <w:pPr>
                    <w:widowControl/>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w:t>
                  </w:r>
                </w:p>
              </w:tc>
              <w:tc>
                <w:tcPr>
                  <w:tcW w:w="1968" w:type="dxa"/>
                  <w:tcBorders>
                    <w:top w:val="single" w:color="auto" w:sz="4" w:space="0"/>
                    <w:left w:val="single" w:color="auto" w:sz="4" w:space="0"/>
                  </w:tcBorders>
                  <w:vAlign w:val="center"/>
                </w:tcPr>
                <w:p>
                  <w:pPr>
                    <w:shd w:val="clear" w:color="auto" w:fill="FFFFFF"/>
                    <w:snapToGrid w:val="0"/>
                    <w:spacing w:line="440" w:lineRule="exact"/>
                    <w:jc w:val="center"/>
                    <w:rPr>
                      <w:rFonts w:hint="default" w:ascii="新宋体" w:hAnsi="新宋体" w:eastAsia="新宋体" w:cs="新宋体"/>
                      <w:color w:val="auto"/>
                      <w:sz w:val="22"/>
                      <w:szCs w:val="22"/>
                      <w:highlight w:val="none"/>
                      <w:lang w:val="en-US"/>
                    </w:rPr>
                  </w:pPr>
                  <w:r>
                    <w:rPr>
                      <w:rFonts w:hint="eastAsia" w:ascii="新宋体" w:hAnsi="新宋体" w:eastAsia="新宋体"/>
                      <w:color w:val="auto"/>
                      <w:sz w:val="22"/>
                      <w:highlight w:val="none"/>
                      <w:lang w:val="en-US" w:eastAsia="zh-CN"/>
                    </w:rPr>
                    <w:t xml:space="preserve">2310.7 </w:t>
                  </w:r>
                </w:p>
              </w:tc>
              <w:tc>
                <w:tcPr>
                  <w:tcW w:w="2208" w:type="dxa"/>
                  <w:tcBorders>
                    <w:top w:val="single" w:color="auto" w:sz="4" w:space="0"/>
                    <w:left w:val="single" w:color="auto" w:sz="4" w:space="0"/>
                  </w:tcBorders>
                  <w:vAlign w:val="center"/>
                </w:tcPr>
                <w:p>
                  <w:pPr>
                    <w:shd w:val="clear" w:color="auto" w:fill="FFFFFF"/>
                    <w:snapToGrid w:val="0"/>
                    <w:spacing w:line="44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详见招标文件第四部分“项目技术规范和服务要求”</w:t>
                  </w:r>
                </w:p>
              </w:tc>
            </w:tr>
          </w:tbl>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▲如投标人报价超过财政预算按无效标处理。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788"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788"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788"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招标代理服务费：</w:t>
            </w:r>
          </w:p>
          <w:p>
            <w:pPr>
              <w:pStyle w:val="34"/>
              <w:ind w:firstLine="470"/>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人民币</w:t>
            </w:r>
            <w:r>
              <w:rPr>
                <w:rFonts w:hint="eastAsia" w:ascii="新宋体" w:hAnsi="新宋体" w:eastAsia="新宋体" w:cs="新宋体"/>
                <w:b/>
                <w:bCs/>
                <w:color w:val="auto"/>
                <w:sz w:val="22"/>
                <w:szCs w:val="22"/>
                <w:highlight w:val="none"/>
                <w:lang w:val="en-US" w:eastAsia="zh-CN"/>
              </w:rPr>
              <w:t>叁</w:t>
            </w:r>
            <w:r>
              <w:rPr>
                <w:rFonts w:hint="eastAsia" w:ascii="新宋体" w:hAnsi="新宋体" w:eastAsia="新宋体" w:cs="新宋体"/>
                <w:b/>
                <w:bCs/>
                <w:color w:val="auto"/>
                <w:sz w:val="22"/>
                <w:szCs w:val="22"/>
                <w:highlight w:val="none"/>
              </w:rPr>
              <w:t>万</w:t>
            </w:r>
            <w:r>
              <w:rPr>
                <w:rFonts w:hint="eastAsia" w:ascii="新宋体" w:hAnsi="新宋体" w:eastAsia="新宋体" w:cs="新宋体"/>
                <w:b/>
                <w:bCs/>
                <w:color w:val="auto"/>
                <w:sz w:val="22"/>
                <w:szCs w:val="22"/>
                <w:highlight w:val="none"/>
                <w:lang w:val="en-US" w:eastAsia="zh-CN"/>
              </w:rPr>
              <w:t>肆仟</w:t>
            </w:r>
            <w:r>
              <w:rPr>
                <w:rFonts w:hint="eastAsia" w:ascii="新宋体" w:hAnsi="新宋体" w:eastAsia="新宋体" w:cs="新宋体"/>
                <w:b/>
                <w:bCs/>
                <w:color w:val="auto"/>
                <w:sz w:val="22"/>
                <w:szCs w:val="22"/>
                <w:highlight w:val="none"/>
              </w:rPr>
              <w:t>元整（¥</w:t>
            </w:r>
            <w:r>
              <w:rPr>
                <w:rFonts w:hint="eastAsia" w:ascii="新宋体" w:hAnsi="新宋体" w:eastAsia="新宋体" w:cs="新宋体"/>
                <w:b/>
                <w:bCs/>
                <w:color w:val="auto"/>
                <w:sz w:val="22"/>
                <w:szCs w:val="22"/>
                <w:highlight w:val="none"/>
                <w:lang w:val="en-US" w:eastAsia="zh-CN"/>
              </w:rPr>
              <w:t>34000</w:t>
            </w:r>
            <w:r>
              <w:rPr>
                <w:rFonts w:hint="eastAsia" w:ascii="新宋体" w:hAnsi="新宋体" w:eastAsia="新宋体" w:cs="新宋体"/>
                <w:b/>
                <w:bCs/>
                <w:color w:val="auto"/>
                <w:sz w:val="22"/>
                <w:szCs w:val="22"/>
                <w:highlight w:val="none"/>
              </w:rPr>
              <w:t>.00元）,由中标人在领取中标通知书时支付。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788"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投标文件的组成：</w:t>
            </w:r>
            <w:r>
              <w:rPr>
                <w:rFonts w:hint="eastAsia" w:ascii="新宋体" w:hAnsi="新宋体" w:eastAsia="新宋体" w:cs="新宋体"/>
                <w:color w:val="auto"/>
                <w:sz w:val="22"/>
                <w:szCs w:val="22"/>
                <w:highlight w:val="none"/>
                <w:lang w:bidi="ar"/>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788"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投标文件的编制：</w:t>
            </w:r>
            <w:r>
              <w:rPr>
                <w:rFonts w:hint="eastAsia" w:ascii="新宋体" w:hAnsi="新宋体" w:eastAsia="新宋体" w:cs="新宋体"/>
                <w:color w:val="auto"/>
                <w:sz w:val="22"/>
                <w:szCs w:val="22"/>
                <w:highlight w:val="none"/>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788"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投标文件的签章：</w:t>
            </w:r>
            <w:r>
              <w:rPr>
                <w:rFonts w:hint="eastAsia" w:ascii="新宋体" w:hAnsi="新宋体" w:eastAsia="新宋体" w:cs="新宋体"/>
                <w:color w:val="auto"/>
                <w:sz w:val="22"/>
                <w:szCs w:val="22"/>
                <w:highlight w:val="none"/>
                <w:lang w:bidi="ar"/>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788"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投标文件的形式：</w:t>
            </w:r>
            <w:r>
              <w:rPr>
                <w:rFonts w:hint="eastAsia" w:ascii="新宋体" w:hAnsi="新宋体" w:eastAsia="新宋体" w:cs="新宋体"/>
                <w:color w:val="auto"/>
                <w:sz w:val="22"/>
                <w:szCs w:val="22"/>
                <w:highlight w:val="none"/>
                <w:lang w:bidi="ar"/>
              </w:rPr>
              <w:t>☑电子投标文件（包括“电子加密投标文件”和“备份投标文件”，在投标文件编制完成后同时生成）；</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（1）“电子加密投标文件”是指通过“政采云电子交易客户端”完成投标文件编制后生成并加密的数据电文形式的投标文件。</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9788"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投标文件份数：</w:t>
            </w:r>
          </w:p>
          <w:p>
            <w:pPr>
              <w:numPr>
                <w:ilvl w:val="0"/>
                <w:numId w:val="2"/>
              </w:num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“电子加密投标文件”：在线上传递交、一份。</w:t>
            </w:r>
          </w:p>
          <w:p>
            <w:pPr>
              <w:numPr>
                <w:ilvl w:val="0"/>
                <w:numId w:val="2"/>
              </w:num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“备份投标文件”：密封包装后投标截止时间前递交、一份</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bidi="ar"/>
              </w:rPr>
              <w:t>（若不提供备份文件，电子加密投标文件解密失败，投标供应商自行负责。）</w:t>
            </w:r>
          </w:p>
          <w:p>
            <w:pPr>
              <w:tabs>
                <w:tab w:val="left" w:pos="360"/>
              </w:tabs>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r>
              <w:rPr>
                <w:rFonts w:hint="eastAsia" w:ascii="新宋体" w:hAnsi="新宋体" w:eastAsia="新宋体" w:cs="新宋体"/>
                <w:color w:val="auto"/>
                <w:sz w:val="22"/>
                <w:szCs w:val="22"/>
                <w:highlight w:val="none"/>
                <w:lang w:bidi="ar"/>
              </w:rPr>
              <w:t>邮寄地址：</w:t>
            </w:r>
            <w:r>
              <w:rPr>
                <w:rFonts w:hint="eastAsia" w:ascii="新宋体" w:hAnsi="新宋体" w:eastAsia="新宋体" w:cs="新宋体"/>
                <w:color w:val="auto"/>
                <w:sz w:val="22"/>
                <w:szCs w:val="22"/>
                <w:highlight w:val="none"/>
              </w:rPr>
              <w:t>温州市鹿城区黎明西路236号国际贸易中心29楼</w:t>
            </w:r>
            <w:r>
              <w:rPr>
                <w:rFonts w:hint="eastAsia" w:ascii="新宋体" w:hAnsi="新宋体" w:eastAsia="新宋体" w:cs="新宋体"/>
                <w:color w:val="auto"/>
                <w:sz w:val="22"/>
                <w:szCs w:val="22"/>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788"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投标文件的上传和递交：</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（1）“电子加密投标文件”的上传、递交：</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a.投标供应商应在投标截止时间前将“电子加密投标文件”成功上传递交至“政府采购云平台”，否则投标无效。</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b.“电子加密投标文件”成功上传递交后，供应商可自行打印投标文件接收回执。</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（2）“备份投标文件”的密封包装、递交：</w:t>
            </w:r>
          </w:p>
          <w:p>
            <w:pPr>
              <w:tabs>
                <w:tab w:val="left" w:pos="36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bidi="ar"/>
              </w:rPr>
              <w:t>a.投标供应商在“政府采购云平台”完成“电子加密投标文件”的上传递交后，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w:t>
            </w:r>
            <w:r>
              <w:rPr>
                <w:rFonts w:hint="eastAsia" w:ascii="新宋体" w:hAnsi="新宋体" w:eastAsia="新宋体" w:cs="新宋体"/>
                <w:b/>
                <w:color w:val="auto"/>
                <w:sz w:val="22"/>
                <w:szCs w:val="22"/>
                <w:highlight w:val="none"/>
                <w:u w:val="single"/>
              </w:rPr>
              <w:t>邮寄形式：建议顺丰</w:t>
            </w:r>
            <w:r>
              <w:rPr>
                <w:rFonts w:hint="eastAsia" w:ascii="新宋体" w:hAnsi="新宋体" w:eastAsia="新宋体" w:cs="新宋体"/>
                <w:b/>
                <w:bCs/>
                <w:color w:val="auto"/>
                <w:sz w:val="22"/>
                <w:szCs w:val="22"/>
                <w:highlight w:val="none"/>
              </w:rPr>
              <w:t>）在投标截止时间前递交，并需采购代理机构确认是否收到）</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b.“备份投标文件”应当密封包装，并在包装上标注投标项目名称、投标单位名称并加盖公章。没有密封包装或者逾期（邮寄）送达至投标地点的“备份投标文件”将不予接收；</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788"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电子加密投标文件的解密和异常情况处理：</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（1）开标后，采购组织机构将向各投标供应商发出“电子加密投标文件”的解密通知，各投标供应商代表应当在接到解密通知后在系统 规定的时间内自行完成“电子加密投标文件”的在线解密。</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w:t>
            </w:r>
          </w:p>
        </w:tc>
        <w:tc>
          <w:tcPr>
            <w:tcW w:w="9788"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投标截止时间：</w:t>
            </w:r>
            <w:r>
              <w:rPr>
                <w:rFonts w:hint="eastAsia" w:ascii="新宋体" w:hAnsi="新宋体" w:eastAsia="新宋体"/>
                <w:color w:val="auto"/>
                <w:sz w:val="22"/>
                <w:highlight w:val="none"/>
              </w:rPr>
              <w:t>2022年</w:t>
            </w:r>
            <w:r>
              <w:rPr>
                <w:rFonts w:hint="eastAsia" w:ascii="新宋体" w:hAnsi="新宋体" w:eastAsia="新宋体"/>
                <w:color w:val="auto"/>
                <w:sz w:val="22"/>
                <w:highlight w:val="none"/>
                <w:lang w:val="en-US" w:eastAsia="zh-CN"/>
              </w:rPr>
              <w:t>6</w:t>
            </w:r>
            <w:r>
              <w:rPr>
                <w:rFonts w:hint="eastAsia" w:ascii="新宋体" w:hAnsi="新宋体" w:eastAsia="新宋体"/>
                <w:color w:val="auto"/>
                <w:sz w:val="22"/>
                <w:highlight w:val="none"/>
              </w:rPr>
              <w:t>月</w:t>
            </w:r>
            <w:r>
              <w:rPr>
                <w:rFonts w:hint="eastAsia" w:ascii="新宋体" w:hAnsi="新宋体" w:eastAsia="新宋体"/>
                <w:color w:val="auto"/>
                <w:sz w:val="22"/>
                <w:highlight w:val="none"/>
                <w:lang w:val="en-US" w:eastAsia="zh-CN"/>
              </w:rPr>
              <w:t>27</w:t>
            </w:r>
            <w:r>
              <w:rPr>
                <w:rFonts w:hint="eastAsia" w:ascii="新宋体" w:hAnsi="新宋体" w:eastAsia="新宋体"/>
                <w:color w:val="auto"/>
                <w:sz w:val="22"/>
                <w:highlight w:val="none"/>
              </w:rPr>
              <w:t>日 09:30</w:t>
            </w:r>
            <w:r>
              <w:rPr>
                <w:rFonts w:hint="eastAsia" w:ascii="新宋体" w:hAnsi="新宋体" w:eastAsia="新宋体" w:cs="新宋体"/>
                <w:color w:val="auto"/>
                <w:sz w:val="22"/>
                <w:szCs w:val="22"/>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w:t>
            </w:r>
          </w:p>
        </w:tc>
        <w:tc>
          <w:tcPr>
            <w:tcW w:w="9788"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投标地点：</w:t>
            </w:r>
            <w:r>
              <w:rPr>
                <w:rFonts w:hint="eastAsia" w:ascii="新宋体" w:hAnsi="新宋体" w:eastAsia="新宋体" w:cs="新宋体"/>
                <w:b/>
                <w:color w:val="auto"/>
                <w:kern w:val="10"/>
                <w:sz w:val="22"/>
                <w:szCs w:val="22"/>
                <w:highlight w:val="none"/>
                <w:lang w:eastAsia="zh-CN"/>
              </w:rPr>
              <w:t>温州市公共资源交易中心鹿城分中心三楼开标区（本项目采用在线投标方式，投标供应商无须前往开标现场）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w:t>
            </w:r>
          </w:p>
        </w:tc>
        <w:tc>
          <w:tcPr>
            <w:tcW w:w="9788"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开标时间和地点：</w:t>
            </w:r>
            <w:r>
              <w:rPr>
                <w:rFonts w:hint="eastAsia" w:ascii="新宋体" w:hAnsi="新宋体" w:eastAsia="新宋体" w:cs="新宋体"/>
                <w:color w:val="auto"/>
                <w:sz w:val="22"/>
                <w:szCs w:val="22"/>
                <w:highlight w:val="none"/>
                <w:lang w:bidi="ar"/>
              </w:rPr>
              <w:t>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w:t>
            </w:r>
          </w:p>
        </w:tc>
        <w:tc>
          <w:tcPr>
            <w:tcW w:w="9788" w:type="dxa"/>
            <w:tcBorders>
              <w:top w:val="single" w:color="auto" w:sz="4" w:space="0"/>
              <w:left w:val="single" w:color="000000" w:sz="2" w:space="0"/>
              <w:bottom w:val="single" w:color="auto" w:sz="4" w:space="0"/>
              <w:right w:val="single" w:color="000000" w:sz="8" w:space="0"/>
            </w:tcBorders>
            <w:vAlign w:val="center"/>
          </w:tcPr>
          <w:p>
            <w:pPr>
              <w:pStyle w:val="63"/>
              <w:spacing w:line="460" w:lineRule="exact"/>
              <w:rPr>
                <w:rFonts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rPr>
              <w:t>“▲”为实质性响应项，不满足则投标无效。“★”是关键技术参数及要求。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460" w:lineRule="exact"/>
              <w:jc w:val="center"/>
              <w:textAlignment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bidi="ar"/>
              </w:rPr>
              <w:t>16</w:t>
            </w:r>
          </w:p>
        </w:tc>
        <w:tc>
          <w:tcPr>
            <w:tcW w:w="9788" w:type="dxa"/>
            <w:tcBorders>
              <w:top w:val="single" w:color="auto" w:sz="4" w:space="0"/>
              <w:left w:val="single" w:color="000000" w:sz="2" w:space="0"/>
              <w:bottom w:val="single" w:color="auto" w:sz="4" w:space="0"/>
              <w:right w:val="single" w:color="000000" w:sz="8" w:space="0"/>
            </w:tcBorders>
            <w:vAlign w:val="center"/>
          </w:tcPr>
          <w:p>
            <w:pPr>
              <w:widowControl/>
              <w:snapToGrid w:val="0"/>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bidi="ar"/>
              </w:rPr>
              <w:t>17</w:t>
            </w:r>
          </w:p>
        </w:tc>
        <w:tc>
          <w:tcPr>
            <w:tcW w:w="9788"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bidi="ar"/>
              </w:rPr>
              <w:t>18</w:t>
            </w:r>
          </w:p>
        </w:tc>
        <w:tc>
          <w:tcPr>
            <w:tcW w:w="9788"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lang w:val="en-US" w:eastAsia="zh-CN"/>
              </w:rPr>
              <w:t>23107000</w:t>
            </w:r>
            <w:r>
              <w:rPr>
                <w:rFonts w:hint="eastAsia" w:ascii="新宋体" w:hAnsi="新宋体" w:eastAsia="新宋体" w:cs="新宋体"/>
                <w:color w:val="auto"/>
                <w:kern w:val="0"/>
                <w:sz w:val="22"/>
                <w:szCs w:val="22"/>
                <w:highlight w:val="none"/>
              </w:rPr>
              <w:t>元</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xml:space="preserve"> ①货物类 </w:t>
            </w:r>
            <w:r>
              <w:rPr>
                <w:rFonts w:hint="eastAsia" w:ascii="新宋体" w:hAnsi="新宋体" w:eastAsia="新宋体" w:cs="新宋体"/>
                <w:color w:val="auto"/>
                <w:kern w:val="0"/>
                <w:sz w:val="22"/>
                <w:szCs w:val="22"/>
                <w:highlight w:val="none"/>
              </w:rPr>
              <w:t>（①货物类/②服务类/③工程类）</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lang w:val="en-US" w:eastAsia="zh-CN"/>
              </w:rPr>
              <w:t>工业</w:t>
            </w:r>
            <w:r>
              <w:rPr>
                <w:rFonts w:hint="eastAsia" w:ascii="新宋体" w:hAnsi="新宋体" w:eastAsia="新宋体" w:cs="新宋体"/>
                <w:color w:val="auto"/>
                <w:kern w:val="0"/>
                <w:sz w:val="22"/>
                <w:szCs w:val="22"/>
                <w:highlight w:val="none"/>
              </w:rPr>
              <w:t>（具体根据《中小企业划型标准规定》执行）（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（4）本项目 </w:t>
            </w:r>
            <w:r>
              <w:rPr>
                <w:rFonts w:hint="eastAsia" w:ascii="新宋体" w:hAnsi="新宋体" w:eastAsia="新宋体" w:cs="新宋体"/>
                <w:color w:val="auto"/>
                <w:kern w:val="0"/>
                <w:sz w:val="22"/>
                <w:szCs w:val="22"/>
                <w:highlight w:val="none"/>
                <w:u w:val="single"/>
              </w:rPr>
              <w:t>否</w:t>
            </w:r>
            <w:r>
              <w:rPr>
                <w:rFonts w:hint="eastAsia" w:ascii="新宋体" w:hAnsi="新宋体" w:eastAsia="新宋体" w:cs="新宋体"/>
                <w:color w:val="auto"/>
                <w:kern w:val="0"/>
                <w:sz w:val="22"/>
                <w:szCs w:val="22"/>
                <w:highlight w:val="none"/>
              </w:rPr>
              <w:t>（是/否）属于预留份额专门面向中小企业采购的项目。</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（5）上述第4项中确定为“是”的采购项目，预留份额通过（①②③）措施进行：</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①将采购项目整体或者设置采购包专门面向中小企业采购； </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 xml:space="preserve">(比例)； </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(比例)分包给一家或者多家中小企业。</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（6）对于经主管预算单位统筹后未预留份额专门面向中小企业采购的采购项目，以及预留份额项目中的非预留部分采购包，对小微企业报价给予</w:t>
            </w:r>
            <w:r>
              <w:rPr>
                <w:rFonts w:hint="eastAsia" w:ascii="新宋体" w:hAnsi="新宋体" w:eastAsia="新宋体" w:cs="新宋体"/>
                <w:color w:val="auto"/>
                <w:kern w:val="0"/>
                <w:sz w:val="22"/>
                <w:szCs w:val="22"/>
                <w:highlight w:val="none"/>
                <w:u w:val="single"/>
              </w:rPr>
              <w:t xml:space="preserve">  10%   </w:t>
            </w:r>
            <w:r>
              <w:rPr>
                <w:rFonts w:hint="eastAsia" w:ascii="新宋体" w:hAnsi="新宋体" w:eastAsia="新宋体" w:cs="新宋体"/>
                <w:color w:val="auto"/>
                <w:kern w:val="0"/>
                <w:sz w:val="22"/>
                <w:szCs w:val="22"/>
                <w:highlight w:val="none"/>
              </w:rPr>
              <w:t xml:space="preserve">（6%—10%）（工程项目为 3%—5%）的扣除，用扣除后的价格参加评审。 </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（2%-3%）（工程项目为 1%—2%）的扣除，用扣除后的价格参加评审。</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磋商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pPr>
              <w:widowControl/>
              <w:snapToGrid w:val="0"/>
              <w:spacing w:line="460" w:lineRule="exact"/>
              <w:ind w:firstLine="440" w:firstLineChars="200"/>
              <w:jc w:val="left"/>
              <w:rPr>
                <w:rFonts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磋商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bidi="ar"/>
              </w:rPr>
              <w:t>19</w:t>
            </w:r>
          </w:p>
        </w:tc>
        <w:tc>
          <w:tcPr>
            <w:tcW w:w="9788"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2）截止时点：提交投标文件（响应文件）截止时间前3年内；</w:t>
            </w:r>
          </w:p>
          <w:p>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3）查询记录和证据的留存：信用信息查询记录和证据以网页截图等方式留存。</w:t>
            </w:r>
          </w:p>
          <w:p>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5）联合体成员任意一方存在不良信用记录的，视同联合体存在不良信用记录。</w:t>
            </w:r>
          </w:p>
        </w:tc>
      </w:tr>
    </w:tbl>
    <w:p>
      <w:pPr>
        <w:spacing w:before="100" w:beforeAutospacing="1" w:after="100" w:afterAutospacing="1" w:line="460" w:lineRule="exact"/>
        <w:jc w:val="center"/>
        <w:outlineLvl w:val="1"/>
        <w:rPr>
          <w:rFonts w:ascii="新宋体" w:hAnsi="新宋体" w:eastAsia="新宋体" w:cs="新宋体"/>
          <w:color w:val="auto"/>
          <w:sz w:val="22"/>
          <w:szCs w:val="22"/>
          <w:highlight w:val="none"/>
        </w:rPr>
      </w:pPr>
      <w:bookmarkStart w:id="18" w:name="_Toc23975"/>
      <w:r>
        <w:rPr>
          <w:rFonts w:hint="eastAsia" w:ascii="新宋体" w:hAnsi="新宋体" w:eastAsia="新宋体" w:cs="新宋体"/>
          <w:b/>
          <w:bCs/>
          <w:color w:val="auto"/>
          <w:sz w:val="26"/>
          <w:szCs w:val="26"/>
          <w:highlight w:val="none"/>
        </w:rPr>
        <w:t>一、 说   明</w:t>
      </w:r>
      <w:bookmarkEnd w:id="18"/>
    </w:p>
    <w:p>
      <w:pPr>
        <w:tabs>
          <w:tab w:val="left" w:pos="360"/>
        </w:tabs>
        <w:spacing w:line="460" w:lineRule="exact"/>
        <w:ind w:firstLine="550" w:firstLineChars="25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highlight w:val="none"/>
        </w:rPr>
        <w:t>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招标人：是指依法进行政府采购的国家机关、事业单位、团体组织</w:t>
      </w:r>
    </w:p>
    <w:p>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投标人：是指参加本政府采购项目投标的供应商；</w:t>
      </w:r>
    </w:p>
    <w:p>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甲方：是指合同签订的一方，一般与招标人、用户相同；</w:t>
      </w:r>
    </w:p>
    <w:p>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乙方：是指合同签订的另一方，与中标人相同；</w:t>
      </w:r>
    </w:p>
    <w:p>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制造商：是指拥有投标产品自主知识产权的单位；</w:t>
      </w:r>
    </w:p>
    <w:p>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原件备查：要求携带原件备查的，供应商应按要求携带备查，如评标委员会发现投标文件资料复印件存有瑕疵，致使内容模糊、关键信息难以辨认、材料真实性存疑等情形的，有权核对原件或评标委</w:t>
      </w:r>
      <w:r>
        <w:rPr>
          <w:rFonts w:hint="eastAsia" w:ascii="新宋体" w:hAnsi="新宋体" w:eastAsia="新宋体" w:cs="新宋体"/>
          <w:color w:val="auto"/>
          <w:sz w:val="22"/>
          <w:szCs w:val="22"/>
          <w:highlight w:val="none"/>
        </w:rPr>
        <w:t>员会认为有必有核对原件，若供应商未能提交原件，将会导致评标委员会作出对其不利的评定，一切后果由供应商自行承担。</w:t>
      </w:r>
    </w:p>
    <w:p>
      <w:pPr>
        <w:pStyle w:val="63"/>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“▲”为实质性响应项，不满足则投标无效。“★”是关键技术参数及要求。</w:t>
      </w:r>
    </w:p>
    <w:p>
      <w:pPr>
        <w:tabs>
          <w:tab w:val="left" w:pos="360"/>
        </w:tabs>
        <w:spacing w:line="460" w:lineRule="exact"/>
        <w:ind w:firstLine="541" w:firstLineChars="245"/>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pPr>
        <w:tabs>
          <w:tab w:val="left" w:pos="360"/>
        </w:tabs>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pPr>
        <w:spacing w:line="460" w:lineRule="exact"/>
        <w:ind w:firstLine="541" w:firstLineChars="245"/>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ascii="新宋体" w:hAnsi="新宋体" w:eastAsia="新宋体"/>
          <w:b/>
          <w:bCs/>
          <w:color w:val="auto"/>
          <w:sz w:val="26"/>
          <w:szCs w:val="26"/>
          <w:highlight w:val="none"/>
        </w:rPr>
      </w:pPr>
      <w:bookmarkStart w:id="19" w:name="_Toc5521"/>
      <w:r>
        <w:rPr>
          <w:rFonts w:hint="eastAsia" w:ascii="新宋体" w:hAnsi="新宋体" w:eastAsia="新宋体"/>
          <w:b/>
          <w:bCs/>
          <w:color w:val="auto"/>
          <w:sz w:val="26"/>
          <w:szCs w:val="26"/>
          <w:highlight w:val="none"/>
        </w:rPr>
        <w:t>二、 招标文件</w:t>
      </w:r>
      <w:bookmarkEnd w:id="19"/>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1、招标文件由招标文件目录所列内容及相关资料组成。</w:t>
      </w:r>
    </w:p>
    <w:p>
      <w:pPr>
        <w:tabs>
          <w:tab w:val="left" w:pos="360"/>
        </w:tabs>
        <w:spacing w:line="460" w:lineRule="exact"/>
        <w:ind w:firstLine="552" w:firstLineChars="250"/>
        <w:rPr>
          <w:rFonts w:ascii="新宋体" w:hAnsi="新宋体" w:eastAsia="新宋体"/>
          <w:b/>
          <w:color w:val="auto"/>
          <w:sz w:val="22"/>
          <w:highlight w:val="none"/>
        </w:rPr>
      </w:pPr>
      <w:r>
        <w:rPr>
          <w:rFonts w:hint="eastAsia" w:ascii="新宋体" w:hAnsi="新宋体" w:eastAsia="新宋体"/>
          <w:b/>
          <w:color w:val="auto"/>
          <w:sz w:val="22"/>
          <w:highlight w:val="none"/>
        </w:rPr>
        <w:t>2、招标文件的澄清</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ascii="新宋体" w:hAnsi="新宋体" w:eastAsia="新宋体"/>
          <w:b/>
          <w:color w:val="auto"/>
          <w:sz w:val="22"/>
          <w:highlight w:val="none"/>
        </w:rPr>
      </w:pPr>
      <w:r>
        <w:rPr>
          <w:rFonts w:hint="eastAsia" w:ascii="新宋体" w:hAnsi="新宋体" w:eastAsia="新宋体"/>
          <w:b/>
          <w:color w:val="auto"/>
          <w:sz w:val="22"/>
          <w:highlight w:val="none"/>
        </w:rPr>
        <w:t>3、招标文件的修改</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ascii="新宋体" w:hAnsi="新宋体" w:eastAsia="新宋体"/>
          <w:b/>
          <w:color w:val="auto"/>
          <w:sz w:val="22"/>
          <w:szCs w:val="22"/>
          <w:highlight w:val="none"/>
        </w:rPr>
      </w:pPr>
      <w:r>
        <w:rPr>
          <w:rFonts w:hint="eastAsia" w:ascii="新宋体" w:hAnsi="新宋体" w:eastAsia="新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新宋体" w:hAnsi="新宋体" w:eastAsia="新宋体"/>
          <w:color w:val="auto"/>
          <w:sz w:val="22"/>
          <w:szCs w:val="22"/>
          <w:highlight w:val="none"/>
        </w:rPr>
        <w:t>。</w:t>
      </w:r>
    </w:p>
    <w:p>
      <w:pPr>
        <w:spacing w:before="100" w:beforeAutospacing="1" w:after="100" w:afterAutospacing="1" w:line="460" w:lineRule="exact"/>
        <w:jc w:val="center"/>
        <w:outlineLvl w:val="1"/>
        <w:rPr>
          <w:rFonts w:ascii="新宋体" w:hAnsi="新宋体" w:eastAsia="新宋体" w:cs="新宋体"/>
          <w:b/>
          <w:bCs/>
          <w:color w:val="auto"/>
          <w:sz w:val="26"/>
          <w:szCs w:val="26"/>
          <w:highlight w:val="none"/>
        </w:rPr>
      </w:pPr>
      <w:bookmarkStart w:id="20" w:name="_Toc4484"/>
      <w:r>
        <w:rPr>
          <w:rFonts w:hint="eastAsia" w:ascii="新宋体" w:hAnsi="新宋体" w:eastAsia="新宋体"/>
          <w:b/>
          <w:bCs/>
          <w:color w:val="auto"/>
          <w:sz w:val="26"/>
          <w:szCs w:val="26"/>
          <w:highlight w:val="none"/>
        </w:rPr>
        <w:t>三、 投标文件的编制</w:t>
      </w:r>
      <w:bookmarkEnd w:id="20"/>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1、投标人应认真阅读招标文件中所有事项、格式、条款和技术规范等。</w:t>
      </w:r>
      <w:r>
        <w:rPr>
          <w:rFonts w:hint="eastAsia" w:ascii="新宋体" w:hAnsi="新宋体" w:eastAsia="新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3、</w:t>
      </w:r>
      <w:r>
        <w:rPr>
          <w:rFonts w:hint="eastAsia" w:ascii="新宋体" w:hAnsi="新宋体" w:eastAsia="新宋体"/>
          <w:b/>
          <w:bCs/>
          <w:color w:val="auto"/>
          <w:sz w:val="22"/>
          <w:szCs w:val="22"/>
          <w:highlight w:val="none"/>
        </w:rPr>
        <w:t>投标文件的构成：</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pPr>
        <w:spacing w:line="460" w:lineRule="exact"/>
        <w:ind w:firstLine="541" w:firstLineChars="245"/>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pPr>
        <w:spacing w:line="460" w:lineRule="exact"/>
        <w:ind w:firstLine="539" w:firstLineChars="245"/>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包括：</w:t>
      </w:r>
    </w:p>
    <w:p>
      <w:pPr>
        <w:snapToGrid w:val="0"/>
        <w:spacing w:line="460" w:lineRule="exact"/>
        <w:ind w:left="105" w:leftChars="50"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（1）</w:t>
      </w:r>
      <w:r>
        <w:rPr>
          <w:rFonts w:hint="eastAsia" w:ascii="新宋体" w:hAnsi="新宋体" w:eastAsia="新宋体" w:cs="新宋体"/>
          <w:bCs/>
          <w:color w:val="auto"/>
          <w:sz w:val="22"/>
          <w:szCs w:val="22"/>
          <w:highlight w:val="none"/>
          <w:u w:val="single"/>
        </w:rPr>
        <w:t>营业执照</w:t>
      </w:r>
      <w:r>
        <w:rPr>
          <w:rFonts w:hint="eastAsia" w:ascii="新宋体" w:hAnsi="新宋体" w:eastAsia="新宋体" w:cs="新宋体"/>
          <w:color w:val="auto"/>
          <w:sz w:val="22"/>
          <w:szCs w:val="22"/>
          <w:highlight w:val="none"/>
          <w:u w:val="singl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（2）最近一年财务报表(复印件，新成立的公司提供情况说明)；</w:t>
      </w:r>
    </w:p>
    <w:p>
      <w:pPr>
        <w:snapToGrid w:val="0"/>
        <w:spacing w:line="460" w:lineRule="exact"/>
        <w:ind w:left="105" w:leftChars="50"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（3）具有履行合同所必需的场地、设备和专业技术能力的承诺函；</w:t>
      </w:r>
    </w:p>
    <w:p>
      <w:pPr>
        <w:snapToGrid w:val="0"/>
        <w:spacing w:line="460" w:lineRule="exact"/>
        <w:ind w:left="105" w:leftChars="50"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（4）依法缴纳税收和社会保障资金的承诺函；</w:t>
      </w:r>
    </w:p>
    <w:p>
      <w:pPr>
        <w:snapToGrid w:val="0"/>
        <w:spacing w:line="460" w:lineRule="exact"/>
        <w:ind w:left="105" w:leftChars="50"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（5）参加政府采购活动前3年内在经营活动中没有重大违法记录的声明函；</w:t>
      </w:r>
    </w:p>
    <w:p>
      <w:pPr>
        <w:snapToGrid w:val="0"/>
        <w:spacing w:line="460" w:lineRule="exact"/>
        <w:ind w:left="105" w:leftChars="50"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（7）供应商不属于公益一类事业单位承诺函。</w:t>
      </w:r>
    </w:p>
    <w:p>
      <w:pPr>
        <w:snapToGrid w:val="0"/>
        <w:spacing w:line="460" w:lineRule="exact"/>
        <w:ind w:left="105" w:leftChars="50"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（8）未被“信用中国”（www.creditchina.gov.cn）、中国政府采购网（www.ccgp.gov.cn）列入失信被执行人、重大税收违法案件当事人名单、政府采购严重违法失信行为记录名单.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信用信息查询记录和证据以项目公告发出日期后的网页截图为准；</w:t>
      </w:r>
    </w:p>
    <w:p>
      <w:pPr>
        <w:snapToGrid w:val="0"/>
        <w:spacing w:line="460" w:lineRule="exact"/>
        <w:ind w:left="525" w:leftChars="25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pPr>
        <w:snapToGrid w:val="0"/>
        <w:spacing w:line="460" w:lineRule="exact"/>
        <w:ind w:left="105" w:leftChars="50" w:firstLine="442" w:firstLineChars="200"/>
        <w:rPr>
          <w:rFonts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（1）投标响应函</w:t>
      </w:r>
    </w:p>
    <w:p>
      <w:pPr>
        <w:snapToGrid w:val="0"/>
        <w:spacing w:line="460" w:lineRule="exact"/>
        <w:ind w:left="105" w:leftChars="50"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（2）投标报价一览表</w:t>
      </w:r>
    </w:p>
    <w:p>
      <w:pPr>
        <w:snapToGrid w:val="0"/>
        <w:spacing w:line="460" w:lineRule="exact"/>
        <w:ind w:left="105" w:leftChars="50"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（3）投标分项报价表</w:t>
      </w:r>
    </w:p>
    <w:p>
      <w:pPr>
        <w:snapToGrid w:val="0"/>
        <w:spacing w:line="460" w:lineRule="exact"/>
        <w:ind w:left="105" w:leftChars="50"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（4）中小企业声明函、监狱企业、残疾人福利性单位及其他相关的充分的证明材料。（如有）</w:t>
      </w:r>
      <w:r>
        <w:rPr>
          <w:rFonts w:hint="eastAsia" w:ascii="新宋体" w:hAnsi="新宋体" w:eastAsia="新宋体" w:cs="新宋体"/>
          <w:color w:val="auto"/>
          <w:sz w:val="22"/>
          <w:szCs w:val="22"/>
          <w:highlight w:val="none"/>
        </w:rPr>
        <w:t xml:space="preserve"> </w:t>
      </w:r>
    </w:p>
    <w:p>
      <w:pPr>
        <w:snapToGrid w:val="0"/>
        <w:spacing w:line="460" w:lineRule="exact"/>
        <w:ind w:firstLine="442"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r>
        <w:rPr>
          <w:rFonts w:hint="eastAsia" w:ascii="新宋体" w:hAnsi="新宋体" w:eastAsia="新宋体" w:cs="新宋体"/>
          <w:color w:val="auto"/>
          <w:kern w:val="0"/>
          <w:sz w:val="22"/>
          <w:szCs w:val="22"/>
          <w:highlight w:val="none"/>
          <w:lang w:val="zh-CN"/>
        </w:rPr>
        <w:t xml:space="preserve"> </w:t>
      </w:r>
    </w:p>
    <w:p>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（2）投标人情况表</w:t>
      </w:r>
    </w:p>
    <w:p>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（4）需要提供的资料</w:t>
      </w:r>
    </w:p>
    <w:p>
      <w:pPr>
        <w:snapToGrid w:val="0"/>
        <w:spacing w:line="460" w:lineRule="exact"/>
        <w:ind w:firstLine="880" w:firstLine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1）履约能力</w:t>
      </w:r>
    </w:p>
    <w:p>
      <w:pPr>
        <w:snapToGrid w:val="0"/>
        <w:spacing w:line="460" w:lineRule="exact"/>
        <w:ind w:firstLine="880" w:firstLineChars="400"/>
        <w:rPr>
          <w:rFonts w:hint="eastAsia" w:ascii="宋体" w:hAnsi="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宋体" w:hAnsi="宋体" w:eastAsia="宋体" w:cs="宋体"/>
          <w:i w:val="0"/>
          <w:iCs w:val="0"/>
          <w:color w:val="auto"/>
          <w:kern w:val="0"/>
          <w:sz w:val="21"/>
          <w:szCs w:val="21"/>
          <w:highlight w:val="none"/>
          <w:u w:val="none"/>
          <w:lang w:val="en-US" w:eastAsia="zh-CN" w:bidi="ar"/>
        </w:rPr>
        <w:t>技术方案</w:t>
      </w:r>
    </w:p>
    <w:p>
      <w:pPr>
        <w:snapToGrid w:val="0"/>
        <w:spacing w:line="460" w:lineRule="exact"/>
        <w:ind w:firstLine="880" w:firstLine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3）项目实施</w:t>
      </w:r>
    </w:p>
    <w:p>
      <w:pPr>
        <w:snapToGrid w:val="0"/>
        <w:spacing w:line="460" w:lineRule="exact"/>
        <w:ind w:firstLine="880" w:firstLine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4）售后服务方案</w:t>
      </w:r>
    </w:p>
    <w:p>
      <w:pPr>
        <w:snapToGrid w:val="0"/>
        <w:spacing w:line="460" w:lineRule="exact"/>
        <w:ind w:firstLine="880" w:firstLine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5）节能环保产品（如有）</w:t>
      </w:r>
    </w:p>
    <w:p>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（5）资质文件（如有）；</w:t>
      </w:r>
    </w:p>
    <w:p>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（6）其他必要提供的资料。</w:t>
      </w:r>
    </w:p>
    <w:p>
      <w:pPr>
        <w:spacing w:line="460" w:lineRule="exact"/>
        <w:ind w:firstLine="663" w:firstLineChars="300"/>
        <w:rPr>
          <w:rFonts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lang w:val="zh-CN"/>
        </w:rPr>
        <w:t>投标人的</w:t>
      </w:r>
      <w:r>
        <w:rPr>
          <w:rFonts w:hint="eastAsia" w:ascii="新宋体" w:hAnsi="新宋体" w:eastAsia="新宋体" w:cs="新宋体"/>
          <w:b/>
          <w:color w:val="auto"/>
          <w:sz w:val="22"/>
          <w:szCs w:val="22"/>
          <w:highlight w:val="none"/>
        </w:rPr>
        <w:t>投标文件必须按照招标文件要求制作</w:t>
      </w:r>
      <w:r>
        <w:rPr>
          <w:rFonts w:hint="eastAsia" w:ascii="新宋体" w:hAnsi="新宋体" w:eastAsia="新宋体" w:cs="新宋体"/>
          <w:b/>
          <w:bCs/>
          <w:color w:val="auto"/>
          <w:sz w:val="22"/>
          <w:szCs w:val="22"/>
          <w:highlight w:val="none"/>
        </w:rPr>
        <w:t>。</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pPr>
        <w:spacing w:line="460" w:lineRule="exact"/>
        <w:ind w:firstLine="541" w:firstLineChars="245"/>
        <w:rPr>
          <w:rFonts w:ascii="新宋体" w:hAnsi="新宋体" w:eastAsia="新宋体"/>
          <w:b/>
          <w:color w:val="auto"/>
          <w:sz w:val="22"/>
          <w:szCs w:val="22"/>
          <w:highlight w:val="none"/>
          <w:u w:val="single"/>
        </w:rPr>
      </w:pPr>
      <w:r>
        <w:rPr>
          <w:rFonts w:hint="eastAsia" w:ascii="新宋体" w:hAnsi="新宋体" w:eastAsia="新宋体" w:cs="新宋体"/>
          <w:b/>
          <w:color w:val="auto"/>
          <w:sz w:val="22"/>
          <w:highlight w:val="none"/>
        </w:rPr>
        <w:t>4.1</w:t>
      </w:r>
      <w:r>
        <w:rPr>
          <w:rFonts w:hint="eastAsia" w:ascii="新宋体" w:hAnsi="新宋体" w:eastAsia="新宋体"/>
          <w:b/>
          <w:color w:val="auto"/>
          <w:sz w:val="22"/>
          <w:szCs w:val="22"/>
          <w:highlight w:val="none"/>
          <w:u w:val="single"/>
        </w:rPr>
        <w:t>投标报价是指中标人在正确地完全履行合同义务后招标人应支付给中标人所有的货物的技术服务价款，即货物的供货、税金、包装、运输、装卸、硬件设备维保、系统集成、运维服务费、人员工资、企业管理费、风险、利润、安装调试、验收（含第三方验收）、技术服务、培训、售后服务、材料、招标代理费等全部费用等完成合同所需的一切本身和不可或缺的所有工作开支、政策性文件规定及合同包含的所有风险、责任等各项全部费用，供应商应根据上述因素自行考虑含入投标报价。</w:t>
      </w:r>
    </w:p>
    <w:p>
      <w:pPr>
        <w:spacing w:line="46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4.2投标人必须按附件中的投标报价一览表、投标分项报价内容填写价格，并由投标人代表签署。</w:t>
      </w:r>
    </w:p>
    <w:p>
      <w:pPr>
        <w:spacing w:line="46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pPr>
        <w:spacing w:line="46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招标人和招标代理机构不接受任何选择投标，对任何服务只允许一个价格。</w:t>
      </w:r>
    </w:p>
    <w:p>
      <w:pPr>
        <w:spacing w:line="46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4.5招标人和</w:t>
      </w:r>
      <w:r>
        <w:rPr>
          <w:rFonts w:hint="eastAsia" w:ascii="新宋体" w:hAnsi="新宋体" w:eastAsia="新宋体" w:cs="新宋体"/>
          <w:color w:val="auto"/>
          <w:sz w:val="22"/>
          <w:highlight w:val="none"/>
        </w:rPr>
        <w:t>招标代理机构</w:t>
      </w:r>
      <w:r>
        <w:rPr>
          <w:rFonts w:hint="eastAsia" w:ascii="新宋体" w:hAnsi="新宋体" w:eastAsia="新宋体" w:cs="新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rPr>
        <w:t xml:space="preserve"> 120 </w:t>
      </w:r>
      <w:r>
        <w:rPr>
          <w:rFonts w:hint="eastAsia" w:ascii="新宋体" w:hAnsi="新宋体" w:eastAsia="新宋体" w:cs="新宋体"/>
          <w:b/>
          <w:color w:val="auto"/>
          <w:sz w:val="22"/>
          <w:szCs w:val="22"/>
          <w:highlight w:val="none"/>
        </w:rPr>
        <w:t>天内投标应保持有效。</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6、投标保证金</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无。</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pPr>
        <w:spacing w:line="460" w:lineRule="exact"/>
        <w:ind w:firstLine="541" w:firstLineChars="245"/>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7.2投标供应商应当按照本章节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7.3本文件《第三部分  附件》中有提供格式的，投标供应商须参照格式进行编制（格式中要求提供相关证明材料的还需后附相关证明材料），并按格式要求在指定位置根据要求进行签章，否则视为未提供；本文件《第三部分  附件》未提供格式的，请各投标单位自行拟定格式，并加盖单位公章并由法定代表人或其授权代表签署（签字或盖章），否则视为未提供。</w:t>
      </w:r>
    </w:p>
    <w:p>
      <w:pPr>
        <w:spacing w:line="460" w:lineRule="exact"/>
        <w:ind w:firstLine="541" w:firstLineChars="245"/>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7.5《投标文件》因字迹潦草或表达不清所引起的后果由投标供应商负责。</w:t>
      </w:r>
    </w:p>
    <w:p>
      <w:pPr>
        <w:spacing w:line="460" w:lineRule="exact"/>
        <w:ind w:firstLine="541" w:firstLineChars="245"/>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7.6投标供应商没有按照本章节 “投标文件的构成”要求提供全部资料，或者没有仔细阅读招标文件，或者没有对招标文件在各方面的要求作出实质性响应是投标供应商的风险，由此造成的一切后果由投标供应商自行承担。</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8.2《投标文件》应由投标供应商法定代表人或其授权代表签字（或盖章），并时加盖投标供应商公章。</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8.3电子签章操作指南详见采购公告附件《供应商项目采购-电子招投标操作指南》。</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pPr>
        <w:spacing w:before="100" w:beforeAutospacing="1" w:after="100" w:afterAutospacing="1" w:line="440" w:lineRule="exact"/>
        <w:jc w:val="center"/>
        <w:outlineLvl w:val="1"/>
        <w:rPr>
          <w:rFonts w:ascii="新宋体" w:hAnsi="新宋体" w:eastAsia="新宋体" w:cs="新宋体"/>
          <w:b/>
          <w:bCs/>
          <w:color w:val="auto"/>
          <w:sz w:val="22"/>
          <w:szCs w:val="22"/>
          <w:highlight w:val="none"/>
        </w:rPr>
      </w:pPr>
      <w:bookmarkStart w:id="21" w:name="_Toc8645"/>
      <w:r>
        <w:rPr>
          <w:rFonts w:hint="eastAsia" w:ascii="新宋体" w:hAnsi="新宋体" w:eastAsia="新宋体" w:cs="新宋体"/>
          <w:b/>
          <w:bCs/>
          <w:color w:val="auto"/>
          <w:sz w:val="22"/>
          <w:szCs w:val="22"/>
          <w:highlight w:val="none"/>
        </w:rPr>
        <w:t>四、 投标文件的递交</w:t>
      </w:r>
      <w:bookmarkEnd w:id="21"/>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3.2投标截止时间后，投标供应商不得撤回、修改《投标文件》。</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ascii="新宋体" w:hAnsi="新宋体" w:eastAsia="新宋体" w:cs="新宋体"/>
          <w:b/>
          <w:bCs/>
          <w:color w:val="auto"/>
          <w:sz w:val="22"/>
          <w:szCs w:val="22"/>
          <w:highlight w:val="none"/>
        </w:rPr>
      </w:pPr>
      <w:bookmarkStart w:id="22" w:name="_Toc22310"/>
      <w:r>
        <w:rPr>
          <w:rFonts w:hint="eastAsia" w:ascii="新宋体" w:hAnsi="新宋体" w:eastAsia="新宋体" w:cs="新宋体"/>
          <w:b/>
          <w:bCs/>
          <w:color w:val="auto"/>
          <w:sz w:val="22"/>
          <w:szCs w:val="22"/>
          <w:highlight w:val="none"/>
        </w:rPr>
        <w:t>五、 开标和评标</w:t>
      </w:r>
      <w:bookmarkEnd w:id="22"/>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招标人和招标代理机构组建评标委员会。评标委员会的成员在评标过程中必须严格遵守《政府采购法》等有关法律、法规的规定。</w:t>
      </w:r>
    </w:p>
    <w:p>
      <w:pPr>
        <w:pStyle w:val="34"/>
        <w:ind w:firstLine="469"/>
        <w:rPr>
          <w:color w:val="auto"/>
          <w:highlight w:val="none"/>
        </w:rPr>
      </w:pPr>
      <w:r>
        <w:rPr>
          <w:rFonts w:hint="eastAsia" w:ascii="新宋体" w:hAnsi="新宋体" w:eastAsia="新宋体" w:cs="新宋体"/>
          <w:bCs/>
          <w:color w:val="auto"/>
          <w:sz w:val="22"/>
          <w:szCs w:val="22"/>
          <w:highlight w:val="none"/>
        </w:rPr>
        <w:t>评标委员会由采购人代表和评审专家组成，成员人数应当为5人以上单数，其中评审专家不得少于成员总数的三分之二。在浙江政府采购网上随机抽取组成。</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采购组织机构将按照招标文件规定的时间通过“政府采购云平台”组织开标、开启投标文件，所有供应商均应当准时(在线)参加。</w:t>
      </w:r>
      <w:r>
        <w:rPr>
          <w:rFonts w:hint="eastAsia" w:ascii="新宋体" w:hAnsi="新宋体" w:eastAsia="新宋体" w:cs="新宋体"/>
          <w:b/>
          <w:color w:val="auto"/>
          <w:kern w:val="0"/>
          <w:sz w:val="22"/>
          <w:szCs w:val="22"/>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pPr>
        <w:spacing w:line="460" w:lineRule="exact"/>
        <w:ind w:firstLine="541" w:firstLineChars="245"/>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color w:val="auto"/>
          <w:highlight w:val="none"/>
        </w:rPr>
      </w:pPr>
      <w:r>
        <w:rPr>
          <w:rFonts w:hint="eastAsia" w:ascii="新宋体" w:hAnsi="新宋体" w:eastAsia="新宋体" w:cs="新宋体"/>
          <w:bCs/>
          <w:color w:val="auto"/>
          <w:sz w:val="22"/>
          <w:szCs w:val="22"/>
          <w:highlight w:val="none"/>
        </w:rPr>
        <w:t>投标人不足3家的，不得开标。</w:t>
      </w:r>
    </w:p>
    <w:p>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（2）解密成功后，开启投标供应商的《报价文件》，由供应商对自己报价文件相关内容进行签字确认，（不予确认的应说明理由，否则视为无异议）。</w:t>
      </w:r>
    </w:p>
    <w:p>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pPr>
        <w:spacing w:line="460" w:lineRule="exact"/>
        <w:ind w:firstLine="541" w:firstLineChars="245"/>
        <w:rPr>
          <w:rFonts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备注：开标大会结束后，招标人或采购代理机构将对依法对投标供应商的资格进行审查，资格审查结束后进入符合性审查和商务技术的评审工作，具体见本章节“投标供应商资格审查”相关规定。</w:t>
      </w:r>
    </w:p>
    <w:p>
      <w:pPr>
        <w:spacing w:line="460" w:lineRule="exact"/>
        <w:ind w:firstLine="539" w:firstLineChars="245"/>
        <w:rPr>
          <w:rFonts w:ascii="新宋体" w:hAnsi="新宋体" w:eastAsia="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（4）开启资格审查通过的投标供应商的商务技术文件进入符合性审查，</w:t>
      </w:r>
      <w:r>
        <w:rPr>
          <w:rFonts w:hint="eastAsia" w:ascii="新宋体" w:hAnsi="新宋体" w:eastAsia="新宋体"/>
          <w:bCs/>
          <w:color w:val="auto"/>
          <w:sz w:val="22"/>
          <w:szCs w:val="22"/>
          <w:highlight w:val="none"/>
        </w:rPr>
        <w:t>以确定其是否满足招标文件的实质性要求，合格投标人不足3家的，不得评标。</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color w:val="auto"/>
          <w:highlight w:val="none"/>
        </w:rPr>
      </w:pPr>
      <w:r>
        <w:rPr>
          <w:rFonts w:hint="eastAsia" w:ascii="新宋体" w:hAnsi="新宋体" w:eastAsia="新宋体" w:cs="新宋体"/>
          <w:bCs/>
          <w:color w:val="auto"/>
          <w:sz w:val="22"/>
          <w:szCs w:val="22"/>
          <w:highlight w:val="none"/>
        </w:rPr>
        <w:t>（5）对通过资格审查、符合性审查的合格供应商进行商务技术部分的评审。</w:t>
      </w:r>
    </w:p>
    <w:p>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（7）评审结束后，公布中标（成交）候选供应商名单及招标人最终确定中标或成交供应商名单的时间和公告方式等，未在场的投标供应商通过发送邮件形式通知。</w:t>
      </w:r>
    </w:p>
    <w:p>
      <w:pPr>
        <w:spacing w:line="460" w:lineRule="exact"/>
        <w:ind w:firstLine="541" w:firstLineChars="245"/>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ascii="新宋体" w:hAnsi="新宋体" w:eastAsia="新宋体" w:cs="新宋体"/>
          <w:color w:val="auto"/>
          <w:sz w:val="22"/>
          <w:szCs w:val="22"/>
          <w:highlight w:val="none"/>
        </w:rPr>
      </w:pPr>
      <w:bookmarkStart w:id="23" w:name="_Toc24550037"/>
      <w:bookmarkStart w:id="24" w:name="_Toc33194393"/>
      <w:r>
        <w:rPr>
          <w:rFonts w:hint="eastAsia" w:ascii="新宋体" w:hAnsi="新宋体" w:eastAsia="新宋体" w:cs="新宋体"/>
          <w:color w:val="auto"/>
          <w:sz w:val="22"/>
          <w:szCs w:val="22"/>
          <w:highlight w:val="none"/>
        </w:rPr>
        <w:t>6、投标供应商资格审查</w:t>
      </w:r>
      <w:bookmarkEnd w:id="23"/>
      <w:bookmarkEnd w:id="24"/>
    </w:p>
    <w:p>
      <w:pPr>
        <w:spacing w:line="460" w:lineRule="exact"/>
        <w:ind w:firstLine="541" w:firstLineChars="245"/>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6.1开标大会结束后，招标人或采购代理机构首先依法对各投标供应商的资格进行审查，审查各投标供应商的资格是否满足招标文件的要求。</w:t>
      </w:r>
      <w:r>
        <w:rPr>
          <w:rFonts w:hint="eastAsia" w:ascii="新宋体" w:hAnsi="新宋体" w:eastAsia="新宋体" w:cs="新宋体"/>
          <w:color w:val="auto"/>
          <w:sz w:val="22"/>
          <w:szCs w:val="22"/>
          <w:highlight w:val="none"/>
        </w:rPr>
        <w:t>招标人或采购代理机构对投标供应商所提交的资格证明材料仅负审核的责任。如发现投标供应商所提交的资格证明材料不合法或与事实不符，招标人可取消其中标资格并追究投标供应商的法律责任。</w:t>
      </w:r>
    </w:p>
    <w:p>
      <w:pPr>
        <w:spacing w:line="460" w:lineRule="exact"/>
        <w:ind w:firstLine="541" w:firstLineChars="245"/>
        <w:rPr>
          <w:rFonts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6.2投标供应商提交的资格证明材料无法证明其符合招标文件规定的“投标供应商资格要求”的，招标人或采购代理机构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.3单位负责人为同一人或者存在直接控股、管理关系的不同供应商参加同一合同项下的政府采购活动的，相关投标供应商均作资格无效处理。</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（1）投标文件未按招标文件要求签署、盖章的；</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（2）不具备招标文件中规定的资格要求的； </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（3）明显不符合招标文件中主要技术规格、技术标准的；</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（4）投标文件内容不全或关键字迹模糊无法辨认的；</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（5）投标人代表没有法定代表人合法、有效委托的；</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（6）报价超过招标文件中规定的预算金额或者最高限价的</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（7）投标文件存在一个或一个以上备选（替代）投标人案的；</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（8）仅提交“备份投标文件”的；</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（9）投标文件含有招标人不能接受的附加条件的；</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（10）法律、法规和招标文件规定的其他无效情形。</w:t>
      </w:r>
    </w:p>
    <w:p>
      <w:pPr>
        <w:spacing w:line="460" w:lineRule="exact"/>
        <w:ind w:firstLine="541" w:firstLineChars="245"/>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pPr>
        <w:spacing w:line="460" w:lineRule="exact"/>
        <w:ind w:firstLine="541" w:firstLineChars="245"/>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11、评标委员会成员对需要共同认定的事项存在争议的，应当按照少数服从多数的原则作出结论。持不同意见的评标委员会成员应当在评标报告上签署不同意见及理由，否则视为同意评标报告。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w:t>
      </w:r>
      <w:r>
        <w:rPr>
          <w:rFonts w:hint="eastAsia" w:ascii="新宋体" w:hAnsi="新宋体" w:eastAsia="新宋体"/>
          <w:bCs/>
          <w:color w:val="auto"/>
          <w:sz w:val="22"/>
          <w:szCs w:val="22"/>
          <w:highlight w:val="none"/>
        </w:rPr>
        <w:t>或者有明显文字和计算错误的内容，评标委员会应当以书面形式（或通过“政府采购云平台”在线询标）要求投标人在规定的时间内作出必要的澄清、说明或者补正。投标供应商澄清、说明或补正时间为30分钟。</w:t>
      </w:r>
    </w:p>
    <w:p>
      <w:pPr>
        <w:spacing w:line="460" w:lineRule="exact"/>
        <w:ind w:firstLine="759" w:firstLineChars="345"/>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12.2</w:t>
      </w:r>
      <w:r>
        <w:rPr>
          <w:rFonts w:hint="eastAsia" w:ascii="新宋体" w:hAnsi="新宋体" w:eastAsia="新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pPr>
        <w:spacing w:line="460" w:lineRule="exact"/>
        <w:ind w:firstLine="762" w:firstLineChars="3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pPr>
        <w:spacing w:line="460" w:lineRule="exact"/>
        <w:ind w:firstLine="759" w:firstLineChars="3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pPr>
        <w:spacing w:line="460" w:lineRule="exact"/>
        <w:ind w:firstLine="759" w:firstLineChars="3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pPr>
        <w:spacing w:line="460" w:lineRule="exact"/>
        <w:ind w:firstLine="759" w:firstLineChars="3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pPr>
        <w:spacing w:line="460" w:lineRule="exact"/>
        <w:ind w:firstLine="759" w:firstLineChars="3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pPr>
        <w:spacing w:line="460" w:lineRule="exact"/>
        <w:ind w:firstLine="759" w:firstLineChars="345"/>
        <w:rPr>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pPr>
        <w:spacing w:line="460" w:lineRule="exact"/>
        <w:ind w:firstLine="759" w:firstLineChars="3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14</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确定中标候选人</w:t>
      </w:r>
    </w:p>
    <w:p>
      <w:pPr>
        <w:spacing w:line="460" w:lineRule="exact"/>
        <w:ind w:firstLine="759" w:firstLineChars="3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14.1由评标委员会确定中标候选人。</w:t>
      </w:r>
    </w:p>
    <w:p>
      <w:pPr>
        <w:spacing w:line="460" w:lineRule="exact"/>
        <w:ind w:firstLine="759" w:firstLineChars="3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ascii="新宋体" w:hAnsi="新宋体" w:eastAsia="新宋体" w:cs="新宋体"/>
          <w:bCs/>
          <w:color w:val="auto"/>
          <w:sz w:val="22"/>
          <w:szCs w:val="22"/>
          <w:highlight w:val="none"/>
        </w:rPr>
      </w:pPr>
      <w:r>
        <w:rPr>
          <w:rFonts w:hint="eastAsia" w:ascii="新宋体" w:hAnsi="新宋体" w:eastAsia="新宋体"/>
          <w:b/>
          <w:bCs/>
          <w:color w:val="auto"/>
          <w:sz w:val="22"/>
          <w:szCs w:val="22"/>
          <w:highlight w:val="none"/>
        </w:rPr>
        <w:t>15、确定中标人</w:t>
      </w:r>
    </w:p>
    <w:p>
      <w:pPr>
        <w:spacing w:line="460" w:lineRule="exact"/>
        <w:ind w:firstLine="762" w:firstLineChars="345"/>
        <w:rPr>
          <w:rFonts w:ascii="新宋体" w:hAnsi="新宋体" w:eastAsia="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15.2</w:t>
      </w:r>
      <w:r>
        <w:rPr>
          <w:rFonts w:ascii="新宋体" w:hAnsi="新宋体" w:eastAsia="新宋体"/>
          <w:color w:val="auto"/>
          <w:sz w:val="22"/>
          <w:szCs w:val="22"/>
          <w:highlight w:val="none"/>
        </w:rPr>
        <w:t>如中标人放弃中标</w:t>
      </w:r>
      <w:r>
        <w:rPr>
          <w:rFonts w:hint="eastAsia" w:ascii="新宋体" w:hAnsi="新宋体" w:eastAsia="新宋体"/>
          <w:color w:val="auto"/>
          <w:sz w:val="22"/>
          <w:szCs w:val="22"/>
          <w:highlight w:val="none"/>
        </w:rPr>
        <w:t>；或未能在规定时间内与采购单位签订合同的；或者经质疑，招标人审查后，确因排名第一的候选人在本次采购活动中存在违法违规行为或其他原因使质疑成立的，招标人可以视情况直接确定排名第二的候选人为中标人或</w:t>
      </w:r>
      <w:r>
        <w:rPr>
          <w:rFonts w:ascii="新宋体" w:hAnsi="新宋体" w:eastAsia="新宋体"/>
          <w:color w:val="auto"/>
          <w:sz w:val="22"/>
          <w:szCs w:val="22"/>
          <w:highlight w:val="none"/>
        </w:rPr>
        <w:t>重新组织招标。</w:t>
      </w:r>
    </w:p>
    <w:p>
      <w:pPr>
        <w:spacing w:line="460" w:lineRule="exact"/>
        <w:ind w:firstLine="759" w:firstLineChars="3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16、起草、签署评审报告</w:t>
      </w:r>
    </w:p>
    <w:p>
      <w:pPr>
        <w:spacing w:line="460" w:lineRule="exact"/>
        <w:ind w:firstLine="759" w:firstLineChars="345"/>
        <w:rPr>
          <w:rFonts w:ascii="新宋体" w:hAnsi="新宋体"/>
          <w:b/>
          <w:bCs/>
          <w:color w:val="auto"/>
          <w:sz w:val="22"/>
          <w:szCs w:val="22"/>
          <w:highlight w:val="none"/>
        </w:rPr>
      </w:pPr>
      <w:r>
        <w:rPr>
          <w:rFonts w:hint="eastAsia" w:ascii="新宋体" w:hAnsi="新宋体" w:eastAsia="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17</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ascii="新宋体" w:hAnsi="新宋体" w:eastAsia="新宋体"/>
          <w:b/>
          <w:color w:val="auto"/>
          <w:sz w:val="22"/>
          <w:szCs w:val="22"/>
          <w:highlight w:val="none"/>
        </w:rPr>
      </w:pPr>
      <w:r>
        <w:rPr>
          <w:rFonts w:hint="eastAsia" w:ascii="新宋体" w:hAnsi="新宋体" w:eastAsia="新宋体"/>
          <w:color w:val="auto"/>
          <w:sz w:val="22"/>
          <w:szCs w:val="22"/>
          <w:highlight w:val="none"/>
        </w:rPr>
        <w:t>18、</w:t>
      </w:r>
      <w:r>
        <w:rPr>
          <w:rFonts w:hint="eastAsia" w:ascii="新宋体" w:hAnsi="新宋体" w:eastAsia="新宋体"/>
          <w:b/>
          <w:color w:val="auto"/>
          <w:sz w:val="22"/>
          <w:szCs w:val="22"/>
          <w:highlight w:val="none"/>
        </w:rPr>
        <w:t>招标人对决标结果不做任何解释，也不保证最低价中标。</w:t>
      </w:r>
    </w:p>
    <w:p>
      <w:pPr>
        <w:spacing w:line="460" w:lineRule="exact"/>
        <w:ind w:firstLine="762" w:firstLineChars="345"/>
        <w:rPr>
          <w:rFonts w:ascii="新宋体" w:hAnsi="新宋体" w:eastAsia="新宋体" w:cs="新宋体"/>
          <w:b/>
          <w:color w:val="auto"/>
          <w:sz w:val="22"/>
          <w:szCs w:val="22"/>
          <w:highlight w:val="none"/>
        </w:rPr>
      </w:pPr>
      <w:r>
        <w:rPr>
          <w:rFonts w:hint="eastAsia" w:ascii="新宋体" w:hAnsi="新宋体" w:eastAsia="新宋体"/>
          <w:b/>
          <w:color w:val="auto"/>
          <w:sz w:val="22"/>
          <w:szCs w:val="22"/>
          <w:highlight w:val="none"/>
        </w:rPr>
        <w:t>19、评标细则详见“评标原则及方法”。</w:t>
      </w:r>
    </w:p>
    <w:p>
      <w:pPr>
        <w:spacing w:before="100" w:beforeAutospacing="1" w:after="100" w:afterAutospacing="1" w:line="440" w:lineRule="exact"/>
        <w:jc w:val="center"/>
        <w:outlineLvl w:val="1"/>
        <w:rPr>
          <w:rFonts w:ascii="新宋体" w:hAnsi="新宋体" w:eastAsia="新宋体" w:cs="新宋体"/>
          <w:b/>
          <w:bCs/>
          <w:color w:val="auto"/>
          <w:sz w:val="26"/>
          <w:szCs w:val="26"/>
          <w:highlight w:val="none"/>
        </w:rPr>
      </w:pPr>
      <w:bookmarkStart w:id="25" w:name="_Toc27979"/>
      <w:r>
        <w:rPr>
          <w:rFonts w:hint="eastAsia" w:ascii="新宋体" w:hAnsi="新宋体" w:eastAsia="新宋体" w:cs="新宋体"/>
          <w:b/>
          <w:bCs/>
          <w:color w:val="auto"/>
          <w:sz w:val="26"/>
          <w:szCs w:val="26"/>
          <w:highlight w:val="none"/>
        </w:rPr>
        <w:t>六、 授予合同</w:t>
      </w:r>
      <w:bookmarkEnd w:id="25"/>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1.1</w:t>
      </w:r>
      <w:r>
        <w:rPr>
          <w:rFonts w:hint="eastAsia" w:ascii="新宋体" w:hAnsi="新宋体" w:eastAsia="新宋体" w:cs="新宋体"/>
          <w:color w:val="auto"/>
          <w:sz w:val="22"/>
          <w:szCs w:val="22"/>
          <w:highlight w:val="none"/>
        </w:rPr>
        <w:t xml:space="preserve">中标人确定后，招标人将向中标人发出中标通知书。 </w:t>
      </w:r>
    </w:p>
    <w:p>
      <w:pPr>
        <w:spacing w:line="460" w:lineRule="exact"/>
        <w:ind w:firstLine="541" w:firstLineChars="245"/>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w:t>
      </w:r>
      <w:r>
        <w:rPr>
          <w:rFonts w:hint="eastAsia" w:ascii="新宋体" w:hAnsi="新宋体" w:eastAsia="新宋体" w:cs="新宋体"/>
          <w:color w:val="auto"/>
          <w:sz w:val="22"/>
          <w:szCs w:val="22"/>
          <w:highlight w:val="none"/>
        </w:rPr>
        <w:t>中标通知书是合同的一个组成部分,对招标人和中标人均具有同等法律效力。</w:t>
      </w:r>
    </w:p>
    <w:p>
      <w:pPr>
        <w:spacing w:line="460" w:lineRule="exact"/>
        <w:ind w:firstLine="539" w:firstLineChars="245"/>
        <w:rPr>
          <w:rFonts w:ascii="新宋体" w:hAnsi="新宋体" w:eastAsia="新宋体" w:cs="新宋体"/>
          <w:b/>
          <w:color w:val="auto"/>
          <w:sz w:val="22"/>
          <w:szCs w:val="22"/>
          <w:highlight w:val="none"/>
        </w:rPr>
      </w:pPr>
      <w:r>
        <w:rPr>
          <w:rFonts w:ascii="新宋体" w:hAnsi="新宋体" w:eastAsia="新宋体" w:cs="新宋体"/>
          <w:color w:val="auto"/>
          <w:sz w:val="22"/>
          <w:highlight w:val="none"/>
        </w:rPr>
        <w:t>2</w:t>
      </w:r>
      <w:r>
        <w:rPr>
          <w:rFonts w:hint="eastAsia" w:ascii="新宋体" w:hAnsi="新宋体" w:eastAsia="新宋体" w:cs="新宋体"/>
          <w:color w:val="auto"/>
          <w:sz w:val="22"/>
          <w:highlight w:val="none"/>
        </w:rPr>
        <w:t>、签订合同</w:t>
      </w:r>
    </w:p>
    <w:p>
      <w:pPr>
        <w:spacing w:line="460" w:lineRule="exact"/>
        <w:ind w:firstLine="539" w:firstLineChars="245"/>
        <w:rPr>
          <w:rFonts w:ascii="新宋体" w:hAnsi="新宋体" w:eastAsia="新宋体" w:cs="新宋体"/>
          <w:b/>
          <w:color w:val="auto"/>
          <w:sz w:val="22"/>
          <w:szCs w:val="22"/>
          <w:highlight w:val="none"/>
        </w:rPr>
      </w:pPr>
      <w:r>
        <w:rPr>
          <w:rFonts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rPr>
        <w:t>.1中标人应按中标通知书规定的时间、地点与招标人签订合同。</w:t>
      </w:r>
    </w:p>
    <w:p>
      <w:pPr>
        <w:spacing w:line="460" w:lineRule="exact"/>
        <w:ind w:firstLine="539" w:firstLineChars="245"/>
        <w:rPr>
          <w:rFonts w:ascii="新宋体" w:hAnsi="新宋体" w:eastAsia="新宋体" w:cs="新宋体"/>
          <w:b/>
          <w:color w:val="auto"/>
          <w:sz w:val="22"/>
          <w:szCs w:val="22"/>
          <w:highlight w:val="none"/>
        </w:rPr>
      </w:pP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招标文件、中标人的投标文件、投标修改文件、评标过程中有关澄清文件及经投标人和评委双方签字的询标纪要和中标通知书均作为合同附件。</w:t>
      </w:r>
    </w:p>
    <w:p>
      <w:pPr>
        <w:spacing w:line="460" w:lineRule="exact"/>
        <w:ind w:firstLine="539" w:firstLineChars="245"/>
        <w:rPr>
          <w:rFonts w:ascii="新宋体" w:hAnsi="新宋体" w:eastAsia="新宋体" w:cs="新宋体"/>
          <w:b/>
          <w:color w:val="auto"/>
          <w:sz w:val="22"/>
          <w:szCs w:val="22"/>
          <w:highlight w:val="none"/>
        </w:rPr>
      </w:pP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w:t>
      </w: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拒签合同的违约责任</w:t>
      </w:r>
    </w:p>
    <w:p>
      <w:pPr>
        <w:spacing w:line="460" w:lineRule="exact"/>
        <w:ind w:firstLine="571" w:firstLineChars="245"/>
        <w:rPr>
          <w:rFonts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ascii="新宋体" w:hAnsi="新宋体" w:eastAsia="新宋体" w:cs="新宋体"/>
          <w:b/>
          <w:color w:val="auto"/>
          <w:sz w:val="22"/>
          <w:szCs w:val="22"/>
          <w:highlight w:val="none"/>
        </w:rPr>
      </w:pPr>
      <w:r>
        <w:rPr>
          <w:rFonts w:ascii="新宋体" w:hAnsi="新宋体" w:eastAsia="新宋体" w:cs="新宋体"/>
          <w:b/>
          <w:color w:val="auto"/>
          <w:sz w:val="22"/>
          <w:highlight w:val="none"/>
        </w:rPr>
        <w:t>3</w:t>
      </w:r>
      <w:r>
        <w:rPr>
          <w:rFonts w:hint="eastAsia" w:ascii="新宋体" w:hAnsi="新宋体" w:eastAsia="新宋体" w:cs="新宋体"/>
          <w:b/>
          <w:color w:val="auto"/>
          <w:sz w:val="22"/>
          <w:highlight w:val="none"/>
        </w:rPr>
        <w:t>、质疑与投诉</w:t>
      </w:r>
    </w:p>
    <w:p>
      <w:pPr>
        <w:spacing w:line="460" w:lineRule="exact"/>
        <w:ind w:firstLine="539" w:firstLineChars="245"/>
        <w:rPr>
          <w:rFonts w:ascii="新宋体" w:hAnsi="新宋体" w:eastAsia="新宋体" w:cs="新宋体"/>
          <w:b/>
          <w:color w:val="auto"/>
          <w:sz w:val="22"/>
          <w:szCs w:val="22"/>
          <w:highlight w:val="none"/>
        </w:rPr>
      </w:pPr>
      <w:r>
        <w:rPr>
          <w:rFonts w:ascii="新宋体" w:hAnsi="新宋体" w:eastAsia="新宋体" w:cs="新宋体"/>
          <w:color w:val="auto"/>
          <w:sz w:val="22"/>
          <w:highlight w:val="none"/>
        </w:rPr>
        <w:t>3</w:t>
      </w:r>
      <w:r>
        <w:rPr>
          <w:rFonts w:hint="eastAsia" w:ascii="新宋体" w:hAnsi="新宋体" w:eastAsia="新宋体" w:cs="新宋体"/>
          <w:color w:val="auto"/>
          <w:sz w:val="22"/>
          <w:highlight w:val="none"/>
        </w:rPr>
        <w:t>.1投标人认为招标文件、采购过程、中标和成交结果使自己的合法权益受到损害的，可以在知道或应知道其权益受到损害之日起七个工作日内以书面形式向招标人或招标代理机构提出质疑。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ascii="新宋体" w:hAnsi="新宋体" w:eastAsia="新宋体" w:cs="新宋体"/>
          <w:b/>
          <w:color w:val="auto"/>
          <w:sz w:val="22"/>
          <w:szCs w:val="22"/>
          <w:highlight w:val="none"/>
        </w:rPr>
      </w:pPr>
      <w:r>
        <w:rPr>
          <w:rFonts w:ascii="新宋体" w:hAnsi="新宋体" w:eastAsia="新宋体" w:cs="新宋体"/>
          <w:color w:val="auto"/>
          <w:sz w:val="22"/>
          <w:highlight w:val="none"/>
        </w:rPr>
        <w:t>3</w:t>
      </w:r>
      <w:r>
        <w:rPr>
          <w:rFonts w:hint="eastAsia" w:ascii="新宋体" w:hAnsi="新宋体" w:eastAsia="新宋体" w:cs="新宋体"/>
          <w:color w:val="auto"/>
          <w:sz w:val="22"/>
          <w:highlight w:val="none"/>
        </w:rPr>
        <w:t>.2招标人或招标代理机构在收到投标人的书面质疑后七个工作日内作出答复，但答复的内容不得涉及商业秘密。质疑供应商对招标人或招标代理机构的答复不满意，可以在答复期满后十五个工作日内向同级采购监督管理部门投诉。</w:t>
      </w:r>
    </w:p>
    <w:p>
      <w:pPr>
        <w:spacing w:line="460" w:lineRule="exact"/>
        <w:ind w:firstLine="539" w:firstLineChars="245"/>
        <w:rPr>
          <w:rFonts w:ascii="新宋体" w:hAnsi="新宋体" w:eastAsia="新宋体" w:cs="新宋体"/>
          <w:b/>
          <w:color w:val="auto"/>
          <w:sz w:val="22"/>
          <w:szCs w:val="22"/>
          <w:highlight w:val="none"/>
        </w:rPr>
      </w:pPr>
      <w:r>
        <w:rPr>
          <w:rFonts w:ascii="新宋体" w:hAnsi="新宋体" w:eastAsia="新宋体" w:cs="新宋体"/>
          <w:color w:val="auto"/>
          <w:sz w:val="22"/>
          <w:highlight w:val="none"/>
        </w:rPr>
        <w:t>3</w:t>
      </w:r>
      <w:r>
        <w:rPr>
          <w:rFonts w:hint="eastAsia" w:ascii="新宋体" w:hAnsi="新宋体" w:eastAsia="新宋体" w:cs="新宋体"/>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pPr>
        <w:spacing w:line="460" w:lineRule="exact"/>
        <w:ind w:firstLine="539" w:firstLineChars="245"/>
        <w:rPr>
          <w:rFonts w:ascii="新宋体" w:hAnsi="新宋体" w:eastAsia="新宋体" w:cs="新宋体"/>
          <w:color w:val="auto"/>
          <w:sz w:val="22"/>
          <w:highlight w:val="none"/>
        </w:rPr>
      </w:pPr>
      <w:r>
        <w:rPr>
          <w:rFonts w:ascii="新宋体" w:hAnsi="新宋体" w:eastAsia="新宋体" w:cs="新宋体"/>
          <w:color w:val="auto"/>
          <w:sz w:val="22"/>
          <w:highlight w:val="none"/>
        </w:rPr>
        <w:t>3</w:t>
      </w:r>
      <w:r>
        <w:rPr>
          <w:rFonts w:hint="eastAsia" w:ascii="新宋体" w:hAnsi="新宋体" w:eastAsia="新宋体" w:cs="新宋体"/>
          <w:color w:val="auto"/>
          <w:sz w:val="22"/>
          <w:highlight w:val="none"/>
        </w:rPr>
        <w:t>.4同级采购监督部门：温州市鹿城区财政局。</w:t>
      </w:r>
    </w:p>
    <w:p>
      <w:pPr>
        <w:tabs>
          <w:tab w:val="left" w:pos="360"/>
        </w:tabs>
        <w:spacing w:line="460" w:lineRule="exact"/>
        <w:ind w:firstLine="770" w:firstLineChars="350"/>
        <w:rPr>
          <w:rFonts w:ascii="新宋体" w:hAnsi="新宋体" w:eastAsia="新宋体"/>
          <w:color w:val="auto"/>
          <w:sz w:val="22"/>
          <w:highlight w:val="none"/>
        </w:rPr>
      </w:pPr>
      <w:r>
        <w:rPr>
          <w:rFonts w:hint="eastAsia" w:ascii="新宋体" w:hAnsi="新宋体" w:eastAsia="新宋体"/>
          <w:color w:val="auto"/>
          <w:sz w:val="22"/>
          <w:highlight w:val="none"/>
        </w:rPr>
        <w:t>地  址：温州市鹿城区江滨西路552号</w:t>
      </w:r>
    </w:p>
    <w:p>
      <w:pPr>
        <w:tabs>
          <w:tab w:val="left" w:pos="360"/>
        </w:tabs>
        <w:spacing w:line="460" w:lineRule="exact"/>
        <w:ind w:firstLine="770" w:firstLineChars="350"/>
        <w:rPr>
          <w:rFonts w:ascii="新宋体" w:hAnsi="新宋体" w:eastAsia="新宋体"/>
          <w:color w:val="auto"/>
          <w:sz w:val="22"/>
          <w:highlight w:val="none"/>
        </w:rPr>
      </w:pPr>
      <w:r>
        <w:rPr>
          <w:rFonts w:hint="eastAsia" w:ascii="新宋体" w:hAnsi="新宋体" w:eastAsia="新宋体"/>
          <w:color w:val="auto"/>
          <w:sz w:val="22"/>
          <w:highlight w:val="none"/>
        </w:rPr>
        <w:t>联系人：黄女士</w:t>
      </w:r>
    </w:p>
    <w:p>
      <w:pPr>
        <w:tabs>
          <w:tab w:val="left" w:pos="360"/>
        </w:tabs>
        <w:spacing w:line="460" w:lineRule="exact"/>
        <w:ind w:firstLine="770" w:firstLineChars="350"/>
        <w:rPr>
          <w:rFonts w:ascii="新宋体" w:hAnsi="新宋体" w:eastAsia="新宋体"/>
          <w:color w:val="auto"/>
          <w:sz w:val="22"/>
          <w:highlight w:val="none"/>
        </w:rPr>
      </w:pPr>
      <w:r>
        <w:rPr>
          <w:rFonts w:hint="eastAsia" w:ascii="新宋体" w:hAnsi="新宋体" w:eastAsia="新宋体"/>
          <w:color w:val="auto"/>
          <w:sz w:val="22"/>
          <w:highlight w:val="none"/>
        </w:rPr>
        <w:t>监督投诉电话：0577-88359173</w:t>
      </w:r>
    </w:p>
    <w:p>
      <w:pPr>
        <w:widowControl/>
        <w:jc w:val="left"/>
        <w:rPr>
          <w:color w:val="auto"/>
          <w:highlight w:val="none"/>
        </w:rPr>
      </w:pPr>
      <w:r>
        <w:rPr>
          <w:color w:val="auto"/>
          <w:highlight w:val="none"/>
        </w:rPr>
        <w:br w:type="page"/>
      </w:r>
    </w:p>
    <w:p>
      <w:pPr>
        <w:rPr>
          <w:color w:val="auto"/>
          <w:highlight w:val="none"/>
        </w:rPr>
      </w:pPr>
    </w:p>
    <w:p>
      <w:pPr>
        <w:pStyle w:val="24"/>
        <w:spacing w:line="460" w:lineRule="exact"/>
        <w:ind w:left="433" w:leftChars="206" w:firstLine="0" w:firstLineChars="0"/>
        <w:jc w:val="center"/>
        <w:outlineLvl w:val="0"/>
        <w:rPr>
          <w:rFonts w:ascii="新宋体" w:hAnsi="新宋体" w:eastAsia="新宋体"/>
          <w:b/>
          <w:color w:val="auto"/>
          <w:sz w:val="30"/>
          <w:highlight w:val="none"/>
        </w:rPr>
      </w:pPr>
      <w:bookmarkStart w:id="26" w:name="_Toc3569"/>
      <w:r>
        <w:rPr>
          <w:rFonts w:hint="eastAsia" w:ascii="新宋体" w:hAnsi="新宋体" w:eastAsia="新宋体"/>
          <w:b/>
          <w:color w:val="auto"/>
          <w:sz w:val="30"/>
          <w:highlight w:val="none"/>
        </w:rPr>
        <w:t>第二部分    合同主要条款</w:t>
      </w:r>
      <w:bookmarkEnd w:id="26"/>
    </w:p>
    <w:p>
      <w:pPr>
        <w:spacing w:line="460" w:lineRule="exact"/>
        <w:ind w:firstLine="541" w:firstLineChars="245"/>
        <w:rPr>
          <w:rFonts w:ascii="新宋体" w:hAnsi="新宋体" w:eastAsia="新宋体" w:cs="新宋体"/>
          <w:b/>
          <w:color w:val="auto"/>
          <w:sz w:val="22"/>
          <w:szCs w:val="22"/>
          <w:highlight w:val="none"/>
        </w:rPr>
      </w:pPr>
    </w:p>
    <w:p>
      <w:pPr>
        <w:widowControl/>
        <w:snapToGrid w:val="0"/>
        <w:spacing w:line="420" w:lineRule="atLeast"/>
        <w:jc w:val="left"/>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项目合同编号：                         密级：</w:t>
      </w:r>
    </w:p>
    <w:p>
      <w:pPr>
        <w:widowControl/>
        <w:snapToGrid w:val="0"/>
        <w:spacing w:line="420" w:lineRule="atLeast"/>
        <w:jc w:val="left"/>
        <w:rPr>
          <w:rFonts w:ascii="宋体" w:hAnsi="宋体" w:cs="宋体"/>
          <w:color w:val="auto"/>
          <w:kern w:val="0"/>
          <w:sz w:val="32"/>
          <w:highlight w:val="none"/>
        </w:rPr>
      </w:pPr>
    </w:p>
    <w:p>
      <w:pPr>
        <w:widowControl/>
        <w:snapToGrid w:val="0"/>
        <w:spacing w:line="420" w:lineRule="atLeast"/>
        <w:jc w:val="left"/>
        <w:rPr>
          <w:rFonts w:ascii="宋体" w:hAnsi="宋体" w:cs="宋体"/>
          <w:color w:val="auto"/>
          <w:kern w:val="0"/>
          <w:sz w:val="32"/>
          <w:highlight w:val="none"/>
        </w:rPr>
      </w:pPr>
    </w:p>
    <w:p>
      <w:pPr>
        <w:widowControl/>
        <w:snapToGrid w:val="0"/>
        <w:spacing w:line="420" w:lineRule="atLeast"/>
        <w:jc w:val="center"/>
        <w:rPr>
          <w:rFonts w:ascii="‘Times New Roman‘" w:hAnsi="宋体" w:eastAsia="黑体" w:cs="宋体"/>
          <w:color w:val="auto"/>
          <w:kern w:val="0"/>
          <w:sz w:val="72"/>
          <w:highlight w:val="none"/>
        </w:rPr>
      </w:pPr>
      <w:r>
        <w:rPr>
          <w:rFonts w:hint="eastAsia" w:ascii="‘Times New Roman‘" w:hAnsi="宋体" w:eastAsia="黑体" w:cs="宋体"/>
          <w:color w:val="auto"/>
          <w:kern w:val="0"/>
          <w:sz w:val="72"/>
          <w:highlight w:val="none"/>
          <w:lang w:eastAsia="zh-CN"/>
        </w:rPr>
        <w:t>温州市鹿城区园林绿化管理中心</w:t>
      </w:r>
      <w:r>
        <w:rPr>
          <w:rFonts w:hint="eastAsia" w:ascii="‘Times New Roman‘" w:hAnsi="宋体" w:eastAsia="黑体" w:cs="宋体"/>
          <w:color w:val="auto"/>
          <w:kern w:val="0"/>
          <w:sz w:val="72"/>
          <w:highlight w:val="none"/>
        </w:rPr>
        <w:t>项目</w:t>
      </w:r>
    </w:p>
    <w:p>
      <w:pPr>
        <w:widowControl/>
        <w:snapToGrid w:val="0"/>
        <w:spacing w:line="420" w:lineRule="atLeast"/>
        <w:jc w:val="center"/>
        <w:rPr>
          <w:rFonts w:ascii="宋体" w:hAnsi="宋体" w:eastAsia="黑体" w:cs="宋体"/>
          <w:color w:val="auto"/>
          <w:kern w:val="0"/>
          <w:sz w:val="44"/>
          <w:highlight w:val="none"/>
        </w:rPr>
      </w:pPr>
      <w:r>
        <w:rPr>
          <w:rFonts w:hint="eastAsia" w:ascii="‘Times New Roman‘" w:hAnsi="宋体" w:eastAsia="黑体" w:cs="宋体"/>
          <w:color w:val="auto"/>
          <w:kern w:val="0"/>
          <w:sz w:val="72"/>
          <w:highlight w:val="none"/>
        </w:rPr>
        <w:t>采购合同</w:t>
      </w:r>
    </w:p>
    <w:p>
      <w:pPr>
        <w:widowControl/>
        <w:snapToGrid w:val="0"/>
        <w:spacing w:line="420" w:lineRule="atLeast"/>
        <w:jc w:val="left"/>
        <w:rPr>
          <w:rFonts w:ascii="宋体" w:hAnsi="宋体" w:cs="宋体"/>
          <w:color w:val="auto"/>
          <w:kern w:val="0"/>
          <w:sz w:val="32"/>
          <w:highlight w:val="none"/>
        </w:rPr>
      </w:pPr>
    </w:p>
    <w:p>
      <w:pPr>
        <w:widowControl/>
        <w:snapToGrid w:val="0"/>
        <w:spacing w:line="360" w:lineRule="auto"/>
        <w:jc w:val="left"/>
        <w:rPr>
          <w:rFonts w:ascii="黑体" w:hAnsi="宋体" w:eastAsia="黑体" w:cs="宋体"/>
          <w:color w:val="auto"/>
          <w:kern w:val="0"/>
          <w:sz w:val="36"/>
          <w:highlight w:val="none"/>
        </w:rPr>
      </w:pPr>
    </w:p>
    <w:p>
      <w:pPr>
        <w:widowControl/>
        <w:snapToGrid w:val="0"/>
        <w:spacing w:line="360" w:lineRule="auto"/>
        <w:ind w:firstLine="720" w:firstLineChars="200"/>
        <w:jc w:val="left"/>
        <w:rPr>
          <w:rFonts w:ascii="黑体" w:hAnsi="宋体" w:eastAsia="黑体" w:cs="宋体"/>
          <w:color w:val="auto"/>
          <w:kern w:val="0"/>
          <w:sz w:val="36"/>
          <w:highlight w:val="none"/>
          <w:u w:val="single"/>
        </w:rPr>
      </w:pPr>
      <w:r>
        <w:rPr>
          <w:rFonts w:hint="eastAsia" w:ascii="黑体" w:hAnsi="宋体" w:eastAsia="黑体" w:cs="宋体"/>
          <w:color w:val="auto"/>
          <w:kern w:val="0"/>
          <w:sz w:val="36"/>
          <w:highlight w:val="none"/>
        </w:rPr>
        <w:t>项目名称：________________________________</w:t>
      </w:r>
    </w:p>
    <w:p>
      <w:pPr>
        <w:widowControl/>
        <w:snapToGrid w:val="0"/>
        <w:spacing w:line="360" w:lineRule="auto"/>
        <w:ind w:firstLine="720" w:firstLineChars="200"/>
        <w:jc w:val="left"/>
        <w:rPr>
          <w:rFonts w:ascii="黑体" w:hAnsi="宋体" w:eastAsia="黑体" w:cs="宋体"/>
          <w:color w:val="auto"/>
          <w:kern w:val="0"/>
          <w:sz w:val="36"/>
          <w:highlight w:val="none"/>
          <w:u w:val="single"/>
        </w:rPr>
      </w:pPr>
    </w:p>
    <w:p>
      <w:pPr>
        <w:widowControl/>
        <w:snapToGrid w:val="0"/>
        <w:spacing w:line="720" w:lineRule="auto"/>
        <w:ind w:firstLine="720" w:firstLineChars="200"/>
        <w:jc w:val="left"/>
        <w:rPr>
          <w:rFonts w:ascii="黑体" w:hAnsi="宋体" w:eastAsia="黑体" w:cs="宋体"/>
          <w:color w:val="auto"/>
          <w:kern w:val="0"/>
          <w:sz w:val="36"/>
          <w:highlight w:val="none"/>
          <w:u w:val="single"/>
        </w:rPr>
      </w:pPr>
      <w:r>
        <w:rPr>
          <w:rFonts w:hint="eastAsia" w:ascii="黑体" w:hAnsi="宋体" w:eastAsia="黑体" w:cs="宋体"/>
          <w:color w:val="auto"/>
          <w:kern w:val="0"/>
          <w:sz w:val="36"/>
          <w:highlight w:val="none"/>
        </w:rPr>
        <w:t>甲方（盖章）：</w:t>
      </w:r>
      <w:r>
        <w:rPr>
          <w:rFonts w:hint="eastAsia" w:ascii="黑体" w:hAnsi="宋体" w:eastAsia="黑体" w:cs="宋体"/>
          <w:color w:val="auto"/>
          <w:kern w:val="0"/>
          <w:sz w:val="36"/>
          <w:highlight w:val="none"/>
          <w:u w:val="single"/>
          <w:lang w:eastAsia="zh-CN"/>
        </w:rPr>
        <w:t>温州市鹿城区园林绿化管理中心</w:t>
      </w:r>
      <w:r>
        <w:rPr>
          <w:rFonts w:hint="eastAsia" w:ascii="黑体" w:hAnsi="宋体" w:eastAsia="黑体" w:cs="宋体"/>
          <w:color w:val="auto"/>
          <w:kern w:val="0"/>
          <w:sz w:val="36"/>
          <w:highlight w:val="none"/>
          <w:u w:val="single"/>
        </w:rPr>
        <w:t xml:space="preserve"> </w:t>
      </w:r>
    </w:p>
    <w:p>
      <w:pPr>
        <w:widowControl/>
        <w:snapToGrid w:val="0"/>
        <w:spacing w:line="720" w:lineRule="auto"/>
        <w:ind w:firstLine="720" w:firstLineChars="200"/>
        <w:jc w:val="left"/>
        <w:rPr>
          <w:rFonts w:ascii="黑体" w:hAnsi="宋体" w:eastAsia="黑体" w:cs="宋体"/>
          <w:color w:val="auto"/>
          <w:kern w:val="0"/>
          <w:sz w:val="36"/>
          <w:highlight w:val="none"/>
        </w:rPr>
      </w:pPr>
      <w:r>
        <w:rPr>
          <w:rFonts w:hint="eastAsia" w:ascii="黑体" w:hAnsi="宋体" w:eastAsia="黑体" w:cs="宋体"/>
          <w:color w:val="auto"/>
          <w:kern w:val="0"/>
          <w:sz w:val="36"/>
          <w:highlight w:val="none"/>
        </w:rPr>
        <w:t>乙方（盖章）：____________________________</w:t>
      </w:r>
    </w:p>
    <w:p>
      <w:pPr>
        <w:widowControl/>
        <w:snapToGrid w:val="0"/>
        <w:spacing w:line="720" w:lineRule="auto"/>
        <w:ind w:firstLine="720" w:firstLineChars="200"/>
        <w:jc w:val="left"/>
        <w:rPr>
          <w:rFonts w:ascii="黑体" w:hAnsi="宋体" w:eastAsia="黑体" w:cs="宋体"/>
          <w:color w:val="auto"/>
          <w:kern w:val="0"/>
          <w:sz w:val="36"/>
          <w:highlight w:val="none"/>
          <w:u w:val="single"/>
        </w:rPr>
      </w:pPr>
      <w:r>
        <w:rPr>
          <w:rFonts w:hint="eastAsia" w:ascii="黑体" w:hAnsi="宋体" w:eastAsia="黑体" w:cs="宋体"/>
          <w:color w:val="auto"/>
          <w:kern w:val="0"/>
          <w:sz w:val="36"/>
          <w:highlight w:val="none"/>
        </w:rPr>
        <w:t>签署时间：_________________________________</w:t>
      </w:r>
    </w:p>
    <w:p>
      <w:pPr>
        <w:widowControl/>
        <w:snapToGrid w:val="0"/>
        <w:spacing w:line="720" w:lineRule="auto"/>
        <w:ind w:firstLine="720" w:firstLineChars="200"/>
        <w:jc w:val="left"/>
        <w:rPr>
          <w:rFonts w:ascii="黑体" w:hAnsi="宋体" w:eastAsia="黑体" w:cs="宋体"/>
          <w:color w:val="auto"/>
          <w:kern w:val="0"/>
          <w:sz w:val="36"/>
          <w:highlight w:val="none"/>
          <w:u w:val="single"/>
        </w:rPr>
        <w:sectPr>
          <w:headerReference r:id="rId4" w:type="first"/>
          <w:footerReference r:id="rId6" w:type="first"/>
          <w:headerReference r:id="rId3" w:type="default"/>
          <w:footerReference r:id="rId5" w:type="default"/>
          <w:pgSz w:w="12240" w:h="15840"/>
          <w:pgMar w:top="1134" w:right="1134" w:bottom="1134" w:left="1134" w:header="720" w:footer="720" w:gutter="0"/>
          <w:pgNumType w:fmt="decimal"/>
          <w:cols w:space="720" w:num="1"/>
          <w:titlePg/>
        </w:sectPr>
      </w:pPr>
      <w:r>
        <w:rPr>
          <w:rFonts w:hint="eastAsia" w:ascii="黑体" w:hAnsi="宋体" w:eastAsia="黑体" w:cs="宋体"/>
          <w:color w:val="auto"/>
          <w:kern w:val="0"/>
          <w:sz w:val="36"/>
          <w:highlight w:val="none"/>
        </w:rPr>
        <w:t>签署地点：</w:t>
      </w:r>
      <w:r>
        <w:rPr>
          <w:rFonts w:hint="eastAsia" w:ascii="黑体" w:hAnsi="宋体" w:eastAsia="黑体" w:cs="宋体"/>
          <w:color w:val="auto"/>
          <w:kern w:val="0"/>
          <w:sz w:val="36"/>
          <w:highlight w:val="none"/>
          <w:u w:val="single"/>
        </w:rPr>
        <w:t xml:space="preserve">           温州市鹿城区          </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一、</w:t>
      </w:r>
      <w:r>
        <w:rPr>
          <w:rFonts w:hint="eastAsia" w:ascii="‘Times New Roman‘" w:eastAsia="‘Times New Roman‘"/>
          <w:b/>
          <w:bCs/>
          <w:color w:val="auto"/>
          <w:kern w:val="0"/>
          <w:sz w:val="30"/>
          <w:szCs w:val="30"/>
          <w:highlight w:val="none"/>
        </w:rPr>
        <w:t xml:space="preserve">   </w:t>
      </w:r>
      <w:r>
        <w:rPr>
          <w:rFonts w:hint="eastAsia" w:ascii="‘Times New Roman‘" w:hAnsi="宋体" w:eastAsia="黑体" w:cs="宋体"/>
          <w:b/>
          <w:bCs/>
          <w:color w:val="auto"/>
          <w:kern w:val="0"/>
          <w:sz w:val="30"/>
          <w:szCs w:val="30"/>
          <w:highlight w:val="none"/>
        </w:rPr>
        <w:t>总则</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二、</w:t>
      </w:r>
      <w:r>
        <w:rPr>
          <w:rFonts w:hint="eastAsia" w:ascii="‘Times New Roman‘" w:eastAsia="‘Times New Roman‘"/>
          <w:b/>
          <w:bCs/>
          <w:color w:val="auto"/>
          <w:kern w:val="0"/>
          <w:sz w:val="30"/>
          <w:szCs w:val="30"/>
          <w:highlight w:val="none"/>
        </w:rPr>
        <w:t xml:space="preserve">   </w:t>
      </w:r>
      <w:r>
        <w:rPr>
          <w:rFonts w:hint="eastAsia" w:ascii="‘Times New Roman‘" w:hAnsi="宋体" w:eastAsia="黑体" w:cs="宋体"/>
          <w:b/>
          <w:bCs/>
          <w:color w:val="auto"/>
          <w:kern w:val="0"/>
          <w:sz w:val="30"/>
          <w:szCs w:val="30"/>
          <w:highlight w:val="none"/>
        </w:rPr>
        <w:t>甲方责任</w:t>
      </w:r>
    </w:p>
    <w:p>
      <w:pPr>
        <w:widowControl/>
        <w:tabs>
          <w:tab w:val="left" w:pos="720"/>
        </w:tabs>
        <w:snapToGrid w:val="0"/>
        <w:spacing w:line="360" w:lineRule="auto"/>
        <w:ind w:left="720" w:hanging="720"/>
        <w:jc w:val="left"/>
        <w:rPr>
          <w:rFonts w:ascii="‘Times New Roman‘" w:hAnsi="宋体" w:eastAsia="黑体" w:cs="宋体"/>
          <w:b/>
          <w:bCs/>
          <w:color w:val="auto"/>
          <w:kern w:val="0"/>
          <w:sz w:val="30"/>
          <w:szCs w:val="30"/>
          <w:highlight w:val="none"/>
        </w:rPr>
      </w:pPr>
      <w:r>
        <w:rPr>
          <w:rFonts w:eastAsia="黑体"/>
          <w:b/>
          <w:bCs/>
          <w:color w:val="auto"/>
          <w:kern w:val="0"/>
          <w:sz w:val="30"/>
          <w:szCs w:val="30"/>
          <w:highlight w:val="none"/>
        </w:rPr>
        <w:t>三、</w:t>
      </w:r>
      <w:r>
        <w:rPr>
          <w:rFonts w:hint="eastAsia" w:ascii="‘Times New Roman‘" w:eastAsia="‘Times New Roman‘"/>
          <w:b/>
          <w:bCs/>
          <w:color w:val="auto"/>
          <w:kern w:val="0"/>
          <w:sz w:val="30"/>
          <w:szCs w:val="30"/>
          <w:highlight w:val="none"/>
        </w:rPr>
        <w:t xml:space="preserve">   </w:t>
      </w:r>
      <w:r>
        <w:rPr>
          <w:rFonts w:hint="eastAsia" w:ascii="‘Times New Roman‘" w:hAnsi="宋体" w:eastAsia="黑体" w:cs="宋体"/>
          <w:b/>
          <w:bCs/>
          <w:color w:val="auto"/>
          <w:kern w:val="0"/>
          <w:sz w:val="30"/>
          <w:szCs w:val="30"/>
          <w:highlight w:val="none"/>
        </w:rPr>
        <w:t>乙方责任</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四、</w:t>
      </w:r>
      <w:r>
        <w:rPr>
          <w:rFonts w:hint="eastAsia" w:ascii="‘Times New Roman‘" w:eastAsia="‘Times New Roman‘"/>
          <w:b/>
          <w:bCs/>
          <w:color w:val="auto"/>
          <w:kern w:val="0"/>
          <w:sz w:val="30"/>
          <w:szCs w:val="30"/>
          <w:highlight w:val="none"/>
        </w:rPr>
        <w:t xml:space="preserve">   </w:t>
      </w:r>
      <w:r>
        <w:rPr>
          <w:rFonts w:hint="eastAsia" w:ascii="‘Times New Roman‘" w:hAnsi="宋体" w:eastAsia="黑体" w:cs="宋体"/>
          <w:b/>
          <w:bCs/>
          <w:color w:val="auto"/>
          <w:kern w:val="0"/>
          <w:sz w:val="30"/>
          <w:szCs w:val="30"/>
          <w:highlight w:val="none"/>
        </w:rPr>
        <w:t>项目进度</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五、</w:t>
      </w:r>
      <w:r>
        <w:rPr>
          <w:rFonts w:hint="eastAsia" w:ascii="‘Times New Roman‘" w:eastAsia="‘Times New Roman‘"/>
          <w:b/>
          <w:bCs/>
          <w:color w:val="auto"/>
          <w:kern w:val="0"/>
          <w:sz w:val="30"/>
          <w:szCs w:val="30"/>
          <w:highlight w:val="none"/>
        </w:rPr>
        <w:t xml:space="preserve">   </w:t>
      </w:r>
      <w:r>
        <w:rPr>
          <w:rFonts w:hint="eastAsia" w:ascii="‘Times New Roman‘" w:hAnsi="宋体" w:eastAsia="黑体" w:cs="宋体"/>
          <w:b/>
          <w:bCs/>
          <w:color w:val="auto"/>
          <w:kern w:val="0"/>
          <w:sz w:val="30"/>
          <w:szCs w:val="30"/>
          <w:highlight w:val="none"/>
        </w:rPr>
        <w:t>项目上线、试运行和验收</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六、</w:t>
      </w:r>
      <w:r>
        <w:rPr>
          <w:rFonts w:hint="eastAsia" w:ascii="‘Times New Roman‘" w:eastAsia="‘Times New Roman‘"/>
          <w:b/>
          <w:bCs/>
          <w:color w:val="auto"/>
          <w:kern w:val="0"/>
          <w:sz w:val="30"/>
          <w:szCs w:val="30"/>
          <w:highlight w:val="none"/>
        </w:rPr>
        <w:t xml:space="preserve">   </w:t>
      </w:r>
      <w:r>
        <w:rPr>
          <w:rFonts w:hint="eastAsia" w:ascii="‘Times New Roman‘" w:hAnsi="宋体" w:eastAsia="黑体" w:cs="宋体"/>
          <w:b/>
          <w:bCs/>
          <w:color w:val="auto"/>
          <w:kern w:val="0"/>
          <w:sz w:val="30"/>
          <w:szCs w:val="30"/>
          <w:highlight w:val="none"/>
        </w:rPr>
        <w:t>售后服务和技术培训</w:t>
      </w:r>
    </w:p>
    <w:p>
      <w:pPr>
        <w:widowControl/>
        <w:tabs>
          <w:tab w:val="left" w:pos="720"/>
        </w:tabs>
        <w:snapToGrid w:val="0"/>
        <w:spacing w:line="360" w:lineRule="auto"/>
        <w:ind w:left="720" w:hanging="720"/>
        <w:jc w:val="left"/>
        <w:rPr>
          <w:rFonts w:ascii="‘Times New Roman‘" w:hAnsi="宋体" w:eastAsia="黑体" w:cs="宋体"/>
          <w:b/>
          <w:bCs/>
          <w:color w:val="auto"/>
          <w:kern w:val="0"/>
          <w:sz w:val="30"/>
          <w:szCs w:val="30"/>
          <w:highlight w:val="none"/>
        </w:rPr>
      </w:pPr>
      <w:r>
        <w:rPr>
          <w:rFonts w:eastAsia="黑体"/>
          <w:b/>
          <w:bCs/>
          <w:color w:val="auto"/>
          <w:kern w:val="0"/>
          <w:sz w:val="30"/>
          <w:szCs w:val="30"/>
          <w:highlight w:val="none"/>
        </w:rPr>
        <w:t>七、</w:t>
      </w:r>
      <w:r>
        <w:rPr>
          <w:rFonts w:hint="eastAsia" w:ascii="‘Times New Roman‘" w:eastAsia="‘Times New Roman‘"/>
          <w:b/>
          <w:bCs/>
          <w:color w:val="auto"/>
          <w:kern w:val="0"/>
          <w:sz w:val="30"/>
          <w:szCs w:val="30"/>
          <w:highlight w:val="none"/>
        </w:rPr>
        <w:t xml:space="preserve">   </w:t>
      </w:r>
      <w:r>
        <w:rPr>
          <w:rFonts w:hint="eastAsia" w:ascii="‘Times New Roman‘" w:hAnsi="宋体" w:eastAsia="黑体" w:cs="宋体"/>
          <w:b/>
          <w:bCs/>
          <w:color w:val="auto"/>
          <w:kern w:val="0"/>
          <w:sz w:val="30"/>
          <w:szCs w:val="30"/>
          <w:highlight w:val="none"/>
        </w:rPr>
        <w:t>项目合同金额</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八、</w:t>
      </w:r>
      <w:r>
        <w:rPr>
          <w:rFonts w:hint="eastAsia" w:ascii="‘Times New Roman‘" w:eastAsia="‘Times New Roman‘"/>
          <w:b/>
          <w:bCs/>
          <w:color w:val="auto"/>
          <w:kern w:val="0"/>
          <w:sz w:val="30"/>
          <w:szCs w:val="30"/>
          <w:highlight w:val="none"/>
        </w:rPr>
        <w:t xml:space="preserve">   </w:t>
      </w:r>
      <w:r>
        <w:rPr>
          <w:rFonts w:hint="eastAsia" w:ascii="‘Times New Roman‘" w:hAnsi="宋体" w:eastAsia="黑体" w:cs="宋体"/>
          <w:b/>
          <w:bCs/>
          <w:color w:val="auto"/>
          <w:kern w:val="0"/>
          <w:sz w:val="30"/>
          <w:szCs w:val="30"/>
          <w:highlight w:val="none"/>
        </w:rPr>
        <w:t>项目合同支付条款</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九、</w:t>
      </w:r>
      <w:r>
        <w:rPr>
          <w:rFonts w:hint="eastAsia" w:ascii="‘Times New Roman‘" w:eastAsia="‘Times New Roman‘"/>
          <w:b/>
          <w:bCs/>
          <w:color w:val="auto"/>
          <w:kern w:val="0"/>
          <w:sz w:val="30"/>
          <w:szCs w:val="30"/>
          <w:highlight w:val="none"/>
        </w:rPr>
        <w:t xml:space="preserve">   </w:t>
      </w:r>
      <w:r>
        <w:rPr>
          <w:rFonts w:hint="eastAsia" w:ascii="‘Times New Roman‘" w:hAnsi="宋体" w:eastAsia="黑体" w:cs="宋体"/>
          <w:b/>
          <w:bCs/>
          <w:color w:val="auto"/>
          <w:kern w:val="0"/>
          <w:sz w:val="30"/>
          <w:szCs w:val="30"/>
          <w:highlight w:val="none"/>
        </w:rPr>
        <w:t>项目合同修改</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十、</w:t>
      </w:r>
      <w:r>
        <w:rPr>
          <w:rFonts w:hint="eastAsia" w:ascii="‘Times New Roman‘" w:eastAsia="‘Times New Roman‘"/>
          <w:b/>
          <w:bCs/>
          <w:color w:val="auto"/>
          <w:kern w:val="0"/>
          <w:sz w:val="30"/>
          <w:szCs w:val="30"/>
          <w:highlight w:val="none"/>
        </w:rPr>
        <w:t xml:space="preserve">   </w:t>
      </w:r>
      <w:r>
        <w:rPr>
          <w:rFonts w:hint="eastAsia" w:ascii="‘Times New Roman‘" w:hAnsi="宋体" w:eastAsia="黑体" w:cs="宋体"/>
          <w:b/>
          <w:bCs/>
          <w:color w:val="auto"/>
          <w:kern w:val="0"/>
          <w:sz w:val="30"/>
          <w:szCs w:val="30"/>
          <w:highlight w:val="none"/>
        </w:rPr>
        <w:t>违约责任</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十一、</w:t>
      </w:r>
      <w:r>
        <w:rPr>
          <w:rFonts w:hint="eastAsia" w:ascii="‘Times New Roman‘" w:hAnsi="宋体" w:eastAsia="黑体" w:cs="宋体"/>
          <w:b/>
          <w:bCs/>
          <w:color w:val="auto"/>
          <w:kern w:val="0"/>
          <w:sz w:val="30"/>
          <w:szCs w:val="30"/>
          <w:highlight w:val="none"/>
        </w:rPr>
        <w:t>项目合同终止</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十二、</w:t>
      </w:r>
      <w:r>
        <w:rPr>
          <w:rFonts w:hint="eastAsia" w:ascii="‘Times New Roman‘" w:hAnsi="宋体" w:eastAsia="黑体" w:cs="宋体"/>
          <w:b/>
          <w:bCs/>
          <w:color w:val="auto"/>
          <w:kern w:val="0"/>
          <w:sz w:val="30"/>
          <w:szCs w:val="30"/>
          <w:highlight w:val="none"/>
        </w:rPr>
        <w:t>不可抗力</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十三、</w:t>
      </w:r>
      <w:r>
        <w:rPr>
          <w:rFonts w:hint="eastAsia" w:ascii="‘Times New Roman‘" w:hAnsi="宋体" w:eastAsia="黑体" w:cs="宋体"/>
          <w:b/>
          <w:bCs/>
          <w:color w:val="auto"/>
          <w:kern w:val="0"/>
          <w:sz w:val="30"/>
          <w:szCs w:val="30"/>
          <w:highlight w:val="none"/>
        </w:rPr>
        <w:t>项目保密</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十</w:t>
      </w:r>
      <w:r>
        <w:rPr>
          <w:rFonts w:hint="eastAsia" w:eastAsia="黑体"/>
          <w:b/>
          <w:bCs/>
          <w:color w:val="auto"/>
          <w:kern w:val="0"/>
          <w:sz w:val="30"/>
          <w:szCs w:val="30"/>
          <w:highlight w:val="none"/>
        </w:rPr>
        <w:t>四</w:t>
      </w:r>
      <w:r>
        <w:rPr>
          <w:rFonts w:eastAsia="黑体"/>
          <w:b/>
          <w:bCs/>
          <w:color w:val="auto"/>
          <w:kern w:val="0"/>
          <w:sz w:val="30"/>
          <w:szCs w:val="30"/>
          <w:highlight w:val="none"/>
        </w:rPr>
        <w:t>、</w:t>
      </w:r>
      <w:r>
        <w:rPr>
          <w:rFonts w:hint="eastAsia" w:ascii="‘Times New Roman‘" w:hAnsi="宋体" w:eastAsia="黑体" w:cs="宋体"/>
          <w:b/>
          <w:bCs/>
          <w:color w:val="auto"/>
          <w:kern w:val="0"/>
          <w:sz w:val="30"/>
          <w:szCs w:val="30"/>
          <w:highlight w:val="none"/>
        </w:rPr>
        <w:t>争议解决方式</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十</w:t>
      </w:r>
      <w:r>
        <w:rPr>
          <w:rFonts w:hint="eastAsia" w:eastAsia="黑体"/>
          <w:b/>
          <w:bCs/>
          <w:color w:val="auto"/>
          <w:kern w:val="0"/>
          <w:sz w:val="30"/>
          <w:szCs w:val="30"/>
          <w:highlight w:val="none"/>
        </w:rPr>
        <w:t>五</w:t>
      </w:r>
      <w:r>
        <w:rPr>
          <w:rFonts w:eastAsia="黑体"/>
          <w:b/>
          <w:bCs/>
          <w:color w:val="auto"/>
          <w:kern w:val="0"/>
          <w:sz w:val="30"/>
          <w:szCs w:val="30"/>
          <w:highlight w:val="none"/>
        </w:rPr>
        <w:t>、</w:t>
      </w:r>
      <w:r>
        <w:rPr>
          <w:rFonts w:hint="eastAsia" w:ascii="‘Times New Roman‘" w:hAnsi="宋体" w:eastAsia="黑体" w:cs="宋体"/>
          <w:b/>
          <w:bCs/>
          <w:color w:val="auto"/>
          <w:kern w:val="0"/>
          <w:sz w:val="30"/>
          <w:szCs w:val="30"/>
          <w:highlight w:val="none"/>
        </w:rPr>
        <w:t>项目合同附件清单</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十</w:t>
      </w:r>
      <w:r>
        <w:rPr>
          <w:rFonts w:hint="eastAsia" w:eastAsia="黑体"/>
          <w:b/>
          <w:bCs/>
          <w:color w:val="auto"/>
          <w:kern w:val="0"/>
          <w:sz w:val="30"/>
          <w:szCs w:val="30"/>
          <w:highlight w:val="none"/>
        </w:rPr>
        <w:t>六</w:t>
      </w:r>
      <w:r>
        <w:rPr>
          <w:rFonts w:eastAsia="黑体"/>
          <w:b/>
          <w:bCs/>
          <w:color w:val="auto"/>
          <w:kern w:val="0"/>
          <w:sz w:val="30"/>
          <w:szCs w:val="30"/>
          <w:highlight w:val="none"/>
        </w:rPr>
        <w:t>、</w:t>
      </w:r>
      <w:r>
        <w:rPr>
          <w:rFonts w:hint="eastAsia" w:ascii="‘Times New Roman‘" w:hAnsi="宋体" w:eastAsia="黑体" w:cs="宋体"/>
          <w:b/>
          <w:bCs/>
          <w:color w:val="auto"/>
          <w:kern w:val="0"/>
          <w:sz w:val="30"/>
          <w:szCs w:val="30"/>
          <w:highlight w:val="none"/>
        </w:rPr>
        <w:t>项目合同生效及其它</w:t>
      </w:r>
    </w:p>
    <w:p>
      <w:pPr>
        <w:widowControl/>
        <w:tabs>
          <w:tab w:val="left" w:pos="720"/>
        </w:tabs>
        <w:snapToGrid w:val="0"/>
        <w:spacing w:line="360" w:lineRule="auto"/>
        <w:ind w:left="720" w:hanging="720"/>
        <w:jc w:val="left"/>
        <w:rPr>
          <w:rFonts w:ascii="宋体" w:hAnsi="宋体" w:eastAsia="黑体" w:cs="宋体"/>
          <w:b/>
          <w:bCs/>
          <w:color w:val="auto"/>
          <w:kern w:val="0"/>
          <w:sz w:val="30"/>
          <w:szCs w:val="30"/>
          <w:highlight w:val="none"/>
        </w:rPr>
      </w:pPr>
      <w:r>
        <w:rPr>
          <w:rFonts w:eastAsia="黑体"/>
          <w:b/>
          <w:bCs/>
          <w:color w:val="auto"/>
          <w:kern w:val="0"/>
          <w:sz w:val="30"/>
          <w:szCs w:val="30"/>
          <w:highlight w:val="none"/>
        </w:rPr>
        <w:t>十</w:t>
      </w:r>
      <w:r>
        <w:rPr>
          <w:rFonts w:hint="eastAsia" w:eastAsia="黑体"/>
          <w:b/>
          <w:bCs/>
          <w:color w:val="auto"/>
          <w:kern w:val="0"/>
          <w:sz w:val="30"/>
          <w:szCs w:val="30"/>
          <w:highlight w:val="none"/>
        </w:rPr>
        <w:t>七</w:t>
      </w:r>
      <w:r>
        <w:rPr>
          <w:rFonts w:eastAsia="黑体"/>
          <w:b/>
          <w:bCs/>
          <w:color w:val="auto"/>
          <w:kern w:val="0"/>
          <w:sz w:val="30"/>
          <w:szCs w:val="30"/>
          <w:highlight w:val="none"/>
        </w:rPr>
        <w:t>、</w:t>
      </w:r>
      <w:r>
        <w:rPr>
          <w:rFonts w:hint="eastAsia" w:ascii="‘Times New Roman‘" w:hAnsi="宋体" w:eastAsia="黑体" w:cs="宋体"/>
          <w:b/>
          <w:bCs/>
          <w:color w:val="auto"/>
          <w:kern w:val="0"/>
          <w:sz w:val="30"/>
          <w:szCs w:val="30"/>
          <w:highlight w:val="none"/>
        </w:rPr>
        <w:t>项目合同签字及签章</w:t>
      </w:r>
    </w:p>
    <w:p>
      <w:pPr>
        <w:widowControl/>
        <w:snapToGrid w:val="0"/>
        <w:spacing w:line="360" w:lineRule="auto"/>
        <w:jc w:val="left"/>
        <w:rPr>
          <w:rFonts w:ascii="宋体" w:hAnsi="宋体" w:eastAsia="仿宋_GB2312" w:cs="宋体"/>
          <w:color w:val="auto"/>
          <w:kern w:val="0"/>
          <w:sz w:val="24"/>
          <w:highlight w:val="none"/>
        </w:rPr>
      </w:pPr>
    </w:p>
    <w:p>
      <w:pPr>
        <w:widowControl/>
        <w:snapToGrid w:val="0"/>
        <w:spacing w:line="360" w:lineRule="auto"/>
        <w:jc w:val="left"/>
        <w:rPr>
          <w:rFonts w:ascii="宋体" w:hAnsi="宋体" w:eastAsia="仿宋_GB2312" w:cs="宋体"/>
          <w:color w:val="auto"/>
          <w:kern w:val="0"/>
          <w:sz w:val="24"/>
          <w:highlight w:val="none"/>
        </w:rPr>
      </w:pPr>
    </w:p>
    <w:p>
      <w:pPr>
        <w:widowControl/>
        <w:snapToGrid w:val="0"/>
        <w:spacing w:line="360" w:lineRule="auto"/>
        <w:jc w:val="left"/>
        <w:rPr>
          <w:rFonts w:ascii="宋体" w:hAnsi="宋体" w:eastAsia="仿宋_GB2312" w:cs="宋体"/>
          <w:color w:val="auto"/>
          <w:kern w:val="0"/>
          <w:sz w:val="24"/>
          <w:highlight w:val="none"/>
        </w:rPr>
      </w:pPr>
    </w:p>
    <w:p>
      <w:pPr>
        <w:widowControl/>
        <w:tabs>
          <w:tab w:val="left" w:pos="495"/>
        </w:tabs>
        <w:snapToGrid w:val="0"/>
        <w:spacing w:line="360" w:lineRule="auto"/>
        <w:ind w:left="495" w:hanging="495"/>
        <w:jc w:val="left"/>
        <w:rPr>
          <w:rFonts w:ascii="黑体" w:hAnsi="宋体" w:eastAsia="黑体" w:cs="黑体"/>
          <w:color w:val="auto"/>
          <w:kern w:val="0"/>
          <w:sz w:val="24"/>
          <w:highlight w:val="none"/>
        </w:rPr>
        <w:sectPr>
          <w:footerReference r:id="rId7" w:type="default"/>
          <w:pgSz w:w="12240" w:h="15840"/>
          <w:pgMar w:top="1440" w:right="1800" w:bottom="1440" w:left="1800" w:header="720" w:footer="720" w:gutter="0"/>
          <w:pgNumType w:fmt="decimal" w:start="24"/>
          <w:cols w:space="720" w:num="1"/>
        </w:sectPr>
      </w:pPr>
    </w:p>
    <w:p>
      <w:pPr>
        <w:widowControl/>
        <w:tabs>
          <w:tab w:val="left" w:pos="495"/>
        </w:tabs>
        <w:snapToGrid w:val="0"/>
        <w:spacing w:line="360" w:lineRule="auto"/>
        <w:ind w:left="495" w:hanging="495"/>
        <w:jc w:val="left"/>
        <w:rPr>
          <w:rFonts w:ascii="新宋体" w:hAnsi="新宋体" w:eastAsia="新宋体" w:cs="宋体"/>
          <w:b/>
          <w:bCs/>
          <w:color w:val="auto"/>
          <w:kern w:val="0"/>
          <w:sz w:val="22"/>
          <w:szCs w:val="22"/>
          <w:highlight w:val="none"/>
        </w:rPr>
      </w:pPr>
      <w:r>
        <w:rPr>
          <w:rFonts w:hint="eastAsia" w:ascii="新宋体" w:hAnsi="新宋体" w:eastAsia="新宋体" w:cs="黑体"/>
          <w:b/>
          <w:bCs/>
          <w:color w:val="auto"/>
          <w:kern w:val="0"/>
          <w:sz w:val="22"/>
          <w:szCs w:val="22"/>
          <w:highlight w:val="none"/>
        </w:rPr>
        <w:t>一、</w:t>
      </w:r>
      <w:r>
        <w:rPr>
          <w:rFonts w:hint="eastAsia" w:ascii="新宋体" w:hAnsi="新宋体" w:eastAsia="新宋体" w:cs="宋体"/>
          <w:b/>
          <w:bCs/>
          <w:color w:val="auto"/>
          <w:kern w:val="0"/>
          <w:sz w:val="22"/>
          <w:szCs w:val="22"/>
          <w:highlight w:val="none"/>
        </w:rPr>
        <w:t>总则</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 xml:space="preserve">（一） </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年</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月</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日在</w:t>
      </w:r>
      <w:r>
        <w:rPr>
          <w:rFonts w:hint="eastAsia" w:ascii="新宋体" w:hAnsi="新宋体" w:eastAsia="新宋体" w:cs="仿宋_GB2312"/>
          <w:color w:val="auto"/>
          <w:kern w:val="0"/>
          <w:sz w:val="22"/>
          <w:szCs w:val="22"/>
          <w:highlight w:val="none"/>
          <w:lang w:eastAsia="zh-CN"/>
        </w:rPr>
        <w:t>温州市鹿城区园林绿化管理中心</w:t>
      </w:r>
      <w:r>
        <w:rPr>
          <w:rFonts w:hint="eastAsia" w:ascii="新宋体" w:hAnsi="新宋体" w:eastAsia="新宋体" w:cs="仿宋_GB2312"/>
          <w:color w:val="auto"/>
          <w:kern w:val="0"/>
          <w:sz w:val="22"/>
          <w:szCs w:val="22"/>
          <w:highlight w:val="none"/>
        </w:rPr>
        <w:t>的招标采购中，甲方接受乙方对本次</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项目的投标，甲、乙双方根据《中华人民共和国民法典》、《中华人民共和国政府采购法》等法律法规和本合同的招标文件、投标文件及其投标中的承诺，经双方协商，同意按下述条款和条件签订本合同，共同遵守。</w:t>
      </w:r>
    </w:p>
    <w:p>
      <w:pPr>
        <w:widowControl/>
        <w:snapToGrid w:val="0"/>
        <w:spacing w:line="360" w:lineRule="auto"/>
        <w:ind w:left="534" w:leftChars="228" w:hanging="55" w:hangingChars="25"/>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（二）项目建设目标：（根据招标文件、投标文件内容填写）</w:t>
      </w:r>
    </w:p>
    <w:p>
      <w:pPr>
        <w:widowControl/>
        <w:snapToGrid w:val="0"/>
        <w:spacing w:line="360" w:lineRule="auto"/>
        <w:ind w:left="1964" w:leftChars="228" w:hanging="1485" w:hangingChars="675"/>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（三）项目建设内容：（根据招标文件、投标文件内容填写）</w:t>
      </w:r>
    </w:p>
    <w:p>
      <w:pPr>
        <w:widowControl/>
        <w:tabs>
          <w:tab w:val="left" w:pos="495"/>
        </w:tabs>
        <w:snapToGrid w:val="0"/>
        <w:spacing w:line="360" w:lineRule="auto"/>
        <w:ind w:left="495" w:hanging="495"/>
        <w:jc w:val="left"/>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二、甲方责任</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 xml:space="preserve">（一）甲方提出项目建设任务和需求，负责项目的总体组织工作，并保留根据实际工作需求，提出对项目建设方案进行适当修改的权利。 </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（二）甲方应为调研、安装、测试、调试等乙方工作提供必要的工作环境及协助人员。</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（三）甲方负责组织由乙方提供的技术培训工作。</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（四）甲方负责协调最终甲方和乙方的关系，并提供最终甲方的联系方式。</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（五）甲方对乙方向甲方提供的内部资料予以保密，且不向任何第三方泄露乙方的商业机密和技术机密。</w:t>
      </w:r>
    </w:p>
    <w:p>
      <w:pPr>
        <w:widowControl/>
        <w:snapToGrid w:val="0"/>
        <w:spacing w:before="156" w:line="360" w:lineRule="auto"/>
        <w:jc w:val="left"/>
        <w:rPr>
          <w:rFonts w:ascii="新宋体" w:hAnsi="新宋体" w:eastAsia="新宋体" w:cs="宋体"/>
          <w:b/>
          <w:bCs/>
          <w:color w:val="auto"/>
          <w:kern w:val="0"/>
          <w:sz w:val="22"/>
          <w:szCs w:val="22"/>
          <w:highlight w:val="none"/>
        </w:rPr>
      </w:pPr>
      <w:r>
        <w:rPr>
          <w:rFonts w:hint="eastAsia" w:ascii="新宋体" w:hAnsi="新宋体" w:eastAsia="新宋体" w:cs="黑体"/>
          <w:b/>
          <w:bCs/>
          <w:color w:val="auto"/>
          <w:kern w:val="0"/>
          <w:sz w:val="22"/>
          <w:szCs w:val="22"/>
          <w:highlight w:val="none"/>
        </w:rPr>
        <w:t>三、</w:t>
      </w:r>
      <w:r>
        <w:rPr>
          <w:rFonts w:hint="eastAsia" w:ascii="新宋体" w:hAnsi="新宋体" w:eastAsia="新宋体" w:cs="宋体"/>
          <w:b/>
          <w:bCs/>
          <w:color w:val="auto"/>
          <w:kern w:val="0"/>
          <w:sz w:val="22"/>
          <w:szCs w:val="22"/>
          <w:highlight w:val="none"/>
        </w:rPr>
        <w:t>乙方责任</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（一）乙方应根据项目招标文件的要求细化项目建设需求，并根据投标文件进行项目建设，负责项目的具体实施工作。</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（二）乙方根据招标文件的基本技术要求与甲方共同确定项目所需的系统软件、硬件的数量及规格要求。</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（三）乙方保证按合同规定时间完工，并在工程结束时提交完整的相应技术文档及用户手册，并积极配合甲方对工程项目进行验收。</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（四）乙方向甲方提供</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年（不少于5年）的产品质保服务（详见附件《技术支持和售后服务方案》）（包括软件、硬件及系统），产品质保服从验收合格之日起计算。</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（五）乙方为甲方提供项目的所有硬件设备使用、管理及维护等方面的</w:t>
      </w:r>
      <w:r>
        <w:rPr>
          <w:rFonts w:hint="eastAsia" w:ascii="新宋体" w:hAnsi="新宋体" w:eastAsia="新宋体" w:cs="仿宋_GB2312"/>
          <w:color w:val="auto"/>
          <w:kern w:val="0"/>
          <w:sz w:val="22"/>
          <w:szCs w:val="22"/>
          <w:highlight w:val="none"/>
          <w:u w:val="single"/>
        </w:rPr>
        <w:t>免费</w:t>
      </w:r>
      <w:r>
        <w:rPr>
          <w:rFonts w:hint="eastAsia" w:ascii="新宋体" w:hAnsi="新宋体" w:eastAsia="新宋体" w:cs="仿宋_GB2312"/>
          <w:color w:val="auto"/>
          <w:kern w:val="0"/>
          <w:sz w:val="22"/>
          <w:szCs w:val="22"/>
          <w:highlight w:val="none"/>
        </w:rPr>
        <w:t>培训（详见附件《技术支持和售后服务方案》）。</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六）乙方应对甲方提供的硬件及系统运行中获取的包括但不限于甲方联系方式等内部资料采取必要的保密技术手段，不得运用于乙方任何研发、销售、技术分析等用途，且不得向任何第三方泄露甲方的任何内部资料。</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七）乙方自行负责为其工作人员配备符合工作、劳动条件的设备、装置、器具、保障其饮食起居等问题，在任何情况下乙方对其工作人员的人身安全、施工安全等负全部责任，甲方对此概不负责。如因情况紧急等原因甲方先行承担的，有权向乙方追偿。</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八）乙方应满足上述产品质量标准，并保证该软件硬件的运行不影响甲方内部网络信息安全性和保密性，因乙方没有履行上述义务造成甲方被第三方追责或损失的，乙方应承担全部责任，甲方先行赔偿的，有权按赔偿金额及损失向乙方追偿。</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（九）本项目中定制开发的硬件知识产权及使用权归甲方所有。</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（十）因乙方原因造成设备遗失的，由乙方向甲方照价赔偿；因乙方原因造成设备故障/损坏、数据丢失的，由乙方负责恢复原状并承担由此对甲方的造成的相关损失。</w:t>
      </w:r>
    </w:p>
    <w:p>
      <w:pPr>
        <w:pStyle w:val="34"/>
        <w:spacing w:line="460" w:lineRule="exact"/>
        <w:ind w:firstLine="469"/>
        <w:rPr>
          <w:color w:val="auto"/>
          <w:sz w:val="22"/>
          <w:szCs w:val="22"/>
          <w:highlight w:val="none"/>
        </w:rPr>
      </w:pPr>
      <w:r>
        <w:rPr>
          <w:rFonts w:hint="eastAsia" w:ascii="新宋体" w:hAnsi="新宋体" w:eastAsia="新宋体" w:cs="仿宋_GB2312"/>
          <w:color w:val="auto"/>
          <w:kern w:val="0"/>
          <w:sz w:val="22"/>
          <w:szCs w:val="22"/>
          <w:highlight w:val="none"/>
        </w:rPr>
        <w:t>（十一）项目承建单位服务过程中须留存维保记录，并提交项目建设部门，由项目建设部门签章及项目负责人签字确认，并将维保记录模板作为合同附件。维保记录模板内容包括但不限于：服务人员出入记录、服务开始时间、服务结束时间、服务人员姓名、服务人数、服务地点、服务内容、服务结果等。</w:t>
      </w:r>
    </w:p>
    <w:p>
      <w:pPr>
        <w:widowControl/>
        <w:tabs>
          <w:tab w:val="left" w:pos="495"/>
        </w:tabs>
        <w:snapToGrid w:val="0"/>
        <w:spacing w:line="360" w:lineRule="auto"/>
        <w:jc w:val="left"/>
        <w:rPr>
          <w:rFonts w:ascii="新宋体" w:hAnsi="新宋体" w:eastAsia="新宋体" w:cs="宋体"/>
          <w:color w:val="auto"/>
          <w:kern w:val="0"/>
          <w:sz w:val="22"/>
          <w:szCs w:val="22"/>
          <w:highlight w:val="none"/>
        </w:rPr>
      </w:pPr>
      <w:r>
        <w:rPr>
          <w:rFonts w:hint="eastAsia" w:ascii="新宋体" w:hAnsi="新宋体" w:eastAsia="新宋体" w:cs="宋体"/>
          <w:b/>
          <w:bCs/>
          <w:color w:val="auto"/>
          <w:kern w:val="0"/>
          <w:sz w:val="22"/>
          <w:szCs w:val="22"/>
          <w:highlight w:val="none"/>
        </w:rPr>
        <w:t>四、项目工期与进度表</w:t>
      </w:r>
      <w:r>
        <w:rPr>
          <w:rFonts w:hint="eastAsia" w:ascii="新宋体" w:hAnsi="新宋体" w:eastAsia="新宋体" w:cs="宋体"/>
          <w:color w:val="auto"/>
          <w:kern w:val="0"/>
          <w:sz w:val="22"/>
          <w:szCs w:val="22"/>
          <w:highlight w:val="none"/>
        </w:rPr>
        <w:t>（请填写招标文件要求的合同工期与进度计划）</w:t>
      </w:r>
    </w:p>
    <w:p>
      <w:pPr>
        <w:widowControl/>
        <w:tabs>
          <w:tab w:val="left" w:pos="495"/>
        </w:tabs>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本项目总工期为</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u w:val="single"/>
          <w:lang w:val="en-US" w:eastAsia="zh-CN"/>
        </w:rPr>
        <w:t>5</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lang w:val="en-US" w:eastAsia="zh-CN"/>
        </w:rPr>
        <w:t>个月</w:t>
      </w:r>
      <w:r>
        <w:rPr>
          <w:rFonts w:hint="eastAsia" w:ascii="新宋体" w:hAnsi="新宋体" w:eastAsia="新宋体" w:cs="仿宋_GB2312"/>
          <w:color w:val="auto"/>
          <w:kern w:val="0"/>
          <w:sz w:val="22"/>
          <w:szCs w:val="22"/>
          <w:highlight w:val="none"/>
        </w:rPr>
        <w:t>（</w:t>
      </w:r>
      <w:r>
        <w:rPr>
          <w:rFonts w:hint="eastAsia" w:ascii="新宋体" w:hAnsi="新宋体" w:eastAsia="新宋体" w:cs="仿宋_GB2312"/>
          <w:color w:val="auto"/>
          <w:kern w:val="0"/>
          <w:sz w:val="22"/>
          <w:szCs w:val="22"/>
          <w:highlight w:val="none"/>
          <w:lang w:val="en-US" w:eastAsia="zh-CN"/>
        </w:rPr>
        <w:t>不</w:t>
      </w:r>
      <w:r>
        <w:rPr>
          <w:rFonts w:hint="eastAsia" w:ascii="新宋体" w:hAnsi="新宋体" w:eastAsia="新宋体" w:cs="仿宋_GB2312"/>
          <w:color w:val="auto"/>
          <w:kern w:val="0"/>
          <w:sz w:val="22"/>
          <w:szCs w:val="22"/>
          <w:highlight w:val="none"/>
        </w:rPr>
        <w:t>包括3个月</w:t>
      </w:r>
      <w:r>
        <w:rPr>
          <w:rFonts w:hint="eastAsia" w:ascii="新宋体" w:hAnsi="新宋体" w:eastAsia="新宋体" w:cs="仿宋_GB2312"/>
          <w:color w:val="auto"/>
          <w:kern w:val="0"/>
          <w:sz w:val="22"/>
          <w:szCs w:val="22"/>
          <w:highlight w:val="none"/>
          <w:lang w:val="en-US" w:eastAsia="zh-CN"/>
        </w:rPr>
        <w:t>及以上的</w:t>
      </w:r>
      <w:r>
        <w:rPr>
          <w:rFonts w:hint="eastAsia" w:ascii="新宋体" w:hAnsi="新宋体" w:eastAsia="新宋体" w:cs="仿宋_GB2312"/>
          <w:color w:val="auto"/>
          <w:kern w:val="0"/>
          <w:sz w:val="22"/>
          <w:szCs w:val="22"/>
          <w:highlight w:val="none"/>
        </w:rPr>
        <w:t>试运行），工期以合同签订日起计算。参考项目进度表如下：</w:t>
      </w:r>
    </w:p>
    <w:p>
      <w:pPr>
        <w:widowControl/>
        <w:tabs>
          <w:tab w:val="left" w:pos="495"/>
        </w:tabs>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w:t>
      </w:r>
    </w:p>
    <w:p>
      <w:pPr>
        <w:widowControl/>
        <w:snapToGrid w:val="0"/>
        <w:spacing w:line="360" w:lineRule="auto"/>
        <w:jc w:val="left"/>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五、项目上线、试运行和验收</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乙方应在项目硬件设备安装调试后、系统上线前，进行完整硬件设备及系统测试后，向甲方提供详细的硬件设备及系统上线方案，由甲方确认。在甲方确认无误后，乙方应负责按硬件设备及系统上线方案进行系统的安装调试工作。在安装、调试过程中，乙方应对甲方技术人员所提出的问题给予满意的答复，并提供安装调试过程中的各种文档资料，以便于甲方能掌握操作方法和维修方法。项目上线后，乙方应向甲方提供安装、调试报告，报告中应包括安装调试结果和安装调试过程中出现的问题及解决办法等内容。</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项目上线、硬件设备及系统的安装调试工作完成后，应进行至少为期3个月的试运行，乙方应派遣技术人员（应明确人数及资质要求）免费在现场进行技术服务，负责硬件设备及系统试运行阶段的服务工作。</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在试运行期间，由于各种原因造成某些技术指标达不到要求，乙方应负责解决，如属于硬件设备质量问题，达不到合同技术指标的，乙方应包换、包退。因包括但不限于调换、退货产生的一切费用由乙方承担，如因此而造成进度延期的，按延期违约责任向甲方支付违约金，给甲方造成直接经济损失的，乙方也应全额赔偿，且试运行期相应顺延。</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（四）硬件设备及系统试运行结束后，按照《</w:t>
      </w:r>
      <w:r>
        <w:rPr>
          <w:rFonts w:hint="eastAsia" w:ascii="新宋体" w:hAnsi="新宋体" w:eastAsia="新宋体" w:cs="仿宋_GB2312"/>
          <w:color w:val="auto"/>
          <w:kern w:val="0"/>
          <w:sz w:val="22"/>
          <w:szCs w:val="22"/>
          <w:highlight w:val="none"/>
          <w:lang w:eastAsia="zh-CN"/>
        </w:rPr>
        <w:t>温州市鹿城区园林绿化管理中心</w:t>
      </w:r>
      <w:r>
        <w:rPr>
          <w:rFonts w:hint="eastAsia" w:ascii="新宋体" w:hAnsi="新宋体" w:eastAsia="新宋体" w:cs="仿宋_GB2312"/>
          <w:color w:val="auto"/>
          <w:kern w:val="0"/>
          <w:sz w:val="22"/>
          <w:szCs w:val="22"/>
          <w:highlight w:val="none"/>
        </w:rPr>
        <w:t>科技项目管理实施细则》进行验收。</w:t>
      </w:r>
    </w:p>
    <w:p>
      <w:pPr>
        <w:widowControl/>
        <w:snapToGrid w:val="0"/>
        <w:spacing w:line="360" w:lineRule="auto"/>
        <w:jc w:val="left"/>
        <w:rPr>
          <w:rFonts w:ascii="新宋体" w:hAnsi="新宋体" w:eastAsia="新宋体" w:cs="宋体"/>
          <w:color w:val="auto"/>
          <w:kern w:val="0"/>
          <w:sz w:val="22"/>
          <w:szCs w:val="22"/>
          <w:highlight w:val="none"/>
        </w:rPr>
      </w:pPr>
      <w:r>
        <w:rPr>
          <w:rFonts w:hint="eastAsia" w:ascii="新宋体" w:hAnsi="新宋体" w:eastAsia="新宋体" w:cs="宋体"/>
          <w:b/>
          <w:bCs/>
          <w:color w:val="auto"/>
          <w:kern w:val="0"/>
          <w:sz w:val="22"/>
          <w:szCs w:val="22"/>
          <w:highlight w:val="none"/>
        </w:rPr>
        <w:t>六、售后服务和技术培训</w:t>
      </w:r>
    </w:p>
    <w:p>
      <w:pPr>
        <w:widowControl/>
        <w:snapToGrid w:val="0"/>
        <w:spacing w:line="360" w:lineRule="auto"/>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乙方应按附件《技术支持和售后服务方案》的内容为甲方提供免费技术培训和售后服务。</w:t>
      </w:r>
    </w:p>
    <w:p>
      <w:pPr>
        <w:widowControl/>
        <w:snapToGrid w:val="0"/>
        <w:spacing w:line="360" w:lineRule="auto"/>
        <w:jc w:val="left"/>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七、项目合同金额</w:t>
      </w:r>
    </w:p>
    <w:p>
      <w:pPr>
        <w:widowControl/>
        <w:snapToGrid w:val="0"/>
        <w:spacing w:line="360" w:lineRule="auto"/>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（一）本合同中提及金额均为含税价。</w:t>
      </w:r>
    </w:p>
    <w:p>
      <w:pPr>
        <w:widowControl/>
        <w:snapToGrid w:val="0"/>
        <w:spacing w:line="360" w:lineRule="auto"/>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（二）合同总金额为：人民币：</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元（大写：</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元整）</w:t>
      </w:r>
    </w:p>
    <w:p>
      <w:pPr>
        <w:widowControl/>
        <w:snapToGrid w:val="0"/>
        <w:spacing w:line="360" w:lineRule="auto"/>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（三）合同详细价格清单</w:t>
      </w:r>
    </w:p>
    <w:tbl>
      <w:tblPr>
        <w:tblStyle w:val="52"/>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3780"/>
        <w:gridCol w:w="360"/>
        <w:gridCol w:w="108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top w:val="double" w:color="auto" w:sz="4" w:space="0"/>
              <w:left w:val="double" w:color="auto" w:sz="4" w:space="0"/>
            </w:tcBorders>
            <w:vAlign w:val="center"/>
          </w:tcPr>
          <w:p>
            <w:pPr>
              <w:widowControl/>
              <w:spacing w:line="360" w:lineRule="auto"/>
              <w:jc w:val="center"/>
              <w:rPr>
                <w:rFonts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设备名称</w:t>
            </w:r>
          </w:p>
        </w:tc>
        <w:tc>
          <w:tcPr>
            <w:tcW w:w="3780" w:type="dxa"/>
            <w:tcBorders>
              <w:top w:val="double" w:color="auto" w:sz="4" w:space="0"/>
            </w:tcBorders>
            <w:vAlign w:val="center"/>
          </w:tcPr>
          <w:p>
            <w:pPr>
              <w:widowControl/>
              <w:spacing w:line="360" w:lineRule="auto"/>
              <w:jc w:val="center"/>
              <w:rPr>
                <w:rFonts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说明</w:t>
            </w:r>
          </w:p>
        </w:tc>
        <w:tc>
          <w:tcPr>
            <w:tcW w:w="360" w:type="dxa"/>
            <w:tcBorders>
              <w:top w:val="double" w:color="auto" w:sz="4" w:space="0"/>
            </w:tcBorders>
            <w:vAlign w:val="center"/>
          </w:tcPr>
          <w:p>
            <w:pPr>
              <w:widowControl/>
              <w:spacing w:line="360" w:lineRule="auto"/>
              <w:jc w:val="center"/>
              <w:rPr>
                <w:rFonts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数量</w:t>
            </w:r>
          </w:p>
        </w:tc>
        <w:tc>
          <w:tcPr>
            <w:tcW w:w="1080" w:type="dxa"/>
            <w:tcBorders>
              <w:top w:val="double" w:color="auto" w:sz="4" w:space="0"/>
            </w:tcBorders>
            <w:vAlign w:val="center"/>
          </w:tcPr>
          <w:p>
            <w:pPr>
              <w:widowControl/>
              <w:spacing w:line="360" w:lineRule="auto"/>
              <w:jc w:val="center"/>
              <w:rPr>
                <w:rFonts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单价</w:t>
            </w:r>
          </w:p>
        </w:tc>
        <w:tc>
          <w:tcPr>
            <w:tcW w:w="900" w:type="dxa"/>
            <w:tcBorders>
              <w:top w:val="double" w:color="auto" w:sz="4" w:space="0"/>
            </w:tcBorders>
            <w:vAlign w:val="center"/>
          </w:tcPr>
          <w:p>
            <w:pPr>
              <w:widowControl/>
              <w:spacing w:line="360" w:lineRule="auto"/>
              <w:jc w:val="center"/>
              <w:rPr>
                <w:rFonts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总价</w:t>
            </w:r>
          </w:p>
        </w:tc>
        <w:tc>
          <w:tcPr>
            <w:tcW w:w="1260" w:type="dxa"/>
            <w:tcBorders>
              <w:top w:val="double" w:color="auto" w:sz="4" w:space="0"/>
              <w:right w:val="double" w:color="auto" w:sz="4" w:space="0"/>
            </w:tcBorders>
            <w:vAlign w:val="center"/>
          </w:tcPr>
          <w:p>
            <w:pPr>
              <w:widowControl/>
              <w:spacing w:line="360" w:lineRule="auto"/>
              <w:jc w:val="center"/>
              <w:rPr>
                <w:rFonts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保修期限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vAlign w:val="center"/>
          </w:tcPr>
          <w:p>
            <w:pPr>
              <w:rPr>
                <w:rFonts w:ascii="新宋体" w:hAnsi="新宋体" w:eastAsia="新宋体" w:cs="仿宋_GB2312"/>
                <w:color w:val="auto"/>
                <w:sz w:val="22"/>
                <w:szCs w:val="22"/>
                <w:highlight w:val="none"/>
              </w:rPr>
            </w:pPr>
          </w:p>
        </w:tc>
        <w:tc>
          <w:tcPr>
            <w:tcW w:w="3780" w:type="dxa"/>
            <w:vAlign w:val="center"/>
          </w:tcPr>
          <w:p>
            <w:pPr>
              <w:rPr>
                <w:rFonts w:ascii="新宋体" w:hAnsi="新宋体" w:eastAsia="新宋体" w:cs="仿宋_GB2312"/>
                <w:color w:val="auto"/>
                <w:sz w:val="22"/>
                <w:szCs w:val="22"/>
                <w:highlight w:val="none"/>
              </w:rPr>
            </w:pPr>
          </w:p>
        </w:tc>
        <w:tc>
          <w:tcPr>
            <w:tcW w:w="360" w:type="dxa"/>
            <w:vAlign w:val="center"/>
          </w:tcPr>
          <w:p>
            <w:pPr>
              <w:jc w:val="center"/>
              <w:rPr>
                <w:rFonts w:ascii="新宋体" w:hAnsi="新宋体" w:eastAsia="新宋体" w:cs="仿宋_GB2312"/>
                <w:color w:val="auto"/>
                <w:sz w:val="22"/>
                <w:szCs w:val="22"/>
                <w:highlight w:val="none"/>
              </w:rPr>
            </w:pPr>
          </w:p>
        </w:tc>
        <w:tc>
          <w:tcPr>
            <w:tcW w:w="1080" w:type="dxa"/>
            <w:vAlign w:val="center"/>
          </w:tcPr>
          <w:p>
            <w:pPr>
              <w:jc w:val="right"/>
              <w:rPr>
                <w:rFonts w:ascii="新宋体" w:hAnsi="新宋体" w:eastAsia="新宋体" w:cs="仿宋_GB2312"/>
                <w:color w:val="auto"/>
                <w:sz w:val="22"/>
                <w:szCs w:val="22"/>
                <w:highlight w:val="none"/>
              </w:rPr>
            </w:pPr>
          </w:p>
        </w:tc>
        <w:tc>
          <w:tcPr>
            <w:tcW w:w="900" w:type="dxa"/>
            <w:vAlign w:val="center"/>
          </w:tcPr>
          <w:p>
            <w:pPr>
              <w:jc w:val="right"/>
              <w:rPr>
                <w:rFonts w:ascii="新宋体" w:hAnsi="新宋体" w:eastAsia="新宋体" w:cs="仿宋_GB2312"/>
                <w:color w:val="auto"/>
                <w:sz w:val="22"/>
                <w:szCs w:val="22"/>
                <w:highlight w:val="none"/>
              </w:rPr>
            </w:pPr>
          </w:p>
        </w:tc>
        <w:tc>
          <w:tcPr>
            <w:tcW w:w="1260" w:type="dxa"/>
            <w:tcBorders>
              <w:right w:val="double" w:color="auto" w:sz="4" w:space="0"/>
            </w:tcBorders>
            <w:vAlign w:val="center"/>
          </w:tcPr>
          <w:p>
            <w:pPr>
              <w:pStyle w:val="30"/>
              <w:tabs>
                <w:tab w:val="left" w:pos="8540"/>
              </w:tabs>
              <w:spacing w:line="400" w:lineRule="atLeast"/>
              <w:jc w:val="center"/>
              <w:rPr>
                <w:rFonts w:ascii="新宋体" w:hAnsi="新宋体" w:eastAsia="新宋体" w:cs="仿宋_GB2312"/>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vAlign w:val="center"/>
          </w:tcPr>
          <w:p>
            <w:pPr>
              <w:rPr>
                <w:rFonts w:ascii="新宋体" w:hAnsi="新宋体" w:eastAsia="新宋体" w:cs="仿宋_GB2312"/>
                <w:color w:val="auto"/>
                <w:sz w:val="22"/>
                <w:szCs w:val="22"/>
                <w:highlight w:val="none"/>
              </w:rPr>
            </w:pPr>
          </w:p>
        </w:tc>
        <w:tc>
          <w:tcPr>
            <w:tcW w:w="3780" w:type="dxa"/>
            <w:vAlign w:val="center"/>
          </w:tcPr>
          <w:p>
            <w:pPr>
              <w:rPr>
                <w:rFonts w:ascii="新宋体" w:hAnsi="新宋体" w:eastAsia="新宋体" w:cs="仿宋_GB2312"/>
                <w:color w:val="auto"/>
                <w:sz w:val="22"/>
                <w:szCs w:val="22"/>
                <w:highlight w:val="none"/>
              </w:rPr>
            </w:pPr>
          </w:p>
        </w:tc>
        <w:tc>
          <w:tcPr>
            <w:tcW w:w="360" w:type="dxa"/>
            <w:vAlign w:val="center"/>
          </w:tcPr>
          <w:p>
            <w:pPr>
              <w:jc w:val="center"/>
              <w:rPr>
                <w:rFonts w:ascii="新宋体" w:hAnsi="新宋体" w:eastAsia="新宋体" w:cs="仿宋_GB2312"/>
                <w:color w:val="auto"/>
                <w:sz w:val="22"/>
                <w:szCs w:val="22"/>
                <w:highlight w:val="none"/>
              </w:rPr>
            </w:pPr>
          </w:p>
        </w:tc>
        <w:tc>
          <w:tcPr>
            <w:tcW w:w="1080" w:type="dxa"/>
            <w:vAlign w:val="center"/>
          </w:tcPr>
          <w:p>
            <w:pPr>
              <w:jc w:val="right"/>
              <w:rPr>
                <w:rFonts w:ascii="新宋体" w:hAnsi="新宋体" w:eastAsia="新宋体" w:cs="仿宋_GB2312"/>
                <w:color w:val="auto"/>
                <w:sz w:val="22"/>
                <w:szCs w:val="22"/>
                <w:highlight w:val="none"/>
              </w:rPr>
            </w:pPr>
          </w:p>
        </w:tc>
        <w:tc>
          <w:tcPr>
            <w:tcW w:w="900" w:type="dxa"/>
            <w:vAlign w:val="center"/>
          </w:tcPr>
          <w:p>
            <w:pPr>
              <w:jc w:val="right"/>
              <w:rPr>
                <w:rFonts w:ascii="新宋体" w:hAnsi="新宋体" w:eastAsia="新宋体" w:cs="仿宋_GB2312"/>
                <w:color w:val="auto"/>
                <w:sz w:val="22"/>
                <w:szCs w:val="22"/>
                <w:highlight w:val="none"/>
              </w:rPr>
            </w:pPr>
          </w:p>
        </w:tc>
        <w:tc>
          <w:tcPr>
            <w:tcW w:w="1260" w:type="dxa"/>
            <w:tcBorders>
              <w:right w:val="double" w:color="auto" w:sz="4" w:space="0"/>
            </w:tcBorders>
            <w:vAlign w:val="center"/>
          </w:tcPr>
          <w:p>
            <w:pPr>
              <w:pStyle w:val="30"/>
              <w:tabs>
                <w:tab w:val="left" w:pos="8540"/>
              </w:tabs>
              <w:spacing w:line="400" w:lineRule="atLeast"/>
              <w:jc w:val="center"/>
              <w:rPr>
                <w:rFonts w:ascii="新宋体" w:hAnsi="新宋体" w:eastAsia="新宋体" w:cs="仿宋_GB2312"/>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vAlign w:val="center"/>
          </w:tcPr>
          <w:p>
            <w:pPr>
              <w:rPr>
                <w:rFonts w:ascii="新宋体" w:hAnsi="新宋体" w:eastAsia="新宋体" w:cs="仿宋_GB2312"/>
                <w:color w:val="auto"/>
                <w:sz w:val="22"/>
                <w:szCs w:val="22"/>
                <w:highlight w:val="none"/>
              </w:rPr>
            </w:pPr>
          </w:p>
        </w:tc>
        <w:tc>
          <w:tcPr>
            <w:tcW w:w="3780" w:type="dxa"/>
            <w:vAlign w:val="center"/>
          </w:tcPr>
          <w:p>
            <w:pPr>
              <w:rPr>
                <w:rFonts w:ascii="新宋体" w:hAnsi="新宋体" w:eastAsia="新宋体" w:cs="仿宋_GB2312"/>
                <w:color w:val="auto"/>
                <w:sz w:val="22"/>
                <w:szCs w:val="22"/>
                <w:highlight w:val="none"/>
              </w:rPr>
            </w:pPr>
          </w:p>
        </w:tc>
        <w:tc>
          <w:tcPr>
            <w:tcW w:w="360" w:type="dxa"/>
            <w:vAlign w:val="center"/>
          </w:tcPr>
          <w:p>
            <w:pPr>
              <w:jc w:val="center"/>
              <w:rPr>
                <w:rFonts w:ascii="新宋体" w:hAnsi="新宋体" w:eastAsia="新宋体" w:cs="仿宋_GB2312"/>
                <w:color w:val="auto"/>
                <w:sz w:val="22"/>
                <w:szCs w:val="22"/>
                <w:highlight w:val="none"/>
              </w:rPr>
            </w:pPr>
          </w:p>
        </w:tc>
        <w:tc>
          <w:tcPr>
            <w:tcW w:w="1080" w:type="dxa"/>
            <w:vAlign w:val="center"/>
          </w:tcPr>
          <w:p>
            <w:pPr>
              <w:jc w:val="right"/>
              <w:rPr>
                <w:rFonts w:ascii="新宋体" w:hAnsi="新宋体" w:eastAsia="新宋体" w:cs="仿宋_GB2312"/>
                <w:color w:val="auto"/>
                <w:sz w:val="22"/>
                <w:szCs w:val="22"/>
                <w:highlight w:val="none"/>
              </w:rPr>
            </w:pPr>
          </w:p>
        </w:tc>
        <w:tc>
          <w:tcPr>
            <w:tcW w:w="900" w:type="dxa"/>
            <w:vAlign w:val="center"/>
          </w:tcPr>
          <w:p>
            <w:pPr>
              <w:jc w:val="right"/>
              <w:rPr>
                <w:rFonts w:ascii="新宋体" w:hAnsi="新宋体" w:eastAsia="新宋体" w:cs="仿宋_GB2312"/>
                <w:color w:val="auto"/>
                <w:sz w:val="22"/>
                <w:szCs w:val="22"/>
                <w:highlight w:val="none"/>
              </w:rPr>
            </w:pPr>
          </w:p>
        </w:tc>
        <w:tc>
          <w:tcPr>
            <w:tcW w:w="1260" w:type="dxa"/>
            <w:tcBorders>
              <w:right w:val="double" w:color="auto" w:sz="4" w:space="0"/>
            </w:tcBorders>
            <w:vAlign w:val="center"/>
          </w:tcPr>
          <w:p>
            <w:pPr>
              <w:pStyle w:val="30"/>
              <w:tabs>
                <w:tab w:val="left" w:pos="8540"/>
              </w:tabs>
              <w:spacing w:line="400" w:lineRule="atLeast"/>
              <w:jc w:val="center"/>
              <w:rPr>
                <w:rFonts w:ascii="新宋体" w:hAnsi="新宋体" w:eastAsia="新宋体" w:cs="仿宋_GB2312"/>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vAlign w:val="center"/>
          </w:tcPr>
          <w:p>
            <w:pPr>
              <w:rPr>
                <w:rFonts w:ascii="新宋体" w:hAnsi="新宋体" w:eastAsia="新宋体" w:cs="仿宋_GB2312"/>
                <w:color w:val="auto"/>
                <w:sz w:val="22"/>
                <w:szCs w:val="22"/>
                <w:highlight w:val="none"/>
              </w:rPr>
            </w:pPr>
          </w:p>
        </w:tc>
        <w:tc>
          <w:tcPr>
            <w:tcW w:w="3780" w:type="dxa"/>
            <w:vAlign w:val="center"/>
          </w:tcPr>
          <w:p>
            <w:pPr>
              <w:rPr>
                <w:rFonts w:ascii="新宋体" w:hAnsi="新宋体" w:eastAsia="新宋体" w:cs="仿宋_GB2312"/>
                <w:color w:val="auto"/>
                <w:sz w:val="22"/>
                <w:szCs w:val="22"/>
                <w:highlight w:val="none"/>
              </w:rPr>
            </w:pPr>
          </w:p>
        </w:tc>
        <w:tc>
          <w:tcPr>
            <w:tcW w:w="360" w:type="dxa"/>
            <w:vAlign w:val="center"/>
          </w:tcPr>
          <w:p>
            <w:pPr>
              <w:jc w:val="center"/>
              <w:rPr>
                <w:rFonts w:ascii="新宋体" w:hAnsi="新宋体" w:eastAsia="新宋体" w:cs="仿宋_GB2312"/>
                <w:color w:val="auto"/>
                <w:sz w:val="22"/>
                <w:szCs w:val="22"/>
                <w:highlight w:val="none"/>
              </w:rPr>
            </w:pPr>
          </w:p>
        </w:tc>
        <w:tc>
          <w:tcPr>
            <w:tcW w:w="1080" w:type="dxa"/>
            <w:vAlign w:val="center"/>
          </w:tcPr>
          <w:p>
            <w:pPr>
              <w:jc w:val="right"/>
              <w:rPr>
                <w:rFonts w:ascii="新宋体" w:hAnsi="新宋体" w:eastAsia="新宋体" w:cs="仿宋_GB2312"/>
                <w:color w:val="auto"/>
                <w:sz w:val="22"/>
                <w:szCs w:val="22"/>
                <w:highlight w:val="none"/>
              </w:rPr>
            </w:pPr>
          </w:p>
        </w:tc>
        <w:tc>
          <w:tcPr>
            <w:tcW w:w="900" w:type="dxa"/>
            <w:vAlign w:val="center"/>
          </w:tcPr>
          <w:p>
            <w:pPr>
              <w:jc w:val="right"/>
              <w:rPr>
                <w:rFonts w:ascii="新宋体" w:hAnsi="新宋体" w:eastAsia="新宋体" w:cs="仿宋_GB2312"/>
                <w:color w:val="auto"/>
                <w:sz w:val="22"/>
                <w:szCs w:val="22"/>
                <w:highlight w:val="none"/>
              </w:rPr>
            </w:pPr>
          </w:p>
        </w:tc>
        <w:tc>
          <w:tcPr>
            <w:tcW w:w="1260" w:type="dxa"/>
            <w:tcBorders>
              <w:right w:val="double" w:color="auto" w:sz="4" w:space="0"/>
            </w:tcBorders>
            <w:vAlign w:val="center"/>
          </w:tcPr>
          <w:p>
            <w:pPr>
              <w:pStyle w:val="30"/>
              <w:tabs>
                <w:tab w:val="left" w:pos="8540"/>
              </w:tabs>
              <w:spacing w:line="400" w:lineRule="atLeast"/>
              <w:jc w:val="center"/>
              <w:rPr>
                <w:rFonts w:ascii="新宋体" w:hAnsi="新宋体" w:eastAsia="新宋体" w:cs="仿宋_GB2312"/>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5" w:type="dxa"/>
            <w:tcBorders>
              <w:left w:val="double" w:color="auto" w:sz="4" w:space="0"/>
              <w:bottom w:val="double" w:color="auto" w:sz="4" w:space="0"/>
            </w:tcBorders>
            <w:vAlign w:val="center"/>
          </w:tcPr>
          <w:p>
            <w:pPr>
              <w:pStyle w:val="30"/>
              <w:tabs>
                <w:tab w:val="left" w:pos="8540"/>
              </w:tabs>
              <w:spacing w:line="400" w:lineRule="atLeast"/>
              <w:jc w:val="center"/>
              <w:rPr>
                <w:rFonts w:ascii="新宋体" w:hAnsi="新宋体" w:eastAsia="新宋体" w:cs="仿宋_GB2312"/>
                <w:bCs/>
                <w:color w:val="auto"/>
                <w:sz w:val="22"/>
                <w:szCs w:val="22"/>
                <w:highlight w:val="none"/>
              </w:rPr>
            </w:pPr>
            <w:r>
              <w:rPr>
                <w:rFonts w:hint="eastAsia" w:ascii="新宋体" w:hAnsi="新宋体" w:eastAsia="新宋体" w:cs="仿宋_GB2312"/>
                <w:bCs/>
                <w:color w:val="auto"/>
                <w:sz w:val="22"/>
                <w:szCs w:val="22"/>
                <w:highlight w:val="none"/>
              </w:rPr>
              <w:t>合计总价</w:t>
            </w:r>
          </w:p>
        </w:tc>
        <w:tc>
          <w:tcPr>
            <w:tcW w:w="5220" w:type="dxa"/>
            <w:gridSpan w:val="3"/>
            <w:tcBorders>
              <w:bottom w:val="double" w:color="auto" w:sz="4" w:space="0"/>
            </w:tcBorders>
            <w:vAlign w:val="center"/>
          </w:tcPr>
          <w:p>
            <w:pPr>
              <w:pStyle w:val="30"/>
              <w:tabs>
                <w:tab w:val="left" w:pos="8540"/>
              </w:tabs>
              <w:spacing w:line="400" w:lineRule="atLeast"/>
              <w:rPr>
                <w:rFonts w:ascii="新宋体" w:hAnsi="新宋体" w:eastAsia="新宋体" w:cs="仿宋_GB2312"/>
                <w:bCs/>
                <w:color w:val="auto"/>
                <w:sz w:val="22"/>
                <w:szCs w:val="22"/>
                <w:highlight w:val="none"/>
              </w:rPr>
            </w:pPr>
            <w:r>
              <w:rPr>
                <w:rFonts w:hint="eastAsia" w:ascii="新宋体" w:hAnsi="新宋体" w:eastAsia="新宋体" w:cs="仿宋_GB2312"/>
                <w:bCs/>
                <w:color w:val="auto"/>
                <w:sz w:val="22"/>
                <w:szCs w:val="22"/>
                <w:highlight w:val="none"/>
              </w:rPr>
              <w:t>（大写）</w:t>
            </w:r>
          </w:p>
        </w:tc>
        <w:tc>
          <w:tcPr>
            <w:tcW w:w="2160" w:type="dxa"/>
            <w:gridSpan w:val="2"/>
            <w:tcBorders>
              <w:bottom w:val="double" w:color="auto" w:sz="4" w:space="0"/>
              <w:right w:val="double" w:color="auto" w:sz="4" w:space="0"/>
            </w:tcBorders>
            <w:vAlign w:val="center"/>
          </w:tcPr>
          <w:p>
            <w:pPr>
              <w:pStyle w:val="30"/>
              <w:tabs>
                <w:tab w:val="left" w:pos="8540"/>
              </w:tabs>
              <w:spacing w:line="400" w:lineRule="atLeast"/>
              <w:jc w:val="center"/>
              <w:rPr>
                <w:rFonts w:ascii="新宋体" w:hAnsi="新宋体" w:eastAsia="新宋体" w:cs="仿宋_GB2312"/>
                <w:bCs/>
                <w:color w:val="auto"/>
                <w:sz w:val="22"/>
                <w:szCs w:val="22"/>
                <w:highlight w:val="none"/>
              </w:rPr>
            </w:pPr>
            <w:r>
              <w:rPr>
                <w:rFonts w:hint="eastAsia" w:ascii="新宋体" w:hAnsi="新宋体" w:eastAsia="新宋体" w:cs="仿宋_GB2312"/>
                <w:bCs/>
                <w:color w:val="auto"/>
                <w:sz w:val="22"/>
                <w:szCs w:val="22"/>
                <w:highlight w:val="none"/>
              </w:rPr>
              <w:t>￥：</w:t>
            </w:r>
          </w:p>
        </w:tc>
      </w:tr>
    </w:tbl>
    <w:p>
      <w:pPr>
        <w:widowControl/>
        <w:snapToGrid w:val="0"/>
        <w:spacing w:line="460" w:lineRule="exact"/>
        <w:jc w:val="left"/>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八、项目合同支付条款</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仿宋_GB2312"/>
          <w:color w:val="auto"/>
          <w:kern w:val="0"/>
          <w:sz w:val="22"/>
          <w:szCs w:val="22"/>
          <w:highlight w:val="none"/>
        </w:rPr>
        <w:t>（一）</w:t>
      </w:r>
      <w:r>
        <w:rPr>
          <w:rFonts w:hint="eastAsia" w:ascii="新宋体" w:hAnsi="新宋体" w:eastAsia="新宋体" w:cs="新宋体"/>
          <w:color w:val="auto"/>
          <w:sz w:val="22"/>
          <w:szCs w:val="22"/>
          <w:highlight w:val="none"/>
        </w:rPr>
        <w:t>第一笔款：项目合同签订后，</w:t>
      </w:r>
      <w:r>
        <w:rPr>
          <w:rFonts w:hint="eastAsia" w:ascii="新宋体" w:hAnsi="新宋体" w:eastAsia="新宋体" w:cs="新宋体"/>
          <w:color w:val="auto"/>
          <w:sz w:val="22"/>
          <w:szCs w:val="22"/>
          <w:highlight w:val="none"/>
          <w:lang w:val="en-US" w:eastAsia="zh-CN"/>
        </w:rPr>
        <w:t>且财政资金到账并具备实施条件后，</w:t>
      </w:r>
      <w:r>
        <w:rPr>
          <w:rFonts w:hint="eastAsia" w:ascii="新宋体" w:hAnsi="新宋体" w:eastAsia="新宋体" w:cs="新宋体"/>
          <w:color w:val="auto"/>
          <w:sz w:val="22"/>
          <w:szCs w:val="22"/>
          <w:highlight w:val="none"/>
        </w:rPr>
        <w:t>甲方在收到乙方提供的下列单据15个工作日内，向乙方支付合同总价的</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0%，即人民币</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元整（RMB￥</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下列单据包括：</w:t>
      </w:r>
    </w:p>
    <w:p>
      <w:pPr>
        <w:spacing w:line="460" w:lineRule="exact"/>
        <w:ind w:firstLine="440" w:firstLineChars="200"/>
        <w:rPr>
          <w:rFonts w:ascii="新宋体" w:hAnsi="新宋体" w:eastAsia="新宋体" w:cs="仿宋_GB2312"/>
          <w:bCs/>
          <w:color w:val="auto"/>
          <w:kern w:val="0"/>
          <w:sz w:val="22"/>
          <w:szCs w:val="22"/>
          <w:highlight w:val="none"/>
        </w:rPr>
      </w:pPr>
      <w:r>
        <w:rPr>
          <w:rFonts w:hint="eastAsia" w:ascii="新宋体" w:hAnsi="新宋体" w:eastAsia="新宋体" w:cs="新宋体"/>
          <w:bCs/>
          <w:color w:val="auto"/>
          <w:sz w:val="22"/>
          <w:szCs w:val="22"/>
          <w:highlight w:val="none"/>
        </w:rPr>
        <w:t>1.等额商业发票一份</w:t>
      </w:r>
    </w:p>
    <w:p>
      <w:pPr>
        <w:spacing w:line="460" w:lineRule="exact"/>
        <w:ind w:firstLine="440" w:firstLineChars="200"/>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（二）第二笔款：在硬件设备及系统安装完毕，通过不少于3月的试运行并经验收合格后，在收到乙方提供的下列单据</w:t>
      </w:r>
      <w:r>
        <w:rPr>
          <w:rFonts w:ascii="新宋体" w:hAnsi="新宋体" w:eastAsia="新宋体" w:cs="仿宋_GB2312"/>
          <w:color w:val="auto"/>
          <w:kern w:val="0"/>
          <w:sz w:val="22"/>
          <w:szCs w:val="22"/>
          <w:highlight w:val="none"/>
        </w:rPr>
        <w:t>30</w:t>
      </w:r>
      <w:r>
        <w:rPr>
          <w:rFonts w:hint="eastAsia" w:ascii="新宋体" w:hAnsi="新宋体" w:eastAsia="新宋体" w:cs="仿宋_GB2312"/>
          <w:color w:val="auto"/>
          <w:kern w:val="0"/>
          <w:sz w:val="22"/>
          <w:szCs w:val="22"/>
          <w:highlight w:val="none"/>
        </w:rPr>
        <w:t>个工作日内，向乙方支付合同总价的</w:t>
      </w:r>
      <w:r>
        <w:rPr>
          <w:rFonts w:hint="eastAsia" w:ascii="新宋体" w:hAnsi="新宋体" w:eastAsia="新宋体" w:cs="仿宋_GB2312"/>
          <w:color w:val="auto"/>
          <w:kern w:val="0"/>
          <w:sz w:val="22"/>
          <w:szCs w:val="22"/>
          <w:highlight w:val="none"/>
          <w:lang w:val="en-US" w:eastAsia="zh-CN"/>
        </w:rPr>
        <w:t>48</w:t>
      </w:r>
      <w:r>
        <w:rPr>
          <w:rFonts w:hint="eastAsia" w:ascii="新宋体" w:hAnsi="新宋体" w:eastAsia="新宋体" w:cs="仿宋_GB2312"/>
          <w:color w:val="auto"/>
          <w:kern w:val="0"/>
          <w:sz w:val="22"/>
          <w:szCs w:val="22"/>
          <w:highlight w:val="none"/>
        </w:rPr>
        <w:t>%，即人民币：</w:t>
      </w:r>
      <w:r>
        <w:rPr>
          <w:rFonts w:hint="eastAsia" w:ascii="新宋体" w:hAnsi="新宋体" w:eastAsia="新宋体" w:cs="仿宋_GB2312"/>
          <w:b/>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 xml:space="preserve"> 元</w:t>
      </w:r>
      <w:r>
        <w:rPr>
          <w:rFonts w:hint="eastAsia" w:ascii="新宋体" w:hAnsi="新宋体" w:eastAsia="新宋体" w:cs="仿宋_GB2312"/>
          <w:b/>
          <w:color w:val="auto"/>
          <w:kern w:val="0"/>
          <w:sz w:val="22"/>
          <w:szCs w:val="22"/>
          <w:highlight w:val="none"/>
        </w:rPr>
        <w:t>（</w:t>
      </w:r>
      <w:r>
        <w:rPr>
          <w:rFonts w:hint="eastAsia" w:ascii="新宋体" w:hAnsi="新宋体" w:eastAsia="新宋体" w:cs="仿宋_GB2312"/>
          <w:color w:val="auto"/>
          <w:kern w:val="0"/>
          <w:sz w:val="22"/>
          <w:szCs w:val="22"/>
          <w:highlight w:val="none"/>
        </w:rPr>
        <w:t>大写：</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元整</w:t>
      </w:r>
      <w:r>
        <w:rPr>
          <w:rFonts w:hint="eastAsia" w:ascii="新宋体" w:hAnsi="新宋体" w:eastAsia="新宋体" w:cs="仿宋_GB2312"/>
          <w:b/>
          <w:color w:val="auto"/>
          <w:kern w:val="0"/>
          <w:sz w:val="22"/>
          <w:szCs w:val="22"/>
          <w:highlight w:val="none"/>
        </w:rPr>
        <w:t>）</w:t>
      </w:r>
      <w:r>
        <w:rPr>
          <w:rFonts w:hint="eastAsia" w:ascii="新宋体" w:hAnsi="新宋体" w:eastAsia="新宋体" w:cs="仿宋_GB2312"/>
          <w:color w:val="auto"/>
          <w:kern w:val="0"/>
          <w:sz w:val="22"/>
          <w:szCs w:val="22"/>
          <w:highlight w:val="none"/>
        </w:rPr>
        <w:t>；</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下列单据包括：</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 等额</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商业发票一份</w:t>
      </w:r>
      <w:r>
        <w:rPr>
          <w:rFonts w:ascii="新宋体" w:hAnsi="新宋体" w:eastAsia="新宋体" w:cs="仿宋_GB2312"/>
          <w:color w:val="auto"/>
          <w:kern w:val="0"/>
          <w:sz w:val="22"/>
          <w:szCs w:val="22"/>
          <w:highlight w:val="none"/>
        </w:rPr>
        <w:t>(</w:t>
      </w:r>
      <w:r>
        <w:rPr>
          <w:rFonts w:hint="eastAsia" w:ascii="新宋体" w:hAnsi="新宋体" w:eastAsia="新宋体" w:cs="仿宋_GB2312"/>
          <w:color w:val="auto"/>
          <w:kern w:val="0"/>
          <w:sz w:val="22"/>
          <w:szCs w:val="22"/>
          <w:highlight w:val="none"/>
        </w:rPr>
        <w:t>普通或者专用)；</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2.试运行情况报告；</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3.甲方出具的验收报告。</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lang w:val="en-US" w:eastAsia="zh-CN"/>
        </w:rPr>
      </w:pPr>
      <w:r>
        <w:rPr>
          <w:rFonts w:hint="eastAsia" w:ascii="新宋体" w:hAnsi="新宋体" w:eastAsia="新宋体" w:cs="仿宋_GB2312"/>
          <w:color w:val="auto"/>
          <w:kern w:val="0"/>
          <w:sz w:val="22"/>
          <w:szCs w:val="22"/>
          <w:highlight w:val="none"/>
          <w:lang w:eastAsia="zh-CN"/>
        </w:rPr>
        <w:t>（三）</w:t>
      </w:r>
      <w:r>
        <w:rPr>
          <w:rFonts w:hint="eastAsia" w:ascii="新宋体" w:hAnsi="新宋体" w:eastAsia="新宋体" w:cs="仿宋_GB2312"/>
          <w:color w:val="auto"/>
          <w:kern w:val="0"/>
          <w:sz w:val="22"/>
          <w:szCs w:val="22"/>
          <w:highlight w:val="none"/>
          <w:lang w:val="en-US" w:eastAsia="zh-CN"/>
        </w:rPr>
        <w:t>第三笔款：剩余的2%作为质保金，待设备质保期满3年后无息退还质保金的50%，剩余的50%待人工维护期满8年后无息退还。</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lang w:val="en-US" w:eastAsia="zh-CN"/>
        </w:rPr>
      </w:pPr>
      <w:r>
        <w:rPr>
          <w:rFonts w:hint="eastAsia" w:ascii="新宋体" w:hAnsi="新宋体" w:eastAsia="新宋体" w:cs="仿宋_GB2312"/>
          <w:color w:val="auto"/>
          <w:kern w:val="0"/>
          <w:sz w:val="22"/>
          <w:szCs w:val="22"/>
          <w:highlight w:val="none"/>
          <w:lang w:val="en-US" w:eastAsia="zh-CN"/>
        </w:rPr>
        <w:t>设备质保期内，因产品本身缺陷（非人为因素）造成各种故障应由承建方免费技术服务和维修。对其提供的设备进行现场维修、损坏件更换，不收取额外费用。</w:t>
      </w:r>
    </w:p>
    <w:p>
      <w:pPr>
        <w:widowControl/>
        <w:snapToGrid w:val="0"/>
        <w:spacing w:line="460" w:lineRule="exact"/>
        <w:ind w:firstLine="440" w:firstLineChars="200"/>
        <w:jc w:val="left"/>
        <w:rPr>
          <w:rFonts w:hint="default" w:ascii="新宋体" w:hAnsi="新宋体" w:eastAsia="新宋体" w:cs="仿宋_GB2312"/>
          <w:color w:val="auto"/>
          <w:kern w:val="0"/>
          <w:sz w:val="22"/>
          <w:szCs w:val="22"/>
          <w:highlight w:val="none"/>
          <w:lang w:val="en-US" w:eastAsia="zh-CN"/>
        </w:rPr>
      </w:pPr>
      <w:r>
        <w:rPr>
          <w:rFonts w:hint="eastAsia" w:ascii="新宋体" w:hAnsi="新宋体" w:eastAsia="新宋体" w:cs="仿宋_GB2312"/>
          <w:color w:val="auto"/>
          <w:kern w:val="0"/>
          <w:sz w:val="22"/>
          <w:szCs w:val="22"/>
          <w:highlight w:val="none"/>
          <w:lang w:val="en-US" w:eastAsia="zh-CN"/>
        </w:rPr>
        <w:t>在设备质保期外，且在人工维护期内，承建方对所提供的设备进行巡检、故障排查。如出现设备损坏的情况，承建商维修时免人工费，损坏件维修费用按原厂家报价收取，不加收额外费用，原厂家无法修复的情况下需按照市场价重新购买同类产品。</w:t>
      </w:r>
    </w:p>
    <w:p>
      <w:pPr>
        <w:widowControl/>
        <w:snapToGrid w:val="0"/>
        <w:spacing w:line="460" w:lineRule="exact"/>
        <w:jc w:val="left"/>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九、项目合同修改</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项目建设过程中原则上不能进行合同变更、修改和补充。若确需变更，经合同双方协商一致后，由项目建设部门向</w:t>
      </w:r>
      <w:r>
        <w:rPr>
          <w:rFonts w:hint="eastAsia" w:ascii="新宋体" w:hAnsi="新宋体" w:eastAsia="新宋体" w:cs="仿宋_GB2312"/>
          <w:color w:val="auto"/>
          <w:kern w:val="0"/>
          <w:sz w:val="22"/>
          <w:szCs w:val="22"/>
          <w:highlight w:val="none"/>
          <w:lang w:eastAsia="zh-CN"/>
        </w:rPr>
        <w:t>温州市鹿城区园林绿化管理中心</w:t>
      </w:r>
      <w:r>
        <w:rPr>
          <w:rFonts w:hint="eastAsia" w:ascii="新宋体" w:hAnsi="新宋体" w:eastAsia="新宋体" w:cs="仿宋_GB2312"/>
          <w:color w:val="auto"/>
          <w:kern w:val="0"/>
          <w:sz w:val="22"/>
          <w:szCs w:val="22"/>
          <w:highlight w:val="none"/>
        </w:rPr>
        <w:t>提交变更申请，并经警保、法制、审计等部门论证、审核。只有在双方授权的代表签署书面文件后才有效，并作为附件成为本合同不可分割的组成部分。</w:t>
      </w:r>
    </w:p>
    <w:p>
      <w:pPr>
        <w:widowControl/>
        <w:snapToGrid w:val="0"/>
        <w:spacing w:line="460" w:lineRule="exact"/>
        <w:jc w:val="left"/>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十、违约责任</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（一）在履行合同的过程中，如果乙方遇到除不可抗力因素外的情形将不能按照合同规定的时间完成系统实施和提供服务时，应当在情况发生时</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日内以书面形式将拖延的事实、可能拖延的时间和原因通知甲方。甲方在收到乙方通知后，应尽快对情况进行评价，并确定是否酌情延长交货时间和提供服务以及是否收取误期赔偿费。延期应通过修改合同的方式由双方书面确认。</w:t>
      </w:r>
    </w:p>
    <w:p>
      <w:pPr>
        <w:widowControl/>
        <w:snapToGrid w:val="0"/>
        <w:spacing w:line="460" w:lineRule="exact"/>
        <w:ind w:firstLine="440" w:firstLineChars="200"/>
        <w:jc w:val="left"/>
        <w:rPr>
          <w:rFonts w:ascii="新宋体" w:hAnsi="新宋体" w:eastAsia="新宋体" w:cs="宋体"/>
          <w:color w:val="auto"/>
          <w:kern w:val="0"/>
          <w:sz w:val="22"/>
          <w:szCs w:val="22"/>
          <w:highlight w:val="none"/>
        </w:rPr>
      </w:pPr>
      <w:r>
        <w:rPr>
          <w:rFonts w:hint="eastAsia" w:ascii="新宋体" w:hAnsi="新宋体" w:eastAsia="新宋体" w:cs="仿宋_GB2312"/>
          <w:color w:val="auto"/>
          <w:kern w:val="0"/>
          <w:sz w:val="22"/>
          <w:szCs w:val="22"/>
          <w:highlight w:val="none"/>
        </w:rPr>
        <w:t>（二）除了合同条款第十二条的情况外，除非延期是根据合同条款第十条第（一）的规定取得甲方的同意而不收取误期赔偿费之外，若乙方违反本合同第三条、第四条约定提供服务，甲方有权从合同价中扣除误期赔偿费每延期一日，乙方应向甲方支付合同总价</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%的违约金，延期超过</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日（延期时间原则上不超过本项目总工期的0</w:t>
      </w:r>
      <w:r>
        <w:rPr>
          <w:rFonts w:ascii="新宋体" w:hAnsi="新宋体" w:eastAsia="新宋体" w:cs="仿宋_GB2312"/>
          <w:color w:val="auto"/>
          <w:kern w:val="0"/>
          <w:sz w:val="22"/>
          <w:szCs w:val="22"/>
          <w:highlight w:val="none"/>
        </w:rPr>
        <w:t>.5</w:t>
      </w:r>
      <w:r>
        <w:rPr>
          <w:rFonts w:hint="eastAsia" w:ascii="新宋体" w:hAnsi="新宋体" w:eastAsia="新宋体" w:cs="仿宋_GB2312"/>
          <w:color w:val="auto"/>
          <w:kern w:val="0"/>
          <w:sz w:val="22"/>
          <w:szCs w:val="22"/>
          <w:highlight w:val="none"/>
        </w:rPr>
        <w:t>倍），甲方有权单方解除合同，要求乙方退回已支付的全部项目款并要求乙方向甲方支付合同总价</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%的违约金。</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乙方应提供项目所需的软件硬件符合国家、部门、行业相关技术标准的证明，且不侵犯任何第三方包括但不限于知识产权等任何权益，并保证该软件硬件的运行不影响甲方内部网络信息安全性和保密性问题，因乙方没有履行上述义务造成甲方被第三方追责或损失的，所有责任与损失均由乙方承担，如甲方先行承担的，有权向乙方追偿。乙方应当同时用相同功能的合法软件硬件进行替换，或者取得相关授权，确保能够继续履行本合同所规定的各项权利，并且乙方应当赔偿甲方由此而造成的损失。</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（四）乙方应在工程结束时向甲方提交一式</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份完整的相应技术文档及用户手册，如在工程验收合格之日起</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日内仍未按上述要求提交的，每延迟一日，应向甲方支付违约</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 xml:space="preserve">  </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w:t>
      </w:r>
    </w:p>
    <w:p>
      <w:pPr>
        <w:pStyle w:val="34"/>
        <w:ind w:firstLine="440" w:firstLineChars="200"/>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（五）如乙方按约履行，甲方未按合同约定支付项目款时，每逾期一日甲方应根据中国人民银行同期存款利率承担应付款项而未付款项部分的滞纳金。</w:t>
      </w:r>
    </w:p>
    <w:p>
      <w:pPr>
        <w:pStyle w:val="34"/>
        <w:ind w:firstLine="0" w:firstLineChars="0"/>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十一、产权归属</w:t>
      </w:r>
    </w:p>
    <w:p>
      <w:pPr>
        <w:pStyle w:val="34"/>
        <w:ind w:firstLine="440" w:firstLineChars="200"/>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w:t>
      </w:r>
      <w:r>
        <w:rPr>
          <w:rFonts w:hint="eastAsia" w:ascii="新宋体" w:hAnsi="新宋体" w:eastAsia="新宋体" w:cs="仿宋_GB2312"/>
          <w:color w:val="auto"/>
          <w:kern w:val="0"/>
          <w:sz w:val="22"/>
          <w:szCs w:val="22"/>
          <w:highlight w:val="none"/>
          <w:lang w:eastAsia="zh-CN"/>
        </w:rPr>
        <w:t>生态系统碳汇能力提升项目-智慧园林建设工程（一期）智能化项目</w:t>
      </w:r>
      <w:r>
        <w:rPr>
          <w:rFonts w:ascii="新宋体" w:hAnsi="新宋体" w:eastAsia="新宋体" w:cs="仿宋_GB2312"/>
          <w:color w:val="auto"/>
          <w:kern w:val="0"/>
          <w:sz w:val="22"/>
          <w:szCs w:val="22"/>
          <w:highlight w:val="none"/>
        </w:rPr>
        <w:t>中包括但不限于图像数据的所有权归属甲方，未经甲方同意，乙方不得私自泄露、转让给第三方使用。甲方独享因项目系统运行使用所产生的全部的数据信息资源。</w:t>
      </w:r>
    </w:p>
    <w:p>
      <w:pPr>
        <w:pStyle w:val="34"/>
        <w:ind w:firstLine="440" w:firstLineChars="200"/>
        <w:rPr>
          <w:rFonts w:ascii="新宋体" w:hAnsi="新宋体" w:eastAsia="新宋体" w:cs="仿宋_GB2312"/>
          <w:color w:val="auto"/>
          <w:kern w:val="0"/>
          <w:sz w:val="22"/>
          <w:szCs w:val="22"/>
          <w:highlight w:val="none"/>
        </w:rPr>
      </w:pPr>
      <w:r>
        <w:rPr>
          <w:rFonts w:ascii="新宋体" w:hAnsi="新宋体" w:eastAsia="新宋体" w:cs="仿宋_GB2312"/>
          <w:color w:val="auto"/>
          <w:kern w:val="0"/>
          <w:sz w:val="22"/>
          <w:szCs w:val="22"/>
          <w:highlight w:val="none"/>
        </w:rPr>
        <w:t>本合同履行期间，乙方应提供本项目所需的软、硬件符合国家、部门、行业相关技术标准的证明，应获得该软、硬件研发或提供单位的知识产权合法授权，并保证该软、硬件的运行不影响建设单位内部网络安全性和保密性问题。且乙方承诺不存在任何侵犯第三方知识产权的行为和情形，并对涉及项目的所有内容可能存在侵权行为的指控负全部责任，保证不伤害甲方的利益。在法律范围内，如果出现包括但不限于文字、图片、商标和技术等侵权行为而造成的纠纷和产生的一切费用，甲方概不负责，由此给甲方造成损失的，乙方应负直接的法律责任，并承担相应后果以及赔偿。如甲方先行偿付的，有权向乙方追偿。</w:t>
      </w:r>
    </w:p>
    <w:p>
      <w:pPr>
        <w:pStyle w:val="34"/>
        <w:ind w:firstLine="440" w:firstLineChars="200"/>
        <w:rPr>
          <w:rFonts w:ascii="新宋体" w:hAnsi="新宋体" w:eastAsia="新宋体" w:cs="仿宋_GB2312"/>
          <w:color w:val="auto"/>
          <w:kern w:val="0"/>
          <w:sz w:val="22"/>
          <w:szCs w:val="22"/>
          <w:highlight w:val="none"/>
        </w:rPr>
      </w:pPr>
      <w:r>
        <w:rPr>
          <w:rFonts w:ascii="新宋体" w:hAnsi="新宋体" w:eastAsia="新宋体" w:cs="仿宋_GB2312"/>
          <w:color w:val="auto"/>
          <w:kern w:val="0"/>
          <w:sz w:val="22"/>
          <w:szCs w:val="22"/>
          <w:highlight w:val="none"/>
        </w:rPr>
        <w:t xml:space="preserve"> 成品软件的著作权归原厂家（公司）所有，须提供招标文件约定需求对应功能的软件著作权证书或其它证明材料（以功能项为判断依据而非软件名称）；甲方委托乙方开发的软件著作权归甲方所有，项目交付时须将软件源代码与配套开发文档提供给甲方；甲方委托乙方基于成品软件二次开发定制的软件，非定制部分的软件著作权归原厂家（公司）所有，定制部分功能的著作权归甲方所有，项目交付时须将软件源代码与配套开发文档提供给甲方</w:t>
      </w:r>
      <w:r>
        <w:rPr>
          <w:rFonts w:hint="eastAsia" w:ascii="新宋体" w:hAnsi="新宋体" w:eastAsia="新宋体" w:cs="仿宋_GB2312"/>
          <w:color w:val="auto"/>
          <w:kern w:val="0"/>
          <w:sz w:val="22"/>
          <w:szCs w:val="22"/>
          <w:highlight w:val="none"/>
        </w:rPr>
        <w:t>。</w:t>
      </w:r>
    </w:p>
    <w:p>
      <w:pPr>
        <w:pStyle w:val="34"/>
        <w:ind w:firstLine="440" w:firstLineChars="200"/>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（二）项目实施和维保过程中产生的备品备件的产权归甲方所有。</w:t>
      </w:r>
    </w:p>
    <w:p>
      <w:pPr>
        <w:widowControl/>
        <w:snapToGrid w:val="0"/>
        <w:spacing w:line="460" w:lineRule="exact"/>
        <w:jc w:val="left"/>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十二、项目合同终止</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由于合同一方不履行合同或严重违反合同，造成合同部分或全部无法履行时，对方除有权向违约方索赔外，并有权单方终止合同。</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（一）违约终止合同</w:t>
      </w:r>
    </w:p>
    <w:p>
      <w:pPr>
        <w:spacing w:line="46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若乙方存在以下情形</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则视乙方违约</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甲方可单方向乙方发出书面解除合同通知书</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提出终止合同</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同时甲方有权要求乙方退回</w:t>
      </w:r>
      <w:r>
        <w:rPr>
          <w:rFonts w:hint="eastAsia" w:ascii="新宋体" w:hAnsi="新宋体" w:eastAsia="新宋体"/>
          <w:color w:val="auto"/>
          <w:sz w:val="22"/>
          <w:szCs w:val="22"/>
          <w:highlight w:val="none"/>
        </w:rPr>
        <w:t>已</w:t>
      </w:r>
      <w:r>
        <w:rPr>
          <w:rFonts w:ascii="新宋体" w:hAnsi="新宋体" w:eastAsia="新宋体"/>
          <w:color w:val="auto"/>
          <w:sz w:val="22"/>
          <w:szCs w:val="22"/>
          <w:highlight w:val="none"/>
        </w:rPr>
        <w:t>支付的全部项目款以及支付合同总价</w:t>
      </w:r>
      <w:r>
        <w:rPr>
          <w:rFonts w:hint="eastAsia" w:ascii="新宋体" w:hAnsi="新宋体" w:eastAsia="新宋体"/>
          <w:color w:val="auto"/>
          <w:sz w:val="22"/>
          <w:szCs w:val="22"/>
          <w:highlight w:val="none"/>
          <w:u w:val="single"/>
        </w:rPr>
        <w:t xml:space="preserve"> </w:t>
      </w:r>
      <w:r>
        <w:rPr>
          <w:rFonts w:ascii="新宋体" w:hAnsi="新宋体" w:eastAsia="新宋体"/>
          <w:color w:val="auto"/>
          <w:sz w:val="22"/>
          <w:szCs w:val="22"/>
          <w:highlight w:val="none"/>
          <w:u w:val="single"/>
        </w:rPr>
        <w:t xml:space="preserve"> </w:t>
      </w:r>
      <w:r>
        <w:rPr>
          <w:rFonts w:ascii="新宋体" w:hAnsi="新宋体" w:eastAsia="新宋体"/>
          <w:color w:val="auto"/>
          <w:sz w:val="22"/>
          <w:szCs w:val="22"/>
          <w:highlight w:val="none"/>
        </w:rPr>
        <w:t>%违约金：</w:t>
      </w:r>
    </w:p>
    <w:p>
      <w:pPr>
        <w:spacing w:line="460" w:lineRule="exact"/>
        <w:rPr>
          <w:rFonts w:ascii="新宋体" w:hAnsi="新宋体" w:eastAsia="新宋体"/>
          <w:color w:val="auto"/>
          <w:sz w:val="22"/>
          <w:szCs w:val="22"/>
          <w:highlight w:val="none"/>
        </w:rPr>
      </w:pPr>
      <w:r>
        <w:rPr>
          <w:rFonts w:ascii="新宋体" w:hAnsi="新宋体" w:eastAsia="新宋体"/>
          <w:color w:val="auto"/>
          <w:sz w:val="22"/>
          <w:szCs w:val="22"/>
          <w:highlight w:val="none"/>
        </w:rPr>
        <w:t>l、乙方未能在合同规定的期限内通过竣工验收</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延期超过</w:t>
      </w:r>
      <w:r>
        <w:rPr>
          <w:rFonts w:hint="eastAsia" w:ascii="新宋体" w:hAnsi="新宋体" w:eastAsia="新宋体"/>
          <w:color w:val="auto"/>
          <w:sz w:val="22"/>
          <w:szCs w:val="22"/>
          <w:highlight w:val="none"/>
          <w:u w:val="single"/>
        </w:rPr>
        <w:t xml:space="preserve"> </w:t>
      </w:r>
      <w:r>
        <w:rPr>
          <w:rFonts w:ascii="新宋体" w:hAnsi="新宋体" w:eastAsia="新宋体"/>
          <w:color w:val="auto"/>
          <w:sz w:val="22"/>
          <w:szCs w:val="22"/>
          <w:highlight w:val="none"/>
          <w:u w:val="single"/>
        </w:rPr>
        <w:t xml:space="preserve"> </w:t>
      </w:r>
      <w:r>
        <w:rPr>
          <w:rFonts w:ascii="新宋体" w:hAnsi="新宋体" w:eastAsia="新宋体"/>
          <w:color w:val="auto"/>
          <w:sz w:val="22"/>
          <w:szCs w:val="22"/>
          <w:highlight w:val="none"/>
        </w:rPr>
        <w:t>日的或未能在甲方同意延长的限期内完成合同规定义务的</w:t>
      </w:r>
      <w:r>
        <w:rPr>
          <w:rFonts w:hint="eastAsia" w:ascii="新宋体" w:hAnsi="新宋体" w:eastAsia="新宋体"/>
          <w:color w:val="auto"/>
          <w:sz w:val="22"/>
          <w:szCs w:val="22"/>
          <w:highlight w:val="none"/>
        </w:rPr>
        <w:t>；</w:t>
      </w:r>
    </w:p>
    <w:p>
      <w:pPr>
        <w:spacing w:line="460" w:lineRule="exact"/>
        <w:rPr>
          <w:rFonts w:ascii="新宋体" w:hAnsi="新宋体" w:eastAsia="新宋体"/>
          <w:color w:val="auto"/>
          <w:sz w:val="22"/>
          <w:szCs w:val="22"/>
          <w:highlight w:val="none"/>
        </w:rPr>
      </w:pPr>
      <w:r>
        <w:rPr>
          <w:rFonts w:ascii="新宋体" w:hAnsi="新宋体" w:eastAsia="新宋体"/>
          <w:color w:val="auto"/>
          <w:sz w:val="22"/>
          <w:szCs w:val="22"/>
          <w:highlight w:val="none"/>
        </w:rPr>
        <w:t>2 、乙方拒绝履行合同或者未达到合同所规定的建设需求和服务</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经甲方给予合理期限后仍不能达到建设需求和服务的</w:t>
      </w:r>
      <w:r>
        <w:rPr>
          <w:rFonts w:hint="eastAsia" w:ascii="新宋体" w:hAnsi="新宋体" w:eastAsia="新宋体"/>
          <w:color w:val="auto"/>
          <w:sz w:val="22"/>
          <w:szCs w:val="22"/>
          <w:highlight w:val="none"/>
        </w:rPr>
        <w:t>；</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（二）因破产而终止合同</w:t>
      </w:r>
    </w:p>
    <w:p>
      <w:pPr>
        <w:spacing w:line="460" w:lineRule="exact"/>
        <w:ind w:firstLine="440" w:firstLineChars="200"/>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如果乙方破产或无清偿能力，甲方可在任何时候以书面形式通知乙方，单方提出终止合同而未支付的尾款无需再支付，甲方对乙方已经履行的符合合同约定的部分合同内容不付任何价款，乙方应当返还甲方先前支付的全部预付款。该终止合同的行为视为不损害或不影响甲方已经采取或将要采取的任何行动或补救措施的权利。</w:t>
      </w:r>
    </w:p>
    <w:p>
      <w:pPr>
        <w:widowControl/>
        <w:snapToGrid w:val="0"/>
        <w:spacing w:line="460" w:lineRule="exact"/>
        <w:jc w:val="left"/>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十三、不可抗力</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本合同规定的不可抗力事件是指甲乙双方在缔结合同时所不能预见的，并且它的发生及其后果是无法避免和无法克服的事件，诸如战争和严重的风灾、水灾、雪灾、地震等自然灾害，以及政策性等不由双方控制的，也包括双方同意的其他不可抗力事件。</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（二）签约双方任一方由于受不可抗力事件的影响而不能执行合同时，履行合同的期限应予以延长，其延长的期限应相当于事件所影响的时间。</w:t>
      </w:r>
    </w:p>
    <w:p>
      <w:pPr>
        <w:spacing w:line="460" w:lineRule="exact"/>
        <w:ind w:firstLine="440" w:firstLineChars="200"/>
        <w:rPr>
          <w:rFonts w:ascii="新宋体" w:hAnsi="新宋体" w:eastAsia="新宋体" w:cs="仿宋_GB2312"/>
          <w:b/>
          <w:color w:val="auto"/>
          <w:kern w:val="0"/>
          <w:sz w:val="22"/>
          <w:szCs w:val="22"/>
          <w:highlight w:val="none"/>
        </w:rPr>
      </w:pPr>
      <w:r>
        <w:rPr>
          <w:rFonts w:hint="eastAsia" w:ascii="新宋体" w:hAnsi="新宋体" w:eastAsia="新宋体" w:cs="仿宋_GB2312"/>
          <w:color w:val="auto"/>
          <w:kern w:val="0"/>
          <w:sz w:val="22"/>
          <w:szCs w:val="22"/>
          <w:highlight w:val="none"/>
        </w:rPr>
        <w:t>（三）因不可抗力事件受阻一方应在不可抗力事件发生后尽快用书面方式或电报、传真通知对方，并于事件发生后7天内将有关国家职能机关或具有国家授权认定的机构出具的证明文件及其他说明材料用特快专递或挂号信寄给对方审阅确认。一旦不可抗力事件的影响预计持续120天以上，双方应通过友好协商30天的时间内达成进一步履行合同的协议，如不能达成共识，甲方也有权单方解除合同，不付给乙方其他经济补偿，对乙方已经履行的符合合同约定的部分内容不付任何价款，乙方应当返还甲方先前支付给乙方的全部预付款。</w:t>
      </w:r>
    </w:p>
    <w:p>
      <w:pPr>
        <w:widowControl/>
        <w:snapToGrid w:val="0"/>
        <w:spacing w:line="460" w:lineRule="exact"/>
        <w:jc w:val="left"/>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十四、项目保密</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（一）甲方向乙方提供的所有资料，仅供本项目小组人员参考使用，乙方须严守资料中所涉秘密、妥善保管，不得遗失、转借、复印。乙方更换本项目小组成员时应获得甲方书面同意。</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（二）乙方发现甲方的保密事项已经泄露或可能泄露时，应当立即采取补救措施，并及时书面报告甲方。</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（三）本项目完成后15天内，乙方应主动退还本项目过程中甲方提供的全部资料。</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（四）乙方在接受和退还涉密内容的资料时建立登记制度。</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（五）乙方造成的泄失密事件，乙方应承担违约责任，向甲方支付违约金，违约金数额为本合同总价的3</w:t>
      </w:r>
      <w:r>
        <w:rPr>
          <w:rFonts w:ascii="新宋体" w:hAnsi="新宋体" w:eastAsia="新宋体" w:cs="仿宋_GB2312"/>
          <w:color w:val="auto"/>
          <w:kern w:val="0"/>
          <w:sz w:val="22"/>
          <w:szCs w:val="22"/>
          <w:highlight w:val="none"/>
        </w:rPr>
        <w:t>0%</w:t>
      </w:r>
      <w:r>
        <w:rPr>
          <w:rFonts w:hint="eastAsia" w:ascii="新宋体" w:hAnsi="新宋体" w:eastAsia="新宋体" w:cs="仿宋_GB2312"/>
          <w:color w:val="auto"/>
          <w:kern w:val="0"/>
          <w:sz w:val="22"/>
          <w:szCs w:val="22"/>
          <w:highlight w:val="none"/>
        </w:rPr>
        <w:t>，若泄密事件造成甲方的实际经济损失大于违约金数额，则乙方应赔偿甲方实际经济损失；构成刑事犯罪的，还应依法追究刑事责任。</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六）本项目所有文档及本项目所接触的双方资料，未经对方授权代表书面许可，不得向与合同无关的其他方泄漏任何技术文件或与合同有关的数据，包括合同本身。不论本协议或合同是否期满、变更、解除、终止，本条款均有效。</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（七）乙方应与甲方签订安全保密协议（附件六），甲方有权对乙方进行资格审查，开展安全教育，落实安全监管措施，指派具有相应技术能力的人员对乙方操作行为全程监督、严格审计。</w:t>
      </w:r>
    </w:p>
    <w:p>
      <w:pPr>
        <w:widowControl/>
        <w:snapToGrid w:val="0"/>
        <w:spacing w:line="460" w:lineRule="exact"/>
        <w:jc w:val="left"/>
        <w:rPr>
          <w:rFonts w:ascii="新宋体" w:hAnsi="新宋体" w:eastAsia="新宋体" w:cs="黑体"/>
          <w:b/>
          <w:color w:val="auto"/>
          <w:kern w:val="0"/>
          <w:sz w:val="22"/>
          <w:szCs w:val="22"/>
          <w:highlight w:val="none"/>
        </w:rPr>
      </w:pPr>
      <w:r>
        <w:rPr>
          <w:rFonts w:hint="eastAsia" w:ascii="新宋体" w:hAnsi="新宋体" w:eastAsia="新宋体" w:cs="宋体"/>
          <w:b/>
          <w:bCs/>
          <w:color w:val="auto"/>
          <w:kern w:val="0"/>
          <w:sz w:val="22"/>
          <w:szCs w:val="22"/>
          <w:highlight w:val="none"/>
        </w:rPr>
        <w:t>十五</w:t>
      </w:r>
      <w:r>
        <w:rPr>
          <w:rFonts w:hint="eastAsia" w:ascii="新宋体" w:hAnsi="新宋体" w:eastAsia="新宋体" w:cs="黑体"/>
          <w:b/>
          <w:color w:val="auto"/>
          <w:kern w:val="0"/>
          <w:sz w:val="22"/>
          <w:szCs w:val="22"/>
          <w:highlight w:val="none"/>
        </w:rPr>
        <w:t>、争议解决方式</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（一）合同的实施或与合同有关的一切争端应通过双方友好协商解决。如果友好协商自争端出现之日起60天后还不能解决，任何一方都可依法提交甲方所在地有管辖权的人民法院解决。</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（二）由此产生的所有费用，包括但不限于诉讼费、律师费、公告费、保全费、差旅费等一切费用由败诉方承担。</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（三）在诉讼期间，除正在进行诉讼的部分以外，双方应继续执行合同的其余部分。</w:t>
      </w:r>
    </w:p>
    <w:p>
      <w:pPr>
        <w:widowControl/>
        <w:snapToGrid w:val="0"/>
        <w:spacing w:line="460" w:lineRule="exact"/>
        <w:ind w:firstLine="440" w:firstLineChars="200"/>
        <w:jc w:val="left"/>
        <w:rPr>
          <w:rFonts w:ascii="新宋体" w:hAnsi="新宋体" w:eastAsia="新宋体" w:cs="仿宋_GB2312"/>
          <w:b/>
          <w:color w:val="auto"/>
          <w:kern w:val="0"/>
          <w:sz w:val="22"/>
          <w:szCs w:val="22"/>
          <w:highlight w:val="none"/>
        </w:rPr>
      </w:pPr>
      <w:r>
        <w:rPr>
          <w:rFonts w:hint="eastAsia" w:ascii="新宋体" w:hAnsi="新宋体" w:eastAsia="新宋体" w:cs="仿宋_GB2312"/>
          <w:color w:val="auto"/>
          <w:kern w:val="0"/>
          <w:sz w:val="22"/>
          <w:szCs w:val="22"/>
          <w:highlight w:val="none"/>
        </w:rPr>
        <w:t>（四）本合同适用中华人民共和国法律。</w:t>
      </w:r>
    </w:p>
    <w:p>
      <w:pPr>
        <w:widowControl/>
        <w:snapToGrid w:val="0"/>
        <w:spacing w:line="460" w:lineRule="exact"/>
        <w:jc w:val="left"/>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十六、项目合同附件清单</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附件一：招标文件</w:t>
      </w:r>
    </w:p>
    <w:p>
      <w:pPr>
        <w:widowControl/>
        <w:snapToGrid w:val="0"/>
        <w:spacing w:line="460" w:lineRule="exact"/>
        <w:ind w:firstLine="440" w:firstLineChars="200"/>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附件二：乙方投标书</w:t>
      </w:r>
    </w:p>
    <w:p>
      <w:pPr>
        <w:widowControl/>
        <w:snapToGrid w:val="0"/>
        <w:spacing w:line="460" w:lineRule="exact"/>
        <w:ind w:firstLine="440" w:firstLineChars="200"/>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附件三：《技术支持和售后服务方案》</w:t>
      </w:r>
    </w:p>
    <w:p>
      <w:pPr>
        <w:widowControl/>
        <w:snapToGrid w:val="0"/>
        <w:spacing w:line="460" w:lineRule="exact"/>
        <w:ind w:firstLine="440" w:firstLineChars="200"/>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附件四：技术方案</w:t>
      </w:r>
    </w:p>
    <w:p>
      <w:pPr>
        <w:widowControl/>
        <w:snapToGrid w:val="0"/>
        <w:spacing w:line="460" w:lineRule="exact"/>
        <w:ind w:firstLine="440" w:firstLineChars="200"/>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附件五：项目管理小组成员</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宋体"/>
          <w:color w:val="auto"/>
          <w:kern w:val="0"/>
          <w:sz w:val="22"/>
          <w:szCs w:val="22"/>
          <w:highlight w:val="none"/>
        </w:rPr>
        <w:t>附件六：</w:t>
      </w:r>
      <w:r>
        <w:rPr>
          <w:rFonts w:hint="eastAsia" w:ascii="新宋体" w:hAnsi="新宋体" w:eastAsia="新宋体" w:cs="宋体"/>
          <w:color w:val="auto"/>
          <w:kern w:val="0"/>
          <w:sz w:val="22"/>
          <w:szCs w:val="22"/>
          <w:highlight w:val="none"/>
          <w:lang w:eastAsia="zh-CN"/>
        </w:rPr>
        <w:t>温州市鹿城区园林绿化管理中心</w:t>
      </w:r>
      <w:r>
        <w:rPr>
          <w:rFonts w:hint="eastAsia" w:ascii="新宋体" w:hAnsi="新宋体" w:eastAsia="新宋体" w:cs="宋体"/>
          <w:color w:val="auto"/>
          <w:kern w:val="0"/>
          <w:sz w:val="22"/>
          <w:szCs w:val="22"/>
          <w:highlight w:val="none"/>
        </w:rPr>
        <w:t>系</w:t>
      </w:r>
      <w:r>
        <w:rPr>
          <w:rFonts w:hint="eastAsia" w:ascii="新宋体" w:hAnsi="新宋体" w:eastAsia="新宋体" w:cs="仿宋_GB2312"/>
          <w:color w:val="auto"/>
          <w:kern w:val="0"/>
          <w:sz w:val="22"/>
          <w:szCs w:val="22"/>
          <w:highlight w:val="none"/>
        </w:rPr>
        <w:t>统建设、运维安全保密协议</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（可按项目实际</w:t>
      </w:r>
      <w:r>
        <w:rPr>
          <w:rFonts w:hint="eastAsia" w:ascii="新宋体" w:hAnsi="新宋体" w:eastAsia="新宋体" w:cs="仿宋_GB2312"/>
          <w:b/>
          <w:bCs/>
          <w:color w:val="auto"/>
          <w:kern w:val="0"/>
          <w:sz w:val="22"/>
          <w:szCs w:val="22"/>
          <w:highlight w:val="none"/>
        </w:rPr>
        <w:t>增加</w:t>
      </w:r>
      <w:r>
        <w:rPr>
          <w:rFonts w:hint="eastAsia" w:ascii="新宋体" w:hAnsi="新宋体" w:eastAsia="新宋体" w:cs="仿宋_GB2312"/>
          <w:color w:val="auto"/>
          <w:kern w:val="0"/>
          <w:sz w:val="22"/>
          <w:szCs w:val="22"/>
          <w:highlight w:val="none"/>
        </w:rPr>
        <w:t>附件内容）</w:t>
      </w:r>
    </w:p>
    <w:p>
      <w:pPr>
        <w:widowControl/>
        <w:snapToGrid w:val="0"/>
        <w:spacing w:line="460" w:lineRule="exact"/>
        <w:jc w:val="left"/>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十七、项目合同生效及其它</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（一）本合同自双方授权代表签字并盖章之日起生效。</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（二）本合同一式</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份，甲方执</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份，乙方执</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份，代理执</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w:t>
      </w:r>
      <w:r>
        <w:rPr>
          <w:rFonts w:hint="eastAsia" w:ascii="新宋体" w:hAnsi="新宋体" w:eastAsia="新宋体" w:cs="仿宋_GB2312"/>
          <w:bCs/>
          <w:color w:val="auto"/>
          <w:kern w:val="0"/>
          <w:sz w:val="22"/>
          <w:szCs w:val="22"/>
          <w:highlight w:val="none"/>
        </w:rPr>
        <w:t>本项目合同附件及招标文件、乙方投标书等是合同不可分</w:t>
      </w:r>
      <w:r>
        <w:rPr>
          <w:rFonts w:hint="eastAsia" w:ascii="新宋体" w:hAnsi="新宋体" w:eastAsia="新宋体" w:cs="仿宋_GB2312"/>
          <w:color w:val="auto"/>
          <w:kern w:val="0"/>
          <w:sz w:val="22"/>
          <w:szCs w:val="22"/>
          <w:highlight w:val="none"/>
        </w:rPr>
        <w:t>割的一部分，具有同等法律效力。</w:t>
      </w:r>
    </w:p>
    <w:p>
      <w:pPr>
        <w:widowControl/>
        <w:snapToGrid w:val="0"/>
        <w:spacing w:line="460" w:lineRule="exact"/>
        <w:ind w:firstLine="440" w:firstLineChars="200"/>
        <w:jc w:val="left"/>
        <w:rPr>
          <w:rFonts w:ascii="新宋体" w:hAnsi="新宋体" w:eastAsia="新宋体" w:cs="仿宋_GB2312"/>
          <w:bCs/>
          <w:color w:val="auto"/>
          <w:kern w:val="0"/>
          <w:sz w:val="22"/>
          <w:szCs w:val="22"/>
          <w:highlight w:val="none"/>
        </w:rPr>
      </w:pPr>
      <w:r>
        <w:rPr>
          <w:rFonts w:hint="eastAsia" w:ascii="新宋体" w:hAnsi="新宋体" w:eastAsia="新宋体" w:cs="仿宋_GB2312"/>
          <w:bCs/>
          <w:color w:val="auto"/>
          <w:kern w:val="0"/>
          <w:sz w:val="22"/>
          <w:szCs w:val="22"/>
          <w:highlight w:val="none"/>
        </w:rPr>
        <w:t>（三）本合同终止日期为硬件设备及系统保修期的结束日期，到期后自行终止。</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（四）送达条款</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16.4.1 本合同项下任何一方向对方发出的通知、信件、数据电文等，应当发送至本合同（首部/附件/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16.4.2 任何一方当事人向对/他方所发出的信件，自信件【尽量约定为邮政特快专递】交邮后的第7日视为送达；发出的短信/传真/微信/电子邮件，自前述电子文件内容在发送方正确填写地址且未被系统退回的情况下，视为进入对方数据电文接收系统即视为送达。若送达日为非工作日, 则视为在下一工作日送达。</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16.4.3 本合同（首部/附件/第1.1条）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pPr>
        <w:widowControl/>
        <w:snapToGrid w:val="0"/>
        <w:spacing w:line="460" w:lineRule="exact"/>
        <w:ind w:firstLine="440" w:firstLineChars="200"/>
        <w:jc w:val="left"/>
        <w:rPr>
          <w:rFonts w:ascii="新宋体" w:hAnsi="新宋体" w:eastAsia="新宋体" w:cs="仿宋_GB2312"/>
          <w:bCs/>
          <w:color w:val="auto"/>
          <w:kern w:val="0"/>
          <w:sz w:val="22"/>
          <w:szCs w:val="22"/>
          <w:highlight w:val="none"/>
        </w:rPr>
      </w:pPr>
      <w:r>
        <w:rPr>
          <w:rFonts w:hint="eastAsia" w:ascii="新宋体" w:hAnsi="新宋体" w:eastAsia="新宋体" w:cs="仿宋_GB2312"/>
          <w:color w:val="auto"/>
          <w:kern w:val="0"/>
          <w:sz w:val="22"/>
          <w:szCs w:val="22"/>
          <w:highlight w:val="none"/>
        </w:rPr>
        <w:t>16.4.4 合同送达条款与争议解决条款均为独立条款，不受合同整体或其他条款的效力的影响。</w:t>
      </w:r>
    </w:p>
    <w:p>
      <w:pPr>
        <w:widowControl/>
        <w:snapToGrid w:val="0"/>
        <w:spacing w:line="460" w:lineRule="exact"/>
        <w:jc w:val="left"/>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十八、项目合同签字并盖章</w:t>
      </w:r>
    </w:p>
    <w:p>
      <w:pPr>
        <w:widowControl/>
        <w:spacing w:line="460" w:lineRule="exact"/>
        <w:ind w:left="4840" w:hanging="4840" w:hangingChars="2200"/>
        <w:jc w:val="left"/>
        <w:rPr>
          <w:rFonts w:ascii="新宋体" w:hAnsi="新宋体" w:eastAsia="新宋体" w:cs="宋体"/>
          <w:color w:val="auto"/>
          <w:kern w:val="0"/>
          <w:sz w:val="22"/>
          <w:szCs w:val="22"/>
          <w:highlight w:val="none"/>
        </w:rPr>
      </w:pP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宋体"/>
          <w:color w:val="auto"/>
          <w:kern w:val="0"/>
          <w:sz w:val="22"/>
          <w:szCs w:val="22"/>
          <w:highlight w:val="none"/>
        </w:rPr>
        <w:t>甲方</w:t>
      </w:r>
      <w:r>
        <w:rPr>
          <w:rFonts w:hint="eastAsia" w:ascii="新宋体" w:hAnsi="新宋体" w:eastAsia="新宋体" w:cs="仿宋_GB2312"/>
          <w:color w:val="auto"/>
          <w:kern w:val="0"/>
          <w:sz w:val="22"/>
          <w:szCs w:val="22"/>
          <w:highlight w:val="none"/>
        </w:rPr>
        <w:t>：</w:t>
      </w:r>
      <w:r>
        <w:rPr>
          <w:rFonts w:hint="eastAsia" w:ascii="新宋体" w:hAnsi="新宋体" w:eastAsia="新宋体" w:cs="仿宋_GB2312"/>
          <w:color w:val="auto"/>
          <w:kern w:val="0"/>
          <w:sz w:val="22"/>
          <w:szCs w:val="22"/>
          <w:highlight w:val="none"/>
          <w:lang w:eastAsia="zh-CN"/>
        </w:rPr>
        <w:t>温州市鹿城区园林绿化管理中心</w:t>
      </w:r>
      <w:r>
        <w:rPr>
          <w:rFonts w:hint="eastAsia" w:ascii="新宋体" w:hAnsi="新宋体" w:eastAsia="新宋体" w:cs="仿宋_GB2312"/>
          <w:color w:val="auto"/>
          <w:kern w:val="0"/>
          <w:sz w:val="22"/>
          <w:szCs w:val="22"/>
          <w:highlight w:val="none"/>
        </w:rPr>
        <w:t xml:space="preserve">         乙方： </w:t>
      </w:r>
    </w:p>
    <w:p>
      <w:pPr>
        <w:widowControl/>
        <w:spacing w:line="460" w:lineRule="exact"/>
        <w:jc w:val="left"/>
        <w:rPr>
          <w:rFonts w:ascii="新宋体" w:hAnsi="新宋体" w:eastAsia="新宋体" w:cs="仿宋_GB2312"/>
          <w:color w:val="auto"/>
          <w:kern w:val="0"/>
          <w:sz w:val="22"/>
          <w:szCs w:val="22"/>
          <w:highlight w:val="none"/>
        </w:rPr>
      </w:pP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法定（委托）代表人（签字）：         法定（委托）代表人（签字）：</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宋体"/>
          <w:color w:val="auto"/>
          <w:kern w:val="0"/>
          <w:sz w:val="22"/>
          <w:szCs w:val="22"/>
          <w:highlight w:val="none"/>
        </w:rPr>
        <w:t>项目</w:t>
      </w:r>
      <w:r>
        <w:rPr>
          <w:rFonts w:hint="eastAsia" w:ascii="新宋体" w:hAnsi="新宋体" w:eastAsia="新宋体" w:cs="仿宋_GB2312"/>
          <w:color w:val="auto"/>
          <w:kern w:val="0"/>
          <w:sz w:val="22"/>
          <w:szCs w:val="22"/>
          <w:highlight w:val="none"/>
        </w:rPr>
        <w:t>联系人：                         项目联系人：</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 xml:space="preserve">通信地址：                           通信地址： </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电话：                               电话：</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传真：                               传真：</w:t>
      </w:r>
    </w:p>
    <w:p>
      <w:pPr>
        <w:widowControl/>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仿宋_GB2312"/>
          <w:color w:val="auto"/>
          <w:kern w:val="0"/>
          <w:sz w:val="22"/>
          <w:szCs w:val="22"/>
          <w:highlight w:val="none"/>
        </w:rPr>
        <w:t>签字日期：    年   月   日       签字日期：    年   月   日</w:t>
      </w:r>
    </w:p>
    <w:p>
      <w:pPr>
        <w:tabs>
          <w:tab w:val="left" w:pos="360"/>
        </w:tabs>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
          <w:color w:val="auto"/>
          <w:sz w:val="30"/>
          <w:highlight w:val="none"/>
        </w:rPr>
        <w:br w:type="page"/>
      </w:r>
      <w:bookmarkStart w:id="27" w:name="_Toc24920"/>
      <w:r>
        <w:rPr>
          <w:rFonts w:hint="eastAsia" w:ascii="新宋体" w:hAnsi="新宋体" w:eastAsia="新宋体" w:cs="新宋体"/>
          <w:b/>
          <w:color w:val="auto"/>
          <w:sz w:val="30"/>
          <w:highlight w:val="none"/>
        </w:rPr>
        <w:t>第三部分    附件</w:t>
      </w:r>
      <w:bookmarkEnd w:id="27"/>
    </w:p>
    <w:p>
      <w:pPr>
        <w:pStyle w:val="24"/>
        <w:spacing w:line="460" w:lineRule="exact"/>
        <w:ind w:left="433" w:hanging="433" w:hangingChars="196"/>
        <w:outlineLvl w:val="1"/>
        <w:rPr>
          <w:rFonts w:ascii="新宋体" w:hAnsi="新宋体" w:eastAsia="新宋体" w:cs="新宋体"/>
          <w:b/>
          <w:color w:val="auto"/>
          <w:sz w:val="22"/>
          <w:highlight w:val="none"/>
        </w:rPr>
      </w:pPr>
      <w:bookmarkStart w:id="28" w:name="_Toc26310"/>
      <w:r>
        <w:rPr>
          <w:rFonts w:hint="eastAsia" w:ascii="新宋体" w:hAnsi="新宋体" w:eastAsia="新宋体" w:cs="新宋体"/>
          <w:b/>
          <w:color w:val="auto"/>
          <w:sz w:val="22"/>
          <w:highlight w:val="none"/>
        </w:rPr>
        <w:t>附件一</w:t>
      </w:r>
      <w:bookmarkEnd w:id="28"/>
    </w:p>
    <w:p>
      <w:pPr>
        <w:pStyle w:val="5"/>
        <w:keepNext w:val="0"/>
        <w:keepLines w:val="0"/>
        <w:tabs>
          <w:tab w:val="left" w:pos="774"/>
        </w:tabs>
        <w:autoSpaceDE w:val="0"/>
        <w:autoSpaceDN w:val="0"/>
        <w:spacing w:before="240" w:line="400" w:lineRule="exact"/>
        <w:ind w:left="777" w:hanging="578"/>
        <w:jc w:val="center"/>
        <w:rPr>
          <w:rFonts w:ascii="新宋体" w:hAnsi="新宋体" w:eastAsia="新宋体" w:cs="新宋体"/>
          <w:bCs/>
          <w:color w:val="auto"/>
          <w:szCs w:val="28"/>
          <w:highlight w:val="none"/>
        </w:rPr>
      </w:pPr>
      <w:r>
        <w:rPr>
          <w:rFonts w:hint="eastAsia" w:ascii="新宋体" w:hAnsi="新宋体" w:eastAsia="新宋体" w:cs="新宋体"/>
          <w:bCs/>
          <w:color w:val="auto"/>
          <w:szCs w:val="28"/>
          <w:highlight w:val="none"/>
        </w:rPr>
        <w:t>报价文件</w:t>
      </w:r>
    </w:p>
    <w:p>
      <w:pPr>
        <w:spacing w:line="400" w:lineRule="exact"/>
        <w:jc w:val="center"/>
        <w:outlineLvl w:val="3"/>
        <w:rPr>
          <w:rFonts w:ascii="新宋体" w:hAnsi="新宋体" w:eastAsia="新宋体" w:cs="新宋体"/>
          <w:bCs/>
          <w:color w:val="auto"/>
          <w:szCs w:val="28"/>
          <w:highlight w:val="none"/>
          <w:lang w:val="zh-CN"/>
        </w:rPr>
      </w:pPr>
      <w:r>
        <w:rPr>
          <w:rFonts w:hint="eastAsia" w:ascii="新宋体" w:hAnsi="新宋体" w:eastAsia="新宋体" w:cs="新宋体"/>
          <w:b/>
          <w:bCs/>
          <w:color w:val="auto"/>
          <w:sz w:val="28"/>
          <w:szCs w:val="28"/>
          <w:highlight w:val="none"/>
        </w:rPr>
        <w:t>1、</w:t>
      </w:r>
      <w:r>
        <w:rPr>
          <w:rFonts w:hint="eastAsia" w:ascii="新宋体" w:hAnsi="新宋体" w:eastAsia="新宋体" w:cs="新宋体"/>
          <w:b/>
          <w:bCs/>
          <w:color w:val="auto"/>
          <w:sz w:val="28"/>
          <w:szCs w:val="28"/>
          <w:highlight w:val="none"/>
          <w:lang w:val="zh-CN"/>
        </w:rPr>
        <w:t>投标</w:t>
      </w:r>
      <w:r>
        <w:rPr>
          <w:rFonts w:hint="eastAsia" w:ascii="新宋体" w:hAnsi="新宋体" w:eastAsia="新宋体" w:cs="新宋体"/>
          <w:b/>
          <w:bCs/>
          <w:color w:val="auto"/>
          <w:sz w:val="28"/>
          <w:szCs w:val="28"/>
          <w:highlight w:val="none"/>
        </w:rPr>
        <w:t>响应</w:t>
      </w:r>
      <w:r>
        <w:rPr>
          <w:rFonts w:hint="eastAsia" w:ascii="新宋体" w:hAnsi="新宋体" w:eastAsia="新宋体" w:cs="新宋体"/>
          <w:b/>
          <w:bCs/>
          <w:color w:val="auto"/>
          <w:sz w:val="28"/>
          <w:szCs w:val="28"/>
          <w:highlight w:val="none"/>
          <w:lang w:val="zh-CN"/>
        </w:rPr>
        <w:t>函</w:t>
      </w:r>
    </w:p>
    <w:p>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温州市鹿城区园林绿化管理中心</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w:t>
      </w:r>
      <w:r>
        <w:rPr>
          <w:rFonts w:hint="eastAsia" w:ascii="新宋体" w:hAnsi="新宋体" w:eastAsia="新宋体"/>
          <w:color w:val="auto"/>
          <w:sz w:val="22"/>
          <w:szCs w:val="22"/>
          <w:highlight w:val="none"/>
        </w:rPr>
        <w:t>如中标，有效期将延至合同终止日为止。</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供应商有前款第(1)至(5)项情形之一的，中标、成交无效。</w:t>
      </w:r>
    </w:p>
    <w:p>
      <w:pPr>
        <w:shd w:val="clear" w:color="auto" w:fill="FFFFFF"/>
        <w:snapToGrid w:val="0"/>
        <w:spacing w:line="360" w:lineRule="auto"/>
        <w:rPr>
          <w:rFonts w:ascii="新宋体" w:hAnsi="新宋体" w:eastAsia="新宋体" w:cs="新宋体"/>
          <w:color w:val="auto"/>
          <w:kern w:val="0"/>
          <w:sz w:val="22"/>
          <w:szCs w:val="22"/>
          <w:highlight w:val="none"/>
          <w:lang w:val="zh-CN"/>
        </w:rPr>
      </w:pPr>
    </w:p>
    <w:p>
      <w:pPr>
        <w:shd w:val="clear" w:color="auto" w:fill="FFFFFF"/>
        <w:snapToGrid w:val="0"/>
        <w:spacing w:line="360" w:lineRule="auto"/>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法定（授权）代表人（签字）：</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p>
    <w:p>
      <w:pPr>
        <w:shd w:val="clear" w:color="auto" w:fill="FFFFFF"/>
        <w:snapToGrid w:val="0"/>
        <w:spacing w:line="360" w:lineRule="auto"/>
        <w:ind w:firstLine="440" w:firstLineChars="200"/>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lang w:val="zh-CN"/>
        </w:rPr>
        <w:t>投标人盖 章：</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 xml:space="preserve">联系电话：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 xml:space="preserve">传真：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 xml:space="preserve">电子邮件：  </w:t>
      </w:r>
      <w:r>
        <w:rPr>
          <w:rFonts w:hint="eastAsia" w:ascii="新宋体" w:hAnsi="新宋体" w:eastAsia="新宋体" w:cs="新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联系地址：</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邮政编码：</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传真号码：</w:t>
      </w:r>
      <w:r>
        <w:rPr>
          <w:rFonts w:hint="eastAsia" w:ascii="新宋体" w:hAnsi="新宋体" w:eastAsia="新宋体" w:cs="新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日</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期</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lang w:val="zh-CN"/>
        </w:rPr>
        <w:t>月</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日</w:t>
      </w:r>
    </w:p>
    <w:p>
      <w:pPr>
        <w:spacing w:line="460" w:lineRule="exact"/>
        <w:ind w:firstLine="435"/>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pPr>
        <w:pStyle w:val="24"/>
        <w:ind w:left="442" w:hanging="442"/>
        <w:rPr>
          <w:rFonts w:ascii="新宋体" w:hAnsi="新宋体" w:eastAsia="新宋体" w:cs="新宋体"/>
          <w:b/>
          <w:bCs/>
          <w:color w:val="auto"/>
          <w:kern w:val="0"/>
          <w:sz w:val="22"/>
          <w:szCs w:val="22"/>
          <w:highlight w:val="none"/>
          <w:lang w:val="zh-CN"/>
        </w:rPr>
      </w:pPr>
    </w:p>
    <w:p>
      <w:pPr>
        <w:pStyle w:val="24"/>
        <w:ind w:left="442" w:hanging="442"/>
        <w:rPr>
          <w:rFonts w:ascii="新宋体" w:hAnsi="新宋体" w:eastAsia="新宋体" w:cs="新宋体"/>
          <w:b/>
          <w:bCs/>
          <w:color w:val="auto"/>
          <w:kern w:val="0"/>
          <w:sz w:val="22"/>
          <w:szCs w:val="22"/>
          <w:highlight w:val="none"/>
          <w:lang w:val="zh-CN"/>
        </w:rPr>
      </w:pPr>
    </w:p>
    <w:p>
      <w:pPr>
        <w:pStyle w:val="24"/>
        <w:ind w:left="442" w:hanging="442"/>
        <w:rPr>
          <w:rFonts w:ascii="新宋体" w:hAnsi="新宋体" w:eastAsia="新宋体" w:cs="新宋体"/>
          <w:b/>
          <w:bCs/>
          <w:color w:val="auto"/>
          <w:kern w:val="0"/>
          <w:sz w:val="22"/>
          <w:szCs w:val="22"/>
          <w:highlight w:val="none"/>
          <w:lang w:val="zh-CN"/>
        </w:rPr>
      </w:pPr>
    </w:p>
    <w:p>
      <w:pPr>
        <w:pStyle w:val="24"/>
        <w:ind w:left="442" w:hanging="442"/>
        <w:rPr>
          <w:rFonts w:ascii="新宋体" w:hAnsi="新宋体" w:eastAsia="新宋体" w:cs="新宋体"/>
          <w:b/>
          <w:bCs/>
          <w:color w:val="auto"/>
          <w:kern w:val="0"/>
          <w:sz w:val="22"/>
          <w:szCs w:val="22"/>
          <w:highlight w:val="none"/>
          <w:lang w:val="zh-CN"/>
        </w:rPr>
      </w:pPr>
    </w:p>
    <w:p>
      <w:pPr>
        <w:pStyle w:val="24"/>
        <w:ind w:left="442" w:hanging="442"/>
        <w:rPr>
          <w:rFonts w:ascii="新宋体" w:hAnsi="新宋体" w:eastAsia="新宋体" w:cs="新宋体"/>
          <w:b/>
          <w:bCs/>
          <w:color w:val="auto"/>
          <w:kern w:val="0"/>
          <w:sz w:val="22"/>
          <w:szCs w:val="22"/>
          <w:highlight w:val="none"/>
          <w:lang w:val="zh-CN"/>
        </w:rPr>
      </w:pPr>
    </w:p>
    <w:p>
      <w:pPr>
        <w:pStyle w:val="24"/>
        <w:ind w:left="442" w:hanging="442"/>
        <w:rPr>
          <w:rFonts w:ascii="新宋体" w:hAnsi="新宋体" w:eastAsia="新宋体" w:cs="新宋体"/>
          <w:b/>
          <w:bCs/>
          <w:color w:val="auto"/>
          <w:kern w:val="0"/>
          <w:sz w:val="22"/>
          <w:szCs w:val="22"/>
          <w:highlight w:val="none"/>
          <w:lang w:val="zh-CN"/>
        </w:rPr>
      </w:pPr>
    </w:p>
    <w:p>
      <w:pPr>
        <w:pStyle w:val="24"/>
        <w:ind w:left="442" w:hanging="442"/>
        <w:rPr>
          <w:rFonts w:ascii="新宋体" w:hAnsi="新宋体" w:eastAsia="新宋体" w:cs="新宋体"/>
          <w:b/>
          <w:bCs/>
          <w:color w:val="auto"/>
          <w:kern w:val="0"/>
          <w:sz w:val="22"/>
          <w:szCs w:val="22"/>
          <w:highlight w:val="none"/>
          <w:lang w:val="zh-CN"/>
        </w:rPr>
      </w:pPr>
    </w:p>
    <w:p>
      <w:pPr>
        <w:spacing w:line="460" w:lineRule="exact"/>
        <w:ind w:firstLine="435"/>
        <w:rPr>
          <w:rFonts w:ascii="新宋体" w:hAnsi="新宋体" w:eastAsia="新宋体" w:cs="新宋体"/>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pStyle w:val="24"/>
        <w:rPr>
          <w:color w:val="auto"/>
          <w:highlight w:val="none"/>
        </w:rPr>
      </w:pPr>
    </w:p>
    <w:p>
      <w:pPr>
        <w:pStyle w:val="24"/>
        <w:rPr>
          <w:color w:val="auto"/>
          <w:highlight w:val="none"/>
        </w:rPr>
      </w:pPr>
    </w:p>
    <w:p>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2、投标报价一览表</w:t>
      </w:r>
    </w:p>
    <w:p>
      <w:pPr>
        <w:spacing w:line="38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项目名称：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
          <w:bCs/>
          <w:color w:val="auto"/>
          <w:sz w:val="22"/>
          <w:szCs w:val="22"/>
          <w:highlight w:val="none"/>
        </w:rPr>
        <w:t>项目编号</w:t>
      </w:r>
      <w:r>
        <w:rPr>
          <w:rFonts w:hint="eastAsia" w:ascii="新宋体" w:hAnsi="新宋体" w:eastAsia="新宋体" w:cs="新宋体"/>
          <w:bCs/>
          <w:color w:val="auto"/>
          <w:sz w:val="22"/>
          <w:szCs w:val="22"/>
          <w:highlight w:val="none"/>
        </w:rPr>
        <w:t>：</w:t>
      </w:r>
      <w:r>
        <w:rPr>
          <w:rFonts w:hint="eastAsia" w:ascii="新宋体" w:hAnsi="新宋体" w:eastAsia="新宋体" w:cs="新宋体"/>
          <w:b/>
          <w:bCs/>
          <w:color w:val="auto"/>
          <w:sz w:val="22"/>
          <w:szCs w:val="22"/>
          <w:highlight w:val="none"/>
        </w:rPr>
        <w:t xml:space="preserve"> </w:t>
      </w:r>
    </w:p>
    <w:tbl>
      <w:tblPr>
        <w:tblStyle w:val="52"/>
        <w:tblW w:w="97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3"/>
        <w:gridCol w:w="1913"/>
        <w:gridCol w:w="2167"/>
        <w:gridCol w:w="1493"/>
        <w:gridCol w:w="1842"/>
        <w:gridCol w:w="13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7" w:hRule="atLeast"/>
          <w:jc w:val="center"/>
        </w:trPr>
        <w:tc>
          <w:tcPr>
            <w:tcW w:w="953" w:type="dxa"/>
            <w:tcBorders>
              <w:top w:val="single" w:color="auto" w:sz="0" w:space="0"/>
              <w:left w:val="single" w:color="auto" w:sz="0" w:space="0"/>
              <w:bottom w:val="single" w:color="auto" w:sz="0" w:space="0"/>
              <w:right w:val="single" w:color="auto" w:sz="4" w:space="0"/>
            </w:tcBorders>
            <w:vAlign w:val="center"/>
          </w:tcPr>
          <w:p>
            <w:pPr>
              <w:spacing w:line="460" w:lineRule="exact"/>
              <w:ind w:right="-21" w:rightChars="-1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913" w:type="dxa"/>
            <w:tcBorders>
              <w:top w:val="single" w:color="auto" w:sz="0" w:space="0"/>
              <w:left w:val="single" w:color="auto" w:sz="4" w:space="0"/>
              <w:bottom w:val="single" w:color="auto" w:sz="0" w:space="0"/>
            </w:tcBorders>
            <w:vAlign w:val="center"/>
          </w:tcPr>
          <w:p>
            <w:pPr>
              <w:spacing w:line="460" w:lineRule="exact"/>
              <w:ind w:right="-21" w:rightChars="-1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投标项目</w:t>
            </w:r>
          </w:p>
        </w:tc>
        <w:tc>
          <w:tcPr>
            <w:tcW w:w="2167" w:type="dxa"/>
            <w:tcBorders>
              <w:top w:val="single" w:color="auto" w:sz="0" w:space="0"/>
              <w:bottom w:val="single" w:color="auto" w:sz="0" w:space="0"/>
              <w:right w:val="single" w:color="auto" w:sz="0" w:space="0"/>
            </w:tcBorders>
            <w:vAlign w:val="center"/>
          </w:tcPr>
          <w:p>
            <w:pPr>
              <w:spacing w:line="460" w:lineRule="exact"/>
              <w:ind w:right="-21" w:rightChars="-1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完工时间（日历天）</w:t>
            </w:r>
          </w:p>
        </w:tc>
        <w:tc>
          <w:tcPr>
            <w:tcW w:w="1493" w:type="dxa"/>
            <w:tcBorders>
              <w:top w:val="single" w:color="auto" w:sz="0" w:space="0"/>
              <w:left w:val="single" w:color="auto" w:sz="0" w:space="0"/>
              <w:bottom w:val="single" w:color="auto" w:sz="0" w:space="0"/>
              <w:right w:val="single" w:color="auto" w:sz="0" w:space="0"/>
            </w:tcBorders>
            <w:vAlign w:val="center"/>
          </w:tcPr>
          <w:p>
            <w:pPr>
              <w:spacing w:line="460" w:lineRule="exact"/>
              <w:ind w:right="-21" w:rightChars="-1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免费质保期</w:t>
            </w:r>
          </w:p>
        </w:tc>
        <w:tc>
          <w:tcPr>
            <w:tcW w:w="1842" w:type="dxa"/>
            <w:tcBorders>
              <w:top w:val="single" w:color="auto" w:sz="0" w:space="0"/>
              <w:left w:val="single" w:color="auto" w:sz="0" w:space="0"/>
              <w:bottom w:val="single" w:color="auto" w:sz="0" w:space="0"/>
              <w:right w:val="single" w:color="auto" w:sz="4" w:space="0"/>
            </w:tcBorders>
            <w:vAlign w:val="center"/>
          </w:tcPr>
          <w:p>
            <w:pPr>
              <w:spacing w:line="460" w:lineRule="exact"/>
              <w:ind w:right="-21" w:rightChars="-1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交货地点</w:t>
            </w:r>
          </w:p>
        </w:tc>
        <w:tc>
          <w:tcPr>
            <w:tcW w:w="1338" w:type="dxa"/>
            <w:tcBorders>
              <w:top w:val="single" w:color="auto" w:sz="0" w:space="0"/>
              <w:left w:val="single" w:color="auto" w:sz="4" w:space="0"/>
              <w:bottom w:val="single" w:color="auto" w:sz="0" w:space="0"/>
              <w:right w:val="single" w:color="auto" w:sz="0" w:space="0"/>
            </w:tcBorders>
            <w:vAlign w:val="center"/>
          </w:tcPr>
          <w:p>
            <w:pPr>
              <w:spacing w:line="460" w:lineRule="exact"/>
              <w:ind w:right="-21" w:rightChars="-1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项目负责人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2185" w:hRule="atLeast"/>
          <w:jc w:val="center"/>
        </w:trPr>
        <w:tc>
          <w:tcPr>
            <w:tcW w:w="953" w:type="dxa"/>
            <w:tcBorders>
              <w:top w:val="single" w:color="auto" w:sz="0" w:space="0"/>
              <w:left w:val="single" w:color="auto" w:sz="0" w:space="0"/>
              <w:right w:val="single" w:color="auto" w:sz="4" w:space="0"/>
            </w:tcBorders>
            <w:vAlign w:val="center"/>
          </w:tcPr>
          <w:p>
            <w:pPr>
              <w:spacing w:line="460" w:lineRule="exact"/>
              <w:ind w:right="-21" w:rightChars="-1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913" w:type="dxa"/>
            <w:tcBorders>
              <w:top w:val="single" w:color="auto" w:sz="0" w:space="0"/>
              <w:left w:val="single" w:color="auto" w:sz="4" w:space="0"/>
              <w:right w:val="single" w:color="auto" w:sz="0" w:space="0"/>
            </w:tcBorders>
            <w:vAlign w:val="center"/>
          </w:tcPr>
          <w:p>
            <w:pPr>
              <w:spacing w:line="460" w:lineRule="exact"/>
              <w:ind w:right="-21" w:rightChars="-10"/>
              <w:jc w:val="center"/>
              <w:rPr>
                <w:rFonts w:ascii="新宋体" w:hAnsi="新宋体" w:eastAsia="新宋体" w:cs="新宋体"/>
                <w:color w:val="auto"/>
                <w:sz w:val="22"/>
                <w:szCs w:val="22"/>
                <w:highlight w:val="none"/>
              </w:rPr>
            </w:pPr>
          </w:p>
        </w:tc>
        <w:tc>
          <w:tcPr>
            <w:tcW w:w="2167" w:type="dxa"/>
            <w:tcBorders>
              <w:top w:val="single" w:color="auto" w:sz="0" w:space="0"/>
              <w:left w:val="single" w:color="auto" w:sz="0" w:space="0"/>
              <w:right w:val="single" w:color="auto" w:sz="0" w:space="0"/>
            </w:tcBorders>
            <w:vAlign w:val="center"/>
          </w:tcPr>
          <w:p>
            <w:pPr>
              <w:spacing w:line="460" w:lineRule="exact"/>
              <w:ind w:right="-21" w:rightChars="-10"/>
              <w:jc w:val="center"/>
              <w:rPr>
                <w:rFonts w:ascii="新宋体" w:hAnsi="新宋体" w:eastAsia="新宋体" w:cs="新宋体"/>
                <w:color w:val="auto"/>
                <w:sz w:val="22"/>
                <w:szCs w:val="22"/>
                <w:highlight w:val="none"/>
              </w:rPr>
            </w:pPr>
          </w:p>
        </w:tc>
        <w:tc>
          <w:tcPr>
            <w:tcW w:w="1493" w:type="dxa"/>
            <w:tcBorders>
              <w:top w:val="single" w:color="auto" w:sz="0" w:space="0"/>
              <w:left w:val="single" w:color="auto" w:sz="0" w:space="0"/>
              <w:right w:val="single" w:color="auto" w:sz="0" w:space="0"/>
            </w:tcBorders>
            <w:vAlign w:val="center"/>
          </w:tcPr>
          <w:p>
            <w:pPr>
              <w:spacing w:line="460" w:lineRule="exact"/>
              <w:ind w:right="-21" w:rightChars="-10"/>
              <w:jc w:val="center"/>
              <w:rPr>
                <w:rFonts w:ascii="新宋体" w:hAnsi="新宋体" w:eastAsia="新宋体" w:cs="新宋体"/>
                <w:color w:val="auto"/>
                <w:sz w:val="22"/>
                <w:szCs w:val="22"/>
                <w:highlight w:val="none"/>
              </w:rPr>
            </w:pPr>
          </w:p>
        </w:tc>
        <w:tc>
          <w:tcPr>
            <w:tcW w:w="1842" w:type="dxa"/>
            <w:tcBorders>
              <w:top w:val="single" w:color="auto" w:sz="0" w:space="0"/>
              <w:left w:val="single" w:color="auto" w:sz="0" w:space="0"/>
              <w:right w:val="single" w:color="auto" w:sz="4" w:space="0"/>
            </w:tcBorders>
            <w:vAlign w:val="center"/>
          </w:tcPr>
          <w:p>
            <w:pPr>
              <w:spacing w:line="460" w:lineRule="exact"/>
              <w:ind w:right="-21" w:rightChars="-10"/>
              <w:jc w:val="center"/>
              <w:rPr>
                <w:rFonts w:ascii="新宋体" w:hAnsi="新宋体" w:eastAsia="新宋体" w:cs="新宋体"/>
                <w:color w:val="auto"/>
                <w:sz w:val="22"/>
                <w:szCs w:val="22"/>
                <w:highlight w:val="none"/>
              </w:rPr>
            </w:pPr>
          </w:p>
        </w:tc>
        <w:tc>
          <w:tcPr>
            <w:tcW w:w="1338" w:type="dxa"/>
            <w:tcBorders>
              <w:top w:val="single" w:color="auto" w:sz="0" w:space="0"/>
              <w:left w:val="single" w:color="auto" w:sz="4" w:space="0"/>
              <w:right w:val="single" w:color="auto" w:sz="0" w:space="0"/>
            </w:tcBorders>
            <w:vAlign w:val="center"/>
          </w:tcPr>
          <w:p>
            <w:pPr>
              <w:spacing w:line="460" w:lineRule="exact"/>
              <w:ind w:right="-21" w:rightChars="-10"/>
              <w:jc w:val="center"/>
              <w:rPr>
                <w:rFonts w:ascii="新宋体" w:hAnsi="新宋体" w:eastAsia="新宋体" w:cs="新宋体"/>
                <w:color w:val="auto"/>
                <w:sz w:val="22"/>
                <w:szCs w:val="2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134" w:hRule="atLeast"/>
          <w:jc w:val="center"/>
        </w:trPr>
        <w:tc>
          <w:tcPr>
            <w:tcW w:w="9706" w:type="dxa"/>
            <w:gridSpan w:val="6"/>
            <w:tcBorders>
              <w:left w:val="single" w:color="auto" w:sz="0" w:space="0"/>
              <w:bottom w:val="single" w:color="auto" w:sz="0" w:space="0"/>
              <w:right w:val="single" w:color="auto" w:sz="0" w:space="0"/>
            </w:tcBorders>
            <w:vAlign w:val="center"/>
          </w:tcPr>
          <w:p>
            <w:pPr>
              <w:spacing w:line="460" w:lineRule="exact"/>
              <w:ind w:right="-21" w:rightChars="-1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投标总价（大写）：</w:t>
            </w:r>
          </w:p>
          <w:p>
            <w:pPr>
              <w:spacing w:before="240" w:beforeLines="100" w:line="460" w:lineRule="exact"/>
              <w:ind w:right="-21" w:rightChars="-1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（小写）：¥</w:t>
            </w:r>
          </w:p>
        </w:tc>
      </w:tr>
    </w:tbl>
    <w:p>
      <w:pPr>
        <w:spacing w:line="450" w:lineRule="exact"/>
        <w:ind w:firstLine="541" w:firstLineChars="245"/>
        <w:rPr>
          <w:rFonts w:ascii="新宋体" w:hAnsi="新宋体" w:eastAsia="新宋体"/>
          <w:b/>
          <w:color w:val="auto"/>
          <w:sz w:val="22"/>
          <w:szCs w:val="22"/>
          <w:highlight w:val="none"/>
        </w:rPr>
      </w:pPr>
    </w:p>
    <w:p>
      <w:pPr>
        <w:spacing w:line="45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szCs w:val="22"/>
          <w:highlight w:val="none"/>
        </w:rPr>
        <w:t xml:space="preserve">说明  </w:t>
      </w:r>
      <w:r>
        <w:rPr>
          <w:rFonts w:hint="eastAsia" w:ascii="新宋体" w:hAnsi="新宋体" w:eastAsia="新宋体"/>
          <w:b/>
          <w:color w:val="auto"/>
          <w:sz w:val="22"/>
          <w:highlight w:val="none"/>
        </w:rPr>
        <w:t>1、 此栏投标报价应与附件一中“3、投标分项报价表”中的总计价相一致。</w:t>
      </w:r>
    </w:p>
    <w:p>
      <w:pPr>
        <w:spacing w:line="450" w:lineRule="exact"/>
        <w:rPr>
          <w:rFonts w:ascii="新宋体" w:hAnsi="新宋体" w:eastAsia="新宋体"/>
          <w:b/>
          <w:color w:val="auto"/>
          <w:sz w:val="22"/>
          <w:highlight w:val="none"/>
        </w:rPr>
      </w:pPr>
      <w:r>
        <w:rPr>
          <w:rFonts w:hint="eastAsia" w:ascii="新宋体" w:hAnsi="新宋体" w:eastAsia="新宋体"/>
          <w:b/>
          <w:color w:val="auto"/>
          <w:sz w:val="22"/>
          <w:highlight w:val="none"/>
        </w:rPr>
        <w:t xml:space="preserve">           2、不提供此表格将被视为没有实质性响应招标文件</w:t>
      </w:r>
    </w:p>
    <w:p>
      <w:pPr>
        <w:spacing w:line="460" w:lineRule="exact"/>
        <w:ind w:left="532" w:leftChars="-171" w:hanging="891" w:hangingChars="405"/>
        <w:rPr>
          <w:rFonts w:ascii="新宋体" w:hAnsi="新宋体" w:eastAsia="新宋体" w:cs="新宋体"/>
          <w:color w:val="auto"/>
          <w:sz w:val="22"/>
          <w:szCs w:val="22"/>
          <w:highlight w:val="none"/>
        </w:rPr>
      </w:pPr>
    </w:p>
    <w:p>
      <w:pPr>
        <w:pStyle w:val="26"/>
        <w:rPr>
          <w:rFonts w:ascii="新宋体" w:hAnsi="新宋体" w:eastAsia="新宋体" w:cs="新宋体"/>
          <w:color w:val="auto"/>
          <w:highlight w:val="none"/>
        </w:rPr>
      </w:pPr>
    </w:p>
    <w:p>
      <w:p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投标人全称（盖章）：</w:t>
      </w:r>
    </w:p>
    <w:p>
      <w:p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投标人代表（签字）：</w:t>
      </w:r>
    </w:p>
    <w:p>
      <w:pPr>
        <w:spacing w:line="38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pPr>
        <w:pStyle w:val="10"/>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pStyle w:val="10"/>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pStyle w:val="10"/>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pStyle w:val="10"/>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pStyle w:val="10"/>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pStyle w:val="10"/>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rPr>
          <w:color w:val="auto"/>
          <w:highlight w:val="none"/>
        </w:rPr>
      </w:pPr>
    </w:p>
    <w:p>
      <w:pPr>
        <w:pStyle w:val="10"/>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pPr>
        <w:spacing w:line="400" w:lineRule="exact"/>
        <w:jc w:val="center"/>
        <w:outlineLvl w:val="3"/>
        <w:rPr>
          <w:rFonts w:ascii="新宋体" w:hAnsi="新宋体" w:eastAsia="新宋体"/>
          <w:b/>
          <w:bCs/>
          <w:color w:val="auto"/>
          <w:sz w:val="28"/>
          <w:szCs w:val="28"/>
          <w:highlight w:val="none"/>
        </w:rPr>
      </w:pPr>
      <w:r>
        <w:rPr>
          <w:rFonts w:hint="eastAsia" w:ascii="新宋体" w:hAnsi="新宋体" w:eastAsia="新宋体" w:cs="新宋体"/>
          <w:b/>
          <w:bCs/>
          <w:color w:val="auto"/>
          <w:sz w:val="28"/>
          <w:szCs w:val="28"/>
          <w:highlight w:val="none"/>
        </w:rPr>
        <w:t>3、</w:t>
      </w:r>
      <w:r>
        <w:rPr>
          <w:rFonts w:hint="eastAsia" w:ascii="新宋体" w:hAnsi="新宋体" w:eastAsia="新宋体"/>
          <w:b/>
          <w:bCs/>
          <w:color w:val="auto"/>
          <w:sz w:val="28"/>
          <w:szCs w:val="28"/>
          <w:highlight w:val="none"/>
        </w:rPr>
        <w:t>投标分项报价表</w:t>
      </w:r>
    </w:p>
    <w:p>
      <w:pPr>
        <w:spacing w:line="38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项目名称： </w:t>
      </w:r>
      <w:r>
        <w:rPr>
          <w:rFonts w:hint="eastAsia" w:ascii="新宋体" w:hAnsi="新宋体" w:eastAsia="新宋体"/>
          <w:color w:val="auto"/>
          <w:sz w:val="22"/>
          <w:szCs w:val="22"/>
          <w:highlight w:val="none"/>
        </w:rPr>
        <w:t xml:space="preserve">                                              </w:t>
      </w:r>
      <w:r>
        <w:rPr>
          <w:rFonts w:hint="eastAsia" w:ascii="新宋体" w:hAnsi="新宋体" w:eastAsia="新宋体"/>
          <w:b/>
          <w:bCs/>
          <w:color w:val="auto"/>
          <w:sz w:val="22"/>
          <w:szCs w:val="22"/>
          <w:highlight w:val="none"/>
        </w:rPr>
        <w:t>项目编号：</w:t>
      </w:r>
    </w:p>
    <w:tbl>
      <w:tblPr>
        <w:tblStyle w:val="5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143"/>
        <w:gridCol w:w="10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12" w:space="0"/>
              <w:left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w:t>
            </w:r>
          </w:p>
        </w:tc>
        <w:tc>
          <w:tcPr>
            <w:tcW w:w="1605"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货物名称</w:t>
            </w:r>
          </w:p>
        </w:tc>
        <w:tc>
          <w:tcPr>
            <w:tcW w:w="1477"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品牌型号规格、产地</w:t>
            </w:r>
          </w:p>
        </w:tc>
        <w:tc>
          <w:tcPr>
            <w:tcW w:w="1570"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制造厂商名称</w:t>
            </w:r>
          </w:p>
        </w:tc>
        <w:tc>
          <w:tcPr>
            <w:tcW w:w="708"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143"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出厂单价</w:t>
            </w:r>
          </w:p>
          <w:p>
            <w:pPr>
              <w:spacing w:line="42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tcBorders>
              <w:top w:val="single" w:color="auto" w:sz="12" w:space="0"/>
              <w:bottom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总价</w:t>
            </w:r>
          </w:p>
          <w:p>
            <w:pPr>
              <w:spacing w:line="42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tcBorders>
              <w:top w:val="single" w:color="auto" w:sz="12" w:space="0"/>
              <w:bottom w:val="single" w:color="auto" w:sz="12" w:space="0"/>
              <w:right w:val="single" w:color="auto" w:sz="12" w:space="0"/>
            </w:tcBorders>
            <w:vAlign w:val="center"/>
          </w:tcPr>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免费</w:t>
            </w:r>
          </w:p>
          <w:p>
            <w:pPr>
              <w:spacing w:line="420" w:lineRule="exact"/>
              <w:ind w:right="-11"/>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25" w:type="dxa"/>
            <w:tcBorders>
              <w:lef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vAlign w:val="center"/>
          </w:tcPr>
          <w:p>
            <w:pPr>
              <w:spacing w:line="420" w:lineRule="exact"/>
              <w:rPr>
                <w:rFonts w:ascii="新宋体" w:hAnsi="新宋体" w:eastAsia="新宋体" w:cs="新宋体"/>
                <w:color w:val="auto"/>
                <w:sz w:val="22"/>
                <w:szCs w:val="22"/>
                <w:highlight w:val="none"/>
              </w:rPr>
            </w:pPr>
          </w:p>
        </w:tc>
        <w:tc>
          <w:tcPr>
            <w:tcW w:w="1477" w:type="dxa"/>
            <w:vAlign w:val="center"/>
          </w:tcPr>
          <w:p>
            <w:pPr>
              <w:spacing w:line="420" w:lineRule="exact"/>
              <w:jc w:val="center"/>
              <w:rPr>
                <w:rFonts w:ascii="新宋体" w:hAnsi="新宋体" w:eastAsia="新宋体" w:cs="新宋体"/>
                <w:color w:val="auto"/>
                <w:sz w:val="22"/>
                <w:szCs w:val="22"/>
                <w:highlight w:val="none"/>
              </w:rPr>
            </w:pPr>
          </w:p>
        </w:tc>
        <w:tc>
          <w:tcPr>
            <w:tcW w:w="1570" w:type="dxa"/>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vAlign w:val="center"/>
          </w:tcPr>
          <w:p>
            <w:pPr>
              <w:spacing w:line="420" w:lineRule="exact"/>
              <w:jc w:val="center"/>
              <w:rPr>
                <w:rFonts w:ascii="新宋体" w:hAnsi="新宋体" w:eastAsia="新宋体" w:cs="新宋体"/>
                <w:color w:val="auto"/>
                <w:sz w:val="22"/>
                <w:szCs w:val="22"/>
                <w:highlight w:val="none"/>
              </w:rPr>
            </w:pPr>
          </w:p>
        </w:tc>
        <w:tc>
          <w:tcPr>
            <w:tcW w:w="1143" w:type="dxa"/>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vAlign w:val="center"/>
          </w:tcPr>
          <w:p>
            <w:pPr>
              <w:spacing w:line="420" w:lineRule="exact"/>
              <w:rPr>
                <w:rFonts w:ascii="新宋体" w:hAnsi="新宋体" w:eastAsia="新宋体" w:cs="新宋体"/>
                <w:color w:val="auto"/>
                <w:sz w:val="22"/>
                <w:szCs w:val="22"/>
                <w:highlight w:val="none"/>
              </w:rPr>
            </w:pPr>
          </w:p>
        </w:tc>
        <w:tc>
          <w:tcPr>
            <w:tcW w:w="1477" w:type="dxa"/>
            <w:vAlign w:val="center"/>
          </w:tcPr>
          <w:p>
            <w:pPr>
              <w:spacing w:line="420" w:lineRule="exact"/>
              <w:jc w:val="center"/>
              <w:rPr>
                <w:rFonts w:ascii="新宋体" w:hAnsi="新宋体" w:eastAsia="新宋体" w:cs="新宋体"/>
                <w:color w:val="auto"/>
                <w:sz w:val="22"/>
                <w:szCs w:val="22"/>
                <w:highlight w:val="none"/>
              </w:rPr>
            </w:pPr>
          </w:p>
        </w:tc>
        <w:tc>
          <w:tcPr>
            <w:tcW w:w="1570" w:type="dxa"/>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vAlign w:val="center"/>
          </w:tcPr>
          <w:p>
            <w:pPr>
              <w:spacing w:line="420" w:lineRule="exact"/>
              <w:jc w:val="center"/>
              <w:rPr>
                <w:rFonts w:ascii="新宋体" w:hAnsi="新宋体" w:eastAsia="新宋体" w:cs="新宋体"/>
                <w:color w:val="auto"/>
                <w:sz w:val="22"/>
                <w:szCs w:val="22"/>
                <w:highlight w:val="none"/>
              </w:rPr>
            </w:pPr>
          </w:p>
        </w:tc>
        <w:tc>
          <w:tcPr>
            <w:tcW w:w="1143" w:type="dxa"/>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vAlign w:val="center"/>
          </w:tcPr>
          <w:p>
            <w:pPr>
              <w:spacing w:line="420" w:lineRule="exact"/>
              <w:rPr>
                <w:rFonts w:ascii="新宋体" w:hAnsi="新宋体" w:eastAsia="新宋体" w:cs="新宋体"/>
                <w:color w:val="auto"/>
                <w:sz w:val="22"/>
                <w:szCs w:val="22"/>
                <w:highlight w:val="none"/>
              </w:rPr>
            </w:pPr>
          </w:p>
        </w:tc>
        <w:tc>
          <w:tcPr>
            <w:tcW w:w="1477" w:type="dxa"/>
            <w:vAlign w:val="center"/>
          </w:tcPr>
          <w:p>
            <w:pPr>
              <w:spacing w:line="420" w:lineRule="exact"/>
              <w:jc w:val="center"/>
              <w:rPr>
                <w:rFonts w:ascii="新宋体" w:hAnsi="新宋体" w:eastAsia="新宋体" w:cs="新宋体"/>
                <w:color w:val="auto"/>
                <w:sz w:val="22"/>
                <w:szCs w:val="22"/>
                <w:highlight w:val="none"/>
              </w:rPr>
            </w:pPr>
          </w:p>
        </w:tc>
        <w:tc>
          <w:tcPr>
            <w:tcW w:w="1570" w:type="dxa"/>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vAlign w:val="center"/>
          </w:tcPr>
          <w:p>
            <w:pPr>
              <w:spacing w:line="420" w:lineRule="exact"/>
              <w:jc w:val="center"/>
              <w:rPr>
                <w:rFonts w:ascii="新宋体" w:hAnsi="新宋体" w:eastAsia="新宋体" w:cs="新宋体"/>
                <w:color w:val="auto"/>
                <w:sz w:val="22"/>
                <w:szCs w:val="22"/>
                <w:highlight w:val="none"/>
              </w:rPr>
            </w:pPr>
          </w:p>
        </w:tc>
        <w:tc>
          <w:tcPr>
            <w:tcW w:w="1143" w:type="dxa"/>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c>
          <w:tcPr>
            <w:tcW w:w="1605" w:type="dxa"/>
            <w:vAlign w:val="center"/>
          </w:tcPr>
          <w:p>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477" w:type="dxa"/>
            <w:vAlign w:val="center"/>
          </w:tcPr>
          <w:p>
            <w:pPr>
              <w:spacing w:line="420" w:lineRule="exact"/>
              <w:jc w:val="center"/>
              <w:rPr>
                <w:rFonts w:ascii="新宋体" w:hAnsi="新宋体" w:eastAsia="新宋体" w:cs="新宋体"/>
                <w:color w:val="auto"/>
                <w:sz w:val="22"/>
                <w:szCs w:val="22"/>
                <w:highlight w:val="none"/>
              </w:rPr>
            </w:pPr>
          </w:p>
        </w:tc>
        <w:tc>
          <w:tcPr>
            <w:tcW w:w="1570" w:type="dxa"/>
            <w:vAlign w:val="center"/>
          </w:tcPr>
          <w:p>
            <w:pPr>
              <w:spacing w:line="420" w:lineRule="exact"/>
              <w:ind w:right="-11"/>
              <w:jc w:val="center"/>
              <w:rPr>
                <w:rFonts w:ascii="新宋体" w:hAnsi="新宋体" w:eastAsia="新宋体" w:cs="新宋体"/>
                <w:color w:val="auto"/>
                <w:sz w:val="22"/>
                <w:szCs w:val="22"/>
                <w:highlight w:val="none"/>
              </w:rPr>
            </w:pPr>
          </w:p>
        </w:tc>
        <w:tc>
          <w:tcPr>
            <w:tcW w:w="708" w:type="dxa"/>
            <w:vAlign w:val="center"/>
          </w:tcPr>
          <w:p>
            <w:pPr>
              <w:spacing w:line="420" w:lineRule="exact"/>
              <w:jc w:val="center"/>
              <w:rPr>
                <w:rFonts w:ascii="新宋体" w:hAnsi="新宋体" w:eastAsia="新宋体" w:cs="新宋体"/>
                <w:color w:val="auto"/>
                <w:sz w:val="22"/>
                <w:szCs w:val="22"/>
                <w:highlight w:val="none"/>
              </w:rPr>
            </w:pPr>
          </w:p>
        </w:tc>
        <w:tc>
          <w:tcPr>
            <w:tcW w:w="1143" w:type="dxa"/>
            <w:vAlign w:val="center"/>
          </w:tcPr>
          <w:p>
            <w:pPr>
              <w:spacing w:line="420" w:lineRule="exact"/>
              <w:ind w:right="-11"/>
              <w:jc w:val="center"/>
              <w:rPr>
                <w:rFonts w:ascii="新宋体" w:hAnsi="新宋体" w:eastAsia="新宋体" w:cs="新宋体"/>
                <w:color w:val="auto"/>
                <w:sz w:val="22"/>
                <w:szCs w:val="22"/>
                <w:highlight w:val="none"/>
              </w:rPr>
            </w:pPr>
          </w:p>
        </w:tc>
        <w:tc>
          <w:tcPr>
            <w:tcW w:w="1000" w:type="dxa"/>
            <w:vAlign w:val="center"/>
          </w:tcPr>
          <w:p>
            <w:pPr>
              <w:spacing w:line="420" w:lineRule="exact"/>
              <w:ind w:right="-11"/>
              <w:jc w:val="center"/>
              <w:rPr>
                <w:rFonts w:ascii="新宋体" w:hAnsi="新宋体" w:eastAsia="新宋体" w:cs="新宋体"/>
                <w:color w:val="auto"/>
                <w:sz w:val="22"/>
                <w:szCs w:val="22"/>
                <w:highlight w:val="none"/>
              </w:rPr>
            </w:pPr>
          </w:p>
        </w:tc>
        <w:tc>
          <w:tcPr>
            <w:tcW w:w="1159" w:type="dxa"/>
            <w:tcBorders>
              <w:right w:val="single" w:color="auto" w:sz="12" w:space="0"/>
            </w:tcBorders>
            <w:vAlign w:val="center"/>
          </w:tcPr>
          <w:p>
            <w:pPr>
              <w:spacing w:line="420" w:lineRule="exact"/>
              <w:ind w:right="-11"/>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3707" w:type="dxa"/>
            <w:gridSpan w:val="3"/>
            <w:tcBorders>
              <w:top w:val="single" w:color="auto" w:sz="12" w:space="0"/>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5580" w:type="dxa"/>
            <w:gridSpan w:val="5"/>
            <w:tcBorders>
              <w:top w:val="single" w:color="auto" w:sz="12" w:space="0"/>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安装、调试费（包括前端施工费、中心设备集成费、设备的测试、调试、验收等费用）</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设计费（如有）、第三方检测、通信链路服务等</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培训费、售后服务</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07" w:type="dxa"/>
            <w:gridSpan w:val="3"/>
            <w:tcBorders>
              <w:left w:val="single" w:color="auto" w:sz="12" w:space="0"/>
            </w:tcBorders>
            <w:vAlign w:val="center"/>
          </w:tcPr>
          <w:p>
            <w:pPr>
              <w:widowControl/>
              <w:spacing w:line="42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运营维护费（电费、系统整体维护费、网络服务费）</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3707" w:type="dxa"/>
            <w:gridSpan w:val="3"/>
            <w:tcBorders>
              <w:left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招标代理费</w:t>
            </w:r>
          </w:p>
        </w:tc>
        <w:tc>
          <w:tcPr>
            <w:tcW w:w="5580" w:type="dxa"/>
            <w:gridSpan w:val="5"/>
            <w:tcBorders>
              <w:right w:val="single" w:color="auto" w:sz="12" w:space="0"/>
            </w:tcBorders>
          </w:tcPr>
          <w:p>
            <w:pPr>
              <w:spacing w:line="42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tcBorders>
              <w:left w:val="single" w:color="auto" w:sz="12" w:space="0"/>
              <w:bottom w:val="single" w:color="auto" w:sz="12" w:space="0"/>
            </w:tcBorders>
            <w:vAlign w:val="center"/>
          </w:tcPr>
          <w:p>
            <w:pPr>
              <w:spacing w:line="420" w:lineRule="exact"/>
              <w:ind w:right="-11"/>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合计总价</w:t>
            </w:r>
          </w:p>
        </w:tc>
        <w:tc>
          <w:tcPr>
            <w:tcW w:w="5580" w:type="dxa"/>
            <w:gridSpan w:val="5"/>
            <w:tcBorders>
              <w:bottom w:val="single" w:color="auto" w:sz="12" w:space="0"/>
              <w:right w:val="single" w:color="auto" w:sz="12" w:space="0"/>
            </w:tcBorders>
          </w:tcPr>
          <w:p>
            <w:pPr>
              <w:spacing w:line="420" w:lineRule="exact"/>
              <w:rPr>
                <w:rFonts w:ascii="新宋体" w:hAnsi="新宋体" w:eastAsia="新宋体" w:cs="新宋体"/>
                <w:bCs/>
                <w:color w:val="auto"/>
                <w:sz w:val="22"/>
                <w:szCs w:val="22"/>
                <w:highlight w:val="none"/>
              </w:rPr>
            </w:pPr>
          </w:p>
        </w:tc>
      </w:tr>
    </w:tbl>
    <w:p>
      <w:pPr>
        <w:spacing w:line="380" w:lineRule="exact"/>
        <w:rPr>
          <w:rFonts w:ascii="新宋体" w:hAnsi="新宋体" w:eastAsia="新宋体"/>
          <w:b/>
          <w:bCs/>
          <w:color w:val="auto"/>
          <w:sz w:val="22"/>
          <w:szCs w:val="22"/>
          <w:highlight w:val="none"/>
        </w:rPr>
      </w:pPr>
    </w:p>
    <w:p>
      <w:pPr>
        <w:spacing w:line="38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说明： 1、此表总计价应</w:t>
      </w:r>
      <w:r>
        <w:rPr>
          <w:rFonts w:hint="eastAsia" w:ascii="新宋体" w:hAnsi="新宋体" w:eastAsia="新宋体"/>
          <w:b/>
          <w:bCs/>
          <w:color w:val="auto"/>
          <w:sz w:val="22"/>
          <w:highlight w:val="none"/>
        </w:rPr>
        <w:t>与附件一中“2、</w:t>
      </w:r>
      <w:r>
        <w:rPr>
          <w:rFonts w:hint="eastAsia" w:ascii="新宋体" w:hAnsi="新宋体" w:eastAsia="新宋体"/>
          <w:b/>
          <w:bCs/>
          <w:color w:val="auto"/>
          <w:sz w:val="22"/>
          <w:szCs w:val="22"/>
          <w:highlight w:val="none"/>
        </w:rPr>
        <w:t>投标报价一览表”中投标报价相一致。</w:t>
      </w:r>
    </w:p>
    <w:p>
      <w:pPr>
        <w:spacing w:line="380" w:lineRule="exact"/>
        <w:ind w:firstLine="755" w:firstLineChars="342"/>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2、不提供详细投标分项报价将视为没有实质性响应招标文件。</w:t>
      </w:r>
    </w:p>
    <w:p>
      <w:pPr>
        <w:spacing w:line="380" w:lineRule="exact"/>
        <w:ind w:firstLine="72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3、如果免费请在该项内容栏内注明“免”，如果含在产品价格中则填“含”，如无此项内容则填“无”，不留空白。</w:t>
      </w:r>
    </w:p>
    <w:p>
      <w:pPr>
        <w:spacing w:line="380" w:lineRule="exact"/>
        <w:ind w:firstLine="72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投标人全称（盖章）：</w:t>
      </w: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投标人代表（签字）：</w:t>
      </w: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 期：  </w:t>
      </w: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br w:type="page"/>
      </w:r>
    </w:p>
    <w:p>
      <w:pPr>
        <w:spacing w:line="420" w:lineRule="exact"/>
        <w:ind w:left="514" w:leftChars="245"/>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4、监狱企业的相关证明材料</w:t>
      </w:r>
    </w:p>
    <w:p>
      <w:pPr>
        <w:spacing w:line="460" w:lineRule="exact"/>
        <w:ind w:firstLine="571" w:firstLineChars="245"/>
        <w:rPr>
          <w:rFonts w:ascii="宋体" w:hAnsi="宋体" w:cs="宋体"/>
          <w:b/>
          <w:bCs/>
          <w:color w:val="auto"/>
          <w:sz w:val="22"/>
          <w:szCs w:val="22"/>
          <w:highlight w:val="none"/>
          <w:u w:val="single"/>
          <w:lang w:val="zh-CN"/>
        </w:rPr>
      </w:pPr>
      <w:r>
        <w:rPr>
          <w:rFonts w:hint="eastAsia" w:ascii="宋体" w:hAnsi="宋体" w:cs="宋体"/>
          <w:b/>
          <w:color w:val="auto"/>
          <w:spacing w:val="6"/>
          <w:sz w:val="22"/>
          <w:szCs w:val="22"/>
          <w:highlight w:val="none"/>
        </w:rPr>
        <w:t>需提供相关证明材料，</w:t>
      </w:r>
      <w:r>
        <w:rPr>
          <w:rFonts w:hint="eastAsia" w:ascii="宋体" w:hAnsi="宋体" w:cs="宋体"/>
          <w:b/>
          <w:bCs/>
          <w:color w:val="auto"/>
          <w:sz w:val="22"/>
          <w:szCs w:val="22"/>
          <w:highlight w:val="none"/>
          <w:u w:val="single"/>
          <w:lang w:val="zh-CN"/>
        </w:rPr>
        <w:t>未提供证明材料或不能清楚辨析</w:t>
      </w:r>
      <w:r>
        <w:rPr>
          <w:rFonts w:hint="eastAsia" w:ascii="宋体" w:hAnsi="宋体" w:cs="宋体"/>
          <w:b/>
          <w:bCs/>
          <w:color w:val="auto"/>
          <w:sz w:val="22"/>
          <w:szCs w:val="22"/>
          <w:highlight w:val="none"/>
          <w:u w:val="single"/>
        </w:rPr>
        <w:t>是监狱企业的按非监狱企业处理，所提供的证明材料应为最新的最近的</w:t>
      </w:r>
      <w:r>
        <w:rPr>
          <w:rFonts w:hint="eastAsia" w:ascii="宋体" w:hAnsi="宋体" w:cs="宋体"/>
          <w:b/>
          <w:bCs/>
          <w:color w:val="auto"/>
          <w:sz w:val="22"/>
          <w:szCs w:val="22"/>
          <w:highlight w:val="none"/>
          <w:u w:val="single"/>
          <w:lang w:val="zh-CN"/>
        </w:rPr>
        <w:t>。</w:t>
      </w:r>
    </w:p>
    <w:p>
      <w:pPr>
        <w:adjustRightInd w:val="0"/>
        <w:snapToGrid w:val="0"/>
        <w:spacing w:line="300" w:lineRule="auto"/>
        <w:jc w:val="center"/>
        <w:rPr>
          <w:rFonts w:ascii="宋体" w:hAnsi="宋体" w:cs="宋体"/>
          <w:b/>
          <w:color w:val="auto"/>
          <w:spacing w:val="6"/>
          <w:sz w:val="22"/>
          <w:szCs w:val="22"/>
          <w:highlight w:val="none"/>
        </w:rPr>
      </w:pPr>
    </w:p>
    <w:p>
      <w:pPr>
        <w:adjustRightInd w:val="0"/>
        <w:snapToGrid w:val="0"/>
        <w:spacing w:line="300" w:lineRule="auto"/>
        <w:jc w:val="center"/>
        <w:rPr>
          <w:rFonts w:ascii="宋体" w:hAnsi="宋体" w:cs="宋体"/>
          <w:b/>
          <w:color w:val="auto"/>
          <w:spacing w:val="6"/>
          <w:sz w:val="22"/>
          <w:szCs w:val="22"/>
          <w:highlight w:val="none"/>
        </w:rPr>
      </w:pPr>
    </w:p>
    <w:p>
      <w:pPr>
        <w:adjustRightInd w:val="0"/>
        <w:snapToGrid w:val="0"/>
        <w:spacing w:line="300" w:lineRule="auto"/>
        <w:jc w:val="center"/>
        <w:rPr>
          <w:rFonts w:ascii="宋体" w:hAnsi="宋体" w:cs="宋体"/>
          <w:b/>
          <w:color w:val="auto"/>
          <w:spacing w:val="6"/>
          <w:sz w:val="22"/>
          <w:szCs w:val="22"/>
          <w:highlight w:val="none"/>
        </w:rPr>
      </w:pPr>
    </w:p>
    <w:p>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本企业为参加（招标项目名称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）（招标编号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pStyle w:val="24"/>
        <w:rPr>
          <w:rFonts w:ascii="宋体" w:hAnsi="宋体" w:cs="宋体"/>
          <w:color w:val="auto"/>
          <w:highlight w:val="none"/>
        </w:rPr>
      </w:pPr>
    </w:p>
    <w:p>
      <w:pPr>
        <w:pStyle w:val="24"/>
        <w:rPr>
          <w:rFonts w:ascii="宋体" w:hAnsi="宋体" w:cs="宋体"/>
          <w:color w:val="auto"/>
          <w:highlight w:val="none"/>
        </w:rPr>
      </w:pPr>
    </w:p>
    <w:p>
      <w:pPr>
        <w:spacing w:line="420" w:lineRule="exact"/>
        <w:ind w:left="514" w:leftChars="245"/>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5、中小企业的相关证明材料</w:t>
      </w:r>
    </w:p>
    <w:p>
      <w:pPr>
        <w:spacing w:line="380" w:lineRule="exact"/>
        <w:rPr>
          <w:rFonts w:ascii="宋体" w:hAnsi="宋体" w:cs="宋体"/>
          <w:color w:val="auto"/>
          <w:sz w:val="22"/>
          <w:szCs w:val="22"/>
          <w:highlight w:val="none"/>
        </w:rPr>
      </w:pPr>
    </w:p>
    <w:p>
      <w:pPr>
        <w:spacing w:line="460" w:lineRule="exact"/>
        <w:jc w:val="center"/>
        <w:rPr>
          <w:rFonts w:ascii="宋体" w:hAnsi="宋体" w:cs="宋体"/>
          <w:b/>
          <w:bCs/>
          <w:color w:val="auto"/>
          <w:sz w:val="22"/>
          <w:szCs w:val="22"/>
          <w:highlight w:val="none"/>
        </w:rPr>
      </w:pPr>
    </w:p>
    <w:p>
      <w:pPr>
        <w:spacing w:line="460" w:lineRule="exact"/>
        <w:ind w:firstLine="42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w:t>
      </w:r>
      <w:r>
        <w:rPr>
          <w:rFonts w:hint="eastAsia" w:ascii="宋体" w:hAnsi="宋体" w:cs="宋体"/>
          <w:b/>
          <w:bCs/>
          <w:color w:val="auto"/>
          <w:spacing w:val="20"/>
          <w:sz w:val="22"/>
          <w:szCs w:val="22"/>
          <w:highlight w:val="none"/>
        </w:rPr>
        <w:t>中小企业声明函（货物）</w:t>
      </w:r>
      <w:r>
        <w:rPr>
          <w:rFonts w:hint="eastAsia" w:ascii="宋体" w:hAnsi="宋体" w:cs="宋体"/>
          <w:b/>
          <w:bCs/>
          <w:color w:val="auto"/>
          <w:sz w:val="22"/>
          <w:szCs w:val="22"/>
          <w:highlight w:val="none"/>
        </w:rPr>
        <w:t>》</w:t>
      </w:r>
    </w:p>
    <w:p>
      <w:pPr>
        <w:snapToGrid w:val="0"/>
        <w:spacing w:line="4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【不属于中小企业单位的无需填写、递交】</w:t>
      </w:r>
    </w:p>
    <w:p>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cs="宋体"/>
          <w:color w:val="auto"/>
          <w:spacing w:val="20"/>
          <w:sz w:val="22"/>
          <w:szCs w:val="22"/>
          <w:highlight w:val="none"/>
          <w:u w:val="single"/>
        </w:rPr>
        <w:t>（单位名称）</w:t>
      </w:r>
      <w:r>
        <w:rPr>
          <w:rFonts w:hint="eastAsia" w:ascii="宋体" w:hAnsi="宋体" w:cs="宋体"/>
          <w:color w:val="auto"/>
          <w:spacing w:val="20"/>
          <w:sz w:val="22"/>
          <w:szCs w:val="22"/>
          <w:highlight w:val="none"/>
        </w:rPr>
        <w:t>的</w:t>
      </w:r>
      <w:r>
        <w:rPr>
          <w:rFonts w:hint="eastAsia" w:ascii="宋体" w:hAnsi="宋体" w:cs="宋体"/>
          <w:color w:val="auto"/>
          <w:spacing w:val="20"/>
          <w:sz w:val="22"/>
          <w:szCs w:val="22"/>
          <w:highlight w:val="none"/>
          <w:u w:val="single"/>
        </w:rPr>
        <w:t>（项目名称）</w:t>
      </w:r>
      <w:r>
        <w:rPr>
          <w:rFonts w:hint="eastAsia" w:ascii="宋体" w:hAnsi="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ascii="宋体" w:hAnsi="宋体" w:cs="宋体"/>
          <w:color w:val="auto"/>
          <w:spacing w:val="20"/>
          <w:sz w:val="22"/>
          <w:szCs w:val="22"/>
          <w:highlight w:val="none"/>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u w:val="single"/>
          <w:lang w:val="zh-CN"/>
        </w:rPr>
        <w:t>（标的名称）</w:t>
      </w:r>
      <w:r>
        <w:rPr>
          <w:rFonts w:hint="eastAsia" w:ascii="宋体" w:hAnsi="宋体" w:cs="宋体"/>
          <w:color w:val="auto"/>
          <w:sz w:val="22"/>
          <w:szCs w:val="22"/>
          <w:highlight w:val="none"/>
          <w:lang w:val="zh-CN"/>
        </w:rPr>
        <w:t xml:space="preserve"> ，属于</w:t>
      </w:r>
      <w:r>
        <w:rPr>
          <w:rFonts w:hint="eastAsia" w:ascii="宋体" w:hAnsi="宋体" w:cs="宋体"/>
          <w:color w:val="auto"/>
          <w:sz w:val="22"/>
          <w:szCs w:val="22"/>
          <w:highlight w:val="none"/>
          <w:u w:val="single"/>
        </w:rPr>
        <w:t xml:space="preserve">           </w:t>
      </w:r>
      <w:r>
        <w:rPr>
          <w:rFonts w:hint="eastAsia" w:ascii="宋体" w:hAnsi="宋体" w:cs="宋体"/>
          <w:color w:val="auto"/>
          <w:spacing w:val="20"/>
          <w:sz w:val="22"/>
          <w:szCs w:val="22"/>
          <w:highlight w:val="none"/>
        </w:rPr>
        <w:t>行业；制造商为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w:t>
      </w:r>
      <w:r>
        <w:rPr>
          <w:rFonts w:hint="eastAsia" w:ascii="宋体" w:hAnsi="宋体" w:cs="宋体"/>
          <w:color w:val="auto"/>
          <w:spacing w:val="20"/>
          <w:sz w:val="22"/>
          <w:szCs w:val="22"/>
          <w:highlight w:val="none"/>
          <w:u w:val="single"/>
        </w:rPr>
        <w:t>（中型企业、小型企业、微型企业）</w:t>
      </w:r>
      <w:r>
        <w:rPr>
          <w:rFonts w:hint="eastAsia" w:ascii="宋体" w:hAnsi="宋体" w:cs="宋体"/>
          <w:color w:val="auto"/>
          <w:spacing w:val="20"/>
          <w:sz w:val="22"/>
          <w:szCs w:val="22"/>
          <w:highlight w:val="none"/>
        </w:rPr>
        <w:t>；</w:t>
      </w:r>
    </w:p>
    <w:p>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2.</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 xml:space="preserve"> ，属于</w:t>
      </w:r>
      <w:r>
        <w:rPr>
          <w:rFonts w:hint="eastAsia" w:ascii="宋体" w:hAnsi="宋体" w:cs="宋体"/>
          <w:color w:val="auto"/>
          <w:spacing w:val="20"/>
          <w:sz w:val="22"/>
          <w:szCs w:val="22"/>
          <w:highlight w:val="none"/>
          <w:u w:val="single"/>
        </w:rPr>
        <w:t>（采购文件中明确的所属行业）</w:t>
      </w:r>
      <w:r>
        <w:rPr>
          <w:rFonts w:hint="eastAsia" w:ascii="宋体" w:hAnsi="宋体" w:cs="宋体"/>
          <w:color w:val="auto"/>
          <w:spacing w:val="20"/>
          <w:sz w:val="22"/>
          <w:szCs w:val="22"/>
          <w:highlight w:val="none"/>
        </w:rPr>
        <w:t>行业；制造商为（企业名称），从业人员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万元，属于（中型企业、小型企业、微型企业）；</w:t>
      </w:r>
    </w:p>
    <w:p>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w:t>
      </w:r>
    </w:p>
    <w:p>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本企业对上述声明内容的真实性负责。如有虚假，将依法承担相应责任。</w:t>
      </w:r>
    </w:p>
    <w:p>
      <w:pPr>
        <w:spacing w:line="460" w:lineRule="exact"/>
        <w:rPr>
          <w:rFonts w:ascii="宋体" w:hAnsi="宋体" w:cs="宋体"/>
          <w:color w:val="auto"/>
          <w:spacing w:val="20"/>
          <w:sz w:val="22"/>
          <w:szCs w:val="22"/>
          <w:highlight w:val="none"/>
        </w:rPr>
      </w:pPr>
    </w:p>
    <w:p>
      <w:pPr>
        <w:pStyle w:val="10"/>
        <w:rPr>
          <w:rFonts w:ascii="宋体" w:hAnsi="宋体" w:cs="宋体"/>
          <w:color w:val="auto"/>
          <w:sz w:val="22"/>
          <w:szCs w:val="22"/>
          <w:highlight w:val="none"/>
        </w:rPr>
      </w:pPr>
    </w:p>
    <w:p>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企业名称（盖章）：</w:t>
      </w:r>
    </w:p>
    <w:p>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日 期：</w:t>
      </w:r>
    </w:p>
    <w:p>
      <w:pPr>
        <w:pStyle w:val="10"/>
        <w:rPr>
          <w:rFonts w:ascii="宋体" w:hAnsi="宋体" w:cs="宋体"/>
          <w:color w:val="auto"/>
          <w:spacing w:val="20"/>
          <w:sz w:val="22"/>
          <w:szCs w:val="22"/>
          <w:highlight w:val="none"/>
        </w:rPr>
      </w:pPr>
    </w:p>
    <w:p>
      <w:pPr>
        <w:rPr>
          <w:rFonts w:ascii="宋体" w:hAnsi="宋体" w:cs="宋体"/>
          <w:color w:val="auto"/>
          <w:spacing w:val="20"/>
          <w:sz w:val="22"/>
          <w:szCs w:val="22"/>
          <w:highlight w:val="none"/>
        </w:rPr>
      </w:pPr>
    </w:p>
    <w:p>
      <w:pPr>
        <w:pStyle w:val="10"/>
        <w:rPr>
          <w:rFonts w:ascii="宋体" w:hAnsi="宋体" w:cs="宋体"/>
          <w:color w:val="auto"/>
          <w:spacing w:val="20"/>
          <w:sz w:val="22"/>
          <w:szCs w:val="22"/>
          <w:highlight w:val="none"/>
        </w:rPr>
      </w:pPr>
    </w:p>
    <w:p>
      <w:pPr>
        <w:rPr>
          <w:rFonts w:ascii="宋体" w:hAnsi="宋体" w:cs="宋体"/>
          <w:color w:val="auto"/>
          <w:spacing w:val="20"/>
          <w:sz w:val="22"/>
          <w:szCs w:val="22"/>
          <w:highlight w:val="none"/>
        </w:rPr>
      </w:pPr>
    </w:p>
    <w:p>
      <w:pPr>
        <w:pStyle w:val="10"/>
        <w:rPr>
          <w:color w:val="auto"/>
          <w:highlight w:val="none"/>
        </w:rPr>
      </w:pPr>
    </w:p>
    <w:p>
      <w:pPr>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rPr>
          <w:rFonts w:ascii="宋体" w:hAnsi="宋体" w:cs="宋体"/>
          <w:color w:val="auto"/>
          <w:spacing w:val="20"/>
          <w:sz w:val="22"/>
          <w:szCs w:val="22"/>
          <w:highlight w:val="none"/>
        </w:rPr>
      </w:pPr>
    </w:p>
    <w:p>
      <w:pPr>
        <w:spacing w:line="460" w:lineRule="exact"/>
        <w:jc w:val="center"/>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《中小企业声明函（工程、服务）》</w:t>
      </w:r>
    </w:p>
    <w:p>
      <w:pPr>
        <w:snapToGrid w:val="0"/>
        <w:spacing w:line="4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【不属于中小企业单位的无需填写、递交】</w:t>
      </w:r>
    </w:p>
    <w:p>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cs="宋体"/>
          <w:color w:val="auto"/>
          <w:spacing w:val="20"/>
          <w:sz w:val="22"/>
          <w:szCs w:val="22"/>
          <w:highlight w:val="none"/>
          <w:u w:val="single"/>
        </w:rPr>
        <w:t>（单位名称）</w:t>
      </w:r>
      <w:r>
        <w:rPr>
          <w:rFonts w:hint="eastAsia" w:ascii="宋体" w:hAnsi="宋体" w:cs="宋体"/>
          <w:color w:val="auto"/>
          <w:spacing w:val="20"/>
          <w:sz w:val="22"/>
          <w:szCs w:val="22"/>
          <w:highlight w:val="none"/>
        </w:rPr>
        <w:t>的</w:t>
      </w:r>
      <w:r>
        <w:rPr>
          <w:rFonts w:hint="eastAsia" w:ascii="宋体" w:hAnsi="宋体" w:cs="宋体"/>
          <w:color w:val="auto"/>
          <w:spacing w:val="20"/>
          <w:sz w:val="22"/>
          <w:szCs w:val="22"/>
          <w:highlight w:val="none"/>
          <w:u w:val="single"/>
        </w:rPr>
        <w:t>（项目名称）</w:t>
      </w:r>
      <w:r>
        <w:rPr>
          <w:rFonts w:hint="eastAsia" w:ascii="宋体" w:hAnsi="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1.</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，属于</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行业； 承建（承接）企业为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w:t>
      </w:r>
      <w:r>
        <w:rPr>
          <w:rFonts w:hint="eastAsia" w:ascii="宋体" w:hAnsi="宋体" w:cs="宋体"/>
          <w:color w:val="auto"/>
          <w:spacing w:val="20"/>
          <w:sz w:val="22"/>
          <w:szCs w:val="22"/>
          <w:highlight w:val="none"/>
          <w:u w:val="single"/>
        </w:rPr>
        <w:t>（中型企业、 小型企业、微型企业）</w:t>
      </w:r>
      <w:r>
        <w:rPr>
          <w:rFonts w:hint="eastAsia" w:ascii="宋体" w:hAnsi="宋体" w:cs="宋体"/>
          <w:color w:val="auto"/>
          <w:spacing w:val="20"/>
          <w:sz w:val="22"/>
          <w:szCs w:val="22"/>
          <w:highlight w:val="none"/>
        </w:rPr>
        <w:t xml:space="preserve">； </w:t>
      </w:r>
    </w:p>
    <w:p>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2.</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，属于</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行业；承建（承接）企业为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w:t>
      </w:r>
      <w:r>
        <w:rPr>
          <w:rFonts w:hint="eastAsia" w:ascii="宋体" w:hAnsi="宋体" w:cs="宋体"/>
          <w:color w:val="auto"/>
          <w:spacing w:val="20"/>
          <w:sz w:val="22"/>
          <w:szCs w:val="22"/>
          <w:highlight w:val="none"/>
          <w:u w:val="single"/>
        </w:rPr>
        <w:t>（中型企业、 小型企业、微型企业）</w:t>
      </w:r>
      <w:r>
        <w:rPr>
          <w:rFonts w:hint="eastAsia" w:ascii="宋体" w:hAnsi="宋体" w:cs="宋体"/>
          <w:color w:val="auto"/>
          <w:spacing w:val="20"/>
          <w:sz w:val="22"/>
          <w:szCs w:val="22"/>
          <w:highlight w:val="none"/>
        </w:rPr>
        <w:t>；</w:t>
      </w:r>
    </w:p>
    <w:p>
      <w:pPr>
        <w:spacing w:line="460" w:lineRule="exact"/>
        <w:ind w:firstLine="639" w:firstLineChars="245"/>
        <w:rPr>
          <w:rFonts w:ascii="宋体" w:hAnsi="宋体" w:cs="宋体"/>
          <w:b/>
          <w:bCs/>
          <w:color w:val="auto"/>
          <w:spacing w:val="20"/>
          <w:sz w:val="22"/>
          <w:szCs w:val="22"/>
          <w:highlight w:val="none"/>
        </w:rPr>
      </w:pPr>
      <w:r>
        <w:rPr>
          <w:rFonts w:hint="eastAsia" w:ascii="宋体" w:hAnsi="宋体" w:cs="宋体"/>
          <w:b/>
          <w:bCs/>
          <w:color w:val="auto"/>
          <w:spacing w:val="20"/>
          <w:sz w:val="22"/>
          <w:szCs w:val="22"/>
          <w:highlight w:val="none"/>
        </w:rPr>
        <w:t>……</w:t>
      </w:r>
    </w:p>
    <w:p>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企业名称（盖章）：</w:t>
      </w:r>
    </w:p>
    <w:p>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日 期：</w:t>
      </w: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pStyle w:val="10"/>
        <w:rPr>
          <w:color w:val="auto"/>
          <w:highlight w:val="none"/>
        </w:rPr>
      </w:pPr>
    </w:p>
    <w:p>
      <w:pPr>
        <w:spacing w:line="460" w:lineRule="exact"/>
        <w:rPr>
          <w:rFonts w:ascii="宋体" w:hAnsi="宋体" w:cs="宋体"/>
          <w:color w:val="auto"/>
          <w:spacing w:val="20"/>
          <w:sz w:val="22"/>
          <w:szCs w:val="22"/>
          <w:highlight w:val="none"/>
        </w:rPr>
      </w:pPr>
    </w:p>
    <w:p>
      <w:pPr>
        <w:spacing w:line="420" w:lineRule="exact"/>
        <w:ind w:left="514" w:leftChars="245"/>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6、残疾人福利性单位的相关证明材料</w:t>
      </w:r>
    </w:p>
    <w:p>
      <w:pPr>
        <w:spacing w:line="460" w:lineRule="exact"/>
        <w:ind w:firstLine="699" w:firstLineChars="300"/>
        <w:rPr>
          <w:rFonts w:ascii="宋体" w:hAnsi="宋体" w:cs="宋体"/>
          <w:color w:val="auto"/>
          <w:spacing w:val="20"/>
          <w:sz w:val="22"/>
          <w:szCs w:val="22"/>
          <w:highlight w:val="none"/>
        </w:rPr>
      </w:pPr>
      <w:r>
        <w:rPr>
          <w:rFonts w:hint="eastAsia" w:ascii="宋体" w:hAnsi="宋体" w:cs="宋体"/>
          <w:b/>
          <w:color w:val="auto"/>
          <w:spacing w:val="6"/>
          <w:sz w:val="22"/>
          <w:szCs w:val="22"/>
          <w:highlight w:val="none"/>
        </w:rPr>
        <w:t>需提供相关证明材料，</w:t>
      </w:r>
      <w:r>
        <w:rPr>
          <w:rFonts w:hint="eastAsia" w:ascii="宋体" w:hAnsi="宋体" w:cs="宋体"/>
          <w:b/>
          <w:bCs/>
          <w:color w:val="auto"/>
          <w:sz w:val="22"/>
          <w:szCs w:val="22"/>
          <w:highlight w:val="none"/>
          <w:u w:val="single"/>
          <w:lang w:val="zh-CN"/>
        </w:rPr>
        <w:t>未提供证明材料或不能清楚辨析</w:t>
      </w:r>
      <w:r>
        <w:rPr>
          <w:rFonts w:hint="eastAsia" w:ascii="宋体" w:hAnsi="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cs="宋体"/>
          <w:b/>
          <w:bCs/>
          <w:color w:val="auto"/>
          <w:sz w:val="22"/>
          <w:szCs w:val="22"/>
          <w:highlight w:val="none"/>
          <w:u w:val="single"/>
          <w:lang w:val="zh-CN"/>
        </w:rPr>
        <w:t>。</w:t>
      </w:r>
    </w:p>
    <w:p>
      <w:pPr>
        <w:spacing w:line="460" w:lineRule="exact"/>
        <w:rPr>
          <w:rFonts w:ascii="宋体" w:hAnsi="宋体" w:cs="宋体"/>
          <w:color w:val="auto"/>
          <w:spacing w:val="20"/>
          <w:sz w:val="22"/>
          <w:szCs w:val="22"/>
          <w:highlight w:val="none"/>
        </w:rPr>
      </w:pPr>
    </w:p>
    <w:p>
      <w:pPr>
        <w:spacing w:line="460" w:lineRule="exact"/>
        <w:rPr>
          <w:rFonts w:ascii="宋体" w:hAnsi="宋体" w:cs="宋体"/>
          <w:color w:val="auto"/>
          <w:spacing w:val="20"/>
          <w:sz w:val="22"/>
          <w:szCs w:val="22"/>
          <w:highlight w:val="none"/>
        </w:rPr>
      </w:pPr>
    </w:p>
    <w:p>
      <w:pPr>
        <w:spacing w:line="460" w:lineRule="exact"/>
        <w:jc w:val="center"/>
        <w:rPr>
          <w:rFonts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pPr>
        <w:snapToGrid w:val="0"/>
        <w:spacing w:line="460" w:lineRule="exact"/>
        <w:jc w:val="center"/>
        <w:rPr>
          <w:rFonts w:ascii="宋体" w:hAnsi="宋体" w:cs="宋体"/>
          <w:b/>
          <w:bCs/>
          <w:color w:val="auto"/>
          <w:sz w:val="22"/>
          <w:szCs w:val="22"/>
          <w:highlight w:val="none"/>
        </w:rPr>
      </w:pP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（招标人名称）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（招标项目名称）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ascii="宋体" w:hAnsi="宋体" w:cs="宋体"/>
          <w:color w:val="auto"/>
          <w:spacing w:val="6"/>
          <w:sz w:val="22"/>
          <w:szCs w:val="22"/>
          <w:highlight w:val="none"/>
        </w:rPr>
      </w:pPr>
    </w:p>
    <w:p>
      <w:pPr>
        <w:snapToGrid w:val="0"/>
        <w:spacing w:line="460" w:lineRule="exact"/>
        <w:ind w:firstLine="464" w:firstLineChars="200"/>
        <w:rPr>
          <w:rFonts w:ascii="宋体" w:hAnsi="宋体" w:cs="宋体"/>
          <w:color w:val="auto"/>
          <w:spacing w:val="6"/>
          <w:sz w:val="22"/>
          <w:szCs w:val="22"/>
          <w:highlight w:val="none"/>
        </w:rPr>
      </w:pPr>
    </w:p>
    <w:p>
      <w:pPr>
        <w:adjustRightInd w:val="0"/>
        <w:snapToGrid w:val="0"/>
        <w:spacing w:line="4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投标人全称（盖章）：</w:t>
      </w:r>
      <w:r>
        <w:rPr>
          <w:rFonts w:hint="eastAsia" w:ascii="宋体" w:hAnsi="宋体" w:cs="宋体"/>
          <w:color w:val="auto"/>
          <w:kern w:val="0"/>
          <w:sz w:val="22"/>
          <w:szCs w:val="22"/>
          <w:highlight w:val="none"/>
          <w:u w:val="single"/>
        </w:rPr>
        <w:t xml:space="preserve">                    </w:t>
      </w:r>
    </w:p>
    <w:p>
      <w:pPr>
        <w:pStyle w:val="24"/>
        <w:spacing w:line="460" w:lineRule="exact"/>
        <w:ind w:left="440" w:hanging="440"/>
        <w:rPr>
          <w:rFonts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日期：    年   月  日</w:t>
      </w: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ind w:left="440" w:hanging="440"/>
        <w:rPr>
          <w:rFonts w:ascii="新宋体" w:hAnsi="新宋体" w:eastAsia="新宋体" w:cs="新宋体"/>
          <w:color w:val="auto"/>
          <w:kern w:val="0"/>
          <w:sz w:val="22"/>
          <w:szCs w:val="22"/>
          <w:highlight w:val="none"/>
        </w:rPr>
      </w:pPr>
    </w:p>
    <w:p>
      <w:pPr>
        <w:pStyle w:val="24"/>
        <w:spacing w:line="460" w:lineRule="exact"/>
        <w:ind w:left="433" w:hanging="433" w:hangingChars="196"/>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bookmarkStart w:id="29" w:name="_Toc23227"/>
      <w:r>
        <w:rPr>
          <w:rFonts w:hint="eastAsia" w:ascii="新宋体" w:hAnsi="新宋体" w:eastAsia="新宋体" w:cs="新宋体"/>
          <w:b/>
          <w:color w:val="auto"/>
          <w:sz w:val="22"/>
          <w:szCs w:val="22"/>
          <w:highlight w:val="none"/>
        </w:rPr>
        <w:t>附件二</w:t>
      </w:r>
      <w:bookmarkEnd w:id="29"/>
    </w:p>
    <w:p>
      <w:pPr>
        <w:spacing w:line="460" w:lineRule="exact"/>
        <w:jc w:val="center"/>
        <w:outlineLvl w:val="2"/>
        <w:rPr>
          <w:rFonts w:ascii="新宋体" w:hAnsi="新宋体" w:eastAsia="新宋体" w:cs="新宋体"/>
          <w:color w:val="auto"/>
          <w:sz w:val="28"/>
          <w:szCs w:val="28"/>
          <w:highlight w:val="none"/>
        </w:rPr>
      </w:pPr>
      <w:r>
        <w:rPr>
          <w:rFonts w:hint="eastAsia" w:ascii="新宋体" w:hAnsi="新宋体" w:eastAsia="新宋体" w:cs="新宋体"/>
          <w:b/>
          <w:bCs/>
          <w:color w:val="auto"/>
          <w:sz w:val="28"/>
          <w:szCs w:val="28"/>
          <w:highlight w:val="none"/>
        </w:rPr>
        <w:t>资格证明文件</w:t>
      </w:r>
      <w:r>
        <w:rPr>
          <w:rFonts w:hint="eastAsia" w:ascii="新宋体" w:hAnsi="新宋体" w:eastAsia="新宋体" w:cs="新宋体"/>
          <w:color w:val="auto"/>
          <w:sz w:val="28"/>
          <w:szCs w:val="28"/>
          <w:highlight w:val="none"/>
        </w:rPr>
        <w:t xml:space="preserve"> </w:t>
      </w:r>
    </w:p>
    <w:p>
      <w:pPr>
        <w:spacing w:line="400" w:lineRule="exact"/>
        <w:outlineLvl w:val="3"/>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1、有效营业执照（复印件盖单位公章）</w:t>
      </w:r>
    </w:p>
    <w:p>
      <w:pPr>
        <w:spacing w:line="400" w:lineRule="exact"/>
        <w:outlineLvl w:val="3"/>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2、最近一年财务报表(复印件，新成立的公司提供情况说明)；</w:t>
      </w:r>
    </w:p>
    <w:p>
      <w:pPr>
        <w:spacing w:line="460" w:lineRule="exact"/>
        <w:ind w:left="514" w:leftChars="245"/>
        <w:jc w:val="left"/>
        <w:rPr>
          <w:rFonts w:ascii="新宋体" w:hAnsi="新宋体" w:eastAsia="新宋体" w:cs="新宋体"/>
          <w:b/>
          <w:bCs/>
          <w:color w:val="auto"/>
          <w:szCs w:val="21"/>
          <w:highlight w:val="none"/>
        </w:rPr>
      </w:pPr>
    </w:p>
    <w:p>
      <w:pPr>
        <w:spacing w:line="460" w:lineRule="exact"/>
        <w:jc w:val="left"/>
        <w:outlineLvl w:val="3"/>
        <w:rPr>
          <w:rFonts w:ascii="新宋体" w:hAnsi="新宋体" w:eastAsia="新宋体" w:cs="新宋体"/>
          <w:color w:val="auto"/>
          <w:szCs w:val="21"/>
          <w:highlight w:val="none"/>
        </w:rPr>
      </w:pPr>
      <w:r>
        <w:rPr>
          <w:rFonts w:hint="eastAsia" w:ascii="新宋体" w:hAnsi="新宋体" w:eastAsia="新宋体" w:cs="新宋体"/>
          <w:b/>
          <w:bCs/>
          <w:color w:val="auto"/>
          <w:sz w:val="24"/>
          <w:highlight w:val="none"/>
        </w:rPr>
        <w:t>3、具有履行合同所必需的场地、设备和专业技术能力的承诺函；</w:t>
      </w:r>
    </w:p>
    <w:p>
      <w:pPr>
        <w:shd w:val="clear" w:color="auto" w:fill="FFFFFF"/>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温州市鹿城区园林绿化管理中心</w:t>
      </w:r>
      <w:r>
        <w:rPr>
          <w:rFonts w:hint="eastAsia" w:ascii="新宋体" w:hAnsi="新宋体" w:eastAsia="新宋体" w:cs="新宋体"/>
          <w:color w:val="auto"/>
          <w:sz w:val="22"/>
          <w:szCs w:val="22"/>
          <w:highlight w:val="none"/>
        </w:rPr>
        <w:t>、浙江恒杰工程管理有限公司</w:t>
      </w:r>
      <w:r>
        <w:rPr>
          <w:rFonts w:hint="eastAsia" w:ascii="新宋体" w:hAnsi="新宋体" w:eastAsia="新宋体" w:cs="新宋体"/>
          <w:color w:val="auto"/>
          <w:kern w:val="0"/>
          <w:sz w:val="22"/>
          <w:szCs w:val="22"/>
          <w:highlight w:val="none"/>
        </w:rPr>
        <w:t>：</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w:t>
      </w:r>
      <w:r>
        <w:rPr>
          <w:rFonts w:hint="eastAsia" w:ascii="新宋体" w:hAnsi="新宋体" w:eastAsia="新宋体" w:cs="新宋体"/>
          <w:color w:val="auto"/>
          <w:kern w:val="0"/>
          <w:sz w:val="22"/>
          <w:szCs w:val="22"/>
          <w:highlight w:val="none"/>
          <w:u w:val="single"/>
        </w:rPr>
        <w:t xml:space="preserve"> （供应商）</w:t>
      </w:r>
      <w:r>
        <w:rPr>
          <w:rFonts w:hint="eastAsia" w:ascii="新宋体" w:hAnsi="新宋体" w:eastAsia="新宋体" w:cs="新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pPr>
        <w:pStyle w:val="24"/>
        <w:spacing w:line="460" w:lineRule="exact"/>
        <w:ind w:left="479" w:leftChars="228" w:firstLine="5280" w:firstLineChars="24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pStyle w:val="24"/>
        <w:spacing w:line="460" w:lineRule="exact"/>
        <w:ind w:left="0" w:firstLine="0" w:firstLineChars="0"/>
        <w:rPr>
          <w:rFonts w:ascii="宋体" w:hAnsi="宋体" w:cs="宋体"/>
          <w:color w:val="auto"/>
          <w:kern w:val="0"/>
          <w:highlight w:val="none"/>
        </w:rPr>
      </w:pPr>
    </w:p>
    <w:p>
      <w:pPr>
        <w:spacing w:line="460" w:lineRule="exact"/>
        <w:jc w:val="left"/>
        <w:outlineLvl w:val="3"/>
        <w:rPr>
          <w:color w:val="auto"/>
          <w:sz w:val="20"/>
          <w:szCs w:val="22"/>
          <w:highlight w:val="none"/>
        </w:rPr>
      </w:pPr>
      <w:r>
        <w:rPr>
          <w:rFonts w:hint="eastAsia" w:ascii="新宋体" w:hAnsi="新宋体" w:eastAsia="新宋体" w:cs="新宋体"/>
          <w:b/>
          <w:bCs/>
          <w:color w:val="auto"/>
          <w:sz w:val="24"/>
          <w:highlight w:val="none"/>
        </w:rPr>
        <w:t>4、依法缴纳税收和社会保障资金的承诺函；</w:t>
      </w:r>
    </w:p>
    <w:p>
      <w:pPr>
        <w:shd w:val="clear" w:color="auto" w:fill="FFFFFF"/>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温州市鹿城区园林绿化管理中心</w:t>
      </w:r>
      <w:r>
        <w:rPr>
          <w:rFonts w:hint="eastAsia" w:ascii="新宋体" w:hAnsi="新宋体" w:eastAsia="新宋体" w:cs="新宋体"/>
          <w:color w:val="auto"/>
          <w:sz w:val="22"/>
          <w:szCs w:val="22"/>
          <w:highlight w:val="none"/>
        </w:rPr>
        <w:t>、浙江恒杰工程管理有限公司</w:t>
      </w:r>
      <w:r>
        <w:rPr>
          <w:rFonts w:hint="eastAsia" w:ascii="新宋体" w:hAnsi="新宋体" w:eastAsia="新宋体" w:cs="新宋体"/>
          <w:color w:val="auto"/>
          <w:kern w:val="0"/>
          <w:sz w:val="22"/>
          <w:szCs w:val="22"/>
          <w:highlight w:val="none"/>
        </w:rPr>
        <w:t>：</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新宋体" w:hAnsi="新宋体" w:eastAsia="新宋体" w:cs="新宋体"/>
          <w:color w:val="auto"/>
          <w:kern w:val="0"/>
          <w:sz w:val="22"/>
          <w:szCs w:val="22"/>
          <w:highlight w:val="none"/>
        </w:rPr>
      </w:pP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pPr>
        <w:pStyle w:val="24"/>
        <w:spacing w:line="460" w:lineRule="exact"/>
        <w:ind w:left="-420" w:leftChars="-200" w:firstLine="6160" w:firstLineChars="28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pStyle w:val="24"/>
        <w:spacing w:line="460" w:lineRule="exact"/>
        <w:ind w:left="0" w:firstLine="0" w:firstLineChars="0"/>
        <w:rPr>
          <w:rFonts w:ascii="宋体" w:hAnsi="宋体" w:cs="宋体"/>
          <w:color w:val="auto"/>
          <w:kern w:val="0"/>
          <w:highlight w:val="none"/>
        </w:rPr>
      </w:pPr>
    </w:p>
    <w:p>
      <w:pPr>
        <w:pStyle w:val="24"/>
        <w:spacing w:line="460" w:lineRule="exact"/>
        <w:ind w:left="0" w:firstLine="0" w:firstLineChars="0"/>
        <w:rPr>
          <w:rFonts w:ascii="宋体" w:hAnsi="宋体" w:cs="宋体"/>
          <w:color w:val="auto"/>
          <w:kern w:val="0"/>
          <w:highlight w:val="none"/>
        </w:rPr>
      </w:pPr>
    </w:p>
    <w:p>
      <w:pPr>
        <w:pStyle w:val="24"/>
        <w:spacing w:line="460" w:lineRule="exact"/>
        <w:ind w:left="0" w:firstLine="0" w:firstLineChars="0"/>
        <w:rPr>
          <w:rFonts w:ascii="宋体" w:hAnsi="宋体" w:cs="宋体"/>
          <w:color w:val="auto"/>
          <w:kern w:val="0"/>
          <w:highlight w:val="none"/>
        </w:rPr>
      </w:pPr>
    </w:p>
    <w:p>
      <w:pPr>
        <w:spacing w:line="460" w:lineRule="exact"/>
        <w:outlineLvl w:val="3"/>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4"/>
          <w:highlight w:val="none"/>
        </w:rPr>
        <w:t>5、参加政府采购活动前3年内在经营活动中没有重大违法记录的声明函</w:t>
      </w:r>
      <w:r>
        <w:rPr>
          <w:rFonts w:hint="eastAsia" w:ascii="新宋体" w:hAnsi="新宋体" w:eastAsia="新宋体" w:cs="新宋体"/>
          <w:b/>
          <w:bCs/>
          <w:color w:val="auto"/>
          <w:sz w:val="22"/>
          <w:szCs w:val="22"/>
          <w:highlight w:val="none"/>
        </w:rPr>
        <w:t>；</w:t>
      </w:r>
    </w:p>
    <w:p>
      <w:pPr>
        <w:shd w:val="clear" w:color="auto" w:fill="FFFFFF"/>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温州市鹿城区园林绿化管理中心</w:t>
      </w:r>
      <w:r>
        <w:rPr>
          <w:rFonts w:hint="eastAsia" w:ascii="新宋体" w:hAnsi="新宋体" w:eastAsia="新宋体" w:cs="新宋体"/>
          <w:color w:val="auto"/>
          <w:sz w:val="22"/>
          <w:szCs w:val="22"/>
          <w:highlight w:val="none"/>
        </w:rPr>
        <w:t>、浙江恒杰工程管理有限公司</w:t>
      </w:r>
      <w:r>
        <w:rPr>
          <w:rFonts w:hint="eastAsia" w:ascii="新宋体" w:hAnsi="新宋体" w:eastAsia="新宋体" w:cs="新宋体"/>
          <w:color w:val="auto"/>
          <w:kern w:val="0"/>
          <w:sz w:val="22"/>
          <w:szCs w:val="22"/>
          <w:highlight w:val="none"/>
        </w:rPr>
        <w:t>：</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w:t>
      </w:r>
      <w:r>
        <w:rPr>
          <w:rFonts w:hint="eastAsia" w:ascii="新宋体" w:hAnsi="新宋体" w:eastAsia="新宋体" w:cs="新宋体"/>
          <w:color w:val="auto"/>
          <w:kern w:val="0"/>
          <w:sz w:val="22"/>
          <w:szCs w:val="22"/>
          <w:highlight w:val="none"/>
          <w:u w:val="single"/>
        </w:rPr>
        <w:t xml:space="preserve"> （供应商）</w:t>
      </w:r>
      <w:r>
        <w:rPr>
          <w:rFonts w:hint="eastAsia" w:ascii="新宋体" w:hAnsi="新宋体" w:eastAsia="新宋体" w:cs="新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pPr>
        <w:pStyle w:val="24"/>
        <w:spacing w:line="460" w:lineRule="exact"/>
        <w:ind w:left="514" w:leftChars="245" w:firstLine="5720" w:firstLineChars="2600"/>
        <w:rPr>
          <w:color w:val="auto"/>
          <w:highlight w:val="none"/>
        </w:rPr>
      </w:pPr>
      <w:r>
        <w:rPr>
          <w:rFonts w:hint="eastAsia" w:ascii="新宋体" w:hAnsi="新宋体" w:eastAsia="新宋体" w:cs="新宋体"/>
          <w:color w:val="auto"/>
          <w:kern w:val="0"/>
          <w:sz w:val="22"/>
          <w:szCs w:val="22"/>
          <w:highlight w:val="none"/>
        </w:rPr>
        <w:t>日期：     年  月  日</w:t>
      </w:r>
    </w:p>
    <w:p>
      <w:pPr>
        <w:spacing w:line="460" w:lineRule="exact"/>
        <w:ind w:left="514" w:leftChars="245"/>
        <w:rPr>
          <w:rFonts w:ascii="新宋体" w:hAnsi="新宋体" w:eastAsia="新宋体" w:cs="新宋体"/>
          <w:b/>
          <w:bCs/>
          <w:color w:val="auto"/>
          <w:sz w:val="22"/>
          <w:szCs w:val="22"/>
          <w:highlight w:val="none"/>
        </w:rPr>
      </w:pPr>
    </w:p>
    <w:p>
      <w:pPr>
        <w:spacing w:line="460" w:lineRule="exact"/>
        <w:ind w:left="514" w:leftChars="245"/>
        <w:rPr>
          <w:rFonts w:ascii="新宋体" w:hAnsi="新宋体" w:eastAsia="新宋体" w:cs="新宋体"/>
          <w:b/>
          <w:bCs/>
          <w:color w:val="auto"/>
          <w:sz w:val="22"/>
          <w:szCs w:val="22"/>
          <w:highlight w:val="none"/>
        </w:rPr>
      </w:pPr>
    </w:p>
    <w:p>
      <w:pPr>
        <w:pStyle w:val="24"/>
        <w:ind w:left="0" w:firstLine="0" w:firstLineChars="0"/>
        <w:rPr>
          <w:color w:val="auto"/>
          <w:highlight w:val="none"/>
        </w:rPr>
      </w:pPr>
    </w:p>
    <w:p>
      <w:pPr>
        <w:spacing w:line="460" w:lineRule="exact"/>
        <w:outlineLvl w:val="3"/>
        <w:rPr>
          <w:rFonts w:ascii="新宋体" w:hAnsi="新宋体" w:eastAsia="新宋体" w:cs="新宋体"/>
          <w:b/>
          <w:bCs/>
          <w:color w:val="auto"/>
          <w:szCs w:val="21"/>
          <w:highlight w:val="none"/>
        </w:rPr>
      </w:pPr>
      <w:r>
        <w:rPr>
          <w:rFonts w:hint="eastAsia" w:ascii="新宋体" w:hAnsi="新宋体" w:eastAsia="新宋体" w:cs="新宋体"/>
          <w:b/>
          <w:bCs/>
          <w:color w:val="auto"/>
          <w:sz w:val="24"/>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温州市鹿城区园林绿化管理中心</w:t>
      </w:r>
      <w:r>
        <w:rPr>
          <w:rFonts w:hint="eastAsia" w:ascii="新宋体" w:hAnsi="新宋体" w:eastAsia="新宋体" w:cs="新宋体"/>
          <w:color w:val="auto"/>
          <w:sz w:val="22"/>
          <w:szCs w:val="22"/>
          <w:highlight w:val="none"/>
        </w:rPr>
        <w:t>、浙江恒杰工程管理有限公司</w:t>
      </w:r>
      <w:r>
        <w:rPr>
          <w:rFonts w:hint="eastAsia" w:ascii="新宋体" w:hAnsi="新宋体" w:eastAsia="新宋体" w:cs="新宋体"/>
          <w:color w:val="auto"/>
          <w:kern w:val="0"/>
          <w:sz w:val="22"/>
          <w:szCs w:val="22"/>
          <w:highlight w:val="none"/>
        </w:rPr>
        <w:t>：</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我方郑重承诺，我方此次参加</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项目名称）</w:t>
      </w:r>
      <w:r>
        <w:rPr>
          <w:rFonts w:hint="eastAsia" w:ascii="新宋体" w:hAnsi="新宋体" w:eastAsia="新宋体" w:cs="新宋体"/>
          <w:color w:val="auto"/>
          <w:kern w:val="0"/>
          <w:sz w:val="22"/>
          <w:szCs w:val="22"/>
          <w:highlight w:val="none"/>
          <w:u w:val="single"/>
        </w:rPr>
        <w:t xml:space="preserve">            的</w:t>
      </w:r>
      <w:r>
        <w:rPr>
          <w:rFonts w:hint="eastAsia" w:ascii="新宋体" w:hAnsi="新宋体" w:eastAsia="新宋体" w:cs="新宋体"/>
          <w:color w:val="auto"/>
          <w:kern w:val="0"/>
          <w:sz w:val="22"/>
          <w:szCs w:val="22"/>
          <w:highlight w:val="none"/>
        </w:rPr>
        <w:t>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ascii="新宋体" w:hAnsi="新宋体" w:eastAsia="新宋体" w:cs="新宋体"/>
          <w:b/>
          <w:color w:val="auto"/>
          <w:kern w:val="36"/>
          <w:sz w:val="22"/>
          <w:szCs w:val="22"/>
          <w:highlight w:val="none"/>
        </w:rPr>
      </w:pP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ascii="新宋体" w:hAnsi="新宋体" w:eastAsia="新宋体" w:cs="新宋体"/>
          <w:color w:val="auto"/>
          <w:kern w:val="0"/>
          <w:sz w:val="22"/>
          <w:szCs w:val="22"/>
          <w:highlight w:val="none"/>
        </w:rPr>
      </w:pPr>
    </w:p>
    <w:p>
      <w:pPr>
        <w:pStyle w:val="24"/>
        <w:spacing w:line="460" w:lineRule="exact"/>
        <w:ind w:left="514" w:leftChars="245" w:firstLine="5720" w:firstLineChars="26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pStyle w:val="24"/>
        <w:spacing w:line="460" w:lineRule="exact"/>
        <w:ind w:left="514" w:leftChars="245" w:firstLine="5720" w:firstLineChars="2600"/>
        <w:rPr>
          <w:rFonts w:ascii="新宋体" w:hAnsi="新宋体" w:eastAsia="新宋体" w:cs="新宋体"/>
          <w:color w:val="auto"/>
          <w:kern w:val="0"/>
          <w:sz w:val="22"/>
          <w:szCs w:val="22"/>
          <w:highlight w:val="none"/>
        </w:rPr>
      </w:pPr>
    </w:p>
    <w:p>
      <w:pPr>
        <w:pStyle w:val="24"/>
        <w:spacing w:line="460" w:lineRule="exact"/>
        <w:ind w:left="0" w:firstLine="0" w:firstLineChars="0"/>
        <w:rPr>
          <w:rFonts w:ascii="宋体" w:hAnsi="宋体" w:cs="宋体"/>
          <w:color w:val="auto"/>
          <w:kern w:val="0"/>
          <w:highlight w:val="none"/>
        </w:rPr>
      </w:pPr>
    </w:p>
    <w:p>
      <w:pPr>
        <w:pStyle w:val="24"/>
        <w:spacing w:line="460" w:lineRule="exact"/>
        <w:ind w:left="0" w:firstLine="0" w:firstLineChars="0"/>
        <w:rPr>
          <w:rFonts w:ascii="宋体" w:hAnsi="宋体" w:cs="宋体"/>
          <w:color w:val="auto"/>
          <w:kern w:val="0"/>
          <w:highlight w:val="none"/>
        </w:rPr>
      </w:pPr>
    </w:p>
    <w:p>
      <w:pPr>
        <w:spacing w:line="400" w:lineRule="exact"/>
        <w:outlineLvl w:val="3"/>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7、投标供应商不属于公益一类事业单位承诺函；</w:t>
      </w:r>
    </w:p>
    <w:p>
      <w:pPr>
        <w:shd w:val="clear" w:color="auto" w:fill="FFFFFF"/>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温州市鹿城区园林绿化管理中心</w:t>
      </w:r>
      <w:r>
        <w:rPr>
          <w:rFonts w:hint="eastAsia" w:ascii="新宋体" w:hAnsi="新宋体" w:eastAsia="新宋体" w:cs="新宋体"/>
          <w:color w:val="auto"/>
          <w:sz w:val="22"/>
          <w:szCs w:val="22"/>
          <w:highlight w:val="none"/>
        </w:rPr>
        <w:t>、浙江恒杰工程管理有限公司</w:t>
      </w:r>
      <w:r>
        <w:rPr>
          <w:rFonts w:hint="eastAsia" w:ascii="新宋体" w:hAnsi="新宋体" w:eastAsia="新宋体" w:cs="新宋体"/>
          <w:color w:val="auto"/>
          <w:kern w:val="0"/>
          <w:sz w:val="22"/>
          <w:szCs w:val="22"/>
          <w:highlight w:val="none"/>
        </w:rPr>
        <w:t>：</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我方郑重承诺，我单位不属于公益一类事业单位，</w:t>
      </w:r>
      <w:r>
        <w:rPr>
          <w:rFonts w:hint="eastAsia" w:ascii="新宋体" w:hAnsi="新宋体" w:eastAsia="新宋体" w:cs="新宋体"/>
          <w:color w:val="auto"/>
          <w:spacing w:val="-6"/>
          <w:kern w:val="0"/>
          <w:sz w:val="22"/>
          <w:szCs w:val="22"/>
          <w:highlight w:val="none"/>
        </w:rPr>
        <w:t>可承接</w:t>
      </w:r>
      <w:r>
        <w:rPr>
          <w:rFonts w:hint="eastAsia" w:ascii="新宋体" w:hAnsi="新宋体" w:eastAsia="新宋体" w:cs="新宋体"/>
          <w:color w:val="auto"/>
          <w:kern w:val="0"/>
          <w:sz w:val="22"/>
          <w:szCs w:val="22"/>
          <w:highlight w:val="none"/>
        </w:rPr>
        <w:t>（项目名称）</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项目的相关服务内容。如有虚假或隐瞒，愿意承担一切后果。</w:t>
      </w:r>
    </w:p>
    <w:p>
      <w:pPr>
        <w:spacing w:line="460" w:lineRule="exact"/>
        <w:ind w:firstLine="440" w:firstLineChars="200"/>
        <w:rPr>
          <w:rFonts w:ascii="新宋体" w:hAnsi="新宋体" w:eastAsia="新宋体" w:cs="新宋体"/>
          <w:color w:val="auto"/>
          <w:kern w:val="0"/>
          <w:sz w:val="22"/>
          <w:szCs w:val="22"/>
          <w:highlight w:val="none"/>
        </w:rPr>
      </w:pPr>
    </w:p>
    <w:p>
      <w:pPr>
        <w:shd w:val="clear" w:color="auto" w:fill="FFFFFF"/>
        <w:snapToGrid w:val="0"/>
        <w:spacing w:line="460" w:lineRule="exact"/>
        <w:jc w:val="center"/>
        <w:rPr>
          <w:rFonts w:ascii="新宋体" w:hAnsi="新宋体" w:eastAsia="新宋体" w:cs="新宋体"/>
          <w:b/>
          <w:color w:val="auto"/>
          <w:kern w:val="36"/>
          <w:sz w:val="22"/>
          <w:szCs w:val="22"/>
          <w:highlight w:val="none"/>
        </w:rPr>
      </w:pP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460" w:lineRule="exact"/>
        <w:ind w:firstLine="6160" w:firstLineChars="2800"/>
        <w:jc w:val="left"/>
        <w:rPr>
          <w:rFonts w:ascii="宋体" w:hAnsi="宋体" w:cs="宋体"/>
          <w:color w:val="auto"/>
          <w:kern w:val="0"/>
          <w:sz w:val="24"/>
          <w:highlight w:val="none"/>
        </w:rPr>
      </w:pPr>
      <w:r>
        <w:rPr>
          <w:rFonts w:hint="eastAsia" w:ascii="新宋体" w:hAnsi="新宋体" w:eastAsia="新宋体" w:cs="新宋体"/>
          <w:color w:val="auto"/>
          <w:kern w:val="0"/>
          <w:sz w:val="22"/>
          <w:szCs w:val="22"/>
          <w:highlight w:val="none"/>
        </w:rPr>
        <w:t>日期：     年  月  日</w:t>
      </w:r>
    </w:p>
    <w:p>
      <w:pPr>
        <w:pStyle w:val="24"/>
        <w:spacing w:line="460" w:lineRule="exact"/>
        <w:ind w:left="514" w:leftChars="245" w:firstLine="0" w:firstLineChars="0"/>
        <w:rPr>
          <w:color w:val="auto"/>
          <w:highlight w:val="none"/>
        </w:rPr>
      </w:pPr>
    </w:p>
    <w:p>
      <w:pPr>
        <w:pStyle w:val="24"/>
        <w:spacing w:line="460" w:lineRule="exact"/>
        <w:ind w:left="514" w:leftChars="245" w:firstLine="0" w:firstLineChars="0"/>
        <w:rPr>
          <w:color w:val="auto"/>
          <w:highlight w:val="none"/>
        </w:rPr>
      </w:pPr>
    </w:p>
    <w:p>
      <w:pPr>
        <w:pStyle w:val="24"/>
        <w:spacing w:line="460" w:lineRule="exact"/>
        <w:ind w:left="514" w:leftChars="245" w:firstLine="0" w:firstLineChars="0"/>
        <w:rPr>
          <w:color w:val="auto"/>
          <w:highlight w:val="none"/>
        </w:rPr>
      </w:pPr>
    </w:p>
    <w:p>
      <w:pPr>
        <w:pStyle w:val="24"/>
        <w:spacing w:line="460" w:lineRule="exact"/>
        <w:ind w:left="514" w:leftChars="245" w:firstLine="0" w:firstLineChars="0"/>
        <w:rPr>
          <w:color w:val="auto"/>
          <w:highlight w:val="none"/>
        </w:rPr>
      </w:pPr>
    </w:p>
    <w:p>
      <w:pPr>
        <w:spacing w:line="400" w:lineRule="exact"/>
        <w:outlineLvl w:val="3"/>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8、投标人信用查询：</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3、投标人信用信息查询记录和证据留存的具体方式：网页截图；</w:t>
      </w:r>
    </w:p>
    <w:p>
      <w:pPr>
        <w:tabs>
          <w:tab w:val="left" w:pos="360"/>
        </w:tabs>
        <w:spacing w:line="460" w:lineRule="exact"/>
        <w:ind w:firstLine="552" w:firstLineChars="250"/>
        <w:rPr>
          <w:rFonts w:ascii="新宋体" w:hAnsi="新宋体" w:eastAsia="新宋体"/>
          <w:b/>
          <w:bCs/>
          <w:color w:val="auto"/>
          <w:sz w:val="22"/>
          <w:szCs w:val="22"/>
          <w:highlight w:val="none"/>
          <w:u w:val="single"/>
        </w:rPr>
      </w:pPr>
      <w:r>
        <w:rPr>
          <w:rFonts w:hint="eastAsia" w:ascii="新宋体" w:hAnsi="新宋体" w:eastAsia="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p>
    <w:p>
      <w:pPr>
        <w:spacing w:line="460" w:lineRule="exact"/>
        <w:jc w:val="center"/>
        <w:outlineLvl w:val="3"/>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8"/>
          <w:szCs w:val="28"/>
          <w:highlight w:val="none"/>
        </w:rPr>
        <w:t>9、采购活动现场确认声明书</w:t>
      </w:r>
    </w:p>
    <w:p>
      <w:pPr>
        <w:spacing w:line="460" w:lineRule="exact"/>
        <w:rPr>
          <w:rFonts w:ascii="新宋体" w:hAnsi="新宋体" w:eastAsia="新宋体" w:cs="新宋体"/>
          <w:b/>
          <w:bCs/>
          <w:color w:val="auto"/>
          <w:sz w:val="22"/>
          <w:szCs w:val="22"/>
          <w:highlight w:val="none"/>
        </w:rPr>
      </w:pPr>
    </w:p>
    <w:p>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lang w:bidi="ar"/>
        </w:rPr>
        <w:t>浙江恒杰工程管理有限公司：</w:t>
      </w:r>
    </w:p>
    <w:p>
      <w:pPr>
        <w:spacing w:line="460" w:lineRule="exact"/>
        <w:ind w:firstLine="440" w:firstLineChars="200"/>
        <w:rPr>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项目名称）</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）政府采购活动，经与本单位法人代表（负责人）联系确认，现就有关公平竞争事项郑重声明如下：</w:t>
      </w:r>
    </w:p>
    <w:p>
      <w:pPr>
        <w:numPr>
          <w:ilvl w:val="0"/>
          <w:numId w:val="3"/>
        </w:num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本单位与招标人之间 □不存在利害关系 □存在下列利害关系：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A.投资关系    </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pPr>
        <w:spacing w:line="460" w:lineRule="exact"/>
        <w:ind w:firstLine="660" w:firstLineChars="30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6"/>
          <w:rFonts w:hint="default"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pPr>
        <w:numPr>
          <w:ilvl w:val="0"/>
          <w:numId w:val="3"/>
        </w:num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现已清楚知道参加本项目采购活动的其他所有供应商名称，本单位 </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□与其他所有供应商之间均不存在利害关系 </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A.法定代表人或负责人或实际控制人是同一人</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B.法定代表人或负责人或实际控制人是夫妻关系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C.法定代表人或负责人或实际控制人是直系血亲关系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D.法定代表人或负责人或实际控制人存在三代以内旁系血亲关系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E.法定代表人或负责人或实际控制人存在近姻亲关系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F.法定代表人或负责人或实际控制人存在股份控制或实际控制关系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G.存在共同直接或间接投资设立子公司、联营企业和合营企业情况</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H.存在分级代理或代销关系、同一生产制造商关系、管理关系、重要业务（占主营业务收入50%以上）或重要财务往来关系（如融资）等其他实质性控制关系</w:t>
      </w:r>
      <w:r>
        <w:rPr>
          <w:rFonts w:hint="eastAsia" w:ascii="新宋体" w:hAnsi="新宋体" w:eastAsia="新宋体" w:cs="新宋体"/>
          <w:color w:val="auto"/>
          <w:kern w:val="0"/>
          <w:sz w:val="22"/>
          <w:szCs w:val="22"/>
          <w:highlight w:val="none"/>
          <w:lang w:bidi="ar"/>
        </w:rPr>
        <w:br w:type="textWrapping"/>
      </w:r>
      <w:r>
        <w:rPr>
          <w:rFonts w:hint="eastAsia" w:ascii="新宋体" w:hAnsi="新宋体" w:eastAsia="新宋体" w:cs="新宋体"/>
          <w:color w:val="auto"/>
          <w:kern w:val="0"/>
          <w:sz w:val="22"/>
          <w:szCs w:val="22"/>
          <w:highlight w:val="none"/>
          <w:lang w:bidi="ar"/>
        </w:rPr>
        <w:t xml:space="preserve">      I.其他利害关系情况</w:t>
      </w:r>
      <w:r>
        <w:rPr>
          <w:rFonts w:hint="eastAsia" w:ascii="新宋体" w:hAnsi="新宋体" w:eastAsia="新宋体" w:cs="新宋体"/>
          <w:color w:val="auto"/>
          <w:kern w:val="0"/>
          <w:sz w:val="22"/>
          <w:szCs w:val="22"/>
          <w:highlight w:val="none"/>
          <w:u w:val="single"/>
          <w:lang w:bidi="ar"/>
        </w:rPr>
        <w:t xml:space="preserve">                              。</w:t>
      </w:r>
    </w:p>
    <w:p>
      <w:pPr>
        <w:pStyle w:val="24"/>
        <w:spacing w:line="460" w:lineRule="exact"/>
        <w:ind w:left="0" w:firstLine="0" w:firstLineChars="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（三）现已清楚知道并严格遵守政府采购法律法规和现场纪律</w:t>
      </w:r>
    </w:p>
    <w:p>
      <w:pPr>
        <w:pStyle w:val="24"/>
        <w:spacing w:line="460" w:lineRule="exact"/>
        <w:ind w:left="0" w:firstLine="0" w:firstLineChars="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46"/>
          <w:rFonts w:hint="default" w:ascii="新宋体" w:hAnsi="新宋体" w:eastAsia="新宋体" w:cs="新宋体"/>
          <w:color w:val="auto"/>
          <w:sz w:val="22"/>
          <w:szCs w:val="22"/>
          <w:highlight w:val="none"/>
          <w:lang w:bidi="ar"/>
        </w:rPr>
        <w:t xml:space="preserve">                  与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46"/>
          <w:rFonts w:hint="default"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pPr>
        <w:pStyle w:val="24"/>
        <w:spacing w:line="460" w:lineRule="exact"/>
        <w:ind w:left="0" w:firstLine="0" w:firstLineChars="0"/>
        <w:rPr>
          <w:rFonts w:ascii="新宋体" w:hAnsi="新宋体" w:eastAsia="新宋体" w:cs="新宋体"/>
          <w:b/>
          <w:color w:val="auto"/>
          <w:kern w:val="0"/>
          <w:sz w:val="22"/>
          <w:szCs w:val="22"/>
          <w:highlight w:val="none"/>
          <w:lang w:bidi="ar"/>
        </w:rPr>
      </w:pPr>
      <w:r>
        <w:rPr>
          <w:rFonts w:hint="eastAsia" w:ascii="新宋体" w:hAnsi="新宋体" w:eastAsia="新宋体" w:cs="新宋体"/>
          <w:b/>
          <w:color w:val="auto"/>
          <w:kern w:val="0"/>
          <w:sz w:val="22"/>
          <w:szCs w:val="22"/>
          <w:highlight w:val="none"/>
          <w:lang w:bidi="ar"/>
        </w:rPr>
        <w:t>供应商代表签名:</w:t>
      </w:r>
    </w:p>
    <w:p>
      <w:pPr>
        <w:pStyle w:val="24"/>
        <w:spacing w:line="460" w:lineRule="exact"/>
        <w:ind w:left="0" w:firstLine="0" w:firstLineChars="0"/>
        <w:jc w:val="right"/>
        <w:rPr>
          <w:rFonts w:ascii="新宋体" w:hAnsi="新宋体" w:eastAsia="新宋体" w:cs="新宋体"/>
          <w:b/>
          <w:color w:val="auto"/>
          <w:kern w:val="0"/>
          <w:sz w:val="22"/>
          <w:szCs w:val="22"/>
          <w:highlight w:val="none"/>
          <w:lang w:bidi="ar"/>
        </w:rPr>
      </w:pPr>
    </w:p>
    <w:p>
      <w:pPr>
        <w:pStyle w:val="24"/>
        <w:spacing w:line="460" w:lineRule="exact"/>
        <w:ind w:left="0" w:firstLine="0" w:firstLineChars="0"/>
        <w:jc w:val="right"/>
        <w:rPr>
          <w:rFonts w:ascii="新宋体" w:hAnsi="新宋体" w:eastAsia="新宋体" w:cs="新宋体"/>
          <w:b/>
          <w:color w:val="auto"/>
          <w:kern w:val="0"/>
          <w:sz w:val="22"/>
          <w:szCs w:val="22"/>
          <w:highlight w:val="none"/>
          <w:lang w:bidi="ar"/>
        </w:rPr>
      </w:pPr>
    </w:p>
    <w:p>
      <w:pPr>
        <w:spacing w:line="380" w:lineRule="exact"/>
        <w:jc w:val="right"/>
        <w:rPr>
          <w:rFonts w:ascii="新宋体" w:hAnsi="新宋体" w:eastAsia="新宋体" w:cs="新宋体"/>
          <w:b/>
          <w:color w:val="auto"/>
          <w:kern w:val="0"/>
          <w:sz w:val="22"/>
          <w:szCs w:val="22"/>
          <w:highlight w:val="none"/>
          <w:lang w:bidi="ar"/>
        </w:rPr>
      </w:pPr>
      <w:r>
        <w:rPr>
          <w:rFonts w:hint="eastAsia" w:ascii="新宋体" w:hAnsi="新宋体" w:eastAsia="新宋体" w:cs="新宋体"/>
          <w:b/>
          <w:color w:val="auto"/>
          <w:kern w:val="0"/>
          <w:sz w:val="22"/>
          <w:szCs w:val="22"/>
          <w:highlight w:val="none"/>
          <w:lang w:bidi="ar"/>
        </w:rPr>
        <w:t>日期:2021年    月    日</w:t>
      </w:r>
    </w:p>
    <w:p>
      <w:pPr>
        <w:pStyle w:val="10"/>
        <w:rPr>
          <w:color w:val="auto"/>
          <w:highlight w:val="none"/>
        </w:rPr>
      </w:pPr>
    </w:p>
    <w:p>
      <w:pPr>
        <w:outlineLvl w:val="1"/>
        <w:rPr>
          <w:rFonts w:ascii="新宋体" w:hAnsi="新宋体" w:eastAsia="新宋体" w:cs="新宋体"/>
          <w:b/>
          <w:bCs/>
          <w:color w:val="auto"/>
          <w:sz w:val="22"/>
          <w:szCs w:val="22"/>
          <w:highlight w:val="none"/>
        </w:rPr>
      </w:pPr>
      <w:bookmarkStart w:id="30" w:name="_Toc23181"/>
      <w:r>
        <w:rPr>
          <w:rFonts w:hint="eastAsia" w:ascii="新宋体" w:hAnsi="新宋体" w:eastAsia="新宋体" w:cs="新宋体"/>
          <w:b/>
          <w:bCs/>
          <w:color w:val="auto"/>
          <w:sz w:val="22"/>
          <w:szCs w:val="22"/>
          <w:highlight w:val="none"/>
        </w:rPr>
        <w:t>附件三</w:t>
      </w:r>
      <w:bookmarkEnd w:id="30"/>
    </w:p>
    <w:p>
      <w:pPr>
        <w:spacing w:line="380" w:lineRule="exact"/>
        <w:jc w:val="center"/>
        <w:outlineLvl w:val="2"/>
        <w:rPr>
          <w:rFonts w:ascii="新宋体" w:hAnsi="新宋体" w:eastAsia="新宋体" w:cs="新宋体"/>
          <w:b/>
          <w:color w:val="auto"/>
          <w:sz w:val="22"/>
          <w:szCs w:val="22"/>
          <w:highlight w:val="none"/>
        </w:rPr>
      </w:pPr>
      <w:r>
        <w:rPr>
          <w:rFonts w:hint="eastAsia" w:ascii="新宋体" w:hAnsi="新宋体" w:eastAsia="新宋体" w:cs="新宋体"/>
          <w:b/>
          <w:bCs/>
          <w:color w:val="auto"/>
          <w:sz w:val="28"/>
          <w:szCs w:val="28"/>
          <w:highlight w:val="none"/>
        </w:rPr>
        <w:t>商务技术文件</w:t>
      </w:r>
    </w:p>
    <w:p>
      <w:pPr>
        <w:spacing w:line="380" w:lineRule="exact"/>
        <w:jc w:val="center"/>
        <w:outlineLvl w:val="3"/>
        <w:rPr>
          <w:rFonts w:ascii="新宋体" w:hAnsi="新宋体" w:eastAsia="新宋体" w:cs="新宋体"/>
          <w:b/>
          <w:color w:val="auto"/>
          <w:sz w:val="22"/>
          <w:szCs w:val="22"/>
          <w:highlight w:val="none"/>
        </w:rPr>
      </w:pPr>
      <w:r>
        <w:rPr>
          <w:rFonts w:hint="eastAsia" w:ascii="新宋体" w:hAnsi="新宋体" w:eastAsia="新宋体" w:cs="新宋体"/>
          <w:b/>
          <w:bCs/>
          <w:color w:val="auto"/>
          <w:sz w:val="28"/>
          <w:szCs w:val="28"/>
          <w:highlight w:val="none"/>
        </w:rPr>
        <w:t>1、法定代表人授权书</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olor w:val="auto"/>
          <w:sz w:val="22"/>
          <w:szCs w:val="22"/>
          <w:highlight w:val="none"/>
          <w:lang w:eastAsia="zh-CN"/>
        </w:rPr>
        <w:t>温州市鹿城区园林绿化管理中心</w:t>
      </w:r>
      <w:r>
        <w:rPr>
          <w:rFonts w:hint="eastAsia" w:ascii="新宋体" w:hAnsi="新宋体" w:eastAsia="新宋体" w:cs="新宋体"/>
          <w:color w:val="auto"/>
          <w:sz w:val="22"/>
          <w:szCs w:val="22"/>
          <w:highlight w:val="none"/>
        </w:rPr>
        <w:t>：</w:t>
      </w:r>
    </w:p>
    <w:p>
      <w:pPr>
        <w:spacing w:line="460" w:lineRule="exact"/>
        <w:rPr>
          <w:rFonts w:ascii="新宋体" w:hAnsi="新宋体" w:eastAsia="新宋体" w:cs="新宋体"/>
          <w:color w:val="auto"/>
          <w:sz w:val="22"/>
          <w:szCs w:val="22"/>
          <w:highlight w:val="none"/>
          <w:u w:val="single"/>
        </w:rPr>
      </w:pPr>
    </w:p>
    <w:p>
      <w:pPr>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pPr>
        <w:spacing w:line="460" w:lineRule="exact"/>
        <w:ind w:firstLine="2955"/>
        <w:rPr>
          <w:rFonts w:ascii="新宋体" w:hAnsi="新宋体" w:eastAsia="新宋体" w:cs="新宋体"/>
          <w:color w:val="auto"/>
          <w:sz w:val="22"/>
          <w:szCs w:val="22"/>
          <w:highlight w:val="none"/>
        </w:rPr>
      </w:pPr>
    </w:p>
    <w:p>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60" w:lineRule="exact"/>
        <w:ind w:firstLine="4081" w:firstLineChars="18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  (签字或盖章)：</w:t>
      </w:r>
    </w:p>
    <w:p>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投标人全称（公章）：</w:t>
      </w:r>
    </w:p>
    <w:p>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  </w:t>
      </w:r>
    </w:p>
    <w:p>
      <w:pPr>
        <w:spacing w:line="380" w:lineRule="exact"/>
        <w:rPr>
          <w:rFonts w:ascii="新宋体" w:hAnsi="新宋体" w:eastAsia="新宋体" w:cs="新宋体"/>
          <w:color w:val="auto"/>
          <w:sz w:val="22"/>
          <w:szCs w:val="22"/>
          <w:highlight w:val="none"/>
        </w:rPr>
      </w:pP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pPr>
        <w:pStyle w:val="10"/>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pStyle w:val="10"/>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pStyle w:val="10"/>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pStyle w:val="10"/>
        <w:rPr>
          <w:rFonts w:ascii="新宋体" w:hAnsi="新宋体" w:eastAsia="新宋体" w:cs="新宋体"/>
          <w:color w:val="auto"/>
          <w:sz w:val="22"/>
          <w:szCs w:val="22"/>
          <w:highlight w:val="none"/>
        </w:rPr>
      </w:pPr>
    </w:p>
    <w:p>
      <w:pPr>
        <w:rPr>
          <w:rFonts w:ascii="新宋体" w:hAnsi="新宋体" w:eastAsia="新宋体" w:cs="新宋体"/>
          <w:color w:val="auto"/>
          <w:highlight w:val="none"/>
        </w:rPr>
      </w:pPr>
    </w:p>
    <w:p>
      <w:pPr>
        <w:pStyle w:val="10"/>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pStyle w:val="24"/>
        <w:ind w:left="440" w:hanging="440"/>
        <w:rPr>
          <w:rFonts w:ascii="新宋体" w:hAnsi="新宋体" w:eastAsia="新宋体" w:cs="新宋体"/>
          <w:color w:val="auto"/>
          <w:sz w:val="22"/>
          <w:szCs w:val="22"/>
          <w:highlight w:val="none"/>
        </w:rPr>
      </w:pPr>
    </w:p>
    <w:p>
      <w:pPr>
        <w:pStyle w:val="24"/>
        <w:ind w:left="440" w:hanging="440"/>
        <w:rPr>
          <w:rFonts w:ascii="新宋体" w:hAnsi="新宋体" w:eastAsia="新宋体" w:cs="新宋体"/>
          <w:color w:val="auto"/>
          <w:sz w:val="22"/>
          <w:szCs w:val="22"/>
          <w:highlight w:val="none"/>
        </w:rPr>
      </w:pPr>
    </w:p>
    <w:p>
      <w:pPr>
        <w:pStyle w:val="24"/>
        <w:ind w:left="440" w:hanging="440"/>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pStyle w:val="10"/>
        <w:rPr>
          <w:rFonts w:ascii="新宋体" w:hAnsi="新宋体" w:eastAsia="新宋体" w:cs="新宋体"/>
          <w:color w:val="auto"/>
          <w:sz w:val="22"/>
          <w:szCs w:val="22"/>
          <w:highlight w:val="none"/>
        </w:rPr>
      </w:pPr>
    </w:p>
    <w:p>
      <w:pPr>
        <w:rPr>
          <w:rFonts w:ascii="新宋体" w:hAnsi="新宋体" w:eastAsia="新宋体" w:cs="新宋体"/>
          <w:color w:val="auto"/>
          <w:sz w:val="22"/>
          <w:szCs w:val="22"/>
          <w:highlight w:val="none"/>
        </w:rPr>
      </w:pPr>
    </w:p>
    <w:p>
      <w:pPr>
        <w:pStyle w:val="10"/>
        <w:ind w:firstLine="0"/>
        <w:rPr>
          <w:rFonts w:ascii="新宋体" w:hAnsi="新宋体" w:eastAsia="新宋体" w:cs="新宋体"/>
          <w:color w:val="auto"/>
          <w:highlight w:val="none"/>
        </w:rPr>
      </w:pPr>
    </w:p>
    <w:p>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320675</wp:posOffset>
                </wp:positionV>
                <wp:extent cx="6254115" cy="3004185"/>
                <wp:effectExtent l="5080" t="12065" r="8255" b="1270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wps:spPr>
                      <wps:txbx>
                        <w:txbxContent>
                          <w:p>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8.95pt;margin-top:25.25pt;height:236.55pt;width:492.45pt;z-index:251660288;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mySyGzgCAACSBAAADgAAAGRycy9lMm9Eb2MueG1srVRR&#10;b9MwEH5H4j9YfqdJSju6aOk0WhUhjYG08QNcx0ksbJ+x3Sbj13N2slIGSHsgD5bPPn/33Xd3uboe&#10;tCJH4bwEU9FillMiDIdamraiXx92b1aU+MBMzRQYUdFH4en1+vWrq96WYg4dqFo4giDGl72taBeC&#10;LbPM805o5mdghcHLBpxmAU3XZrVjPaJrlc3z/CLrwdXWARfe4+l2vKQTonsJIDSN5GIL/KCFCSOq&#10;E4oFTMl30nq6TmybRvDwuWm8CERVFDMNacUguN/HNVtfsbJ1zHaSTxTYSyg8y0kzaTDoCWrLAiMH&#10;J/+A0pI78NCEGQedjYkkRTCLIn+mzX3HrEi5oNTenkT3/w+W3x2/OCLril5QYpjGgj+IIZD3MJB5&#10;VKe3vkSne4tuYcBj7JmUqbe3wL95YmDTMdOKG+eg7wSrkV0RX2ZnT0ccH0H2/SeoMQw7BEhAQ+N0&#10;lA7FIIiOlXk8VSZS4Xh4MV8uimJJCce7t3m+KFbLFIOVT8+t8+GDAE3ipqIOS5/g2fHWh0iHlU8u&#10;MZoHJeudVCoZrt1vlCNHhm2yS9+E/pubMqSv6OVyHoloi6J5045i/BMtT9/f0LQMOEhK6oquzp2U&#10;mbSLco3ChWE/TLXYQ/2IKjoYWxkHGTcduB+U9NjGSOn7gTlBifposBKXxWIR+z4Zi+W7ORru/GZ/&#10;fsMMR6iKBkrG7SaMs3KwTrYdRhprb+AGq9fIpGss88hq4o2tmuSexirOwrmdvH79St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fcI2jYAAAACgEAAA8AAAAAAAAAAQAgAAAAIgAAAGRycy9kb3du&#10;cmV2LnhtbFBLAQIUABQAAAAIAIdO4kCbJLIbOAIAAJIEAAAOAAAAAAAAAAEAIAAAACcBAABkcnMv&#10;ZTJvRG9jLnhtbFBLBQYAAAAABgAGAFkBAADRBQAAAAA=&#10;">
                <v:fill on="t" focussize="0,0"/>
                <v:stroke color="#000000" miterlimit="8"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-53975</wp:posOffset>
                </wp:positionV>
                <wp:extent cx="6303645" cy="3875405"/>
                <wp:effectExtent l="8255" t="5715" r="12700" b="5080"/>
                <wp:wrapNone/>
                <wp:docPr id="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6303645" cy="3875405"/>
                        </a:xfrm>
                        <a:prstGeom prst="rect">
                          <a:avLst/>
                        </a:prstGeom>
                        <a:solidFill>
                          <a:srgbClr val="FFFFFF"/>
                        </a:solidFill>
                        <a:ln w="9525" cmpd="sng">
                          <a:solidFill>
                            <a:srgbClr val="000000"/>
                          </a:solidFill>
                          <a:miter lim="800000"/>
                        </a:ln>
                      </wps:spPr>
                      <wps:txbx>
                        <w:txbxContent>
                          <w:p>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6.95pt;margin-top:-4.25pt;height:305.15pt;width:496.35pt;z-index:251661312;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Jn+O9EkCAACUBAAADgAAAGRycy9lMm9Eb2MueG1srVRL&#10;btwwDN0X6B0E7Rt7fvkY8QRpghQF0g+Q9gAaWbaFSqJKacZOD9DcoKtuuu+5co7S8iQdTFsgi3ph&#10;iCb1+PhI+vSst4ZtFAYNruSTg5wz5SRU2jUl//jh6sUxZyEKVwkDTpX8VgV+tnz+7LTzhZpCC6ZS&#10;yAjEhaLzJW9j9EWWBdkqK8IBeOXIWQNaEcnEJqtQdIRuTTbN88OsA6w8glQh0NfL0cm3iPgUQKhr&#10;LdUlyLVVLo6oqIyIVFJotQ98mdjWtZLxXV0HFZkpOVUa05uS0Hk1vLPlqSgaFL7VcktBPIXCXk1W&#10;aEdJH6EuRRRsjfoPKKslQoA6Hkiw2VhIUoSqmOR72ty0wqtUC0kd/KPo4f/Byreb98h0VfIFZ05Y&#10;avj9t7v77z/vf3xl08WgT+dDQWE3ngJj/xJ6mppUa/DXID8F5uCiFa5R54jQtUpUxG8y3Mx2ro44&#10;YQBZdW+gokRiHSEB9TXaQTySgxE69eb2sTeqj0zSx8NZPjucE0lJvtnx0WKeJ3aZKB6uewzxlQLL&#10;hkPJkZqf4MXmOsSBjigeQoZsAYyurrQxycBmdWGQbQQNylV6UgV7YcaxruQnC1KGSetJtuCaUYx/&#10;ouXp+Rua1ZFWyWhb8uPdIOO22g1yjcLFftVve7GC6pZURBiHmVaZDi3gF846GmSi9HktUHFmXjvq&#10;xMlkPh8mPxnzxdGUDNz1rHY9wkmCKnnkbDxexHFb1h5101KmsfcOzql7tU66Dm0eWW1507AmubeL&#10;NWzDrp2ifv9M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GqLXdgAAAAKAQAADwAAAAAAAAAB&#10;ACAAAAAiAAAAZHJzL2Rvd25yZXYueG1sUEsBAhQAFAAAAAgAh07iQCZ/jvRJAgAAlAQAAA4AAAAA&#10;AAAAAQAgAAAAJwEAAGRycy9lMm9Eb2MueG1sUEsFBgAAAAAGAAYAWQEAAOIFAAAAAA==&#10;">
                <v:fill on="t" focussize="0,0"/>
                <v:stroke color="#000000" miterlimit="8"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pPr>
    </w:p>
    <w:p>
      <w:pPr>
        <w:spacing w:line="460" w:lineRule="exact"/>
        <w:jc w:val="center"/>
        <w:rPr>
          <w:rFonts w:ascii="新宋体" w:hAnsi="新宋体" w:eastAsia="新宋体" w:cs="新宋体"/>
          <w:b/>
          <w:bCs/>
          <w:color w:val="auto"/>
          <w:sz w:val="28"/>
          <w:szCs w:val="28"/>
          <w:highlight w:val="none"/>
        </w:rPr>
        <w:sectPr>
          <w:headerReference r:id="rId8" w:type="default"/>
          <w:footerReference r:id="rId9" w:type="default"/>
          <w:pgSz w:w="11907" w:h="16840"/>
          <w:pgMar w:top="1134" w:right="1134" w:bottom="1134" w:left="1134" w:header="851" w:footer="992" w:gutter="0"/>
          <w:pgNumType w:fmt="decimal"/>
          <w:cols w:space="720" w:num="1"/>
          <w:titlePg/>
          <w:docGrid w:linePitch="312" w:charSpace="0"/>
        </w:sectPr>
      </w:pPr>
    </w:p>
    <w:p>
      <w:pPr>
        <w:pStyle w:val="24"/>
        <w:rPr>
          <w:color w:val="auto"/>
          <w:highlight w:val="none"/>
        </w:rPr>
      </w:pPr>
    </w:p>
    <w:p>
      <w:pPr>
        <w:spacing w:line="460" w:lineRule="exact"/>
        <w:jc w:val="center"/>
        <w:outlineLvl w:val="3"/>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rPr>
        <w:t>2、投标人情况表</w:t>
      </w:r>
    </w:p>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pPr>
              <w:spacing w:line="480" w:lineRule="exact"/>
              <w:rPr>
                <w:rFonts w:ascii="新宋体" w:hAnsi="新宋体" w:eastAsia="新宋体" w:cs="新宋体"/>
                <w:color w:val="auto"/>
                <w:sz w:val="22"/>
                <w:szCs w:val="22"/>
                <w:highlight w:val="none"/>
              </w:rPr>
            </w:pPr>
          </w:p>
        </w:tc>
        <w:tc>
          <w:tcPr>
            <w:tcW w:w="1115" w:type="dxa"/>
            <w:gridSpan w:val="2"/>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pPr>
              <w:spacing w:line="480" w:lineRule="exact"/>
              <w:rPr>
                <w:rFonts w:ascii="新宋体" w:hAnsi="新宋体" w:eastAsia="新宋体" w:cs="新宋体"/>
                <w:color w:val="auto"/>
                <w:sz w:val="22"/>
                <w:szCs w:val="22"/>
                <w:highlight w:val="none"/>
              </w:rPr>
            </w:pPr>
          </w:p>
        </w:tc>
        <w:tc>
          <w:tcPr>
            <w:tcW w:w="1488" w:type="dxa"/>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pPr>
              <w:spacing w:line="480" w:lineRule="exact"/>
              <w:rPr>
                <w:rFonts w:ascii="新宋体" w:hAnsi="新宋体" w:eastAsia="新宋体" w:cs="新宋体"/>
                <w:color w:val="auto"/>
                <w:sz w:val="22"/>
                <w:szCs w:val="22"/>
                <w:highlight w:val="none"/>
              </w:rPr>
            </w:pPr>
          </w:p>
        </w:tc>
        <w:tc>
          <w:tcPr>
            <w:tcW w:w="1488" w:type="dxa"/>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pPr>
              <w:spacing w:line="480" w:lineRule="exact"/>
              <w:rPr>
                <w:rFonts w:ascii="新宋体" w:hAnsi="新宋体" w:eastAsia="新宋体" w:cs="新宋体"/>
                <w:color w:val="auto"/>
                <w:sz w:val="22"/>
                <w:szCs w:val="22"/>
                <w:highlight w:val="none"/>
              </w:rPr>
            </w:pPr>
          </w:p>
        </w:tc>
        <w:tc>
          <w:tcPr>
            <w:tcW w:w="1461" w:type="dxa"/>
            <w:gridSpan w:val="2"/>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pPr>
              <w:spacing w:line="480" w:lineRule="exact"/>
              <w:rPr>
                <w:rFonts w:ascii="新宋体" w:hAnsi="新宋体" w:eastAsia="新宋体" w:cs="新宋体"/>
                <w:color w:val="auto"/>
                <w:sz w:val="22"/>
                <w:szCs w:val="22"/>
                <w:highlight w:val="none"/>
              </w:rPr>
            </w:pPr>
          </w:p>
        </w:tc>
        <w:tc>
          <w:tcPr>
            <w:tcW w:w="1115" w:type="dxa"/>
            <w:gridSpan w:val="2"/>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pPr>
              <w:spacing w:line="480" w:lineRule="exact"/>
              <w:rPr>
                <w:rFonts w:ascii="新宋体" w:hAnsi="新宋体" w:eastAsia="新宋体" w:cs="新宋体"/>
                <w:color w:val="auto"/>
                <w:sz w:val="22"/>
                <w:szCs w:val="22"/>
                <w:highlight w:val="none"/>
              </w:rPr>
            </w:pPr>
          </w:p>
        </w:tc>
        <w:tc>
          <w:tcPr>
            <w:tcW w:w="1488" w:type="dxa"/>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pPr>
              <w:spacing w:line="480" w:lineRule="exact"/>
              <w:rPr>
                <w:rFonts w:ascii="新宋体" w:hAnsi="新宋体" w:eastAsia="新宋体" w:cs="新宋体"/>
                <w:color w:val="auto"/>
                <w:sz w:val="22"/>
                <w:szCs w:val="22"/>
                <w:highlight w:val="none"/>
              </w:rPr>
            </w:pPr>
          </w:p>
        </w:tc>
        <w:tc>
          <w:tcPr>
            <w:tcW w:w="1488" w:type="dxa"/>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pPr>
              <w:spacing w:line="480" w:lineRule="exact"/>
              <w:rPr>
                <w:rFonts w:ascii="新宋体" w:hAnsi="新宋体" w:eastAsia="新宋体" w:cs="新宋体"/>
                <w:color w:val="auto"/>
                <w:sz w:val="22"/>
                <w:szCs w:val="22"/>
                <w:highlight w:val="none"/>
              </w:rPr>
            </w:pPr>
          </w:p>
        </w:tc>
        <w:tc>
          <w:tcPr>
            <w:tcW w:w="1461" w:type="dxa"/>
            <w:gridSpan w:val="2"/>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pPr>
              <w:spacing w:line="480" w:lineRule="exact"/>
              <w:jc w:val="center"/>
              <w:rPr>
                <w:rFonts w:ascii="新宋体" w:hAnsi="新宋体" w:eastAsia="新宋体" w:cs="新宋体"/>
                <w:color w:val="auto"/>
                <w:sz w:val="22"/>
                <w:szCs w:val="22"/>
                <w:highlight w:val="none"/>
              </w:rPr>
            </w:pPr>
          </w:p>
        </w:tc>
        <w:tc>
          <w:tcPr>
            <w:tcW w:w="1488" w:type="dxa"/>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pPr>
              <w:spacing w:line="48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pPr>
              <w:spacing w:line="480" w:lineRule="exact"/>
              <w:ind w:firstLine="1540" w:firstLineChars="700"/>
              <w:rPr>
                <w:rFonts w:ascii="新宋体" w:hAnsi="新宋体" w:eastAsia="新宋体" w:cs="新宋体"/>
                <w:color w:val="auto"/>
                <w:sz w:val="22"/>
                <w:szCs w:val="22"/>
                <w:highlight w:val="none"/>
              </w:rPr>
            </w:pPr>
          </w:p>
        </w:tc>
        <w:tc>
          <w:tcPr>
            <w:tcW w:w="3703" w:type="dxa"/>
            <w:gridSpan w:val="4"/>
            <w:vMerge w:val="restart"/>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ascii="新宋体" w:hAnsi="新宋体" w:eastAsia="新宋体" w:cs="新宋体"/>
                <w:color w:val="auto"/>
                <w:sz w:val="22"/>
                <w:szCs w:val="22"/>
                <w:highlight w:val="none"/>
              </w:rPr>
            </w:pPr>
          </w:p>
        </w:tc>
        <w:tc>
          <w:tcPr>
            <w:tcW w:w="1470" w:type="dxa"/>
            <w:gridSpan w:val="2"/>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ascii="新宋体" w:hAnsi="新宋体" w:eastAsia="新宋体" w:cs="新宋体"/>
                <w:color w:val="auto"/>
                <w:sz w:val="22"/>
                <w:szCs w:val="22"/>
                <w:highlight w:val="none"/>
              </w:rPr>
            </w:pPr>
          </w:p>
        </w:tc>
        <w:tc>
          <w:tcPr>
            <w:tcW w:w="1115" w:type="dxa"/>
            <w:vMerge w:val="continue"/>
          </w:tcPr>
          <w:p>
            <w:pPr>
              <w:spacing w:line="480" w:lineRule="exact"/>
              <w:rPr>
                <w:rFonts w:ascii="新宋体" w:hAnsi="新宋体" w:eastAsia="新宋体" w:cs="新宋体"/>
                <w:color w:val="auto"/>
                <w:sz w:val="22"/>
                <w:szCs w:val="22"/>
                <w:highlight w:val="none"/>
              </w:rPr>
            </w:pPr>
          </w:p>
        </w:tc>
        <w:tc>
          <w:tcPr>
            <w:tcW w:w="1689" w:type="dxa"/>
            <w:vMerge w:val="continue"/>
          </w:tcPr>
          <w:p>
            <w:pPr>
              <w:spacing w:line="480" w:lineRule="exact"/>
              <w:rPr>
                <w:rFonts w:ascii="新宋体" w:hAnsi="新宋体" w:eastAsia="新宋体" w:cs="新宋体"/>
                <w:color w:val="auto"/>
                <w:sz w:val="22"/>
                <w:szCs w:val="22"/>
                <w:highlight w:val="none"/>
              </w:rPr>
            </w:pPr>
          </w:p>
        </w:tc>
        <w:tc>
          <w:tcPr>
            <w:tcW w:w="3703" w:type="dxa"/>
            <w:gridSpan w:val="4"/>
            <w:vMerge w:val="continue"/>
          </w:tcPr>
          <w:p>
            <w:pPr>
              <w:spacing w:line="480" w:lineRule="exact"/>
              <w:rPr>
                <w:rFonts w:ascii="新宋体" w:hAnsi="新宋体" w:eastAsia="新宋体" w:cs="新宋体"/>
                <w:color w:val="auto"/>
                <w:sz w:val="22"/>
                <w:szCs w:val="22"/>
                <w:highlight w:val="none"/>
              </w:rPr>
            </w:pPr>
          </w:p>
        </w:tc>
        <w:tc>
          <w:tcPr>
            <w:tcW w:w="1488" w:type="dxa"/>
            <w:vMerge w:val="continue"/>
          </w:tcPr>
          <w:p>
            <w:pPr>
              <w:spacing w:line="480" w:lineRule="exact"/>
              <w:rPr>
                <w:rFonts w:ascii="新宋体" w:hAnsi="新宋体" w:eastAsia="新宋体" w:cs="新宋体"/>
                <w:color w:val="auto"/>
                <w:sz w:val="22"/>
                <w:szCs w:val="22"/>
                <w:highlight w:val="none"/>
              </w:rPr>
            </w:pPr>
          </w:p>
        </w:tc>
        <w:tc>
          <w:tcPr>
            <w:tcW w:w="1502" w:type="dxa"/>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pPr>
              <w:spacing w:line="480" w:lineRule="exact"/>
              <w:ind w:firstLine="660" w:firstLineChars="3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ascii="新宋体" w:hAnsi="新宋体" w:eastAsia="新宋体" w:cs="新宋体"/>
                <w:color w:val="auto"/>
                <w:sz w:val="22"/>
                <w:szCs w:val="22"/>
                <w:highlight w:val="none"/>
              </w:rPr>
            </w:pPr>
          </w:p>
        </w:tc>
        <w:tc>
          <w:tcPr>
            <w:tcW w:w="1115" w:type="dxa"/>
            <w:vMerge w:val="restart"/>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pPr>
              <w:spacing w:line="480" w:lineRule="exact"/>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80" w:lineRule="exact"/>
              <w:ind w:firstLine="660" w:firstLineChars="3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资金来源</w:t>
            </w:r>
          </w:p>
        </w:tc>
        <w:tc>
          <w:tcPr>
            <w:tcW w:w="1487" w:type="dxa"/>
            <w:gridSpan w:val="2"/>
            <w:vAlign w:val="center"/>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pPr>
              <w:spacing w:line="480" w:lineRule="exact"/>
              <w:rPr>
                <w:rFonts w:ascii="新宋体" w:hAnsi="新宋体" w:eastAsia="新宋体" w:cs="新宋体"/>
                <w:color w:val="auto"/>
                <w:sz w:val="22"/>
                <w:szCs w:val="22"/>
                <w:highlight w:val="none"/>
              </w:rPr>
            </w:pPr>
          </w:p>
        </w:tc>
        <w:tc>
          <w:tcPr>
            <w:tcW w:w="1502" w:type="dxa"/>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pPr>
              <w:spacing w:line="480" w:lineRule="exact"/>
              <w:ind w:firstLine="660" w:firstLineChars="3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ascii="新宋体" w:hAnsi="新宋体" w:eastAsia="新宋体" w:cs="新宋体"/>
                <w:color w:val="auto"/>
                <w:sz w:val="22"/>
                <w:szCs w:val="22"/>
                <w:highlight w:val="none"/>
              </w:rPr>
            </w:pPr>
          </w:p>
        </w:tc>
        <w:tc>
          <w:tcPr>
            <w:tcW w:w="1115" w:type="dxa"/>
            <w:vMerge w:val="continue"/>
            <w:tcBorders>
              <w:bottom w:val="single" w:color="auto" w:sz="4" w:space="0"/>
            </w:tcBorders>
          </w:tcPr>
          <w:p>
            <w:pPr>
              <w:spacing w:line="480" w:lineRule="exact"/>
              <w:rPr>
                <w:rFonts w:ascii="新宋体" w:hAnsi="新宋体" w:eastAsia="新宋体" w:cs="新宋体"/>
                <w:color w:val="auto"/>
                <w:sz w:val="22"/>
                <w:szCs w:val="22"/>
                <w:highlight w:val="none"/>
              </w:rPr>
            </w:pPr>
          </w:p>
        </w:tc>
        <w:tc>
          <w:tcPr>
            <w:tcW w:w="1689" w:type="dxa"/>
            <w:vMerge w:val="continue"/>
            <w:tcBorders>
              <w:bottom w:val="single" w:color="auto" w:sz="4" w:space="0"/>
            </w:tcBorders>
          </w:tcPr>
          <w:p>
            <w:pPr>
              <w:spacing w:line="480" w:lineRule="exact"/>
              <w:rPr>
                <w:rFonts w:ascii="新宋体" w:hAnsi="新宋体" w:eastAsia="新宋体" w:cs="新宋体"/>
                <w:color w:val="auto"/>
                <w:sz w:val="22"/>
                <w:szCs w:val="22"/>
                <w:highlight w:val="none"/>
              </w:rPr>
            </w:pPr>
          </w:p>
        </w:tc>
        <w:tc>
          <w:tcPr>
            <w:tcW w:w="728" w:type="dxa"/>
            <w:vMerge w:val="continue"/>
            <w:tcBorders>
              <w:bottom w:val="single" w:color="auto" w:sz="4" w:space="0"/>
            </w:tcBorders>
          </w:tcPr>
          <w:p>
            <w:pPr>
              <w:spacing w:line="480" w:lineRule="exact"/>
              <w:rPr>
                <w:rFonts w:ascii="新宋体" w:hAnsi="新宋体" w:eastAsia="新宋体" w:cs="新宋体"/>
                <w:color w:val="auto"/>
                <w:sz w:val="22"/>
                <w:szCs w:val="22"/>
                <w:highlight w:val="none"/>
              </w:rPr>
            </w:pPr>
          </w:p>
        </w:tc>
        <w:tc>
          <w:tcPr>
            <w:tcW w:w="1487" w:type="dxa"/>
            <w:gridSpan w:val="2"/>
            <w:tcBorders>
              <w:bottom w:val="single" w:color="auto" w:sz="4" w:space="0"/>
            </w:tcBorders>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pPr>
              <w:spacing w:line="480" w:lineRule="exact"/>
              <w:rPr>
                <w:rFonts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ascii="新宋体" w:hAnsi="新宋体" w:eastAsia="新宋体" w:cs="新宋体"/>
                <w:color w:val="auto"/>
                <w:sz w:val="22"/>
                <w:szCs w:val="22"/>
                <w:highlight w:val="none"/>
              </w:rPr>
            </w:pPr>
          </w:p>
        </w:tc>
        <w:tc>
          <w:tcPr>
            <w:tcW w:w="1115" w:type="dxa"/>
            <w:vMerge w:val="restart"/>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pPr>
              <w:spacing w:line="480" w:lineRule="exact"/>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pPr>
              <w:spacing w:line="480" w:lineRule="exact"/>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资金性质</w:t>
            </w:r>
          </w:p>
        </w:tc>
        <w:tc>
          <w:tcPr>
            <w:tcW w:w="1487" w:type="dxa"/>
            <w:gridSpan w:val="2"/>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pPr>
              <w:spacing w:line="480" w:lineRule="exact"/>
              <w:ind w:left="220" w:hanging="220" w:hanging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pPr>
              <w:spacing w:line="480" w:lineRule="exact"/>
              <w:rPr>
                <w:rFonts w:ascii="新宋体" w:hAnsi="新宋体" w:eastAsia="新宋体" w:cs="新宋体"/>
                <w:color w:val="auto"/>
                <w:sz w:val="22"/>
                <w:szCs w:val="22"/>
                <w:highlight w:val="none"/>
              </w:rPr>
            </w:pPr>
          </w:p>
        </w:tc>
        <w:tc>
          <w:tcPr>
            <w:tcW w:w="1502" w:type="dxa"/>
            <w:vMerge w:val="continue"/>
          </w:tcPr>
          <w:p>
            <w:pPr>
              <w:spacing w:line="480" w:lineRule="exact"/>
              <w:rPr>
                <w:rFonts w:ascii="新宋体" w:hAnsi="新宋体" w:eastAsia="新宋体" w:cs="新宋体"/>
                <w:color w:val="auto"/>
                <w:sz w:val="22"/>
                <w:szCs w:val="22"/>
                <w:highlight w:val="none"/>
              </w:rPr>
            </w:pPr>
          </w:p>
        </w:tc>
        <w:tc>
          <w:tcPr>
            <w:tcW w:w="4064" w:type="dxa"/>
            <w:gridSpan w:val="4"/>
            <w:vMerge w:val="continue"/>
          </w:tcPr>
          <w:p>
            <w:pPr>
              <w:spacing w:line="480" w:lineRule="exact"/>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ascii="新宋体" w:hAnsi="新宋体" w:eastAsia="新宋体" w:cs="新宋体"/>
                <w:color w:val="auto"/>
                <w:sz w:val="22"/>
                <w:szCs w:val="22"/>
                <w:highlight w:val="none"/>
              </w:rPr>
            </w:pPr>
          </w:p>
        </w:tc>
        <w:tc>
          <w:tcPr>
            <w:tcW w:w="1115" w:type="dxa"/>
            <w:vMerge w:val="continue"/>
          </w:tcPr>
          <w:p>
            <w:pPr>
              <w:spacing w:line="480" w:lineRule="exact"/>
              <w:rPr>
                <w:rFonts w:ascii="新宋体" w:hAnsi="新宋体" w:eastAsia="新宋体" w:cs="新宋体"/>
                <w:color w:val="auto"/>
                <w:sz w:val="22"/>
                <w:szCs w:val="22"/>
                <w:highlight w:val="none"/>
              </w:rPr>
            </w:pPr>
          </w:p>
        </w:tc>
        <w:tc>
          <w:tcPr>
            <w:tcW w:w="1689" w:type="dxa"/>
            <w:vMerge w:val="continue"/>
          </w:tcPr>
          <w:p>
            <w:pPr>
              <w:spacing w:line="480" w:lineRule="exact"/>
              <w:rPr>
                <w:rFonts w:ascii="新宋体" w:hAnsi="新宋体" w:eastAsia="新宋体" w:cs="新宋体"/>
                <w:color w:val="auto"/>
                <w:sz w:val="22"/>
                <w:szCs w:val="22"/>
                <w:highlight w:val="none"/>
              </w:rPr>
            </w:pPr>
          </w:p>
        </w:tc>
        <w:tc>
          <w:tcPr>
            <w:tcW w:w="728" w:type="dxa"/>
            <w:vMerge w:val="continue"/>
          </w:tcPr>
          <w:p>
            <w:pPr>
              <w:spacing w:line="480" w:lineRule="exact"/>
              <w:rPr>
                <w:rFonts w:ascii="新宋体" w:hAnsi="新宋体" w:eastAsia="新宋体" w:cs="新宋体"/>
                <w:color w:val="auto"/>
                <w:sz w:val="22"/>
                <w:szCs w:val="22"/>
                <w:highlight w:val="none"/>
              </w:rPr>
            </w:pPr>
          </w:p>
        </w:tc>
        <w:tc>
          <w:tcPr>
            <w:tcW w:w="1487" w:type="dxa"/>
            <w:gridSpan w:val="2"/>
          </w:tcPr>
          <w:p>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pPr>
              <w:spacing w:line="480" w:lineRule="exact"/>
              <w:ind w:left="220" w:hanging="220" w:hanging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pPr>
              <w:spacing w:line="480" w:lineRule="exact"/>
              <w:rPr>
                <w:rFonts w:ascii="新宋体" w:hAnsi="新宋体" w:eastAsia="新宋体" w:cs="新宋体"/>
                <w:color w:val="auto"/>
                <w:sz w:val="22"/>
                <w:szCs w:val="22"/>
                <w:highlight w:val="none"/>
              </w:rPr>
            </w:pPr>
          </w:p>
        </w:tc>
        <w:tc>
          <w:tcPr>
            <w:tcW w:w="1502" w:type="dxa"/>
            <w:vMerge w:val="continue"/>
          </w:tcPr>
          <w:p>
            <w:pPr>
              <w:spacing w:line="480" w:lineRule="exact"/>
              <w:rPr>
                <w:rFonts w:ascii="新宋体" w:hAnsi="新宋体" w:eastAsia="新宋体" w:cs="新宋体"/>
                <w:color w:val="auto"/>
                <w:sz w:val="22"/>
                <w:szCs w:val="22"/>
                <w:highlight w:val="none"/>
              </w:rPr>
            </w:pPr>
          </w:p>
        </w:tc>
        <w:tc>
          <w:tcPr>
            <w:tcW w:w="4064" w:type="dxa"/>
            <w:gridSpan w:val="4"/>
            <w:vMerge w:val="continue"/>
          </w:tcPr>
          <w:p>
            <w:pPr>
              <w:spacing w:line="480" w:lineRule="exact"/>
              <w:rPr>
                <w:rFonts w:ascii="新宋体" w:hAnsi="新宋体" w:eastAsia="新宋体" w:cs="新宋体"/>
                <w:color w:val="auto"/>
                <w:sz w:val="22"/>
                <w:szCs w:val="22"/>
                <w:highlight w:val="none"/>
              </w:rPr>
            </w:pPr>
          </w:p>
        </w:tc>
      </w:tr>
    </w:tbl>
    <w:p>
      <w:pPr>
        <w:spacing w:line="460" w:lineRule="exact"/>
        <w:rPr>
          <w:rFonts w:ascii="新宋体" w:hAnsi="新宋体" w:eastAsia="新宋体" w:cs="新宋体"/>
          <w:color w:val="auto"/>
          <w:sz w:val="22"/>
          <w:szCs w:val="22"/>
          <w:highlight w:val="none"/>
        </w:rPr>
        <w:sectPr>
          <w:pgSz w:w="16840" w:h="11907" w:orient="landscape"/>
          <w:pgMar w:top="1134" w:right="1134" w:bottom="1134" w:left="1134" w:header="851" w:footer="992" w:gutter="0"/>
          <w:pgNumType w:fmt="decimal"/>
          <w:cols w:space="720" w:num="1"/>
          <w:docGrid w:linePitch="312" w:charSpace="0"/>
        </w:sectPr>
      </w:pPr>
    </w:p>
    <w:p>
      <w:pPr>
        <w:spacing w:line="460" w:lineRule="exact"/>
        <w:jc w:val="center"/>
        <w:outlineLvl w:val="3"/>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rPr>
        <w:t>3、偏离表</w:t>
      </w:r>
    </w:p>
    <w:p>
      <w:pPr>
        <w:spacing w:line="560" w:lineRule="exact"/>
        <w:ind w:firstLine="433" w:firstLineChars="196"/>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项目名称：                                          项目编号：</w:t>
      </w:r>
    </w:p>
    <w:tbl>
      <w:tblPr>
        <w:tblStyle w:val="52"/>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754"/>
        <w:gridCol w:w="1754"/>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54" w:type="dxa"/>
            <w:shd w:val="clear" w:color="auto" w:fill="FFFFFF"/>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754" w:type="dxa"/>
            <w:shd w:val="clear" w:color="auto" w:fill="FFFFFF"/>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条目</w:t>
            </w:r>
          </w:p>
        </w:tc>
        <w:tc>
          <w:tcPr>
            <w:tcW w:w="1754" w:type="dxa"/>
            <w:shd w:val="clear" w:color="auto" w:fill="FFFFFF"/>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1755" w:type="dxa"/>
            <w:shd w:val="clear" w:color="auto" w:fill="FFFFFF"/>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755" w:type="dxa"/>
            <w:shd w:val="clear" w:color="auto" w:fill="FFFFFF"/>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754" w:type="dxa"/>
            <w:vAlign w:val="center"/>
          </w:tcPr>
          <w:p>
            <w:pPr>
              <w:ind w:firstLine="220" w:firstLineChars="100"/>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754" w:type="dxa"/>
            <w:vAlign w:val="center"/>
          </w:tcPr>
          <w:p>
            <w:pPr>
              <w:ind w:firstLine="220" w:firstLineChars="100"/>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4"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c>
          <w:tcPr>
            <w:tcW w:w="1755" w:type="dxa"/>
            <w:vAlign w:val="center"/>
          </w:tcPr>
          <w:p>
            <w:pPr>
              <w:jc w:val="center"/>
              <w:rPr>
                <w:rFonts w:ascii="新宋体" w:hAnsi="新宋体" w:eastAsia="新宋体" w:cs="新宋体"/>
                <w:color w:val="auto"/>
                <w:sz w:val="22"/>
                <w:szCs w:val="22"/>
                <w:highlight w:val="none"/>
              </w:rPr>
            </w:pPr>
          </w:p>
        </w:tc>
      </w:tr>
    </w:tbl>
    <w:p>
      <w:pPr>
        <w:pStyle w:val="30"/>
        <w:spacing w:line="400" w:lineRule="atLeast"/>
        <w:ind w:left="537" w:hanging="537" w:hangingChars="243"/>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 如有偏离，必须在偏离表中进行详细对比说明并注明正偏离（负偏离），如不说明偏离情况，视为完全响应招标文件要求无偏离。</w:t>
      </w:r>
    </w:p>
    <w:p>
      <w:pPr>
        <w:rPr>
          <w:rFonts w:ascii="新宋体" w:hAnsi="新宋体" w:eastAsia="新宋体" w:cs="新宋体"/>
          <w:color w:val="auto"/>
          <w:sz w:val="22"/>
          <w:szCs w:val="22"/>
          <w:highlight w:val="none"/>
        </w:rPr>
      </w:pPr>
    </w:p>
    <w:p>
      <w:pPr>
        <w:pStyle w:val="30"/>
        <w:spacing w:line="400" w:lineRule="atLeast"/>
        <w:ind w:left="5355" w:leftChars="2500" w:hanging="105" w:hangingChars="50"/>
        <w:rPr>
          <w:rFonts w:ascii="新宋体" w:hAnsi="新宋体" w:eastAsia="新宋体" w:cs="新宋体"/>
          <w:b w:val="0"/>
          <w:bCs/>
          <w:color w:val="auto"/>
          <w:szCs w:val="22"/>
          <w:highlight w:val="none"/>
        </w:rPr>
      </w:pPr>
      <w:r>
        <w:rPr>
          <w:rFonts w:hint="eastAsia" w:ascii="新宋体" w:hAnsi="新宋体" w:eastAsia="新宋体" w:cs="新宋体"/>
          <w:b w:val="0"/>
          <w:bCs/>
          <w:color w:val="auto"/>
          <w:szCs w:val="22"/>
          <w:highlight w:val="none"/>
        </w:rPr>
        <w:t>投标人全称（盖章）：</w:t>
      </w:r>
    </w:p>
    <w:p>
      <w:pPr>
        <w:spacing w:line="40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投标人代表（签字）：</w:t>
      </w:r>
    </w:p>
    <w:p>
      <w:pPr>
        <w:spacing w:line="40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日    期：</w:t>
      </w:r>
    </w:p>
    <w:p>
      <w:pPr>
        <w:rPr>
          <w:color w:val="auto"/>
          <w:highlight w:val="none"/>
        </w:rPr>
      </w:pPr>
    </w:p>
    <w:p>
      <w:pPr>
        <w:rPr>
          <w:color w:val="auto"/>
          <w:highlight w:val="none"/>
        </w:rPr>
      </w:pPr>
    </w:p>
    <w:p>
      <w:pPr>
        <w:spacing w:line="46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4、需要提供的资料</w:t>
      </w:r>
    </w:p>
    <w:p>
      <w:pPr>
        <w:spacing w:line="460" w:lineRule="exact"/>
        <w:jc w:val="center"/>
        <w:outlineLvl w:val="4"/>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1）详细的供货清单一览表</w:t>
      </w:r>
    </w:p>
    <w:p>
      <w:pPr>
        <w:rPr>
          <w:rFonts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项目名称：                                                       项目编号：</w:t>
      </w:r>
    </w:p>
    <w:tbl>
      <w:tblPr>
        <w:tblStyle w:val="52"/>
        <w:tblpPr w:leftFromText="180" w:rightFromText="180" w:vertAnchor="text" w:horzAnchor="margin" w:tblpY="161"/>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566"/>
        <w:gridCol w:w="2117"/>
        <w:gridCol w:w="12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设备名称/型号</w:t>
            </w:r>
          </w:p>
        </w:tc>
        <w:tc>
          <w:tcPr>
            <w:tcW w:w="2566"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2117"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（生产厂家）/品牌</w:t>
            </w:r>
          </w:p>
        </w:tc>
        <w:tc>
          <w:tcPr>
            <w:tcW w:w="1260"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vAlign w:val="center"/>
          </w:tcPr>
          <w:p>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color w:val="auto"/>
                <w:sz w:val="22"/>
                <w:szCs w:val="22"/>
                <w:highlight w:val="none"/>
              </w:rPr>
            </w:pPr>
          </w:p>
        </w:tc>
        <w:tc>
          <w:tcPr>
            <w:tcW w:w="2566" w:type="dxa"/>
          </w:tcPr>
          <w:p>
            <w:pPr>
              <w:spacing w:line="360" w:lineRule="auto"/>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tcPr>
          <w:p>
            <w:pPr>
              <w:spacing w:line="360" w:lineRule="auto"/>
              <w:rPr>
                <w:rFonts w:ascii="新宋体" w:hAnsi="新宋体" w:eastAsia="新宋体"/>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color w:val="auto"/>
                <w:sz w:val="22"/>
                <w:szCs w:val="22"/>
                <w:highlight w:val="none"/>
              </w:rPr>
            </w:pPr>
          </w:p>
        </w:tc>
        <w:tc>
          <w:tcPr>
            <w:tcW w:w="2566" w:type="dxa"/>
          </w:tcPr>
          <w:p>
            <w:pPr>
              <w:spacing w:line="360" w:lineRule="auto"/>
              <w:rPr>
                <w:rFonts w:ascii="新宋体" w:hAnsi="新宋体" w:eastAsia="新宋体"/>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color w:val="auto"/>
                <w:sz w:val="22"/>
                <w:szCs w:val="22"/>
                <w:highlight w:val="none"/>
              </w:rPr>
            </w:pPr>
          </w:p>
        </w:tc>
        <w:tc>
          <w:tcPr>
            <w:tcW w:w="2566" w:type="dxa"/>
          </w:tcPr>
          <w:p>
            <w:pPr>
              <w:spacing w:line="360" w:lineRule="auto"/>
              <w:rPr>
                <w:rFonts w:ascii="新宋体" w:hAnsi="新宋体" w:eastAsia="新宋体"/>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jc w:val="center"/>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Cs/>
                <w:color w:val="auto"/>
                <w:sz w:val="22"/>
                <w:szCs w:val="22"/>
                <w:highlight w:val="none"/>
              </w:rPr>
            </w:pPr>
          </w:p>
        </w:tc>
        <w:tc>
          <w:tcPr>
            <w:tcW w:w="1692" w:type="dxa"/>
            <w:vAlign w:val="center"/>
          </w:tcPr>
          <w:p>
            <w:pPr>
              <w:spacing w:line="360" w:lineRule="auto"/>
              <w:rPr>
                <w:rFonts w:ascii="新宋体" w:hAnsi="新宋体" w:eastAsia="新宋体"/>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vAlign w:val="center"/>
          </w:tcPr>
          <w:p>
            <w:pPr>
              <w:spacing w:line="360" w:lineRule="auto"/>
              <w:rPr>
                <w:rFonts w:ascii="新宋体" w:hAnsi="新宋体" w:eastAsia="新宋体"/>
                <w:b/>
                <w:bCs/>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color w:val="auto"/>
                <w:sz w:val="22"/>
                <w:szCs w:val="22"/>
                <w:highlight w:val="none"/>
              </w:rPr>
            </w:pPr>
          </w:p>
        </w:tc>
        <w:tc>
          <w:tcPr>
            <w:tcW w:w="1692" w:type="dxa"/>
            <w:vAlign w:val="center"/>
          </w:tcPr>
          <w:p>
            <w:pPr>
              <w:spacing w:line="360" w:lineRule="auto"/>
              <w:rPr>
                <w:rFonts w:ascii="新宋体" w:hAnsi="新宋体" w:eastAsia="新宋体"/>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rPr>
                <w:rFonts w:ascii="新宋体" w:hAnsi="新宋体" w:eastAsia="新宋体"/>
                <w:color w:val="auto"/>
                <w:sz w:val="22"/>
                <w:szCs w:val="22"/>
                <w:highlight w:val="none"/>
              </w:rPr>
            </w:pPr>
          </w:p>
        </w:tc>
        <w:tc>
          <w:tcPr>
            <w:tcW w:w="1692" w:type="dxa"/>
            <w:vAlign w:val="center"/>
          </w:tcPr>
          <w:p>
            <w:pPr>
              <w:spacing w:line="360" w:lineRule="auto"/>
              <w:rPr>
                <w:rFonts w:ascii="新宋体" w:hAnsi="新宋体" w:eastAsia="新宋体"/>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color w:val="auto"/>
                <w:sz w:val="22"/>
                <w:szCs w:val="22"/>
                <w:highlight w:val="none"/>
              </w:rPr>
            </w:pPr>
          </w:p>
        </w:tc>
        <w:tc>
          <w:tcPr>
            <w:tcW w:w="1692" w:type="dxa"/>
          </w:tcPr>
          <w:p>
            <w:pPr>
              <w:spacing w:line="360" w:lineRule="auto"/>
              <w:rPr>
                <w:rFonts w:ascii="新宋体" w:hAnsi="新宋体" w:eastAsia="新宋体"/>
                <w:color w:val="auto"/>
                <w:sz w:val="22"/>
                <w:szCs w:val="22"/>
                <w:highlight w:val="none"/>
              </w:rPr>
            </w:pPr>
          </w:p>
        </w:tc>
        <w:tc>
          <w:tcPr>
            <w:tcW w:w="2566" w:type="dxa"/>
            <w:vAlign w:val="center"/>
          </w:tcPr>
          <w:p>
            <w:pPr>
              <w:spacing w:line="360" w:lineRule="auto"/>
              <w:jc w:val="center"/>
              <w:rPr>
                <w:rFonts w:ascii="新宋体" w:hAnsi="新宋体" w:eastAsia="新宋体"/>
                <w:b/>
                <w:bCs/>
                <w:color w:val="auto"/>
                <w:sz w:val="22"/>
                <w:szCs w:val="22"/>
                <w:highlight w:val="none"/>
              </w:rPr>
            </w:pPr>
          </w:p>
        </w:tc>
        <w:tc>
          <w:tcPr>
            <w:tcW w:w="2117" w:type="dxa"/>
            <w:vAlign w:val="center"/>
          </w:tcPr>
          <w:p>
            <w:pPr>
              <w:spacing w:line="360" w:lineRule="auto"/>
              <w:jc w:val="center"/>
              <w:rPr>
                <w:rFonts w:ascii="新宋体" w:hAnsi="新宋体" w:eastAsia="新宋体"/>
                <w:b/>
                <w:bCs/>
                <w:color w:val="auto"/>
                <w:sz w:val="22"/>
                <w:szCs w:val="22"/>
                <w:highlight w:val="none"/>
              </w:rPr>
            </w:pPr>
          </w:p>
        </w:tc>
        <w:tc>
          <w:tcPr>
            <w:tcW w:w="1260" w:type="dxa"/>
            <w:vAlign w:val="center"/>
          </w:tcPr>
          <w:p>
            <w:pPr>
              <w:spacing w:line="360" w:lineRule="auto"/>
              <w:jc w:val="center"/>
              <w:rPr>
                <w:rFonts w:ascii="新宋体" w:hAnsi="新宋体" w:eastAsia="新宋体"/>
                <w:b/>
                <w:bCs/>
                <w:color w:val="auto"/>
                <w:sz w:val="22"/>
                <w:szCs w:val="22"/>
                <w:highlight w:val="none"/>
              </w:rPr>
            </w:pPr>
          </w:p>
        </w:tc>
        <w:tc>
          <w:tcPr>
            <w:tcW w:w="1219" w:type="dxa"/>
          </w:tcPr>
          <w:p>
            <w:pPr>
              <w:rPr>
                <w:rFonts w:ascii="新宋体" w:hAnsi="新宋体" w:eastAsia="新宋体"/>
                <w:color w:val="auto"/>
                <w:sz w:val="22"/>
                <w:szCs w:val="22"/>
                <w:highlight w:val="none"/>
              </w:rPr>
            </w:pPr>
          </w:p>
        </w:tc>
      </w:tr>
    </w:tbl>
    <w:p>
      <w:pPr>
        <w:spacing w:line="460" w:lineRule="exact"/>
        <w:ind w:firstLine="541" w:firstLineChars="245"/>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附注：本表必须根据第四部分“项目技术规范和服务要求”的内容详细填写及说明，除清单内容外的设备，投标人可增项。（</w:t>
      </w:r>
      <w:r>
        <w:rPr>
          <w:rFonts w:hint="eastAsia" w:ascii="新宋体" w:hAnsi="新宋体" w:eastAsia="新宋体"/>
          <w:b/>
          <w:bCs/>
          <w:color w:val="auto"/>
          <w:sz w:val="22"/>
          <w:szCs w:val="22"/>
          <w:highlight w:val="none"/>
          <w:u w:val="single"/>
        </w:rPr>
        <w:t>如果内容提供不全而导致对投标人不利评定的风险由投标人自行承担</w:t>
      </w:r>
      <w:r>
        <w:rPr>
          <w:rFonts w:hint="eastAsia" w:ascii="新宋体" w:hAnsi="新宋体" w:eastAsia="新宋体"/>
          <w:b/>
          <w:bCs/>
          <w:color w:val="auto"/>
          <w:sz w:val="22"/>
          <w:szCs w:val="22"/>
          <w:highlight w:val="none"/>
        </w:rPr>
        <w:t>）</w:t>
      </w:r>
    </w:p>
    <w:p>
      <w:pPr>
        <w:spacing w:line="460" w:lineRule="exact"/>
        <w:ind w:firstLine="5060" w:firstLineChars="2300"/>
        <w:rPr>
          <w:rFonts w:ascii="新宋体" w:hAnsi="新宋体" w:eastAsia="新宋体"/>
          <w:color w:val="auto"/>
          <w:sz w:val="22"/>
          <w:szCs w:val="22"/>
          <w:highlight w:val="none"/>
        </w:rPr>
      </w:pPr>
    </w:p>
    <w:p>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5060" w:firstLineChars="2300"/>
        <w:rPr>
          <w:rFonts w:ascii="新宋体" w:hAnsi="新宋体" w:eastAsia="新宋体"/>
          <w:color w:val="auto"/>
          <w:sz w:val="22"/>
          <w:szCs w:val="22"/>
          <w:highlight w:val="none"/>
        </w:rPr>
      </w:pPr>
    </w:p>
    <w:p>
      <w:pPr>
        <w:spacing w:line="460" w:lineRule="exact"/>
        <w:jc w:val="center"/>
        <w:outlineLvl w:val="4"/>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2）备品、备件、专用工具清单</w:t>
      </w:r>
    </w:p>
    <w:p>
      <w:pPr>
        <w:spacing w:line="400" w:lineRule="exact"/>
        <w:ind w:left="-25" w:leftChars="-12"/>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 项目名称：                                                  项目编号：</w:t>
      </w:r>
    </w:p>
    <w:tbl>
      <w:tblPr>
        <w:tblStyle w:val="52"/>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240" w:type="dxa"/>
            <w:shd w:val="clear" w:color="auto" w:fill="FFFFFF"/>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名  称</w:t>
            </w:r>
          </w:p>
        </w:tc>
        <w:tc>
          <w:tcPr>
            <w:tcW w:w="1404" w:type="dxa"/>
            <w:shd w:val="clear" w:color="auto" w:fill="FFFFFF"/>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规格型号</w:t>
            </w:r>
          </w:p>
        </w:tc>
        <w:tc>
          <w:tcPr>
            <w:tcW w:w="796" w:type="dxa"/>
            <w:shd w:val="clear" w:color="auto" w:fill="FFFFFF"/>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3704" w:type="dxa"/>
            <w:shd w:val="clear" w:color="auto" w:fill="FFFFFF"/>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原产地/制造商</w:t>
            </w:r>
          </w:p>
        </w:tc>
        <w:tc>
          <w:tcPr>
            <w:tcW w:w="1568" w:type="dxa"/>
            <w:shd w:val="clear" w:color="auto" w:fill="FFFFFF"/>
            <w:vAlign w:val="center"/>
          </w:tcPr>
          <w:p>
            <w:pPr>
              <w:spacing w:line="40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olor w:val="auto"/>
                <w:sz w:val="22"/>
                <w:szCs w:val="22"/>
                <w:highlight w:val="none"/>
              </w:rPr>
            </w:pPr>
          </w:p>
        </w:tc>
        <w:tc>
          <w:tcPr>
            <w:tcW w:w="1240" w:type="dxa"/>
          </w:tcPr>
          <w:p>
            <w:pPr>
              <w:spacing w:line="400" w:lineRule="exact"/>
              <w:rPr>
                <w:rFonts w:ascii="新宋体" w:hAnsi="新宋体" w:eastAsia="新宋体"/>
                <w:color w:val="auto"/>
                <w:sz w:val="22"/>
                <w:szCs w:val="22"/>
                <w:highlight w:val="none"/>
              </w:rPr>
            </w:pPr>
          </w:p>
        </w:tc>
        <w:tc>
          <w:tcPr>
            <w:tcW w:w="1404" w:type="dxa"/>
          </w:tcPr>
          <w:p>
            <w:pPr>
              <w:spacing w:line="400" w:lineRule="exact"/>
              <w:rPr>
                <w:rFonts w:ascii="新宋体" w:hAnsi="新宋体" w:eastAsia="新宋体"/>
                <w:color w:val="auto"/>
                <w:sz w:val="22"/>
                <w:szCs w:val="22"/>
                <w:highlight w:val="none"/>
              </w:rPr>
            </w:pPr>
          </w:p>
        </w:tc>
        <w:tc>
          <w:tcPr>
            <w:tcW w:w="796" w:type="dxa"/>
          </w:tcPr>
          <w:p>
            <w:pPr>
              <w:spacing w:line="400" w:lineRule="exact"/>
              <w:rPr>
                <w:rFonts w:ascii="新宋体" w:hAnsi="新宋体" w:eastAsia="新宋体"/>
                <w:color w:val="auto"/>
                <w:sz w:val="22"/>
                <w:szCs w:val="22"/>
                <w:highlight w:val="none"/>
              </w:rPr>
            </w:pPr>
          </w:p>
        </w:tc>
        <w:tc>
          <w:tcPr>
            <w:tcW w:w="3704" w:type="dxa"/>
          </w:tcPr>
          <w:p>
            <w:pPr>
              <w:spacing w:line="400" w:lineRule="exact"/>
              <w:rPr>
                <w:rFonts w:ascii="新宋体" w:hAnsi="新宋体" w:eastAsia="新宋体"/>
                <w:color w:val="auto"/>
                <w:sz w:val="22"/>
                <w:szCs w:val="22"/>
                <w:highlight w:val="none"/>
              </w:rPr>
            </w:pPr>
          </w:p>
        </w:tc>
        <w:tc>
          <w:tcPr>
            <w:tcW w:w="1568" w:type="dxa"/>
          </w:tcPr>
          <w:p>
            <w:pPr>
              <w:spacing w:line="400" w:lineRule="exact"/>
              <w:rPr>
                <w:rFonts w:ascii="新宋体" w:hAnsi="新宋体" w:eastAsia="新宋体"/>
                <w:color w:val="auto"/>
                <w:sz w:val="22"/>
                <w:szCs w:val="22"/>
                <w:highlight w:val="none"/>
              </w:rPr>
            </w:pPr>
          </w:p>
        </w:tc>
      </w:tr>
    </w:tbl>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说明：</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1、此表仅提供了表格形式，投标人可按此表格复制。</w:t>
      </w:r>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2、如果无此内容，报价时需说明。</w:t>
      </w:r>
    </w:p>
    <w:p>
      <w:pPr>
        <w:spacing w:line="400" w:lineRule="exact"/>
        <w:ind w:firstLine="4620" w:firstLineChars="2100"/>
        <w:rPr>
          <w:rFonts w:ascii="新宋体" w:hAnsi="新宋体" w:eastAsia="新宋体"/>
          <w:color w:val="auto"/>
          <w:sz w:val="22"/>
          <w:szCs w:val="22"/>
          <w:highlight w:val="none"/>
        </w:rPr>
      </w:pPr>
    </w:p>
    <w:p>
      <w:pPr>
        <w:spacing w:line="400" w:lineRule="exact"/>
        <w:ind w:firstLine="5280" w:firstLineChars="24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投标人代表（签字）：</w:t>
      </w: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  期：</w:t>
      </w:r>
    </w:p>
    <w:p>
      <w:pPr>
        <w:spacing w:line="460" w:lineRule="exact"/>
        <w:jc w:val="center"/>
        <w:outlineLvl w:val="4"/>
        <w:rPr>
          <w:rFonts w:ascii="新宋体" w:hAnsi="新宋体" w:eastAsia="新宋体"/>
          <w:b/>
          <w:bCs/>
          <w:color w:val="auto"/>
          <w:sz w:val="28"/>
          <w:szCs w:val="28"/>
          <w:highlight w:val="none"/>
        </w:rPr>
      </w:pPr>
      <w:r>
        <w:rPr>
          <w:rFonts w:hint="eastAsia" w:ascii="新宋体" w:hAnsi="新宋体" w:eastAsia="新宋体"/>
          <w:color w:val="auto"/>
          <w:sz w:val="22"/>
          <w:szCs w:val="22"/>
          <w:highlight w:val="none"/>
        </w:rPr>
        <w:br w:type="page"/>
      </w:r>
      <w:r>
        <w:rPr>
          <w:rFonts w:hint="eastAsia" w:ascii="新宋体" w:hAnsi="新宋体" w:eastAsia="新宋体"/>
          <w:b/>
          <w:bCs/>
          <w:color w:val="auto"/>
          <w:sz w:val="28"/>
          <w:szCs w:val="28"/>
          <w:highlight w:val="none"/>
        </w:rPr>
        <w:t>3）供招标人选购的备品备件及维保期期满后</w:t>
      </w:r>
    </w:p>
    <w:p>
      <w:pPr>
        <w:spacing w:line="400" w:lineRule="exact"/>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相关维修配件清单一览表</w:t>
      </w:r>
    </w:p>
    <w:p>
      <w:pPr>
        <w:pStyle w:val="39"/>
        <w:tabs>
          <w:tab w:val="right" w:leader="dot" w:pos="9628"/>
        </w:tabs>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项目名称：                                                  项目编号：</w:t>
      </w:r>
      <w:r>
        <w:rPr>
          <w:rFonts w:hint="eastAsia" w:ascii="新宋体" w:hAnsi="新宋体" w:eastAsia="新宋体" w:cs="新宋体"/>
          <w:color w:val="auto"/>
          <w:sz w:val="22"/>
          <w:szCs w:val="22"/>
          <w:highlight w:val="none"/>
        </w:rPr>
        <w:t xml:space="preserve">                                                 </w:t>
      </w:r>
    </w:p>
    <w:tbl>
      <w:tblPr>
        <w:tblStyle w:val="52"/>
        <w:tblW w:w="100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733"/>
        <w:gridCol w:w="1680"/>
        <w:gridCol w:w="780"/>
        <w:gridCol w:w="1181"/>
        <w:gridCol w:w="892"/>
        <w:gridCol w:w="892"/>
        <w:gridCol w:w="752"/>
        <w:gridCol w:w="1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072"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733"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设备名称及编号</w:t>
            </w:r>
          </w:p>
        </w:tc>
        <w:tc>
          <w:tcPr>
            <w:tcW w:w="168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备件/配件</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名称</w:t>
            </w:r>
          </w:p>
        </w:tc>
        <w:tc>
          <w:tcPr>
            <w:tcW w:w="78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181"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892"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品牌/产地</w:t>
            </w:r>
          </w:p>
        </w:tc>
        <w:tc>
          <w:tcPr>
            <w:tcW w:w="892"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价格</w:t>
            </w:r>
            <w:r>
              <w:rPr>
                <w:rFonts w:hint="eastAsia" w:ascii="新宋体" w:hAnsi="新宋体" w:eastAsia="新宋体" w:cs="新宋体"/>
                <w:b/>
                <w:color w:val="auto"/>
                <w:sz w:val="22"/>
                <w:szCs w:val="22"/>
                <w:highlight w:val="none"/>
              </w:rPr>
              <w:t>（元）</w:t>
            </w:r>
          </w:p>
        </w:tc>
        <w:tc>
          <w:tcPr>
            <w:tcW w:w="752"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包装形式</w:t>
            </w:r>
          </w:p>
        </w:tc>
        <w:tc>
          <w:tcPr>
            <w:tcW w:w="1069"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vAlign w:val="center"/>
          </w:tcPr>
          <w:p>
            <w:pPr>
              <w:ind w:firstLine="592"/>
              <w:jc w:val="center"/>
              <w:rPr>
                <w:rFonts w:ascii="新宋体" w:hAnsi="新宋体" w:eastAsia="新宋体" w:cs="新宋体"/>
                <w:color w:val="auto"/>
                <w:sz w:val="22"/>
                <w:szCs w:val="22"/>
                <w:highlight w:val="none"/>
              </w:rPr>
            </w:pPr>
          </w:p>
        </w:tc>
        <w:tc>
          <w:tcPr>
            <w:tcW w:w="1733" w:type="dxa"/>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vAlign w:val="center"/>
          </w:tcPr>
          <w:p>
            <w:pPr>
              <w:ind w:firstLine="592"/>
              <w:jc w:val="center"/>
              <w:rPr>
                <w:rFonts w:ascii="新宋体" w:hAnsi="新宋体" w:eastAsia="新宋体" w:cs="新宋体"/>
                <w:color w:val="auto"/>
                <w:sz w:val="22"/>
                <w:szCs w:val="22"/>
                <w:highlight w:val="none"/>
              </w:rPr>
            </w:pPr>
          </w:p>
        </w:tc>
        <w:tc>
          <w:tcPr>
            <w:tcW w:w="1733" w:type="dxa"/>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vAlign w:val="center"/>
          </w:tcPr>
          <w:p>
            <w:pPr>
              <w:ind w:firstLine="592"/>
              <w:jc w:val="center"/>
              <w:rPr>
                <w:rFonts w:ascii="新宋体" w:hAnsi="新宋体" w:eastAsia="新宋体" w:cs="新宋体"/>
                <w:color w:val="auto"/>
                <w:sz w:val="22"/>
                <w:szCs w:val="22"/>
                <w:highlight w:val="none"/>
              </w:rPr>
            </w:pPr>
          </w:p>
        </w:tc>
        <w:tc>
          <w:tcPr>
            <w:tcW w:w="1733" w:type="dxa"/>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vAlign w:val="center"/>
          </w:tcPr>
          <w:p>
            <w:pPr>
              <w:ind w:firstLine="592"/>
              <w:jc w:val="center"/>
              <w:rPr>
                <w:rFonts w:ascii="新宋体" w:hAnsi="新宋体" w:eastAsia="新宋体" w:cs="新宋体"/>
                <w:color w:val="auto"/>
                <w:sz w:val="22"/>
                <w:szCs w:val="22"/>
                <w:highlight w:val="none"/>
              </w:rPr>
            </w:pPr>
          </w:p>
        </w:tc>
        <w:tc>
          <w:tcPr>
            <w:tcW w:w="1733" w:type="dxa"/>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vAlign w:val="center"/>
          </w:tcPr>
          <w:p>
            <w:pPr>
              <w:ind w:firstLine="592"/>
              <w:jc w:val="center"/>
              <w:rPr>
                <w:rFonts w:ascii="新宋体" w:hAnsi="新宋体" w:eastAsia="新宋体" w:cs="新宋体"/>
                <w:color w:val="auto"/>
                <w:sz w:val="22"/>
                <w:szCs w:val="22"/>
                <w:highlight w:val="none"/>
              </w:rPr>
            </w:pPr>
          </w:p>
        </w:tc>
        <w:tc>
          <w:tcPr>
            <w:tcW w:w="1733" w:type="dxa"/>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vAlign w:val="center"/>
          </w:tcPr>
          <w:p>
            <w:pPr>
              <w:ind w:firstLine="592"/>
              <w:jc w:val="center"/>
              <w:rPr>
                <w:rFonts w:ascii="新宋体" w:hAnsi="新宋体" w:eastAsia="新宋体" w:cs="新宋体"/>
                <w:color w:val="auto"/>
                <w:sz w:val="22"/>
                <w:szCs w:val="22"/>
                <w:highlight w:val="none"/>
              </w:rPr>
            </w:pPr>
          </w:p>
        </w:tc>
        <w:tc>
          <w:tcPr>
            <w:tcW w:w="1733" w:type="dxa"/>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bottom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72" w:type="dxa"/>
            <w:tcBorders>
              <w:top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733" w:type="dxa"/>
            <w:tcBorders>
              <w:top w:val="single" w:color="auto" w:sz="4" w:space="0"/>
            </w:tcBorders>
            <w:vAlign w:val="center"/>
          </w:tcPr>
          <w:p>
            <w:pPr>
              <w:ind w:firstLine="592"/>
              <w:jc w:val="center"/>
              <w:rPr>
                <w:rFonts w:ascii="新宋体" w:hAnsi="新宋体" w:eastAsia="新宋体" w:cs="新宋体"/>
                <w:color w:val="auto"/>
                <w:sz w:val="22"/>
                <w:szCs w:val="22"/>
                <w:highlight w:val="none"/>
              </w:rPr>
            </w:pPr>
          </w:p>
        </w:tc>
        <w:tc>
          <w:tcPr>
            <w:tcW w:w="1680" w:type="dxa"/>
            <w:vAlign w:val="center"/>
          </w:tcPr>
          <w:p>
            <w:pPr>
              <w:ind w:firstLine="592"/>
              <w:jc w:val="center"/>
              <w:rPr>
                <w:rFonts w:ascii="新宋体" w:hAnsi="新宋体" w:eastAsia="新宋体" w:cs="新宋体"/>
                <w:color w:val="auto"/>
                <w:sz w:val="22"/>
                <w:szCs w:val="22"/>
                <w:highlight w:val="none"/>
              </w:rPr>
            </w:pPr>
          </w:p>
        </w:tc>
        <w:tc>
          <w:tcPr>
            <w:tcW w:w="780" w:type="dxa"/>
            <w:vAlign w:val="center"/>
          </w:tcPr>
          <w:p>
            <w:pPr>
              <w:ind w:firstLine="592"/>
              <w:jc w:val="center"/>
              <w:rPr>
                <w:rFonts w:ascii="新宋体" w:hAnsi="新宋体" w:eastAsia="新宋体" w:cs="新宋体"/>
                <w:color w:val="auto"/>
                <w:sz w:val="22"/>
                <w:szCs w:val="22"/>
                <w:highlight w:val="none"/>
              </w:rPr>
            </w:pPr>
          </w:p>
        </w:tc>
        <w:tc>
          <w:tcPr>
            <w:tcW w:w="1181"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892" w:type="dxa"/>
            <w:vAlign w:val="center"/>
          </w:tcPr>
          <w:p>
            <w:pPr>
              <w:ind w:firstLine="592"/>
              <w:jc w:val="center"/>
              <w:rPr>
                <w:rFonts w:ascii="新宋体" w:hAnsi="新宋体" w:eastAsia="新宋体" w:cs="新宋体"/>
                <w:color w:val="auto"/>
                <w:sz w:val="22"/>
                <w:szCs w:val="22"/>
                <w:highlight w:val="none"/>
              </w:rPr>
            </w:pPr>
          </w:p>
        </w:tc>
        <w:tc>
          <w:tcPr>
            <w:tcW w:w="752" w:type="dxa"/>
            <w:vAlign w:val="center"/>
          </w:tcPr>
          <w:p>
            <w:pPr>
              <w:ind w:firstLine="592"/>
              <w:jc w:val="center"/>
              <w:rPr>
                <w:rFonts w:ascii="新宋体" w:hAnsi="新宋体" w:eastAsia="新宋体" w:cs="新宋体"/>
                <w:color w:val="auto"/>
                <w:sz w:val="22"/>
                <w:szCs w:val="22"/>
                <w:highlight w:val="none"/>
              </w:rPr>
            </w:pPr>
          </w:p>
        </w:tc>
        <w:tc>
          <w:tcPr>
            <w:tcW w:w="1069" w:type="dxa"/>
            <w:vAlign w:val="center"/>
          </w:tcPr>
          <w:p>
            <w:pPr>
              <w:ind w:firstLine="592"/>
              <w:jc w:val="center"/>
              <w:rPr>
                <w:rFonts w:ascii="新宋体" w:hAnsi="新宋体" w:eastAsia="新宋体" w:cs="新宋体"/>
                <w:color w:val="auto"/>
                <w:sz w:val="22"/>
                <w:szCs w:val="22"/>
                <w:highlight w:val="none"/>
              </w:rPr>
            </w:pPr>
          </w:p>
        </w:tc>
      </w:tr>
    </w:tbl>
    <w:p>
      <w:pPr>
        <w:pStyle w:val="10"/>
        <w:spacing w:line="400" w:lineRule="exact"/>
        <w:ind w:firstLine="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注：1、相关维修配件按质量保证期期满后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年内的不变价。（时间由各供应商承诺）</w:t>
      </w:r>
    </w:p>
    <w:p>
      <w:pPr>
        <w:pStyle w:val="10"/>
        <w:spacing w:line="400" w:lineRule="exact"/>
        <w:ind w:firstLine="433" w:firstLineChars="196"/>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2、本表中所列价格不计入投标总价，仅供招标人选购时用。</w:t>
      </w:r>
    </w:p>
    <w:p>
      <w:pPr>
        <w:pStyle w:val="10"/>
        <w:spacing w:line="400" w:lineRule="exact"/>
        <w:ind w:firstLine="433" w:firstLineChars="196"/>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3、此表仅提供了表格形式，投标人应根据需要准备足够数量的表格来填写。</w:t>
      </w:r>
    </w:p>
    <w:p>
      <w:pPr>
        <w:spacing w:line="400" w:lineRule="exact"/>
        <w:ind w:firstLine="4620" w:firstLineChars="2100"/>
        <w:rPr>
          <w:rFonts w:ascii="新宋体" w:hAnsi="新宋体" w:eastAsia="新宋体"/>
          <w:color w:val="auto"/>
          <w:sz w:val="22"/>
          <w:szCs w:val="22"/>
          <w:highlight w:val="none"/>
        </w:rPr>
      </w:pPr>
    </w:p>
    <w:p>
      <w:pPr>
        <w:spacing w:line="400" w:lineRule="exact"/>
        <w:ind w:firstLine="5280" w:firstLineChars="24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投标人代表（签字）：</w:t>
      </w:r>
    </w:p>
    <w:p>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  期：</w:t>
      </w: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ind w:firstLine="4400" w:firstLineChars="2000"/>
        <w:rPr>
          <w:rFonts w:ascii="新宋体" w:hAnsi="新宋体" w:eastAsia="新宋体"/>
          <w:color w:val="auto"/>
          <w:sz w:val="22"/>
          <w:szCs w:val="22"/>
          <w:highlight w:val="none"/>
        </w:rPr>
      </w:pPr>
    </w:p>
    <w:p>
      <w:pPr>
        <w:spacing w:line="460" w:lineRule="exact"/>
        <w:jc w:val="center"/>
        <w:outlineLvl w:val="4"/>
        <w:rPr>
          <w:rFonts w:ascii="新宋体" w:hAnsi="新宋体" w:eastAsia="新宋体"/>
          <w:b/>
          <w:color w:val="auto"/>
          <w:sz w:val="22"/>
          <w:szCs w:val="22"/>
          <w:highlight w:val="none"/>
        </w:rPr>
      </w:pPr>
      <w:r>
        <w:rPr>
          <w:rFonts w:hint="eastAsia" w:ascii="新宋体" w:hAnsi="新宋体" w:eastAsia="新宋体" w:cs="新宋体"/>
          <w:b/>
          <w:bCs/>
          <w:color w:val="auto"/>
          <w:sz w:val="28"/>
          <w:szCs w:val="28"/>
          <w:highlight w:val="none"/>
        </w:rPr>
        <w:t>4）同类项目业绩</w:t>
      </w:r>
    </w:p>
    <w:p>
      <w:pPr>
        <w:autoSpaceDE w:val="0"/>
        <w:autoSpaceDN w:val="0"/>
        <w:ind w:right="893" w:firstLine="418"/>
        <w:textAlignment w:val="bottom"/>
        <w:rPr>
          <w:rFonts w:ascii="新宋体" w:hAnsi="新宋体" w:eastAsia="新宋体"/>
          <w:color w:val="auto"/>
          <w:sz w:val="22"/>
          <w:szCs w:val="22"/>
          <w:highlight w:val="none"/>
          <w:lang w:val="zh-CN"/>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r>
        <w:rPr>
          <w:rFonts w:hint="eastAsia" w:ascii="新宋体" w:hAnsi="新宋体" w:eastAsia="新宋体"/>
          <w:color w:val="auto"/>
          <w:sz w:val="28"/>
          <w:highlight w:val="none"/>
        </w:rPr>
        <w:t xml:space="preserve">  </w:t>
      </w:r>
    </w:p>
    <w:tbl>
      <w:tblPr>
        <w:tblStyle w:val="52"/>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71"/>
        <w:gridCol w:w="159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用户名称</w:t>
            </w: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项目名称</w:t>
            </w: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合同金额</w:t>
            </w: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联系方式</w:t>
            </w: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2310"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271"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596"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color w:val="auto"/>
                <w:sz w:val="22"/>
                <w:szCs w:val="22"/>
                <w:highlight w:val="none"/>
              </w:rPr>
            </w:pPr>
          </w:p>
        </w:tc>
      </w:tr>
    </w:tbl>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rPr>
          <w:rFonts w:ascii="新宋体" w:hAnsi="新宋体" w:eastAsia="新宋体"/>
          <w:color w:val="auto"/>
          <w:sz w:val="22"/>
          <w:szCs w:val="22"/>
          <w:highlight w:val="none"/>
        </w:rPr>
      </w:pPr>
    </w:p>
    <w:p>
      <w:pPr>
        <w:rPr>
          <w:rFonts w:ascii="新宋体" w:hAnsi="新宋体" w:eastAsia="新宋体"/>
          <w:color w:val="auto"/>
          <w:sz w:val="22"/>
          <w:szCs w:val="22"/>
          <w:highlight w:val="none"/>
        </w:rPr>
      </w:pPr>
    </w:p>
    <w:p>
      <w:pPr>
        <w:rPr>
          <w:rFonts w:ascii="新宋体" w:hAnsi="新宋体" w:eastAsia="新宋体"/>
          <w:color w:val="auto"/>
          <w:sz w:val="22"/>
          <w:szCs w:val="22"/>
          <w:highlight w:val="none"/>
        </w:rPr>
      </w:pPr>
    </w:p>
    <w:p>
      <w:pPr>
        <w:rPr>
          <w:rFonts w:ascii="新宋体" w:hAnsi="新宋体" w:eastAsia="新宋体"/>
          <w:color w:val="auto"/>
          <w:sz w:val="22"/>
          <w:szCs w:val="22"/>
          <w:highlight w:val="none"/>
        </w:rPr>
      </w:pPr>
    </w:p>
    <w:p>
      <w:pPr>
        <w:rPr>
          <w:color w:val="auto"/>
          <w:highlight w:val="none"/>
        </w:rPr>
      </w:pPr>
    </w:p>
    <w:p>
      <w:pPr>
        <w:spacing w:line="460" w:lineRule="exact"/>
        <w:jc w:val="center"/>
        <w:outlineLvl w:val="4"/>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8"/>
          <w:szCs w:val="28"/>
          <w:highlight w:val="none"/>
        </w:rPr>
        <w:t>5）应用系统</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pPr>
              <w:pStyle w:val="217"/>
              <w:keepNext w:val="0"/>
              <w:spacing w:after="0"/>
              <w:rPr>
                <w:rFonts w:ascii="新宋体" w:hAnsi="新宋体" w:eastAsia="新宋体"/>
                <w:color w:val="auto"/>
                <w:highlight w:val="none"/>
              </w:rPr>
            </w:pPr>
          </w:p>
        </w:tc>
      </w:tr>
    </w:tbl>
    <w:p>
      <w:pPr>
        <w:pStyle w:val="30"/>
        <w:spacing w:line="400" w:lineRule="atLeast"/>
        <w:ind w:left="683" w:hanging="683" w:hangingChars="243"/>
        <w:rPr>
          <w:rFonts w:ascii="新宋体" w:hAnsi="新宋体" w:eastAsia="新宋体" w:cs="新宋体"/>
          <w:color w:val="auto"/>
          <w:sz w:val="22"/>
          <w:szCs w:val="22"/>
          <w:highlight w:val="none"/>
        </w:rPr>
      </w:pPr>
      <w:r>
        <w:rPr>
          <w:rFonts w:hint="eastAsia" w:ascii="新宋体" w:hAnsi="新宋体" w:eastAsia="新宋体"/>
          <w:color w:val="auto"/>
          <w:sz w:val="28"/>
          <w:highlight w:val="none"/>
        </w:rPr>
        <w:t xml:space="preserve">  </w:t>
      </w:r>
      <w:r>
        <w:rPr>
          <w:rFonts w:hint="eastAsia" w:ascii="新宋体" w:hAnsi="新宋体" w:eastAsia="新宋体" w:cs="新宋体"/>
          <w:color w:val="auto"/>
          <w:sz w:val="22"/>
          <w:szCs w:val="22"/>
          <w:highlight w:val="none"/>
        </w:rPr>
        <w:t xml:space="preserve"> 注： 如有偏离，必须在性能参数中进行详细对比说明并注明正偏离（负偏离），如不说明偏离情况，视为完全响应招标文件要求无偏离。</w:t>
      </w:r>
    </w:p>
    <w:p>
      <w:pPr>
        <w:rPr>
          <w:rFonts w:ascii="新宋体" w:hAnsi="新宋体" w:eastAsia="新宋体"/>
          <w:color w:val="auto"/>
          <w:sz w:val="22"/>
          <w:szCs w:val="22"/>
          <w:highlight w:val="none"/>
          <w:lang w:val="zh-CN"/>
        </w:rPr>
      </w:pP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rPr>
          <w:rFonts w:ascii="新宋体" w:hAnsi="新宋体" w:eastAsia="新宋体"/>
          <w:color w:val="auto"/>
          <w:sz w:val="22"/>
          <w:szCs w:val="22"/>
          <w:highlight w:val="none"/>
        </w:rPr>
      </w:pPr>
    </w:p>
    <w:p>
      <w:pPr>
        <w:rPr>
          <w:color w:val="auto"/>
          <w:highlight w:val="none"/>
        </w:rPr>
      </w:pPr>
    </w:p>
    <w:p>
      <w:pPr>
        <w:spacing w:line="380" w:lineRule="exact"/>
        <w:ind w:firstLine="4400" w:firstLineChars="2000"/>
        <w:rPr>
          <w:rFonts w:ascii="新宋体" w:hAnsi="新宋体" w:eastAsia="新宋体"/>
          <w:color w:val="auto"/>
          <w:sz w:val="22"/>
          <w:szCs w:val="22"/>
          <w:highlight w:val="none"/>
        </w:rPr>
      </w:pPr>
    </w:p>
    <w:p>
      <w:pPr>
        <w:spacing w:line="460" w:lineRule="exact"/>
        <w:jc w:val="center"/>
        <w:outlineLvl w:val="4"/>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8"/>
          <w:szCs w:val="28"/>
          <w:highlight w:val="none"/>
        </w:rPr>
        <w:t>6）项目实施</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pPr>
              <w:pStyle w:val="217"/>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pStyle w:val="34"/>
        <w:ind w:firstLine="469"/>
        <w:rPr>
          <w:rFonts w:ascii="新宋体" w:hAnsi="新宋体" w:eastAsia="新宋体"/>
          <w:color w:val="auto"/>
          <w:sz w:val="22"/>
          <w:szCs w:val="22"/>
          <w:highlight w:val="none"/>
        </w:rPr>
      </w:pPr>
    </w:p>
    <w:p>
      <w:pPr>
        <w:pStyle w:val="34"/>
        <w:ind w:firstLine="469"/>
        <w:rPr>
          <w:rFonts w:ascii="新宋体" w:hAnsi="新宋体" w:eastAsia="新宋体"/>
          <w:color w:val="auto"/>
          <w:sz w:val="22"/>
          <w:szCs w:val="22"/>
          <w:highlight w:val="none"/>
        </w:rPr>
      </w:pPr>
    </w:p>
    <w:p>
      <w:pPr>
        <w:spacing w:line="460" w:lineRule="exact"/>
        <w:jc w:val="center"/>
        <w:outlineLvl w:val="4"/>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7）售后服务方案</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pPr>
              <w:pStyle w:val="217"/>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pStyle w:val="34"/>
        <w:rPr>
          <w:color w:val="auto"/>
          <w:highlight w:val="none"/>
        </w:rPr>
      </w:pPr>
    </w:p>
    <w:p>
      <w:pPr>
        <w:spacing w:line="380" w:lineRule="exact"/>
        <w:ind w:firstLine="4400" w:firstLineChars="2000"/>
        <w:rPr>
          <w:rFonts w:ascii="新宋体" w:hAnsi="新宋体" w:eastAsia="新宋体"/>
          <w:color w:val="auto"/>
          <w:sz w:val="22"/>
          <w:szCs w:val="22"/>
          <w:highlight w:val="none"/>
        </w:rPr>
      </w:pPr>
    </w:p>
    <w:p>
      <w:pPr>
        <w:rPr>
          <w:rFonts w:ascii="新宋体" w:hAnsi="新宋体" w:eastAsia="新宋体"/>
          <w:color w:val="auto"/>
          <w:sz w:val="22"/>
          <w:szCs w:val="22"/>
          <w:highlight w:val="none"/>
        </w:rPr>
      </w:pPr>
    </w:p>
    <w:p>
      <w:pPr>
        <w:adjustRightInd w:val="0"/>
        <w:snapToGrid w:val="0"/>
        <w:spacing w:line="360" w:lineRule="auto"/>
        <w:jc w:val="center"/>
        <w:rPr>
          <w:rFonts w:ascii="宋体" w:hAnsi="宋体"/>
          <w:bCs/>
          <w:color w:val="auto"/>
          <w:szCs w:val="21"/>
          <w:highlight w:val="none"/>
        </w:rPr>
      </w:pPr>
      <w:r>
        <w:rPr>
          <w:rFonts w:hint="eastAsia" w:ascii="宋体" w:hAnsi="宋体"/>
          <w:color w:val="auto"/>
          <w:kern w:val="0"/>
          <w:szCs w:val="21"/>
          <w:highlight w:val="none"/>
        </w:rPr>
        <w:t>（以合同生效日算起）</w:t>
      </w:r>
      <w:r>
        <w:rPr>
          <w:rFonts w:hint="eastAsia" w:ascii="宋体" w:hAnsi="宋体"/>
          <w:color w:val="auto"/>
          <w:highlight w:val="none"/>
        </w:rPr>
        <w:t xml:space="preserve">                      </w:t>
      </w:r>
    </w:p>
    <w:p>
      <w:pPr>
        <w:adjustRightInd w:val="0"/>
        <w:snapToGrid w:val="0"/>
        <w:spacing w:line="360" w:lineRule="auto"/>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工程工期：该工程建设在</w:t>
      </w:r>
      <w:r>
        <w:rPr>
          <w:rFonts w:hint="eastAsia" w:ascii="新宋体" w:hAnsi="新宋体" w:eastAsia="新宋体" w:cs="新宋体"/>
          <w:b/>
          <w:bCs/>
          <w:color w:val="auto"/>
          <w:sz w:val="22"/>
          <w:szCs w:val="22"/>
          <w:highlight w:val="none"/>
          <w:u w:val="single"/>
        </w:rPr>
        <w:t xml:space="preserve"> </w:t>
      </w:r>
      <w:r>
        <w:rPr>
          <w:rFonts w:hint="eastAsia" w:ascii="新宋体" w:hAnsi="新宋体" w:eastAsia="新宋体" w:cs="新宋体"/>
          <w:b/>
          <w:bCs/>
          <w:color w:val="auto"/>
          <w:sz w:val="22"/>
          <w:szCs w:val="22"/>
          <w:highlight w:val="none"/>
          <w:u w:val="single"/>
          <w:lang w:val="en-US" w:eastAsia="zh-CN"/>
        </w:rPr>
        <w:t xml:space="preserve"> </w:t>
      </w:r>
      <w:r>
        <w:rPr>
          <w:rFonts w:hint="eastAsia" w:ascii="新宋体" w:hAnsi="新宋体" w:eastAsia="新宋体" w:cs="新宋体"/>
          <w:b/>
          <w:bCs/>
          <w:color w:val="auto"/>
          <w:sz w:val="22"/>
          <w:szCs w:val="22"/>
          <w:highlight w:val="none"/>
          <w:u w:val="single"/>
        </w:rPr>
        <w:t xml:space="preserve"> </w:t>
      </w:r>
      <w:r>
        <w:rPr>
          <w:rFonts w:hint="eastAsia" w:ascii="新宋体" w:hAnsi="新宋体" w:eastAsia="新宋体" w:cs="新宋体"/>
          <w:b/>
          <w:bCs/>
          <w:color w:val="auto"/>
          <w:sz w:val="22"/>
          <w:szCs w:val="22"/>
          <w:highlight w:val="none"/>
          <w:lang w:val="en-US" w:eastAsia="zh-CN"/>
        </w:rPr>
        <w:t>个月</w:t>
      </w:r>
      <w:r>
        <w:rPr>
          <w:rFonts w:hint="eastAsia" w:ascii="新宋体" w:hAnsi="新宋体" w:eastAsia="新宋体" w:cs="新宋体"/>
          <w:b/>
          <w:bCs/>
          <w:color w:val="auto"/>
          <w:sz w:val="22"/>
          <w:szCs w:val="22"/>
          <w:highlight w:val="none"/>
        </w:rPr>
        <w:t>内完工。</w:t>
      </w:r>
    </w:p>
    <w:p>
      <w:pPr>
        <w:adjustRightInd w:val="0"/>
        <w:snapToGrid w:val="0"/>
        <w:spacing w:line="360" w:lineRule="auto"/>
        <w:rPr>
          <w:rFonts w:ascii="宋体" w:hAnsi="宋体"/>
          <w:color w:val="auto"/>
          <w:highlight w:val="none"/>
        </w:rPr>
      </w:pPr>
      <w:r>
        <w:rPr>
          <w:rFonts w:hint="eastAsia" w:ascii="新宋体" w:hAnsi="新宋体" w:eastAsia="新宋体"/>
          <w:b/>
          <w:color w:val="auto"/>
          <w:sz w:val="22"/>
          <w:highlight w:val="none"/>
        </w:rPr>
        <w:t>项目名称：                                           项目编号：</w:t>
      </w:r>
    </w:p>
    <w:tbl>
      <w:tblPr>
        <w:tblStyle w:val="52"/>
        <w:tblW w:w="9434"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1648"/>
        <w:gridCol w:w="522"/>
        <w:gridCol w:w="520"/>
        <w:gridCol w:w="520"/>
        <w:gridCol w:w="520"/>
        <w:gridCol w:w="520"/>
        <w:gridCol w:w="519"/>
        <w:gridCol w:w="519"/>
        <w:gridCol w:w="519"/>
        <w:gridCol w:w="519"/>
        <w:gridCol w:w="519"/>
        <w:gridCol w:w="519"/>
        <w:gridCol w:w="519"/>
        <w:gridCol w:w="519"/>
        <w:gridCol w:w="519"/>
        <w:gridCol w:w="51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tcBorders>
              <w:top w:val="single" w:color="auto" w:sz="8" w:space="0"/>
              <w:bottom w:val="single" w:color="auto" w:sz="2" w:space="0"/>
              <w:tl2br w:val="single" w:color="auto" w:sz="2" w:space="0"/>
            </w:tcBorders>
            <w:vAlign w:val="center"/>
          </w:tcPr>
          <w:p>
            <w:pPr>
              <w:adjustRightInd w:val="0"/>
              <w:jc w:val="righ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工作周</w:t>
            </w:r>
          </w:p>
          <w:p>
            <w:pPr>
              <w:adjustRightInd w:val="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内容</w:t>
            </w:r>
          </w:p>
        </w:tc>
        <w:tc>
          <w:tcPr>
            <w:tcW w:w="522"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520"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520"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520"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520"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519"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513" w:type="dxa"/>
            <w:vAlign w:val="center"/>
          </w:tcPr>
          <w:p>
            <w:pPr>
              <w:adjustRightInd w:val="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tcBorders>
              <w:top w:val="single" w:color="auto" w:sz="2" w:space="0"/>
            </w:tcBorders>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jc w:val="center"/>
        </w:trPr>
        <w:tc>
          <w:tcPr>
            <w:tcW w:w="1648" w:type="dxa"/>
            <w:vAlign w:val="center"/>
          </w:tcPr>
          <w:p>
            <w:pPr>
              <w:adjustRightInd w:val="0"/>
              <w:snapToGrid w:val="0"/>
              <w:spacing w:line="360" w:lineRule="auto"/>
              <w:rPr>
                <w:rFonts w:ascii="新宋体" w:hAnsi="新宋体" w:eastAsia="新宋体" w:cs="新宋体"/>
                <w:color w:val="auto"/>
                <w:kern w:val="0"/>
                <w:sz w:val="22"/>
                <w:szCs w:val="22"/>
                <w:highlight w:val="none"/>
              </w:rPr>
            </w:pPr>
          </w:p>
        </w:tc>
        <w:tc>
          <w:tcPr>
            <w:tcW w:w="522"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20"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9" w:type="dxa"/>
          </w:tcPr>
          <w:p>
            <w:pPr>
              <w:adjustRightInd w:val="0"/>
              <w:snapToGrid w:val="0"/>
              <w:spacing w:line="360" w:lineRule="auto"/>
              <w:jc w:val="center"/>
              <w:rPr>
                <w:rFonts w:ascii="新宋体" w:hAnsi="新宋体" w:eastAsia="新宋体" w:cs="新宋体"/>
                <w:color w:val="auto"/>
                <w:kern w:val="0"/>
                <w:sz w:val="22"/>
                <w:szCs w:val="22"/>
                <w:highlight w:val="none"/>
              </w:rPr>
            </w:pPr>
          </w:p>
        </w:tc>
        <w:tc>
          <w:tcPr>
            <w:tcW w:w="513" w:type="dxa"/>
          </w:tcPr>
          <w:p>
            <w:pPr>
              <w:adjustRightInd w:val="0"/>
              <w:snapToGrid w:val="0"/>
              <w:spacing w:line="360" w:lineRule="auto"/>
              <w:jc w:val="center"/>
              <w:rPr>
                <w:rFonts w:ascii="新宋体" w:hAnsi="新宋体" w:eastAsia="新宋体" w:cs="新宋体"/>
                <w:color w:val="auto"/>
                <w:kern w:val="0"/>
                <w:sz w:val="22"/>
                <w:szCs w:val="22"/>
                <w:highlight w:val="none"/>
              </w:rPr>
            </w:pPr>
          </w:p>
        </w:tc>
      </w:tr>
    </w:tbl>
    <w:p>
      <w:pPr>
        <w:adjustRightInd w:val="0"/>
        <w:spacing w:before="120" w:beforeLines="50" w:line="360"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附注：上述时间表的格式仅供参考，投标人可自行编制切合实际的具体时间表。</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rPr>
          <w:rFonts w:ascii="新宋体" w:hAnsi="新宋体" w:eastAsia="新宋体"/>
          <w:color w:val="auto"/>
          <w:sz w:val="22"/>
          <w:szCs w:val="22"/>
          <w:highlight w:val="none"/>
        </w:rPr>
      </w:pPr>
    </w:p>
    <w:p>
      <w:pPr>
        <w:rPr>
          <w:rFonts w:ascii="新宋体" w:hAnsi="新宋体" w:eastAsia="新宋体"/>
          <w:color w:val="auto"/>
          <w:sz w:val="22"/>
          <w:szCs w:val="22"/>
          <w:highlight w:val="none"/>
        </w:rPr>
      </w:pPr>
    </w:p>
    <w:p>
      <w:pPr>
        <w:pStyle w:val="34"/>
        <w:ind w:firstLine="469"/>
        <w:rPr>
          <w:rFonts w:ascii="新宋体" w:hAnsi="新宋体" w:eastAsia="新宋体"/>
          <w:color w:val="auto"/>
          <w:sz w:val="22"/>
          <w:szCs w:val="22"/>
          <w:highlight w:val="none"/>
        </w:rPr>
      </w:pPr>
    </w:p>
    <w:p>
      <w:pPr>
        <w:pStyle w:val="34"/>
        <w:ind w:firstLine="469"/>
        <w:rPr>
          <w:rFonts w:ascii="新宋体" w:hAnsi="新宋体" w:eastAsia="新宋体"/>
          <w:color w:val="auto"/>
          <w:sz w:val="22"/>
          <w:szCs w:val="22"/>
          <w:highlight w:val="none"/>
        </w:rPr>
      </w:pPr>
    </w:p>
    <w:p>
      <w:pPr>
        <w:pStyle w:val="34"/>
        <w:ind w:firstLine="469"/>
        <w:rPr>
          <w:rFonts w:ascii="新宋体" w:hAnsi="新宋体" w:eastAsia="新宋体"/>
          <w:color w:val="auto"/>
          <w:sz w:val="22"/>
          <w:szCs w:val="22"/>
          <w:highlight w:val="none"/>
        </w:rPr>
      </w:pPr>
    </w:p>
    <w:p>
      <w:pPr>
        <w:pStyle w:val="34"/>
        <w:ind w:firstLine="469"/>
        <w:rPr>
          <w:rFonts w:ascii="新宋体" w:hAnsi="新宋体" w:eastAsia="新宋体"/>
          <w:color w:val="auto"/>
          <w:sz w:val="22"/>
          <w:szCs w:val="22"/>
          <w:highlight w:val="none"/>
        </w:rPr>
      </w:pPr>
    </w:p>
    <w:p>
      <w:pPr>
        <w:pStyle w:val="34"/>
        <w:ind w:firstLine="469"/>
        <w:rPr>
          <w:rFonts w:ascii="新宋体" w:hAnsi="新宋体" w:eastAsia="新宋体"/>
          <w:color w:val="auto"/>
          <w:sz w:val="22"/>
          <w:szCs w:val="22"/>
          <w:highlight w:val="none"/>
        </w:rPr>
      </w:pPr>
    </w:p>
    <w:p>
      <w:pPr>
        <w:pStyle w:val="34"/>
        <w:ind w:firstLine="469"/>
        <w:rPr>
          <w:rFonts w:ascii="新宋体" w:hAnsi="新宋体" w:eastAsia="新宋体"/>
          <w:color w:val="auto"/>
          <w:sz w:val="22"/>
          <w:szCs w:val="22"/>
          <w:highlight w:val="none"/>
        </w:rPr>
      </w:pPr>
    </w:p>
    <w:p>
      <w:pPr>
        <w:pStyle w:val="34"/>
        <w:ind w:firstLine="469"/>
        <w:rPr>
          <w:rFonts w:ascii="新宋体" w:hAnsi="新宋体" w:eastAsia="新宋体"/>
          <w:color w:val="auto"/>
          <w:sz w:val="22"/>
          <w:szCs w:val="22"/>
          <w:highlight w:val="none"/>
        </w:rPr>
      </w:pPr>
    </w:p>
    <w:p>
      <w:pPr>
        <w:pStyle w:val="34"/>
        <w:ind w:firstLine="469"/>
        <w:rPr>
          <w:rFonts w:ascii="新宋体" w:hAnsi="新宋体" w:eastAsia="新宋体"/>
          <w:color w:val="auto"/>
          <w:sz w:val="22"/>
          <w:szCs w:val="22"/>
          <w:highlight w:val="none"/>
        </w:rPr>
      </w:pPr>
    </w:p>
    <w:p>
      <w:pPr>
        <w:pStyle w:val="34"/>
        <w:ind w:firstLine="469"/>
        <w:rPr>
          <w:rFonts w:ascii="新宋体" w:hAnsi="新宋体" w:eastAsia="新宋体"/>
          <w:color w:val="auto"/>
          <w:sz w:val="22"/>
          <w:szCs w:val="22"/>
          <w:highlight w:val="none"/>
        </w:rPr>
      </w:pPr>
    </w:p>
    <w:p>
      <w:pPr>
        <w:rPr>
          <w:rFonts w:ascii="新宋体" w:hAnsi="新宋体" w:eastAsia="新宋体"/>
          <w:color w:val="auto"/>
          <w:sz w:val="22"/>
          <w:szCs w:val="22"/>
          <w:highlight w:val="none"/>
        </w:rPr>
      </w:pPr>
    </w:p>
    <w:p>
      <w:pPr>
        <w:spacing w:line="460" w:lineRule="exact"/>
        <w:jc w:val="center"/>
        <w:outlineLvl w:val="4"/>
        <w:rPr>
          <w:rFonts w:hint="eastAsia" w:ascii="新宋体" w:hAnsi="新宋体" w:eastAsia="新宋体" w:cs="新宋体"/>
          <w:b/>
          <w:bCs/>
          <w:color w:val="auto"/>
          <w:sz w:val="28"/>
          <w:szCs w:val="28"/>
          <w:highlight w:val="none"/>
        </w:rPr>
      </w:pPr>
    </w:p>
    <w:p>
      <w:pPr>
        <w:spacing w:line="460" w:lineRule="exact"/>
        <w:jc w:val="center"/>
        <w:outlineLvl w:val="4"/>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8）项目履约能力</w:t>
      </w:r>
    </w:p>
    <w:p>
      <w:pPr>
        <w:tabs>
          <w:tab w:val="left" w:pos="1620"/>
        </w:tabs>
        <w:spacing w:line="460" w:lineRule="exact"/>
        <w:jc w:val="center"/>
        <w:outlineLvl w:val="5"/>
        <w:rPr>
          <w:rFonts w:ascii="新宋体" w:hAnsi="新宋体" w:eastAsia="新宋体" w:cs="新宋体"/>
          <w:b/>
          <w:bCs/>
          <w:color w:val="auto"/>
          <w:sz w:val="22"/>
          <w:szCs w:val="22"/>
          <w:highlight w:val="none"/>
        </w:rPr>
      </w:pPr>
      <w:r>
        <w:rPr>
          <w:rFonts w:ascii="Calibri" w:hAnsi="Calibri" w:eastAsia="新宋体" w:cs="Calibri"/>
          <w:b/>
          <w:bCs/>
          <w:color w:val="auto"/>
          <w:sz w:val="22"/>
          <w:szCs w:val="22"/>
          <w:highlight w:val="none"/>
        </w:rPr>
        <w:t>①</w:t>
      </w:r>
      <w:r>
        <w:rPr>
          <w:rFonts w:hint="eastAsia" w:ascii="新宋体" w:hAnsi="新宋体" w:eastAsia="新宋体" w:cs="新宋体"/>
          <w:b/>
          <w:bCs/>
          <w:color w:val="auto"/>
          <w:sz w:val="22"/>
          <w:szCs w:val="22"/>
          <w:highlight w:val="none"/>
        </w:rPr>
        <w:t>项目负责人情况表</w:t>
      </w:r>
    </w:p>
    <w:p>
      <w:pPr>
        <w:adjustRightInd w:val="0"/>
        <w:snapToGrid w:val="0"/>
        <w:spacing w:line="360" w:lineRule="auto"/>
        <w:rPr>
          <w:rFonts w:ascii="宋体" w:hAnsi="宋体"/>
          <w:b/>
          <w:bCs/>
          <w:color w:val="auto"/>
          <w:sz w:val="32"/>
          <w:highlight w:val="none"/>
        </w:rPr>
      </w:pPr>
      <w:r>
        <w:rPr>
          <w:rFonts w:hint="eastAsia" w:ascii="新宋体" w:hAnsi="新宋体" w:eastAsia="新宋体"/>
          <w:b/>
          <w:color w:val="auto"/>
          <w:sz w:val="22"/>
          <w:highlight w:val="none"/>
        </w:rPr>
        <w:t>项目名称：                                           项目编号：</w:t>
      </w:r>
      <w:r>
        <w:rPr>
          <w:rFonts w:hint="eastAsia" w:ascii="宋体" w:hAnsi="宋体"/>
          <w:color w:val="auto"/>
          <w:highlight w:val="none"/>
        </w:rPr>
        <w:t xml:space="preserve">    </w:t>
      </w:r>
    </w:p>
    <w:tbl>
      <w:tblPr>
        <w:tblStyle w:val="52"/>
        <w:tblW w:w="9687"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833"/>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74" w:type="dxa"/>
            <w:vAlign w:val="center"/>
          </w:tcPr>
          <w:p>
            <w:pPr>
              <w:pStyle w:val="323"/>
              <w:autoSpaceDE w:val="0"/>
              <w:autoSpaceDN w:val="0"/>
              <w:adjustRightInd w:val="0"/>
              <w:spacing w:line="240" w:lineRule="auto"/>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姓名</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Align w:val="center"/>
          </w:tcPr>
          <w:p>
            <w:pPr>
              <w:pStyle w:val="323"/>
              <w:autoSpaceDE w:val="0"/>
              <w:autoSpaceDN w:val="0"/>
              <w:adjustRightInd w:val="0"/>
              <w:spacing w:line="360" w:lineRule="auto"/>
              <w:rPr>
                <w:rFonts w:ascii="新宋体" w:hAnsi="新宋体" w:eastAsia="新宋体" w:cs="新宋体"/>
                <w:color w:val="auto"/>
                <w:sz w:val="22"/>
                <w:szCs w:val="22"/>
                <w:highlight w:val="none"/>
                <w:lang w:val="zh-CN"/>
              </w:rPr>
            </w:pPr>
            <w:r>
              <w:rPr>
                <w:rFonts w:hint="eastAsia" w:ascii="新宋体" w:hAnsi="新宋体" w:eastAsia="新宋体" w:cs="新宋体"/>
                <w:color w:val="auto"/>
                <w:kern w:val="0"/>
                <w:sz w:val="22"/>
                <w:szCs w:val="22"/>
                <w:highlight w:val="none"/>
              </w:rPr>
              <w:t>自</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日以来负责的相关项目经验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974" w:type="dxa"/>
            <w:vAlign w:val="center"/>
          </w:tcPr>
          <w:p>
            <w:pPr>
              <w:pStyle w:val="323"/>
              <w:autoSpaceDE w:val="0"/>
              <w:autoSpaceDN w:val="0"/>
              <w:adjustRightInd w:val="0"/>
              <w:spacing w:line="240" w:lineRule="auto"/>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1寸免冠照片</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restart"/>
            <w:vAlign w:val="center"/>
          </w:tcPr>
          <w:p>
            <w:pPr>
              <w:pStyle w:val="250"/>
              <w:widowControl w:val="0"/>
              <w:autoSpaceDE w:val="0"/>
              <w:autoSpaceDN w:val="0"/>
              <w:adjustRightInd w:val="0"/>
              <w:spacing w:before="0" w:beforeAutospacing="0" w:after="0" w:afterAutospacing="0" w:line="360" w:lineRule="auto"/>
              <w:textAlignment w:val="auto"/>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注：相关项目经验应提供旁证材料</w:t>
            </w:r>
          </w:p>
          <w:p>
            <w:pPr>
              <w:autoSpaceDE w:val="0"/>
              <w:autoSpaceDN w:val="0"/>
              <w:adjustRightInd w:val="0"/>
              <w:spacing w:line="360"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（需提供原业主单位盖公章的书面证明）。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性别</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年龄</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职称</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毕业院校系及专业</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毕业时间</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最高学历</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联系电话</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rPr>
              <w:t>最近一年工作单位</w:t>
            </w:r>
          </w:p>
        </w:tc>
        <w:tc>
          <w:tcPr>
            <w:tcW w:w="1833" w:type="dxa"/>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c>
          <w:tcPr>
            <w:tcW w:w="5880" w:type="dxa"/>
            <w:vMerge w:val="continue"/>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vAlign w:val="center"/>
          </w:tcPr>
          <w:p>
            <w:pPr>
              <w:autoSpaceDE w:val="0"/>
              <w:autoSpaceDN w:val="0"/>
              <w:adjustRightInd w:val="0"/>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拟在本项目中担任主要工作</w:t>
            </w:r>
          </w:p>
        </w:tc>
        <w:tc>
          <w:tcPr>
            <w:tcW w:w="7713" w:type="dxa"/>
            <w:gridSpan w:val="2"/>
            <w:vAlign w:val="center"/>
          </w:tcPr>
          <w:p>
            <w:pPr>
              <w:autoSpaceDE w:val="0"/>
              <w:autoSpaceDN w:val="0"/>
              <w:adjustRightInd w:val="0"/>
              <w:spacing w:line="360" w:lineRule="auto"/>
              <w:jc w:val="center"/>
              <w:rPr>
                <w:rFonts w:ascii="新宋体" w:hAnsi="新宋体" w:eastAsia="新宋体" w:cs="新宋体"/>
                <w:color w:val="auto"/>
                <w:sz w:val="22"/>
                <w:szCs w:val="22"/>
                <w:highlight w:val="none"/>
                <w:lang w:val="zh-CN"/>
              </w:rPr>
            </w:pPr>
          </w:p>
        </w:tc>
      </w:tr>
    </w:tbl>
    <w:p>
      <w:pPr>
        <w:spacing w:line="360" w:lineRule="exact"/>
        <w:ind w:left="972" w:hanging="972" w:hangingChars="44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附注：须随表提交项目主管在投标人的社保证明复印件加投标人盖公章，学历、职称、所获其他证书的证书复印件加盖投标人公章。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before="240" w:beforeLines="100" w:after="120" w:afterLines="50"/>
        <w:rPr>
          <w:rFonts w:ascii="宋体" w:hAnsi="宋体"/>
          <w:b/>
          <w:bCs/>
          <w:color w:val="auto"/>
          <w:sz w:val="22"/>
          <w:szCs w:val="22"/>
          <w:highlight w:val="none"/>
        </w:rPr>
      </w:pPr>
    </w:p>
    <w:p>
      <w:pPr>
        <w:spacing w:before="240" w:beforeLines="100" w:after="120" w:afterLines="50"/>
        <w:rPr>
          <w:rFonts w:ascii="宋体" w:hAnsi="宋体"/>
          <w:b/>
          <w:bCs/>
          <w:color w:val="auto"/>
          <w:sz w:val="22"/>
          <w:szCs w:val="22"/>
          <w:highlight w:val="none"/>
        </w:rPr>
      </w:pPr>
    </w:p>
    <w:p>
      <w:pPr>
        <w:spacing w:before="240" w:beforeLines="100" w:after="120" w:afterLines="50"/>
        <w:rPr>
          <w:rFonts w:ascii="宋体" w:hAnsi="宋体"/>
          <w:b/>
          <w:bCs/>
          <w:color w:val="auto"/>
          <w:sz w:val="22"/>
          <w:szCs w:val="22"/>
          <w:highlight w:val="none"/>
        </w:rPr>
      </w:pPr>
    </w:p>
    <w:p>
      <w:pPr>
        <w:tabs>
          <w:tab w:val="left" w:pos="1620"/>
        </w:tabs>
        <w:spacing w:line="460" w:lineRule="exact"/>
        <w:jc w:val="center"/>
        <w:outlineLvl w:val="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ascii="Calibri" w:hAnsi="Calibri" w:eastAsia="新宋体" w:cs="Calibri"/>
          <w:b/>
          <w:bCs/>
          <w:color w:val="auto"/>
          <w:sz w:val="22"/>
          <w:szCs w:val="22"/>
          <w:highlight w:val="none"/>
        </w:rPr>
        <w:t>②</w:t>
      </w:r>
      <w:r>
        <w:rPr>
          <w:rFonts w:hint="eastAsia" w:ascii="新宋体" w:hAnsi="新宋体" w:eastAsia="新宋体" w:cs="新宋体"/>
          <w:b/>
          <w:bCs/>
          <w:color w:val="auto"/>
          <w:sz w:val="22"/>
          <w:szCs w:val="22"/>
          <w:highlight w:val="none"/>
        </w:rPr>
        <w:t>项目服务人员汇总表</w:t>
      </w:r>
    </w:p>
    <w:p>
      <w:pPr>
        <w:spacing w:line="360" w:lineRule="auto"/>
        <w:rPr>
          <w:rFonts w:ascii="宋体" w:hAnsi="宋体"/>
          <w:bCs/>
          <w:color w:val="auto"/>
          <w:highlight w:val="none"/>
        </w:rPr>
      </w:pPr>
      <w:r>
        <w:rPr>
          <w:rFonts w:hint="eastAsia" w:ascii="新宋体" w:hAnsi="新宋体" w:eastAsia="新宋体"/>
          <w:b/>
          <w:color w:val="auto"/>
          <w:sz w:val="22"/>
          <w:highlight w:val="none"/>
        </w:rPr>
        <w:t>项目名称：                                           项目编号：</w:t>
      </w:r>
      <w:r>
        <w:rPr>
          <w:rFonts w:hint="eastAsia" w:ascii="宋体" w:hAnsi="宋体"/>
          <w:color w:val="auto"/>
          <w:highlight w:val="none"/>
        </w:rPr>
        <w:t xml:space="preserve">                                                  </w:t>
      </w:r>
    </w:p>
    <w:tbl>
      <w:tblPr>
        <w:tblStyle w:val="5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姓名</w:t>
            </w:r>
          </w:p>
        </w:tc>
        <w:tc>
          <w:tcPr>
            <w:tcW w:w="252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本项目主要工作</w:t>
            </w:r>
          </w:p>
        </w:tc>
        <w:tc>
          <w:tcPr>
            <w:tcW w:w="72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年龄</w:t>
            </w:r>
          </w:p>
        </w:tc>
        <w:tc>
          <w:tcPr>
            <w:tcW w:w="72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性别</w:t>
            </w:r>
          </w:p>
        </w:tc>
        <w:tc>
          <w:tcPr>
            <w:tcW w:w="72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专业</w:t>
            </w:r>
          </w:p>
        </w:tc>
        <w:tc>
          <w:tcPr>
            <w:tcW w:w="1080"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专业</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年限</w:t>
            </w:r>
          </w:p>
        </w:tc>
        <w:tc>
          <w:tcPr>
            <w:tcW w:w="1458"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职务</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和职称/认证</w:t>
            </w:r>
          </w:p>
        </w:tc>
        <w:tc>
          <w:tcPr>
            <w:tcW w:w="1422" w:type="dxa"/>
            <w:vAlign w:val="center"/>
          </w:tcPr>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到现场服务</w:t>
            </w:r>
          </w:p>
          <w:p>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ind w:left="5250"/>
              <w:rPr>
                <w:rFonts w:ascii="新宋体" w:hAnsi="新宋体" w:eastAsia="新宋体" w:cs="新宋体"/>
                <w:color w:val="auto"/>
                <w:spacing w:val="12"/>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ind w:left="5250"/>
              <w:rPr>
                <w:rFonts w:ascii="新宋体" w:hAnsi="新宋体" w:eastAsia="新宋体" w:cs="新宋体"/>
                <w:color w:val="auto"/>
                <w:spacing w:val="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新宋体" w:hAnsi="新宋体" w:eastAsia="新宋体" w:cs="新宋体"/>
                <w:color w:val="auto"/>
                <w:sz w:val="22"/>
                <w:szCs w:val="22"/>
                <w:highlight w:val="none"/>
              </w:rPr>
            </w:pPr>
          </w:p>
        </w:tc>
        <w:tc>
          <w:tcPr>
            <w:tcW w:w="25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720" w:type="dxa"/>
            <w:vAlign w:val="center"/>
          </w:tcPr>
          <w:p>
            <w:pPr>
              <w:spacing w:line="360" w:lineRule="auto"/>
              <w:rPr>
                <w:rFonts w:ascii="新宋体" w:hAnsi="新宋体" w:eastAsia="新宋体" w:cs="新宋体"/>
                <w:color w:val="auto"/>
                <w:sz w:val="22"/>
                <w:szCs w:val="22"/>
                <w:highlight w:val="none"/>
              </w:rPr>
            </w:pPr>
          </w:p>
        </w:tc>
        <w:tc>
          <w:tcPr>
            <w:tcW w:w="1080" w:type="dxa"/>
            <w:vAlign w:val="center"/>
          </w:tcPr>
          <w:p>
            <w:pPr>
              <w:spacing w:line="360" w:lineRule="auto"/>
              <w:rPr>
                <w:rFonts w:ascii="新宋体" w:hAnsi="新宋体" w:eastAsia="新宋体" w:cs="新宋体"/>
                <w:color w:val="auto"/>
                <w:sz w:val="22"/>
                <w:szCs w:val="22"/>
                <w:highlight w:val="none"/>
              </w:rPr>
            </w:pPr>
          </w:p>
        </w:tc>
        <w:tc>
          <w:tcPr>
            <w:tcW w:w="1458" w:type="dxa"/>
            <w:vAlign w:val="center"/>
          </w:tcPr>
          <w:p>
            <w:pPr>
              <w:spacing w:line="360" w:lineRule="auto"/>
              <w:rPr>
                <w:rFonts w:ascii="新宋体" w:hAnsi="新宋体" w:eastAsia="新宋体" w:cs="新宋体"/>
                <w:color w:val="auto"/>
                <w:sz w:val="22"/>
                <w:szCs w:val="22"/>
                <w:highlight w:val="none"/>
              </w:rPr>
            </w:pPr>
          </w:p>
        </w:tc>
        <w:tc>
          <w:tcPr>
            <w:tcW w:w="1422" w:type="dxa"/>
            <w:vAlign w:val="center"/>
          </w:tcPr>
          <w:p>
            <w:pPr>
              <w:spacing w:line="360" w:lineRule="auto"/>
              <w:rPr>
                <w:rFonts w:ascii="新宋体" w:hAnsi="新宋体" w:eastAsia="新宋体" w:cs="新宋体"/>
                <w:color w:val="auto"/>
                <w:sz w:val="22"/>
                <w:szCs w:val="22"/>
                <w:highlight w:val="none"/>
              </w:rPr>
            </w:pPr>
          </w:p>
        </w:tc>
      </w:tr>
    </w:tbl>
    <w:p>
      <w:pPr>
        <w:spacing w:line="360" w:lineRule="exact"/>
        <w:ind w:left="968" w:hanging="968" w:hangingChars="4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附注：1、技术负责、施工、设备材料、以及各主要专业工种负责人均应列入；</w:t>
      </w:r>
    </w:p>
    <w:p>
      <w:pPr>
        <w:spacing w:line="360" w:lineRule="exact"/>
        <w:ind w:left="718" w:leftChars="321" w:hanging="44" w:hangingChars="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2、列入本表人员如要更换，需经招标人同意，擅自更换或不到位属违约行为；</w:t>
      </w:r>
    </w:p>
    <w:p>
      <w:pPr>
        <w:spacing w:line="360" w:lineRule="exact"/>
        <w:ind w:left="718" w:leftChars="321" w:hanging="44" w:hangingChars="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3、职称/认证证书复印件附后。</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宋体" w:hAnsi="宋体"/>
          <w:color w:val="auto"/>
          <w:szCs w:val="21"/>
          <w:highlight w:val="none"/>
        </w:rPr>
      </w:pPr>
      <w:r>
        <w:rPr>
          <w:rFonts w:hint="eastAsia" w:ascii="新宋体" w:hAnsi="新宋体" w:eastAsia="新宋体"/>
          <w:color w:val="auto"/>
          <w:sz w:val="22"/>
          <w:szCs w:val="22"/>
          <w:highlight w:val="none"/>
        </w:rPr>
        <w:t>日  期：</w:t>
      </w: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rPr>
          <w:rFonts w:ascii="新宋体" w:hAnsi="新宋体" w:eastAsia="新宋体"/>
          <w:color w:val="auto"/>
          <w:sz w:val="22"/>
          <w:szCs w:val="22"/>
          <w:highlight w:val="none"/>
        </w:rPr>
      </w:pPr>
      <w:r>
        <w:rPr>
          <w:rFonts w:hint="eastAsia" w:ascii="新宋体" w:hAnsi="新宋体" w:eastAsia="新宋体" w:cs="新宋体"/>
          <w:b/>
          <w:bCs/>
          <w:color w:val="auto"/>
          <w:sz w:val="28"/>
          <w:szCs w:val="28"/>
          <w:highlight w:val="none"/>
        </w:rPr>
        <w:br w:type="page"/>
      </w:r>
    </w:p>
    <w:p>
      <w:pPr>
        <w:spacing w:line="460" w:lineRule="exact"/>
        <w:jc w:val="center"/>
        <w:outlineLvl w:val="4"/>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9）节能环保产品</w:t>
      </w:r>
    </w:p>
    <w:p>
      <w:pPr>
        <w:autoSpaceDE w:val="0"/>
        <w:autoSpaceDN w:val="0"/>
        <w:ind w:right="893" w:firstLine="418"/>
        <w:textAlignment w:val="bottom"/>
        <w:rPr>
          <w:rFonts w:ascii="新宋体" w:hAnsi="新宋体" w:eastAsia="新宋体"/>
          <w:color w:val="auto"/>
          <w:highlight w:val="none"/>
        </w:rPr>
      </w:pPr>
      <w:r>
        <w:rPr>
          <w:rFonts w:hint="eastAsia" w:ascii="新宋体" w:hAnsi="新宋体" w:eastAsia="新宋体"/>
          <w:b/>
          <w:color w:val="auto"/>
          <w:sz w:val="22"/>
          <w:highlight w:val="none"/>
        </w:rPr>
        <w:t>项目名称：                                           项目编号：</w:t>
      </w:r>
      <w:r>
        <w:rPr>
          <w:rFonts w:hint="eastAsia" w:ascii="新宋体" w:hAnsi="新宋体" w:eastAsia="新宋体"/>
          <w:color w:val="auto"/>
          <w:highlight w:val="none"/>
        </w:rPr>
        <w:t xml:space="preserve"> </w:t>
      </w:r>
    </w:p>
    <w:tbl>
      <w:tblPr>
        <w:tblStyle w:val="52"/>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1" w:hRule="atLeast"/>
        </w:trPr>
        <w:tc>
          <w:tcPr>
            <w:tcW w:w="9181" w:type="dxa"/>
            <w:vAlign w:val="center"/>
          </w:tcPr>
          <w:p>
            <w:pPr>
              <w:pStyle w:val="217"/>
              <w:keepNext w:val="0"/>
              <w:spacing w:after="0"/>
              <w:rPr>
                <w:rFonts w:ascii="新宋体" w:hAnsi="新宋体" w:eastAsia="新宋体"/>
                <w:color w:val="auto"/>
                <w:highlight w:val="none"/>
              </w:rPr>
            </w:pPr>
          </w:p>
        </w:tc>
      </w:tr>
    </w:tbl>
    <w:p>
      <w:pPr>
        <w:rPr>
          <w:rFonts w:ascii="新宋体" w:hAnsi="新宋体" w:eastAsia="新宋体"/>
          <w:color w:val="auto"/>
          <w:sz w:val="22"/>
          <w:szCs w:val="22"/>
          <w:highlight w:val="none"/>
          <w:lang w:val="zh-CN"/>
        </w:rPr>
      </w:pPr>
      <w:r>
        <w:rPr>
          <w:rFonts w:hint="eastAsia" w:ascii="新宋体" w:hAnsi="新宋体" w:eastAsia="新宋体"/>
          <w:color w:val="auto"/>
          <w:sz w:val="28"/>
          <w:highlight w:val="none"/>
        </w:rPr>
        <w:t xml:space="preserve">  </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rPr>
          <w:rFonts w:ascii="新宋体" w:hAnsi="新宋体" w:eastAsia="新宋体"/>
          <w:color w:val="auto"/>
          <w:sz w:val="22"/>
          <w:szCs w:val="22"/>
          <w:highlight w:val="none"/>
          <w:lang w:val="zh-CN"/>
        </w:rPr>
      </w:pPr>
    </w:p>
    <w:p>
      <w:pPr>
        <w:spacing w:line="380" w:lineRule="exact"/>
        <w:ind w:firstLine="4400" w:firstLineChars="2000"/>
        <w:rPr>
          <w:rFonts w:ascii="新宋体" w:hAnsi="新宋体" w:eastAsia="新宋体"/>
          <w:color w:val="auto"/>
          <w:sz w:val="22"/>
          <w:szCs w:val="22"/>
          <w:highlight w:val="none"/>
        </w:rPr>
      </w:pPr>
    </w:p>
    <w:p>
      <w:pPr>
        <w:spacing w:line="380" w:lineRule="exact"/>
        <w:ind w:firstLine="4400" w:firstLineChars="2000"/>
        <w:rPr>
          <w:rFonts w:ascii="新宋体" w:hAnsi="新宋体" w:eastAsia="新宋体"/>
          <w:color w:val="auto"/>
          <w:sz w:val="22"/>
          <w:szCs w:val="22"/>
          <w:highlight w:val="none"/>
        </w:rPr>
      </w:pPr>
    </w:p>
    <w:p>
      <w:pPr>
        <w:rPr>
          <w:rFonts w:ascii="新宋体" w:hAnsi="新宋体" w:eastAsia="新宋体"/>
          <w:color w:val="auto"/>
          <w:sz w:val="22"/>
          <w:szCs w:val="22"/>
          <w:highlight w:val="none"/>
        </w:rPr>
      </w:pPr>
    </w:p>
    <w:p>
      <w:pPr>
        <w:jc w:val="center"/>
        <w:rPr>
          <w:rFonts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br w:type="page"/>
      </w:r>
    </w:p>
    <w:p>
      <w:pPr>
        <w:pStyle w:val="10"/>
        <w:rPr>
          <w:rFonts w:ascii="新宋体" w:hAnsi="新宋体" w:eastAsia="新宋体" w:cs="新宋体"/>
          <w:b w:val="0"/>
          <w:bCs/>
          <w:color w:val="auto"/>
          <w:sz w:val="52"/>
          <w:szCs w:val="52"/>
          <w:highlight w:val="none"/>
        </w:rPr>
      </w:pPr>
    </w:p>
    <w:p>
      <w:pPr>
        <w:rPr>
          <w:rFonts w:ascii="新宋体" w:hAnsi="新宋体" w:eastAsia="新宋体" w:cs="新宋体"/>
          <w:b/>
          <w:bCs/>
          <w:color w:val="auto"/>
          <w:sz w:val="52"/>
          <w:szCs w:val="52"/>
          <w:highlight w:val="none"/>
        </w:rPr>
      </w:pPr>
    </w:p>
    <w:p>
      <w:pPr>
        <w:pStyle w:val="10"/>
        <w:rPr>
          <w:rFonts w:ascii="新宋体" w:hAnsi="新宋体" w:eastAsia="新宋体" w:cs="新宋体"/>
          <w:b w:val="0"/>
          <w:bCs/>
          <w:color w:val="auto"/>
          <w:sz w:val="52"/>
          <w:szCs w:val="52"/>
          <w:highlight w:val="none"/>
        </w:rPr>
      </w:pPr>
    </w:p>
    <w:p>
      <w:pPr>
        <w:rPr>
          <w:rFonts w:ascii="新宋体" w:hAnsi="新宋体" w:eastAsia="新宋体" w:cs="新宋体"/>
          <w:b/>
          <w:bCs/>
          <w:color w:val="auto"/>
          <w:sz w:val="52"/>
          <w:szCs w:val="52"/>
          <w:highlight w:val="none"/>
        </w:rPr>
      </w:pPr>
    </w:p>
    <w:p>
      <w:pPr>
        <w:pStyle w:val="10"/>
        <w:rPr>
          <w:rFonts w:ascii="新宋体" w:hAnsi="新宋体" w:eastAsia="新宋体" w:cs="新宋体"/>
          <w:b w:val="0"/>
          <w:bCs/>
          <w:color w:val="auto"/>
          <w:sz w:val="52"/>
          <w:szCs w:val="52"/>
          <w:highlight w:val="none"/>
        </w:rPr>
      </w:pPr>
    </w:p>
    <w:p>
      <w:pPr>
        <w:rPr>
          <w:rFonts w:ascii="新宋体" w:hAnsi="新宋体" w:eastAsia="新宋体" w:cs="新宋体"/>
          <w:b/>
          <w:bCs/>
          <w:color w:val="auto"/>
          <w:sz w:val="52"/>
          <w:szCs w:val="52"/>
          <w:highlight w:val="none"/>
        </w:rPr>
      </w:pPr>
    </w:p>
    <w:p>
      <w:pPr>
        <w:pStyle w:val="10"/>
        <w:rPr>
          <w:rFonts w:ascii="新宋体" w:hAnsi="新宋体" w:eastAsia="新宋体" w:cs="新宋体"/>
          <w:b w:val="0"/>
          <w:bCs/>
          <w:color w:val="auto"/>
          <w:sz w:val="52"/>
          <w:szCs w:val="52"/>
          <w:highlight w:val="none"/>
        </w:rPr>
      </w:pPr>
    </w:p>
    <w:p>
      <w:pPr>
        <w:rPr>
          <w:color w:val="auto"/>
          <w:highlight w:val="none"/>
        </w:rPr>
      </w:pPr>
    </w:p>
    <w:p>
      <w:pPr>
        <w:jc w:val="center"/>
        <w:outlineLvl w:val="0"/>
        <w:rPr>
          <w:rFonts w:ascii="新宋体" w:hAnsi="新宋体" w:eastAsia="新宋体" w:cs="新宋体"/>
          <w:b/>
          <w:bCs/>
          <w:color w:val="auto"/>
          <w:sz w:val="52"/>
          <w:szCs w:val="52"/>
          <w:highlight w:val="none"/>
        </w:rPr>
      </w:pPr>
      <w:bookmarkStart w:id="31" w:name="_Toc20147"/>
      <w:r>
        <w:rPr>
          <w:rFonts w:hint="eastAsia" w:ascii="新宋体" w:hAnsi="新宋体" w:eastAsia="新宋体" w:cs="新宋体"/>
          <w:b/>
          <w:bCs/>
          <w:color w:val="auto"/>
          <w:sz w:val="52"/>
          <w:szCs w:val="52"/>
          <w:highlight w:val="none"/>
        </w:rPr>
        <w:t>第二册</w:t>
      </w:r>
      <w:bookmarkEnd w:id="31"/>
    </w:p>
    <w:p>
      <w:pPr>
        <w:jc w:val="center"/>
        <w:rPr>
          <w:rFonts w:ascii="新宋体" w:hAnsi="新宋体" w:eastAsia="新宋体" w:cs="新宋体"/>
          <w:b/>
          <w:bCs/>
          <w:color w:val="auto"/>
          <w:sz w:val="48"/>
          <w:highlight w:val="none"/>
        </w:rPr>
      </w:pPr>
    </w:p>
    <w:p>
      <w:pPr>
        <w:jc w:val="center"/>
        <w:outlineLvl w:val="1"/>
        <w:rPr>
          <w:rFonts w:hint="eastAsia" w:ascii="新宋体" w:hAnsi="新宋体" w:eastAsia="新宋体" w:cs="新宋体"/>
          <w:b/>
          <w:bCs/>
          <w:color w:val="auto"/>
          <w:sz w:val="48"/>
          <w:highlight w:val="none"/>
        </w:rPr>
        <w:sectPr>
          <w:headerReference r:id="rId10" w:type="default"/>
          <w:footerReference r:id="rId11" w:type="default"/>
          <w:pgSz w:w="11907" w:h="16840"/>
          <w:pgMar w:top="1134" w:right="1134" w:bottom="1134" w:left="1134" w:header="851" w:footer="992" w:gutter="0"/>
          <w:pgNumType w:fmt="decimal"/>
          <w:cols w:space="720" w:num="1"/>
          <w:docGrid w:linePitch="312" w:charSpace="0"/>
        </w:sectPr>
      </w:pPr>
      <w:bookmarkStart w:id="32" w:name="_Toc17249"/>
      <w:r>
        <w:rPr>
          <w:rFonts w:hint="eastAsia" w:ascii="新宋体" w:hAnsi="新宋体" w:eastAsia="新宋体" w:cs="新宋体"/>
          <w:b/>
          <w:bCs/>
          <w:color w:val="auto"/>
          <w:sz w:val="48"/>
          <w:highlight w:val="none"/>
        </w:rPr>
        <w:t>专 用 文 本</w:t>
      </w:r>
      <w:bookmarkEnd w:id="32"/>
    </w:p>
    <w:p>
      <w:pPr>
        <w:pStyle w:val="24"/>
        <w:spacing w:line="460" w:lineRule="exact"/>
        <w:ind w:left="433" w:leftChars="206" w:firstLine="0" w:firstLineChars="0"/>
        <w:jc w:val="center"/>
        <w:outlineLvl w:val="0"/>
        <w:rPr>
          <w:rFonts w:ascii="新宋体" w:hAnsi="新宋体" w:eastAsia="新宋体" w:cs="新宋体"/>
          <w:b/>
          <w:color w:val="auto"/>
          <w:sz w:val="22"/>
          <w:szCs w:val="22"/>
          <w:highlight w:val="none"/>
        </w:rPr>
      </w:pPr>
      <w:bookmarkStart w:id="33" w:name="_Toc11811"/>
      <w:r>
        <w:rPr>
          <w:rFonts w:hint="eastAsia" w:ascii="新宋体" w:hAnsi="新宋体" w:eastAsia="新宋体" w:cs="新宋体"/>
          <w:b/>
          <w:color w:val="auto"/>
          <w:sz w:val="30"/>
          <w:highlight w:val="none"/>
        </w:rPr>
        <w:t xml:space="preserve">第四部分   </w:t>
      </w:r>
      <w:r>
        <w:rPr>
          <w:rFonts w:hint="eastAsia" w:ascii="新宋体" w:hAnsi="新宋体" w:eastAsia="新宋体"/>
          <w:b/>
          <w:bCs/>
          <w:color w:val="auto"/>
          <w:sz w:val="32"/>
          <w:szCs w:val="32"/>
          <w:highlight w:val="none"/>
        </w:rPr>
        <w:t>项目技术规范和服务要求</w:t>
      </w:r>
      <w:bookmarkEnd w:id="33"/>
    </w:p>
    <w:p>
      <w:pPr>
        <w:pStyle w:val="24"/>
        <w:spacing w:line="460" w:lineRule="exact"/>
        <w:ind w:left="0" w:firstLine="0" w:firstLineChars="0"/>
        <w:jc w:val="both"/>
        <w:outlineLvl w:val="0"/>
        <w:rPr>
          <w:rFonts w:hint="eastAsia" w:ascii="新宋体" w:hAnsi="新宋体" w:eastAsia="新宋体"/>
          <w:color w:val="auto"/>
          <w:sz w:val="22"/>
          <w:szCs w:val="22"/>
          <w:highlight w:val="none"/>
          <w:lang w:val="en-US" w:eastAsia="zh-CN"/>
        </w:rPr>
      </w:pPr>
      <w:r>
        <w:rPr>
          <w:rFonts w:hint="eastAsia" w:ascii="新宋体" w:hAnsi="新宋体" w:eastAsia="新宋体"/>
          <w:b/>
          <w:bCs/>
          <w:color w:val="auto"/>
          <w:sz w:val="22"/>
          <w:szCs w:val="22"/>
          <w:highlight w:val="none"/>
          <w:lang w:val="en-US" w:eastAsia="zh-CN"/>
        </w:rPr>
        <w:t>一、项目背景</w:t>
      </w:r>
    </w:p>
    <w:p>
      <w:pPr>
        <w:pStyle w:val="24"/>
        <w:spacing w:line="460" w:lineRule="exact"/>
        <w:ind w:left="0" w:firstLine="440" w:firstLineChars="200"/>
        <w:jc w:val="both"/>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提升生态碳汇能力，推动鹿城区减污降碳协同增效的需要。习近平总书记指出：“‘十四五’时期，我国生态文明建设进入了以降碳为重点战略方向、推动减污降碳协同增效、促进经济社会发展全面绿色转型、实现生态环境质量改善由量变到质变的关键时期。”如期实现碳达峰、碳中和目标，一个重要方面在于提升生态碳汇能力，强化国土空间规划和用途管控，有效发挥森林、草原、湿地、海洋、土壤、冻土的固碳作用，提升生态系统碳汇增量。</w:t>
      </w:r>
    </w:p>
    <w:p>
      <w:pPr>
        <w:pStyle w:val="24"/>
        <w:spacing w:line="460" w:lineRule="exact"/>
        <w:ind w:left="0" w:firstLine="440" w:firstLineChars="200"/>
        <w:jc w:val="both"/>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全国重要生态系统保护和修复重大工程总体规划（2021—2035年）》提到，统筹考虑生态系统的完整性、地理单元的连续性和经济社会发展的可持续性，优化国土空间布局，完善重大工程投入机制，实现生态系统固碳效能的最大化。在陆地生态系统，通过推进天然林资源保护、退耕还林还草、京津风沙源治理、防护林体系等重点生态工程建设，提升森林、草原、湿地的碳贮存和碳吸收能力。在海洋生态系统，依托海岸带生态保护和修复重大工程，重点保护和修复红树林、海草床等生态系统，增加海洋生态系统的碳贮存和碳吸收能力。</w:t>
      </w:r>
    </w:p>
    <w:p>
      <w:pPr>
        <w:pStyle w:val="24"/>
        <w:spacing w:line="460" w:lineRule="exact"/>
        <w:ind w:left="0" w:firstLine="440" w:firstLineChars="200"/>
        <w:jc w:val="both"/>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围绕“鹿城区减污降碳协同增效”的目标，鹿城区园林绿化管理中心在“十四五”时期中陆续开展的山体园林修复、城市绿心提升、水体生态治理、行道树整治、园林后备基地建设等措施，对鹿城区瓯江路防洪堤等14个碳汇林进行改造提升，以增加森林覆盖率，提升生态碳汇能力。</w:t>
      </w:r>
    </w:p>
    <w:p>
      <w:pPr>
        <w:pStyle w:val="24"/>
        <w:spacing w:line="460" w:lineRule="exact"/>
        <w:ind w:left="0" w:firstLine="440" w:firstLineChars="200"/>
        <w:jc w:val="both"/>
        <w:outlineLvl w:val="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推动“智慧园林”智慧化手段的建设，巩固“鹿城区减污降碳协同增效”成果，努力做好鹿城碳汇林服务样板、管理样板的“证明题”。本项目建设内容为终端系统建设：智慧广播系统、智慧路灯、网络交换系统、人员出入测温系统、智能储物柜管理系统、信息发布系统、智能步道系统、AI互动大屏系统、智慧服务设施、文化绣山主题场景、多彩迷宫主题场景、光影陪跑主题场景等，详见建设清单。</w:t>
      </w:r>
    </w:p>
    <w:p>
      <w:pPr>
        <w:pStyle w:val="24"/>
        <w:spacing w:line="460" w:lineRule="exact"/>
        <w:jc w:val="both"/>
        <w:outlineLvl w:val="0"/>
        <w:rPr>
          <w:rFonts w:hint="eastAsia" w:ascii="新宋体" w:hAnsi="新宋体" w:eastAsia="新宋体"/>
          <w:color w:val="auto"/>
          <w:sz w:val="22"/>
          <w:szCs w:val="22"/>
          <w:highlight w:val="none"/>
          <w:lang w:val="en-US" w:eastAsia="zh-CN"/>
        </w:rPr>
      </w:pPr>
      <w:r>
        <w:rPr>
          <w:rFonts w:hint="eastAsia" w:ascii="新宋体" w:hAnsi="新宋体" w:eastAsia="新宋体"/>
          <w:b/>
          <w:bCs/>
          <w:color w:val="auto"/>
          <w:sz w:val="22"/>
          <w:szCs w:val="22"/>
          <w:highlight w:val="none"/>
          <w:lang w:val="en-US" w:eastAsia="zh-CN"/>
        </w:rPr>
        <w:t>二、项目概况</w:t>
      </w:r>
    </w:p>
    <w:p>
      <w:pPr>
        <w:pStyle w:val="24"/>
        <w:spacing w:line="460" w:lineRule="exact"/>
        <w:ind w:left="0" w:firstLine="440" w:firstLineChars="200"/>
        <w:jc w:val="both"/>
        <w:outlineLvl w:val="0"/>
        <w:rPr>
          <w:rFonts w:hint="eastAsia" w:ascii="新宋体" w:hAnsi="新宋体" w:eastAsia="新宋体" w:cs="新宋体"/>
          <w:color w:val="auto"/>
          <w:kern w:val="2"/>
          <w:sz w:val="22"/>
          <w:szCs w:val="22"/>
          <w:highlight w:val="none"/>
          <w:lang w:val="en-US" w:eastAsia="zh-CN" w:bidi="ar-SA"/>
        </w:rPr>
      </w:pPr>
      <w:bookmarkStart w:id="34" w:name="_Toc30146"/>
      <w:r>
        <w:rPr>
          <w:rFonts w:hint="eastAsia" w:ascii="新宋体" w:hAnsi="新宋体" w:eastAsia="新宋体" w:cs="新宋体"/>
          <w:color w:val="auto"/>
          <w:kern w:val="2"/>
          <w:sz w:val="22"/>
          <w:szCs w:val="22"/>
          <w:highlight w:val="none"/>
          <w:lang w:val="en-US" w:eastAsia="zh-CN" w:bidi="ar-SA"/>
        </w:rPr>
        <w:t>项目建设范围涉及杨府山公园、世纪广场、绣山公园、墨池公园、江滨带状公园、瓯江路防洪堤公园（双屿段）、中山公园、马鞍池公园、华盖山公园、海坦山公园、翠微山公园、吕浦公园、庄头滨水公园、鹿城龙舟基地公园。</w:t>
      </w:r>
    </w:p>
    <w:p>
      <w:pPr>
        <w:numPr>
          <w:ilvl w:val="0"/>
          <w:numId w:val="0"/>
        </w:numPr>
        <w:rPr>
          <w:rFonts w:hint="eastAsia" w:ascii="新宋体" w:hAnsi="新宋体" w:eastAsia="新宋体" w:cs="Times New Roman"/>
          <w:b/>
          <w:bCs/>
          <w:color w:val="auto"/>
          <w:kern w:val="2"/>
          <w:sz w:val="22"/>
          <w:szCs w:val="22"/>
          <w:highlight w:val="none"/>
          <w:lang w:val="en-US" w:eastAsia="zh-CN" w:bidi="ar-SA"/>
        </w:rPr>
      </w:pPr>
      <w:r>
        <w:rPr>
          <w:rFonts w:hint="eastAsia" w:ascii="新宋体" w:hAnsi="新宋体" w:eastAsia="新宋体" w:cs="Times New Roman"/>
          <w:b/>
          <w:bCs/>
          <w:color w:val="auto"/>
          <w:kern w:val="2"/>
          <w:sz w:val="22"/>
          <w:szCs w:val="22"/>
          <w:highlight w:val="none"/>
          <w:lang w:val="en-US" w:eastAsia="zh-CN" w:bidi="ar-SA"/>
        </w:rPr>
        <w:t>三、项目清单</w:t>
      </w:r>
    </w:p>
    <w:p>
      <w:pPr>
        <w:rPr>
          <w:rFonts w:hint="eastAsia" w:ascii="新宋体" w:hAnsi="新宋体" w:eastAsia="新宋体" w:cs="Times New Roman"/>
          <w:b/>
          <w:bCs/>
          <w:color w:val="auto"/>
          <w:kern w:val="2"/>
          <w:sz w:val="22"/>
          <w:szCs w:val="22"/>
          <w:highlight w:val="none"/>
          <w:lang w:val="en-US" w:eastAsia="zh-CN" w:bidi="ar-SA"/>
        </w:rPr>
      </w:pPr>
      <w:r>
        <w:rPr>
          <w:rFonts w:hint="eastAsia" w:ascii="新宋体" w:hAnsi="新宋体" w:eastAsia="新宋体" w:cs="Times New Roman"/>
          <w:b/>
          <w:bCs/>
          <w:color w:val="auto"/>
          <w:kern w:val="2"/>
          <w:sz w:val="22"/>
          <w:szCs w:val="22"/>
          <w:highlight w:val="none"/>
          <w:lang w:val="en-US" w:eastAsia="zh-CN" w:bidi="ar-SA"/>
        </w:rPr>
        <w:br w:type="page"/>
      </w:r>
    </w:p>
    <w:tbl>
      <w:tblPr>
        <w:tblStyle w:val="52"/>
        <w:tblW w:w="102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1316"/>
        <w:gridCol w:w="7146"/>
        <w:gridCol w:w="800"/>
        <w:gridCol w:w="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名称</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参数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数量</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一、智慧广播系统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2"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草地音箱</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1、额定功率（100V）：1.5W,3W,6W</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2、额定功率（70V）：0.75W,1.5W,3W</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3、阻抗：黑:Com红:6.7KΩ/绿:3.3KΩ/白:1.7KΩ</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4、灵敏度（1W/1M）：89dB</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5、频率响应（-10dB）：80Hz-18KHz</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6、喇叭单元：5"×1</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7、材料：铁质网罩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166</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前置放大器</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1、具有5路话筒（MIC）输入，3路标准信号线路（AUX）输入，2路紧急线路（EMC）输入；</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2、第5个话筒（MIC5）具有最高优先、强行切入优先功能；MIC5和EMC最高优先权限功能可通过拔动开关交替选择，客户可根据使用情况选择优先；</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3、4路紧急输入线路具有二级优先，强行切入优先功能；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4、MIC1、2、3、4、5 和2路紧急输入（EMC）通道均附设有线路辅助输入接口功能；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5、MIC1、2、3、4和AUX1、2、3可交叉混合输出；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6、话筒（MIC）输入通道和线路（AUX）输入通道均可独立调校音量，并设有总音量控制旋钮；</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7、设有高音（TREBLE）和低音（BASS）独立调节；</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8、具有默音深度调节旋钮和EMC输入增益调节旋钮。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纯后级功放</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1、1通道LINE不平衡TRS输入，1通道LINE不平衡TRS级联输出；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2、1通道LINE平衡XLR输入，1通道LINE平衡XLR级联输出；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3、面板带音量调节旋钮；</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4、2种功率输出方式：定压输出100V、70V和定阻输出4～16Ω。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IP网络终端功放</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i w:val="0"/>
                <w:iCs w:val="0"/>
                <w:color w:val="auto"/>
                <w:kern w:val="0"/>
                <w:sz w:val="22"/>
                <w:szCs w:val="22"/>
                <w:highlight w:val="none"/>
                <w:u w:val="none"/>
                <w:lang w:val="en-US" w:eastAsia="zh-CN" w:bidi="ar"/>
              </w:rPr>
              <w:t>1、设备采用19英寸机架设计，带有≥3.4英寸LCD显示屏。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2、具有≥1路RJ45网络接口，100Mbps传输速率，内置1路网络硬件音频解码模块。</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3、支持≥1路线路输入和≥1路话筒输入接口，可独立调节音量；支持高低音调节电位器控制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4、具有≥1路EMC输入接口，具有最高优先级；具有≥1路音频输出接口。</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支持定压100V输入；具备8个功率分区输出端子，支持8分区功能，支持通过分控端或后台管理员独立控制。（提供8分区接口图及控制8分区功能界面截图佐证，并盖生产厂商公章，同时提供符合此功能第三方检测结构出具的检验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★6、支持2路电源输出插座，内置智能电源管理，无音乐或呼叫时，自动切断输出座电源，有信号时自动打开输出座电源。（提供设备有2路电源输出电源插座证明图，并盖生产厂商公章）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4"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定向寻呼话筒</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1、采用话筒桌面式设计，带有7英寸显示屏，带触摸控制功能；显示屏自带数字键、功能键，支持通过触摸呼叫广播，支持呼叫分区及多个分区，呼叫全区广播；可支持10个按键自定义一键呼叫广播功能。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2、内置1路网络硬件音频解码模块，具有1路RJ45网络接口，100Mbps传输速率。</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3、支持监听任意终端功能，内置2W全频扬声器，实现双向通话和网络监听。</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4、支持1路音频线路输入，支持采集播放功能；具有1路音频线路输出，可外接功率放大器。</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5、支持直接操作呼叫或对讲任意终端，支持通过话筒广播呼叫功能，广播延时低于100毫秒。</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6、支持多种呼叫策略，包括无响应转移、占线转移、关机转移；自动接听、手动接听，支持自定义接听提示音，支持转移时间、无人接听时间、呼叫等待时间自定义。</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7、具有1个3.5耳机接口、1路3.5话筒输入接口。</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8、具有1路短路输出接口、1路短路输入接口。</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YH-控制主机</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1、工业级机柜式机箱设计，机箱采用钢结构，有较高的防磁、防尘、防冲击的能力。</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2、15英寸LED液晶显示屏，内置五线工业加固触摸屏，简单易用的触摸屏操控。</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3、工业级专用主板设计，双核两线程超低功耗的嵌入式工业级处理器，处理速度更快，运作性能更强，可以长时期不断电稳定工作。</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4、内置大容量128G SSD固态硬盘，具有抗震动、抗摔、读写速度快、功耗低等特点。</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5、自带4路USB接口（4组通用串行总线），6路通用串口（6组工业异步传输接口），最高480M传输速率。方便外扩周边设备接入。</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电源时序器</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1、标准机柜式设计（2U），黑色氧化铝拉丝面板。</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2、16路电源输出，每路输出AC 220V(10A)， 电源插口总容量达 6000W。</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3、设有电子锁开关，可手动控制16个电源上断电；也可与定时器、智能控制器相连接，实现自动控制；支持配置CH1和CH2通道为受控或不受控状态。</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4、16路电源插座依次间隔1秒打开。</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IP网络控制主机</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3、管理节目库资源，为所有音频终端器提供定时播放和实时点播媒体服务，响应各终端的节目播放请求，为各音频工作站提供数据接口服务。</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6、支持终端短路输入联动触发，可任意设置联动触发方案和触发终端数量，触发方案包括短路输出、音乐播放、巡更警报等。</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★8、支持系统界面功能模块自定义配置,可自行配置系统展示功能。（提供功能界面截图佐证，并盖生产厂商公章）</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9、支持定时打铃功能，支持打铃方案克隆，任务执行与停止控制、定时任务禁用与启用功能。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★10、支持定时巡更功能，支持自定义巡更任务的执行时间及重复周期，可自定义指示灯闪烁间隔时间0-30s。（提供配置界面截图，并盖设备生产厂商公章）</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11、支持今日任务列表查看，轻松管理今日执行的所有定时任务信息和执行状态。</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12、日志记录系统运行状态，实时记录系统运行及终端工作状态，每次呼叫、通话和广播操作均有记录</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13、支持对8路功率分区终端进行功率控制分区设置，通过web页面后台或分控客户端均可设置分区。（提供功能界面截图佐证）</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★14、支持对终端设置时间显示配置，可设置0-6级别亮度值，可设置离线后不显示时间等模式。（提供功能界面截图佐证）</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15、支持对终端设置不同的灯光模式，可分别自定义设置红灯亮、红灯灭、绿灯/蓝灯亮、绿灯/蓝灯灭时间0.1S-10S。</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16、支持配置终端冻结时间，在终端被冻结期间禁止终端执行任务，适用于考试或休息等场景。</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17、支持广播、对讲、实时采集、终端监听进行录音；支持文本广播功能，可实现将文本转成语音，支持后台调整语速。</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18、支持后台换肤功能，可根据喜好自由切换皮肤主题。</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19、支持终端明细导出功能，支持通过表格方式导出当前系统终端的配置详情。支持批量修改定时任务的时间、执行终端。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数字化IP网络广播客户端管理软件</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1、客户端软件利用网络（局域网、广域网）远程登录到服务器，支持多套客户端软件同时登录到服务器，各套客户端软件独立工作。</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2、可实现终端状态查看、音频播放、监听、广播及对讲、会话状态监控等功能。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3、支持实时查看终端工作状态、音量、任务，并且可在终端状态界面设置终端音量。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4、支持创建文本广播任务，可实现将文本转成语音，支持后台调整语速。</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5、支持创建终端采集任务，可设置普通、中级的采集音质类型。</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6、支持创建声卡采集任务，可通过分控客户端所在电脑的声卡进行实时采播，并且支持将采播的内容进行录音存储。</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7、支持创建音乐播放任务，可进行本地文件播放，可选择多首歌曲进行顺序播放或循环播放或随机播放。</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8、支持进行发起监听功能，在会话状态选择监听终端，可监听某任务播放的内容。</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9、支持远程对某终端/分区或全区进行实时的寻呼广播，支持选择网络寻呼话筒进行实时对讲。</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★10、支持分控端查看终端上下线记录，可设置终端掉线弹窗提示。（提供功能界面截图佐证并加盖原厂公章）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二、智慧公厕(补充设备）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大屏电视机</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1、参数：50寸，4K显示，HDMI*2，3840×2160，WIFI</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2、通用电视机，无上电自启动功能，如断电，需遥控器重新开机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3、安装：壁挂安装，含安装支架，含（10米）高清线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智能空气净化器</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1、离子除臭，净化空气</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2、495*280*180mm，6.5KG，220V供电，20W，适用15㎡空间，150m</w:t>
            </w:r>
            <w:r>
              <w:rPr>
                <w:rStyle w:val="345"/>
                <w:rFonts w:hint="eastAsia" w:ascii="新宋体" w:hAnsi="新宋体" w:eastAsia="新宋体" w:cs="新宋体"/>
                <w:color w:val="auto"/>
                <w:sz w:val="22"/>
                <w:szCs w:val="22"/>
                <w:highlight w:val="none"/>
                <w:lang w:val="en-US" w:eastAsia="zh-CN" w:bidi="ar"/>
              </w:rPr>
              <w:t>³</w:t>
            </w:r>
            <w:r>
              <w:rPr>
                <w:rFonts w:hint="eastAsia" w:ascii="新宋体" w:hAnsi="新宋体" w:eastAsia="新宋体" w:cs="新宋体"/>
                <w:i w:val="0"/>
                <w:iCs w:val="0"/>
                <w:color w:val="auto"/>
                <w:kern w:val="0"/>
                <w:sz w:val="22"/>
                <w:szCs w:val="22"/>
                <w:highlight w:val="none"/>
                <w:u w:val="none"/>
                <w:lang w:val="en-US" w:eastAsia="zh-CN" w:bidi="ar"/>
              </w:rPr>
              <w:t>/h风量，去除90%的异味，杀菌率95%以上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3、多层过滤（中效过滤网、高能离子净化管、等离子催化网、天然植物除臭香膏），过滤网可清洗，后期消耗品极低</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4、可与原有智慧公厕系统平台实现远程控制。                                                                                                                                                                                                                                                                                                                      ★5、氨气180分钟去除率达百分之95以上，并提供第三方监测报告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6、含远程驱动控制柜，远程控制灯光、消毒、除臭、冲洗设备的启动或者关闭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三、智慧路灯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太阳能灯</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高60CM，宽150。太阳能电池板功率 5W</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太阳能路灯</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1、双臂太阳能路灯 总高6M；</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2、灯体材质：Q235优质钢材，壁厚3mm；整体热镀锌后烤漆。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3、光源采用高效LED芯片，光效＞130LM/W，功率60W,电池板300W，电池12v80AH，3个连续阴雨天亮灯。15A市电互补MPPT控制器1个，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44</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智慧路灯</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1、智慧杆包含视频监控，信息发布，公共广播，紧急呼叫，高清摄像和照明控制等功能。（智慧灯杆功能全部满足本项目智慧功能要求，提供省部级或以上检测机构出具的检测报告。）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通过智慧路灯管理系统各功能模块能互联互通，灯具亮度数据可以联动广播，灯杆屏，摄像机，报警灯等设备联动；摄像机事件侦测告警可以联动广播、灯杆屏，灯具、报警灯和其他摄像机五类设备。水位数据可以联动广播设备、灯杆屏、摄像机、水泵、报警灯和灯具六类设备。（提供可多维联动智慧杆检测报告，设备联动满足要求，提供省部级或以上检测机构出具的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★3、照明灯具模组与电源必须采用CSA标准连接件，模组功率50W以上且色温4000K（±200K）、显色指数大于70时，能满足模组光效&gt;150lm/W （含光学透镜），模组</w:t>
            </w:r>
            <w:bookmarkStart w:id="42" w:name="_GoBack"/>
            <w:bookmarkEnd w:id="42"/>
            <w:r>
              <w:rPr>
                <w:rFonts w:hint="eastAsia" w:ascii="新宋体" w:hAnsi="新宋体" w:eastAsia="新宋体" w:cs="新宋体"/>
                <w:i w:val="0"/>
                <w:iCs w:val="0"/>
                <w:color w:val="auto"/>
                <w:kern w:val="0"/>
                <w:sz w:val="22"/>
                <w:szCs w:val="22"/>
                <w:highlight w:val="none"/>
                <w:u w:val="none"/>
                <w:lang w:val="en-US" w:eastAsia="zh-CN" w:bidi="ar"/>
              </w:rPr>
              <w:t>和电源能经受1000小时或以上恒定湿（85%RH）热（85℃）测试。透镜满足户外抗紫外老化要求。（提供LED模组和电源组件通过至少1000小时以上恒定湿热测试（恒定湿（85%RH）热（85℃）测试）和不低于1000个小时LED透镜紫外老化测试报告，提供省部级或以上检测机构出具的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4、视频监控技术要求：像素  ≥400万像素，摄像头大小4寸，夜视距离≥150m，H.265高效压缩算法，可较大节省存储空间支持960p@60fps、720p@60fps高帧率输出支持区域入侵侦测、越界侦测、移动侦测等智能侦测功能。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5、户外LED显示屏技术要求：分辨率≥208*364，像素点间距≥4mm，显示亮度 ≥6000cd/m2，恒流驱动工作温度 -20℃~60℃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6、紧急呼叫系统技术要求：摄像头像素≥200W像素1080P，1.支持网络自适应、音视频自适应功能；2.对讲存储功能、 报警触发录像存储功能、录像下载及回放功能；3.语音对讲功能，麦克风灵敏度高；4.电磁干扰、防拆、防爆、防雷击等功能；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7、公共广播技术要求：额定功率30W，8Ω网络接口标准RJ45输入支持协议 TCP/IP、UDP、IGMP(组播)音频格式 MP3采样率8KHz-48KHz传输速率 100Mbps，16位CD音质输出频率80Hz~16KHz，谐波失真≤1%，信噪比≥70dB。</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管理系统加载或接口响应时间≤2秒，单灯控制反应时间≤1.5秒，视频监控反应时间（内网）≤2秒，信息发布反应时间≤1.9秒，广播设备反应时间≤2秒。（系统软件平台技术参数响应时间满足技术参数要求，提供省部级或以上检测机构出具的检测报告）</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四、网络交换系统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8口千兆交换机</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1、固化10/100/1000M以太网电口≥8个，100/1000M SFP千兆光接口≥2个</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2、交换容量≥256Gbps，包转发率≥30Mpps</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16口千兆交换机</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16个1000Mbps电口，2个SFP光口。支持EWEB/APP/MACC管理。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3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500M链路</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专线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条/3年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2000M链路</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专线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条/3年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五、人员出入测温系统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测温健康码一体机</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 支持添加不同的访客库与员工库，且每个库可以选择不同的核验模板</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 核验模板可以在不同的时间段设置不同的核验方式，且支持选择最多3种核验方式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3. ★人脸识别500次平均响应时间小于等于180ms(需提供公安部权威机构检测报告证明)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 支持核验白名单通过和刷脸通过</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5. ★支持人机界面待机时显示广告图片(需提供公安部权威机构检测报告证明)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 支持外接测温模块进行人体测温</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 支持节能休眠并支持设置节能休眠时间</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 支持戴口罩时的人脸识别，支持不带口罩提醒或不予通行</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 支持人员安全帽检测，支持不带安全帽提醒或不予通行</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10. ★测光控制支持人脸测光、区域测光、中央权重、点测光和智能测光(需提供公安部权威机构检测报告证明)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 .支持智能补光功能开启和关闭，开启时，可设置自动补光和强制补光模式且两个模式下均可调节补光灯亮度，自动补光模式下人脸门禁一体机可根据环境光自动打开补光灯。                                                                                                                                 12.测温范围 30℃-45℃，测温精度 0.1℃，测温误差 ±0.3℃，测温距离 1m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配件-二码联查解析套件</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 xml:space="preserve">1.读取码制(手机+纸质)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2.二维：QRCODE、PDF417等</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3.读取速度 30ms/次</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4.读取距离 0-10cm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配件-身份证解析套件</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配套人脸一体机使用,扫访客身份证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健康码一体机-配件</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配套人脸一体机使用,扫访客健康码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人员通道遥控器</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1.工作电压：遥控器：3V纽扣电池；接收模块：DC12V供电</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2.工作频率：Sub-1G</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3.发射功率：≥10mW</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4.遥控距离：30米</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2"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单机芯摆闸</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1、红外检测对数：16对红外光幕；</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2、通行频率：30-60人/分钟，受人员情况和通行模式影响；</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3、防夹检测：红外防夹、机械防夹、电流防夹；</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4、逆行检测：反向闯入检测；</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5、报警方式：声光报警；</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6、指示灯颜色：红色 绿色；</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7、接口参数：串口2路 RS485×1，RS232×1、网口、CAN；</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8、IO口：核验头*2+遥控*2+消防*2+联动*2 +开门按键*2；</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9、电机：直流无刷电机；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10、机箱材质：壁厚1.2mm，顶盖1.5mm304不锈钢拉丝；</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11、门翼材质：10mm有机玻璃/不锈钢管；</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12、语音功能：内置功放和扬声器；</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13、通道宽度：650mm～1050mm；</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14、关门精度：≤1度；</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15、★设备应具备不低于1.5mm厚的不锈钢（需提供公安部权威机构检测报告证明）</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16、★设备具备防尾随功能，尾随检测距离200mm（需提供公安部权威机构检测报告证明）</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17、★设备支持红外检测功能，具备不少于6对红外检测（需提供公安部权威机构检测报告证明）</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双机芯摆闸</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1、红外检测对数：16对红外光幕；</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2、通行频率：30-60人/分钟，受人员情况和通行模式影响；</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3、防夹检测：红外防夹、机械防夹、电流防夹；</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4、逆行检测：反向闯入检测；</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5、报警方式：声光报警；</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6、指示灯颜色：红色 绿色；</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7、接口参数：串口2路 RS485×1，RS232×1、网口、CAN；</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8、IO口：核验头*2+遥控*2+消防*2+联动*2 +开门按键*2；</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9、电机：直流无刷电机；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10、机箱材质：壁厚1.2mm，顶盖1.5mm304不锈钢拉丝；</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11、门翼材质：10mm有机玻璃/不锈钢管；</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12、语音功能：内置功放和扬声器；</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13、通道宽度：650mm～1050mm；</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14、关门精度：≤1度；</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 xml:space="preserve">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健康码大数据平台接入费用</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定制（3年服务）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六、智能储物柜管理系统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智能储物柜</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 xml:space="preserve">含主柜单元+24格智能柜箱柜单元。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智能柜箱柜屏幕尺寸：8寸</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屏幕分辨率：1280*800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系统：Android</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认证方式：人脸，卡片</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开柜方式：认证开柜，远程开柜，钥匙开柜，一键巡更开柜</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容量：人脸：1W</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卡片：10W</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支持卡片类型：Mifare卡、CPU卡、二三代身份证序列号</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Mifare卡、CPU卡内容</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M1卡片防复制机制、支持CPU卡加密功能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柜格数量：12（8大4小）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柜格最大承重：10KG</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通信方式：网线, Wi-Fi, 蓝牙</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接口类型：RJ45，RS485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七、信息发布系统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9"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LED显示屏</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 xml:space="preserve">1、像素间距：3mm 、像素点组成：1R1G1B,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2、屏体具有自动除湿功能，系统支持自动检测长时间没有使用屏体，将启动除湿模式。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3、屏体具有自动Gamma矫正技术，具有整屏色彩和亮度自动调整功能，确保基色一致性。</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★4、最高对比度≥15000:1，亮度5-1200nits可调；视觉舒适度指数0-1级，满足CSA035.2-2017标准。提供封面具有ilac-MRA、CNAS、标识盖章的权威检测报告。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5、白平衡亮度≥7800CD/㎡。提供封面具有ilac-MRA、CNAS、标识盖章的权威检测报告。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6、刷新频率≥3840HZ，显示屏具有刷新频率倍增技术。提供封面具有ilac-MRA、CNAS、标识盖章的权威检测报告。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★7、显示屏整屏平整度≤0.05mm，模组间拼缝≤0.05mm。提供封面具有ilac-MRA、CNAS、标识盖章的权威检测报告。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8、显示屏屏体正面为亚黑处理，反光率≤2%，表面墨色一致性好。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9、屏体支持休眠模式，休眠模式功耗＜50W/㎡；</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10、具有智能节电功能，开启智能节电功能节能45%以上。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11、产品通过阻燃、防火测试，PCB满足V-0阻燃等级要求；内部线材、塑胶件满足V-1阻燃等级要求；提供封面具有ilac-MRA、CNAS、标识盖章的权威检测报告。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12、LED 显示屏可实时监控显示屏及信号工作状态，具有故障自动告警功能，发生故障立即发消息到指定邮箱，及时处理。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13、LED 显示屏通过光生物安全及蓝光危害评估检测。</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★14、表面处理技术：采用独特面板处理技术，有效降低炫光及刺目感，显示柔和，观看时无像素颗粒感，LED表面硬度可达等级≥HRC8级。提供封面具有ilac-MRA、CNAS、标识盖章的权威检测报告。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15、最大功率≤420W/㎡,平均功率≤118W/㎡。（提供封面具有ilac-MRA、CNAS、标识盖章的权威检测报告。）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★16、模组机械强度 ≥25MP；功率因数不小于98.5%，转换率不小于88%。（提供封面具有ilac-MRA、CNAS、标识盖章的权威检测报告）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★17、亮度均匀性:IGU≥99.2%;发光点中心偏差≤0.8%（提供封面具有ilac-MRA、CNAS、标识盖章的权威检测报告）</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29.8</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控制系统</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1、单卡8个D320接口，输出32组RGB数据。</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2、支持向导式设置，用户根据软件提示即可完成操作，便于完成模组的点亮（提供CNAS、ilac-MRA认可实验室出具的测试报告）。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3、支持高灰高刷、低亮高灰显示，可消除某行偏暗、低灰偏红、鬼影等细节问题。</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4、为保障屏幕色彩一致性，支持亮度、色度逐点校正，提供校正低灰补偿，保障低灰显示效果。</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5、支持一键修缝功能，可消除显示单元间的亮暗线，且不影响原始校正系数。</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6、支持各种PWM芯片、双锁存芯片、通用芯片；支持静态屏、1/2~1/64扫之间的任意扫描类型。</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7、支持智能串线功能，无需了解接收卡串线顺序，用户可根据屏幕闪烁提示，在软件上完成映射设置（提供CNAS、ilac-MRA认可实验室出具的测试报告）。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8、支持抽点显示与数据偏移，可完成异形屏带载。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9、支持一键回读，通过软件可一键回读所有配置文件信息，方便进行产品维护（提供CNAS、ilac-MRA认可实验室出具的测试报告）</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视频处理器</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 支持常见的视频接口，包括1路 HDMI，1 路 DVI，1路VGA,1路CVBS，1路USB。</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 支持4网口输出，带载260万</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 支持HDMI、DVI输入分辨率自定义调节</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 支持预监输出画面，将预监内容通过 HDMI 发送到显示器显示。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 支持智能控制软件进行操作控制。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6. 支持逐点亮色度校正技术，使整屏的亮度和色度达到高度均匀一致，提高显示屏的画质；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 支持场景预设，最多可创建 6 个用户场景作为模板保存，可直接调用，方便使用。</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 发送卡和视频处理器二合一，连线更少，稳定性兼容性大大提升</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 支持设备备份和环路备份，设备故障或网线故障时保证屏体运行过程正常无问题</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信息发布盒</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安卓8.1 播放盒,</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支持4路1080P监控画面直播</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支持4K画面播放</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CPU：四核Cortex-A17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存储参数：内存2G，储存空间：16GB（EMMC）</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网络：有线、无线WIFI</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接口：HDMI OUT×1，AUDIO IN×1,AUDIO OUT×1,</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RJ45 IN×1,USB2.0×2,TF卡接口×1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配电箱</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智能控制上电断电，防过流，过压，欠压，短路，断路损害，用电保护，温控，时控。</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钢结构</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一、根据现场实际情况搭建钢结构</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二、提供安装服务按现场实际情况制作安装LED钢结构。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八、智慧步道系统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智能步道综合管理云服务（授权）</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1、智能步道管理、智能步道控制、信息检测</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2、设备授权管理，软硬件绑定激活设备</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3、设备温度联动，当温度超过保护值，自动触发关机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4、后台管理人员账号创建，角色划分，可对账号进行启用禁用，增删改查等</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5、设备远程开关机、定时开关机，可针对工作日及周六日分开管理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6、对设备的软件进行远程更新和升级，用于处理突发情况及内容更新</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7、可根据管理人员对应的权限进行逐项划分，可针对性的划分层级，有利于维护和管理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使基于前端图形化能力，经过后台接口算法处理，利用成熟的可视化图表库进行展现，其中包含累计注册人数，近日/昨日注册人数，时间段人流量分布折线图，年龄段比例，性别比例，注册比例等，依托数据中心全面的运营，设备状态接入数据平台；利用echarts的图形化报表，定制化呈现各种数据，为决策支持提供依据；</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9、记录体验用户的用户数据，24小时自动清除</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★10、提供服务系统（智慧公园生物识别系统）获得公安部门备案的信息系统安全等级保护备案不低于三级的证明。</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智能生物特征识别终端</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1、外壳1.5mm镀锌板，表面喷户外华彩、杜邦专用粉，防护能力5年以上；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2、深度防水设计，贴户外橡胶条密封，满足IP55防护等级。</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3、玻璃采用6mm高透钢化玻璃，透光率≥97%，高透光。</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4、支持wifi系统，具有蓝牙功能、支持4G网络（数据上云）</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5、生物识别摄像机*1个</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6、焦距：15mm</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7、视频格式：H.264编解码2592*1944@Max30fps</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8、像素：500w</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9、防水喇叭：防水高品质10W喇叭（播放语音介绍）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10、防雷器：三级防雷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11、漏电保护器：有防漏电</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12、配置主板 4G+32G Android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13、Ai算法主板：支持生物特征识别应用，本地计算处理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14、10点触摸：纳米触摸、灵敏度强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15、触控屏防水、防紫外线干扰、防破坏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16、显示尺寸：1210mm*680mm 55寸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17、分辨率：3840*2160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18、亮度：2000nit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19、亮度调节：自动（根据光照环境自动调节亮度）</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★20、提供智能生物特征识别终端具有CNAS、CMA认证标志的检测报告，且检测内容包含具备以下18种检测要求，电源接口、标记和说明、电击和能量危险的防护、SELV电路、限流电路、6受限制电源、 接地和连接保护措施、电气绝缘、电气间隙、爬电距离和绝缘穿透距离、与电网电源的连接、稳定性、机械强度、结构设计、危险的运动部件的防护、发热要求开孔、防火、电气要求和模拟异常条件。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智能生物特征识别杆</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1、1.5mm镀锌板，表面喷户外华彩、杜邦专用粉，防护能力5年以上；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2、具有室外IP55防水等级，用于为各类元件的防尘、防潮、抗老化提供防护。</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3、具有活体检测、红外系统（夜间识别）、IP66防水、智能补光（5m~8m）</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4、显示屏尺寸：481mm*272mm 21.5寸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5、分辨率：1920*1080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6、亮度：1500cd/m2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7、亮度调节：自动（根据光照环境自动调节亮度）</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8、开关电源：工业级明纬户外专业电源、单相交流电</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9、防水喇叭：防水高品质10W喇叭（播放语音介绍）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★10、提供智能生物特征识别杆具有CNAS、CMA认证标志的检测报告，且检测内容包含具备以下18种检测要求，电源接口、标记和说明、电击和能量危险的防护、SELV电路、限流电路、6受限制电源、 接地和连接保护措施、电气绝缘、电气间隙、爬电距离和绝缘穿透距离、与电网电源的连接、稳定性、机械强度、结构设计、危险的运动部件的防护、发热要求开孔、防火、电气要求和模拟异常条件。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九、AI互动大屏系统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4"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AI太极互动大屏</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1、外壳1.5mm镀锌板，表面喷户外华彩、杜邦专用粉，防护能力5年以上；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2、深度防水设计，贴户外橡胶条密封，满足IP65防护等级；</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3、支持wifi系统，具有蓝牙功能、支持4G网络（数据上云）</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4、显示尺寸1649、66×927、936mm 75寸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5、分辨率：3840*2160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6、亮度：2500nit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7、亮度调节：自动（根据光照环境自动调节亮度）</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8、防水喇叭：防水高品质10W喇叭（环绕有缘音响）</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9、人体感应 基于人体识别算法，活体监测算法；</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10、肢体识别互动 基于云人体动作识别，无需带任何设备，识别肢体进行环节切换触发游戏开关；</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11、AR互动 基于AR互动组件，对整个游戏环节进行渲染，通过AR肢体识别技术，对太极动作进行识别比对</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12、互动模式 两种互动模式开发（单人教学模式+双人练习模式）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13、肢体特效 基于AR能力，用户在场景中进行运动，跟随肢体运动识别肢体出现特效；</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14、达标特效 物理特效功能：武术动作正确后，盘龙特效</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15、十四种太极项目 养生太极扇、养生太极棒、滋肾补脾养生太极掌、吴氏太极拳、杨氏太极拳、陈氏太极拳、孙氏太极拳、太极八法五步、二十四式太极拳、四十八式太极拳、太极精炼八式、太极剑、杨氏太极扇、太极小套路</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16、AR合影 完成体验后，可于自己的成绩进行互动合影，也可与虚拟形象进行合影，玩家可进行合影留念，我们会在合影中加入不同的素材内容，丰富画面，让玩家更有成就感。</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17、H5微信互动 完成合影后，用户可扫码进入H5页面完成照片的保存和分享</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★18、提供AI太极大屏具有不低于14种太极内容的功能截图（可使用产品制造商响应证明材料需提供相应授权使用证明）。</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19、提供AI太极大屏产品相关系统由专业第三方软件检测机构提供的软件产品登记测试报告（可使用产品制造商响应证明材料需提供相应授权使用证明），报告内容涉及被测软件用户文档、功能性、易用性、中文特性，需满足[肢体识别的系统响应时间小于1秒]的要求。</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★20、提供AI太极大屏产品具有CNAS、CMA认证标志的检测报告，且检测内容包含具备以下18种检测要求，1：电源接口、2：标记和说明、3：电击和能量危险的防护、4：SELV电路、5：限流电路、6：受限制电源、 7：接地和连接保护措施、8：电气绝缘、9：电气间隙、爬电距离和绝缘穿透距离、10：与电网电源的连接、11：稳定性、12：机械强度、13：结构设计、14：危险的运动部件的防护、15：发热要求、16：开孔、17：防火、18：电气要求和模拟异常条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8"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AI虚拟骑行系统</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 xml:space="preserve">1、户外LED屏幕 P4：62500，点表贴三合一黑色；整屏平整度：≤0.2mm（1米内）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2、校正：整屏逐点校正；屏幕亮度：≥5800；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3、水平视角：140度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4、垂直视角：140度；</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5、发光点中心距偏差：&lt;3%；</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6、亮度均匀性：≥97%；</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7、色度均匀性：±0.005Cx,Cy之内；</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8、最大对比度:3000:1</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9、支持以太网，超6类网线</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10、用户进入游戏区域，可通过微信进行扫码登录，登录后，可进入游戏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11、游戏设定三条跑道，对应三台单车设备</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12、场景默认为森林动物园，场景可根据甲方需求进行定制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13、场景中人物根据骑行速度进行控制，骑行越快，速度越快</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14、根据实际的游戏数据，计算运动距离及对应的消耗，进行排行榜统计，排行榜默认显示全国数据</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15、扫码登录后，可通过“智道”小程序查看单车互动数据</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16、实时显示单车骑行速度及骑行距离，并显示用户运动消耗</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17、系统默认自带3首频率不同的音乐，开始骑行默认播放。</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十、智慧服务设施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导览路牌</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1、43英寸LCD液晶屏，高清1920*1080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2、高亮2000cd/m2</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3、户外P4全彩，单元尺寸256*128mm，单元像素点64*32。</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4、每台设备3套LED指路臂，每套臂为6个单元（正3反3，总像素点为384*32）</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5、触摸屏 电容多点触摸屏，单次点击触摸寿命超过6000万次</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6、安卓大6核RK3399 Cortex-A72双核+Cortex-A53四核，最高主频</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1.8GHz，4G内存，64G固态，板载千兆网卡，内置wifi，安卓7.1</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7、IP55防尘防水</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8、6mm AR夹胶玻璃，隔99.99%的太阳紫外线，隔50%以上的太阳辐</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射，透光率达到93%以上，反射率低于3%</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9、含前端导视+软件云服务                                                                                                                                                                                                                                                                                                                                                                                       10、云服务根据客户需求制定交互逻辑及业务逻辑； 智能计算距离和方向。                                                                                                                                 13、旋转臂集成GPS定位算法，通过地图标记点取定位数据，通过算法得到目标点的距离和方位角。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互动音乐秋千</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1.可充电锂电池, DC 5V 1A, 容量8800AH</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2.6-20颗SMD5050三原色LED灯珠，6-20颗3014白色灯珠；16色自动循环渐变，任意替停。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3. 防水结构≥IP68，美观方便。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4.红外遥控控制。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5.100%白色聚乙烯塑料外壳。</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6.环保无污染，耐老化。</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7.秋千规格:≥150*150*45*2 （含架子1个）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8"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陪跑光带</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1、32寸触摸屏：外形尺寸2101mm长*562mm宽*155mm厚</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2、外壳1.5mm镀锌板，表面喷户外华彩、杜邦专用粉，防护能力5年以上；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3、深度防水设计，贴户外橡胶条密封，满足IP55防护等级。</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4、玻璃采用6mm高透钢化玻璃，透光率≥97%，高透光。</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5、支持wifi系统，具有蓝牙功能、支持4G网络（数据上云）</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6、显示尺寸：698.4mm*392.8mm 32寸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7、分辨率：1920*1080，亮度：2000nit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8、10点触摸：纳米触摸、灵敏度强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9、触控屏防水、防紫外线干扰、防破坏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10、配置主板RK3399, 4G+32G Android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11、Ai算法主板：支持人脸识别应用，本地计算处理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12、总控器：六核控制面板、语音倒计时播报、陪跑音乐、控制器、变压器、等</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13、标称距离为100米。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14、防水互动投射灯光：单边条形灯,防水等级≥IP66,DC24V，钢化玻璃+优质铝型材,RGB全彩灯光防水辅材：电源线,网线,PVC管200米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15、户外电脑防潮箱定制(含空调)：防雨防潮约1200*600*600,分控,路由器等都装在这里，电一直要通到防潮箱。</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16、可感应灯光控制陪跑灯的速度，1走步、2跑步、3快跑、4极速：将感应信号转化为灯光的颜色，进行控制点位的输出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17、100米控制灯+互动系统  (互动感应需要)：雷达防水等级≥IP65。开机或者重启要能够自动进入效果,并开启互动。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跳跳泉</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珍珠泉、踩踏板、新款带灯、球阀 、喷泉专用泵、LED中孔灯彩灯、管道支管、主管道、管道加工、变频器 5.5KW、法兰、弯头、踩踏泉控制器、防雨控制柜 手自一体、彩灯变压器、水泵防水电缆、电磁阀电缆、彩灯防水电缆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智慧座椅</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1、尺寸≥1797mm×414mm×430mm</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2、太阳能系统：光伏板功率≥90W。无负载电压：5V-12V。电力输出：大于等于5A。</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2、智能椅主体：1.5mm镀锌钢板</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3、太阳能芯片：单晶硅80W</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4、电池：12V55AH 锂酸铁锂锂电池</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5、控制器：太阳能控制器</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6、USB有线快充：5V2A自动回弹（防尘）USB防水，USB快充插口数量：≥2个。</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7、USB无线快充：15W无线充电</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8、LED感应灯：12V/24W柔性灯带（铝型槽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9、蓝牙智能音箱：信号接收距离：≥15米</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10、工业WIFI：工业路由器</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★11、提供智慧座椅产品涉及铅、镉、汞、六价铬、多溴联苯、多溴二苯醚、DBP、BBP、DEHP、DIBP等10项检测内容，由专业第三方检测机构提供的检测报告或相应检测报告授权使用证明并加盖公章。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19</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无人清扫车</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软件功能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1、障碍物识别与避障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2、闹钟式任务设计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3、自主泊车入位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4、OTA升级</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5、多层级故障识别与应对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 、大数据分析</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7、自动加载地图</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8、智能一键召回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9、应急急停与远程控制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硬件参数</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1、最大行驶速度≥5km/h</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2、工作速度：3~5km/h</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3、爬坡能力（坡度）≥15°</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4、转弯半径≥150cm</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5、防护等级≥IP52</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6、垃圾箱容量≥60L</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7、水箱容量≥60L</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8、清扫宽度≥100cm</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9、清扫效率（综合工况）≥3000m</w:t>
            </w:r>
            <w:r>
              <w:rPr>
                <w:rStyle w:val="345"/>
                <w:rFonts w:hint="eastAsia" w:ascii="新宋体" w:hAnsi="新宋体" w:eastAsia="新宋体" w:cs="新宋体"/>
                <w:color w:val="auto"/>
                <w:sz w:val="22"/>
                <w:szCs w:val="22"/>
                <w:highlight w:val="none"/>
                <w:lang w:val="en-US" w:eastAsia="zh-CN" w:bidi="ar"/>
              </w:rPr>
              <w:t>²</w:t>
            </w:r>
            <w:r>
              <w:rPr>
                <w:rFonts w:hint="eastAsia" w:ascii="新宋体" w:hAnsi="新宋体" w:eastAsia="新宋体" w:cs="新宋体"/>
                <w:i w:val="0"/>
                <w:iCs w:val="0"/>
                <w:color w:val="auto"/>
                <w:kern w:val="0"/>
                <w:sz w:val="22"/>
                <w:szCs w:val="22"/>
                <w:highlight w:val="none"/>
                <w:u w:val="none"/>
                <w:lang w:val="en-US" w:eastAsia="zh-CN" w:bidi="ar"/>
              </w:rPr>
              <w:t>/h</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10、电池容量≥200Ah</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11、电池类型：三元锂电池</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12、充电时长：4~5h</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13、续航时间（综合工况）：5~8h</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14、续航里程（综合工况）：30~40Km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8"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无人清洁船</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1、无人船数据传输系统电动推进器功率：≥480W</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2、无人船数据传输系统动力控制系统：动力控制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3、锂电池供电系统：24V 60AH</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4、锂电池充电器：≥25V</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5、平板电脑：无人船专用平板</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6、智能船专用APP：无限制通信距离</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7、智能遥控器：≥2KM通信距离</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8、负载能力：≥30KG</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9、5G通讯CPE模块</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10、无人驾驶感知系统：船舶姿态感知模块；多传感器感知系统；高精度位置感应单元；</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多重传感器融合打造L3级别水面无人驾驶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毫米波雷达提供水面环境感知能力，远距离测距</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高精度GPS融合RTK模块，提供精准水面全局定位信息</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11、无人船充电系统，无人船动力系统；</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12、单目摄像头+360°摄像头提供水面障碍物、岸边行人等全方位水域图像信息；</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13、无人驾驶控制系统：自主路径规划系统，智能靠离泊返航系统，自主航行控制系统；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智能语音设备</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1、小度语言助手                                                                                                                                                                                                                                 2、矩阵麦克风                                                                                                                                                                                                                                 3、环绕音响                                                                                                                                                                                                                      4、亭内和周边指示牌                                                                                                                                                                                                                                                                                                                                                                                                                                                                                                                                                                                                                                                  5、4g网络模块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十一、文化绣山主题场景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4"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户外LED屏</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 xml:space="preserve">1、像素间距：2.5mm 、像素点组成：1R1G1B,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2、屏体具有自动除湿功能，系统支持自动检测长时间没有使用屏体，将启动除湿模式。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3、屏体具有自动Gamma矫正技术，具有整屏色彩和亮度自动调整功能，确保基色一致性。</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4、最高对比度≥15000:1，亮度5-1200nits可调；视觉舒适度指数0-1级，满足CSA035.2-2017标准。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5、白平衡亮度≥7800CD/㎡。提供封面具有ilac-MRA、CNAS、标识盖章的权威检测报告。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6、刷新频率≥3840HZ，显示屏具有刷新频率倍增技术。</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7、显示屏整屏平整度≤0.05mm，模组间拼缝≤0.05mm。</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8、显示屏屏体正面为亚黑处理，反光率≤2%，表面墨色一致性好。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9、屏体支持休眠模式，休眠模式功耗＜50W/㎡；</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10、具有智能节电功能，开启智能节电功能节能45%以上。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11、产品通过阻燃、防火测试，PCB满足V-0阻燃等级要求；内部线材、塑胶件满足V-1阻燃等级要求；</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12、LED 显示屏可实时监控显示屏及信号工作状态，具有故障自动告警功能，发生故障立即发消息到指定邮箱，及时处理。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13、LED 显示屏通过光生物安全及蓝光危害评估检测。</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14、表面处理技术：采用独特面板处理技术，有效降低炫光及刺目感，显示柔和，观看时无像素颗粒感，LED表面硬度可达等级≥HRC8级。</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15、最大功率≤420W/㎡,平均功率≤118W/㎡。</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16、模组机械强度 ≥25MP；功率因数不小于98.5%，转换率不小于88%。</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17、亮度均匀性:IGU≥99.2%;发光点中心偏差≤0.8%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红外激光雷达</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扫描半径20米，多点感应。包含（特制铝合金外壳烤漆防锈防水）支持多人同时互动，4点快速校准，不限制点数，可转化为鼠标，TUIO，等多种传输协议。多个雷达可以级联扩大检测范围和防止遮挡。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户外防水箱体</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定制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互动素材及播放素材</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长廊将显示宣传片、互动素材以及历史沿革，为游客介绍温州的历史渊源。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十二、多彩迷宫主题场景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4"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户外激光投影</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1.★芯片：DLP显示技术，芯片尺寸0.67英寸，投标时提供具有CNAS标识的检测报告证明</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2.分辨率：≥1920×1200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3.光源：ALPD激光光源，光源寿命≥20000小时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4.★亮度：≥6300ANSI流明，投标时提供具有CNAS标识的检测报告证明</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5.对比度：≥100,000：1</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6.★镜头位移：支持垂直水平方向手动镜头位移，垂直方向：±100%，水平方向：±40%，投标时提供具有CNAS标识的检测报告证明</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7.功耗：功耗≤450W，待机功耗≤0.5W，</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8.3D：支持DLPlink 3D、红外3D，支持多台投影机3D同步</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9.颜色调整：支持RGBYCMW七色调整</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恒温箱</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工作温度－20~40度，定制，恒温恒湿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红外激光雷达</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扫描半径30米，多点感应。包含（特制铝合金外壳烤漆防锈防水）支持多人同时互动，4点快速校准，不限制点数，可转化为鼠标，TUIO，等多种传输协议。多个雷达可以级联扩大检测范围和防止遮挡。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8"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图案灯</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1、全铝合金金属外壳，结构强度高，氧化处理，黑色。</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2、光源：150W LED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3、色温：3000K---8500K</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4、灯珠寿命：50000小时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5、镜头：镀膜高清镜头，成像清晰自然。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6、成像比例:1:0.8-1:1（定焦镜头）</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互动素材</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无人状态，花朵微动；当人踩上地砖，脚下出现蝴蝶飞舞，随人经过，晃动一下。周围鳌头墙投光灯色彩随互动主题，改变色系。互动主题，定时随机出现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十三、光影陪跑主题场景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8"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户外LED透明屏</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1、间距(mm)：水平3.9/垂直7.8</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2、物理像素(dot/M2)：≥32768</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3、通透率：55%/72%</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4、箱体物理像素：≥256*128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5、显示分辨率：≥256*128(隔行)/256*64(拉伸)</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6、最大功耗（W/M2）：300～600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7、平均功耗（W/M2）：100～300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8、显示亮度（nits）：≥1500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9、箱体尺寸（mm）：≥1000*1000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10、箱体重量（kg）：≤8kg</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11、屏幕刷新率（Hz）：≥1920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12、LED封装：SMD1921</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13、像素组成：1R1G1B</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14、驱动IC：恒流高端IC</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15、LED控制系统：摩西尔/卡莱特</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16、通透率：53%</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17、视角：水平≥175°/垂直≥175°</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18、亮度调节方式：程控/自动/手动</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19、屏体色温：3000-10000 K可调</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20、视角：水平≥160°/垂直≥140°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21、亮度均匀性：≥97%</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22、★屏幕防护等级：≥IP65级（（需提供CNAS/CMA检查报告）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23、灰度等级：16bit</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24、最佳视距：5～100m</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25、图像换帧频率：≥60 HZ/秒</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26、屏幕刷新速率：≥3840 HZ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27、连续工作时间：＞72 小时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28、像素失控率：≤1/10000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29、平均功耗：≤150W/㎡（需提供CNAS/CMA检查报告）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30、★最大功耗：≤300W/㎡（需提供CNAS/CMA检查报告）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31、视频输入方式：Video及S-Video,VGA、DVI、HDMI同步同帧。</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32、显示控制模式：800×600，1024×768，1280×1024无线4G实时映像。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33、工作电压：AC220V/380V±10％，50Hz</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34、★像素失控率：≤1/1000000（需提供CNAS/CMA检查报告）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灯芯的波长误差值在±1nm 之内，每个灯芯的，亮度误差在 3%以内</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35、工作温度：-40℃ ～ +80℃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36、相对湿度：10%～95%RH无结露</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37、★屏幕使用寿命：150000小时（需提供CNAS/CMA检查报告）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38、传送距离：超5类线&lt;120m（高速无中继）；多模光纤传输500米内，500米到10公里单模光纤。</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39、操作系统：WINDOWS XP、WINDOWS 7、WINDOWS 8</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40、控制系统：DVI显卡＋系统发送卡+系统接收卡</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41、开关方式：可由远程电脑自动控制电脑开关，可自动调节亮度</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42、光点维护：可进行整屏逐点维修</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43、控制方式：INXP计算机+控制软件硬件+播放软件及硬件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44、保护技术：防火、防震、防潮、防尘、防腐、防静电、防雷击，同时具有过流、短路、过压、欠压保护功能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45、播放内容：文字、图形信息、动态数据、网络信息，动画及视频文件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46、拼装结构：模组化结构设计，屏面采用显示模组→单元箱体→显示屏组合拼装结构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户外防水箱体</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国产定制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红外激光雷达</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扫描半径20米，多点感应。包含（特制铝合金外壳烤漆防锈防水）支持多人同时互动，4点快速校准，不限制点数，可转化为鼠标，TUIO，等多种传输协议。多个雷达可以级联扩大检测范围和防止遮挡。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互动素材及播放素材</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互动陪跑，让你跑步不再孤单。户外跑步互动装置，利用体感跟随技术，在电子显示屏打造虚拟人物全程陪跑。它的跑步速度由你决定，互动陪跑者，更像“镜中的自己”，反映着你的运动状态。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十四、智慧驿站场景（提供设备）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8"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高频AP</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1.支持802.11ax标准，整机支持8条空间流，整机最大无线速率≥4Gbps</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2.整机最大终端接入数不小于1552个。</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3.至少支持1个2.5G以太网端口、1个SFP光口。</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4.支持1个10/100/1000M以太网端口对外供电。</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5.支持内置蓝牙5.0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6.采用四路双频设计。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直饮水机</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1、机身材质 SUS304</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2、过滤装置 PP+超滤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3、出水方式 二直饮</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4、控制方式 龙头</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65寸智能显示器</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1、65寸一体机，整机材质：黑色高光+钢化玻璃；</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2、前罩玻璃，四周等边框，可竖装；</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3、亮度：360cd/m2；对比度4000：1；分辨率：1920*1080；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4、Cortex-A7 四核CPU 1.2GHz，GPU Mali-400MP2，DDR3 1G，EMMC  8GB（16G/32G可选），最高支持1080P@45fps。</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5、视频支持：MPEG-2、MPEG-4、H.264等常见视频格式；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6、图片支持：JPEG、PNG、BMP等常见图片格式；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7、音频支持MP3等常见音频格式；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8、USB2.0*2；HDMI*2（V1.4）；VGA接口*1（D-Sub 15 Pin）；网络接口*1；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86寸智能显示屏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（可触屏）</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 面板尺寸≥86 inch</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 采用专业级面板，亮度≥400 cd/m2</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 对比度≥1200:1</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 分辨率不小于3840*2160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 输入接口：HDMI ×3、VGA ×1、AUDIO IN ×1、YPBPR ×1、AV IN ×1、TOUCH-USB ×2、OPS ×1、USB ×4；</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输出接口:AV OUT ×1、SPDIF OUT ×1、Earphone OUT ×1;</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 输出接口：AV OUT ×1、SPDIF OUT ×1、Earphone OUT ×1</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 屏幕表面采用≥4mm防眩、莫氏七级防爆全钢化玻璃，防划防撞且有效保证观看效果</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8. ★为了保证交互平板产品后续可扩展性，内置电脑采用80针可插拔式电脑接口，抽拉内置式（不接受背包式外挂方式），无需外接视频线连接，低噪音热管传导散热设计（需提供第三方权威机构检测报告）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 具有不少于2个OPS和安卓共用USB接口，当USB插入设备后，切到OPS界面可以识别，切到安卓界面也可识别。</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 设备需具备双路LAN口桥接功能，支持一根网线2台设备同时桥接上网，同时可实现网络唤醒。</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 支持红外二十点触控，在任意通道下支持二十点及以下同时书写（安卓通道、PC通道等），支持特定手势2点缩放，3点及以上拖拽/漫游，触摸精度为中间90%区域为±1mm</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12. 设备需支持640×400@70,640×480@60，640×480@72，640×480@75，800×600@56，800×600@60，800×600@72，800×600@75，1024×768@60，1024×768@70，1024×768@75，1360×768@60，1366×768@60，1440×900@60，1680×1050@60，1152×864@75，1280×720@60，1280×768@60，1280×1024@60，1920×1080@24，1920×1080@30，1920×1080@50，1920×1080@60，2560×1440@30，2560×1440@60，3840×2160@30，3840×2160@60等分辨率的显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13. 支持手机、pad、电脑等进行双向投屏，文件分享，可将移动端文档、图片、音乐、视频、桌面、APP软件等内容投屏至会议平板上同步演示，支持四画面同屏展示会议平板画面无线传输到安卓终端设备上显示，支持在安卓移动终端设备上批注书写，双屏显示相同内容，支持反向控制（鼠标、触控、重力感应、键盘等操作）会议平板，并可自由切换。</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14. 支持4个无线传屏器同时在线，不同设备，如手机、pad、电脑等将画面分别投屏到同一个会议平板，可通过按键切换传输不同外部电脑的画面及声音</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 xml:space="preserve">15. ★设备需具备智能防灼屏功能，支持自动移动图像像素点防止屏幕灼伤（需提供第三方权威机构检测报告） </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16. 设备在USB输出过载情况下，PVB无异常温升，整机外壳无异常温升，无危险</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17. 电源输入口与金属外壳之间的绝缘电阻正常大气压条件下不小于100MΩ，湿热条件下不低于10 MΩ；泄漏电流≤5mA</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模块化机柜</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融合柜体模块：单柜外形尺寸：≥600*800*2000mm(宽*深*高)；机柜整体快速拼装式结构，前后整体焊接式框架，两侧采用上中下三横梁结构。前门带框玻璃门，门体四周密封条密封，门体两侧铝合金银色边条加强装饰，后门热背板门，设有吸热排风装置安装位，可实现柜外散热排风，门体四周密封条密封；开启角度大于180度，可拆卸。</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表面涂层平均厚度达到≥100um，同时达到国家无毒无害的喷涂标准，并能提供第三方权威机构检测报告；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★2．分体式全热交换单元分两部分，一体机内机架式安装的全热交换主控及送风调节装置设备和一体机后门内挂固定式安装的全热交换热量回收及散热装置设备，提供产品实物图片并加盖原厂公章；</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2.2全热交换主控及送风调节装置设备额定功率为25W/21.5W(Max/Min)，风量为≥250CMH/330CMH(Max/Min)，风量采用温控联动调节；</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2.3全热交换热量回收及散热装置设备额定功率为49W/42W(Max/Min)，风量为≥330CMH/355CMH(Max/Min)，风量采用温控联动调节；</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2.4分体式全热交换单元换热量为≥150W/K，电压/频率为AC220V/50HZ，噪音为40dB/52dB(Max/Min)。</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末端配电单元（PDU）：数量1，16A输入，六位10A国标输出，两位16A国标输出的PDU（含2米电缆），内部采用主、支路一体化无断点，采用导电性能良好，弹性好，耐磨性、抗磁性，不易氧化、高硬度的锡磷青铜铜条。</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 PDU所有极与本体之间（插头插合时）的绝缘电阻大于100MΩ，并提供第三方权威机构检测报告；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5.智能管理模块：数量：1；</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系统统平台基于Linux操作系统，采用基于消息队列的微服务架构，采用时序数据存储采集数据。≥7 英寸智能触摸屏实现柜内环境、基础设施设备本地化管理，支持远程集中管理，短信、Email 报警功能，实现 7x24 小时无人值守；</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5.1系统平台支持基于ARM架构操作系统，采用基于消息队列的微服务架构，实现全异步通信模式设计，各个服务模块间零耦合，采用时序数据存储采集数据，将采集到的监控数据按照时间序列的方式存储；</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5.2采用B/S模式，可实时通过WEB查询机房内各监控设备的运行状态、运行参数及各种故障参数等；支持通过远程在线控制和修改报警参数的设置；支持用户进行权限管理、菜单和动环设备组态管理、网络IP地址管理、报表管理、历史数据查询、Excel格式报表下载等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5.3提供多种报警方式，告警信息可通过邮件等多种方式通知用户；</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5.4提供手机动环APP，监控一体机动力和环境实时数据，告警信息和告警数量；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5.5系统支持北向接口，供第三方系统对接采集的动环数据；支持开放SNMP接口协议；</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★动力环境监测系统具备并需提供第三方评测报告；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★动环监控中心软件通过信创环境测试并提供第三方检测报告；</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6.为保持兼容性，全热一体机与模块化微型数据机房三联机为同一品牌，智能管理模块软件接入指挥中心机房综合管理软件平台，实现大平台与单个机房监控</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机柜</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1.符合标准QNSI/EIQ RS-310-D,IEC297-2,DIN41491:PART1,DIN41491:PART7,GB/T3047.2-97ZN</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2.尺寸大小：宽600mm*深600mm*高2000mm</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3.机柜容量：42U</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4.颜色：黑色</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5.材料：优质冷轧钢板；机柜结构：拼装式机柜机架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6.前面：单开玻璃门，后门：单开钢板门，机柜侧板：两块侧板可拆卸</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7.规格厚度：19英寸角规2.0，框架1.2，其他1.2</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8.负载：动态 ≤600；静态≤1000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9.表面脱脂、磷化、静电喷塑处理，19英寸角规镀锌</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10.最大开启角度：＞180度，防护等级：IP20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十五、管理中心场景（提供设备）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55寸智能显示屏</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1、55寸一体机，整机材质：黑色高光+钢化玻璃；</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2、前罩玻璃，四周等边框，可竖装；</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3、亮度：360cd/m2；对比度4000：1；分辨率：1920*1080；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4、Cortex-A7 四核CPU 1.2GHz，GPU Mali-400MP2，DDR3 1G，EMMC  8GB（16G/32G可选），最高支持1080P@45fps。</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5、视频支持：MPEG-2、MPEG-4、H.264等常见视频格式；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6、图片支持：JPEG、PNG、BMP等常见图片格式；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7、音频支持MP3等常见音频格式；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8、USB2.0*2；HDMI*2（V1.4）；VGA接口*1（D-Sub 15 Pin）；网络接口*1；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会议室展陈系统</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展陈系统云服务，1个会议室授权，可设置多个场景，支持移动端一键切换场景，移动端上对屏幕进行投放和控制操作，能够实现手机对电视屏幕上的 pdf 和视频等材料进行进度控制, 手动翻页等效果。带4个终端控制模块（四核高清4K Wifi HDMI KODI），支持查看终端控制模块的在线情况, 升级/降级, 下线重启等操作。</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86寸智能显示屏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（可触屏）</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 面板尺寸≥86 inch</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 采用专业级面板，亮度≥400 cd/m2</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 对比度≥1200:1</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 分辨率不小于3840*2160</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 输入接口：HDMI ×3、VGA ×1、AUDIO IN ×1、YPBPR ×1、AV IN ×1、TOUCH-USB ×2、OPS ×1、USB ×4；</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输出接口:AV OUT ×1、SPDIF OUT ×1、Earphone OUT ×1;</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 输出接口：AV OUT ×1、SPDIF OUT ×1、Earphone OUT ×1</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 屏幕表面采用≥4mm防眩、莫氏七级防爆全钢化玻璃，防划防撞且有效保证观看效果</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 具有不少于2个OPS和安卓共用USB接口，当USB插入设备后，切到OPS界面可以识别，切到安卓界面也可识别。</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 设备需具备双路LAN口桥接功能，支持一根网线2台设备同时桥接上网，同时可实现网络唤醒。</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 支持红外二十点触控，在任意通道下支持二十点及以下同时书写（安卓通道、PC通道等），支持特定手势2点缩放，3点及以上拖拽/漫游，触摸精度为中间90%区域为±1mm</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 设备需支持640×400@70,640×480@60，640×480@72，640×480@75，800×600@56，800×600@60，800×600@72，800×600@75，1024×768@60，1024×768@70，1024×768@75，1360×768@60，1366×768@60，1440×900@60，1680×1050@60，1152×864@75，1280×720@60，1280×768@60，1280×1024@60，1920×1080@24，1920×1080@30，1920×1080@50，1920×1080@60，2560×1440@30，2560×1440@60，3840×2160@30，3840×2160@60等分辨率的显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12. 支持手机、pad、电脑等进行双向投屏，文件分享，可将移动端文档、图片、音乐、视频、桌面、APP软件等内容投屏至会议平板上同步演示，支持四画面同屏展示会议平板画面无线传输到安卓终端设备上显示，支持在安卓移动终端设备上批注书写，双屏显示相同内容，支持反向控制（鼠标、触控、重力感应、键盘等操作）会议平板，并可自由切换。</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13. 支持4个无线传屏器同时在线，不同设备，如手机、pad、电脑等将画面分别投屏到同一个会议平板，可通过按键切换传输不同外部电脑的画面及声音</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14. 设备在USB输出过载情况下，PVB无异常温升，整机外壳无异常温升，无危险</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15. 电源输入口与金属外壳之间的绝缘电阻正常大气压条件下不小于100MΩ，湿热条件下不低于10 MΩ；泄漏电流≤5mA</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高清视频终端</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1.采用分体式结构，内置硬件视频处理单元，采用嵌入式Linux操作系统，非Windows/安卓操作系统。</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2.支持ITU-T H.323、SIP标准协议，具有良好的兼容性；支持H.239、BFCP双流协议，主辅流皆可达到1080P。</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支持辅流批注功能，发送辅流和接收辅流时都可在辅流画面上进行实时批注；可设置三种不同粗细的画笔，设置五种画笔颜色，设置圆形、方形、箭头、线条等批注图形；发送辅流时可设置是否开放批注权限给与会成员共同批注。支持无线辅流功能，电脑只需安装一个软件，通过网络连接到终端即可实现无线共享辅流功能，无需外接硬件设备；</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4.支持通过2.4G遥控器、web、触控、鼠标键盘等方式来操控终端，支持遥控器飞鼠操控模式。</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5.主屏支持输出4K分辨率信号，单屏最大支持25路视频画面，支持单屏双显、双屏双显应用功能，可实现多画面布局，支持画中画等多种常用布局类型。</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★6.配备USB接口，支持接入USB存储设备；支持会议录制功能，可以直接录制会议过程中的视频和音频；支持通过USB存储设备进行程序升级、抓取数据包等。(提供设备接口截图佐证并加盖原厂公章）</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支持终端申请主席对会议中的其他参会终端从直播模式转到会议模式或者从会议模式转到直播模式，支持终端主动向主席申请从直播模式转到会议模式，会议模式支持电子白板、文件共享、电子投票、会议签到等功能。（提供界面截图作为证明材料并加盖原厂公章）</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8.支持 IP 网络丢包时修复机制，30%网络丢包时，声音清晰连续，视频清晰流畅，无卡顿、无马赛克；80%网络丢包时，声音清晰流畅，可准确理解。</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9.支持自动噪声抑制，自动增益控制和自动回声消除、唇音同步等音频处理功能。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10.具备接口类型：视频输入：HDMI≥3路；视频输出：HDMI≥2路；音频输入：MIC IN≥1路、LINE IN≥1路、HDMI≥1路；音频输出：HDMI≥1路、LINE OUT≥1路；网络：RJ45≥1路；1路WIFI网络（可更改为4G网络）；USB接口：≥2个USB2.0接口，可用于接扩展设备或在线升级</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★11.支持红外透传功能，支持红外遥控器通过摄像机为终端传输红外信号，从而实现红外遥控器远程控制终端的效果。（提供界面截图作为证明材料并加盖原厂公章）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摄像机</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1.高清摄像机采用高品质超长焦镜头，具备20倍光学变倍镜头，支持16倍数字变焦；采用1/2.8英寸、≥207万有效像素的高品质HD CMOS传感器。</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2.镜头焦距f4.42mm ~ 88.5mm, 光圈系数F1.8 ~ F2.8。</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3.支持1080P60/50/30/25/59.94/29.97；1080I60/50/59.94；720P60/50/30/25/59.94/29.97分辨率，支持输出帧率60帧/秒。</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4.具备1路HDMI和1路3G-SDI高清视频输出接口、支持CVBS标清输出，支持HDMI、SDI、网络三路可同时输出。</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5.支持TCP/IP, HTTP, RTSP, RTMP, Onvif, DHCP, GB/T2818组播等协议。</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6.支持RS232串口远程对摄像机进行控制（带环通RS-232输出），支持VISCA、PELCO-D、PELCO-P协议。支持多达255个预置位。</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7.水平视场角：60.7° ~ 3.36°；支持水平转动范围：-170°～+170°，垂直转动范围：-30°～+90°，水平转动速度范围：1.7° ~ 100°/s ，垂直转动速度范围：1.7° ~ 69.9°/s。</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8.采用先进的2D、3D降噪技术，图像信噪比≥55dB；支持AAC音频编码。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全向麦</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1.全向麦具有1路USB接口、1路AUX接口</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2.支持AEC消回音功能、NC双向噪音压缩</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3.支持智能麦克风自动寻向技术（EMI）</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4.支持自动增益控制技术（AGC）</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5.拾音距离达4M，支持360°全范围，带喇叭功能，并支持音量调节和闭音功能；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6.具有摄像头按键，支持对摄像头切换、控制放大缩小、控制上下左右方向；</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7.具有录像键，可控制会议录制；</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8.具有辅流键、画面布局键；</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9.支持控制视频会议终端菜单。</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壁挂支架</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配套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十六、相关辅材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电源线(RVV2*1.5)</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RVV2*1.5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24060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电源线(YJV 3*2.5)</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YJV 3*2.5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电源线(YJV 3*10)</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YJV 3*10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电源线(YJV 3*4)</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YJV 3*4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路灯电线(YJV 3*4)</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YJV 3*4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音响线(RVS2*2.5)</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RVS2*2.5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15700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室外网线</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CAT6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18320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室外光纤</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25620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PVC管</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Φ25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30300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电线管(SC100)</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SC100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900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电线管(SC32)</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SC32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地面开挖回填</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定制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209</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室外基础</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定制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54</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其他辅材</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定制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9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十七、施工及维护</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施工调试及人工维护：</w:t>
            </w:r>
          </w:p>
        </w:tc>
        <w:tc>
          <w:tcPr>
            <w:tcW w:w="7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施工调试及人工维护（含8年人工维护）</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项</w:t>
            </w:r>
          </w:p>
        </w:tc>
      </w:tr>
    </w:tbl>
    <w:p>
      <w:pPr>
        <w:rPr>
          <w:rFonts w:hint="eastAsia" w:ascii="新宋体" w:hAnsi="新宋体" w:eastAsia="新宋体" w:cs="Times New Roman"/>
          <w:b/>
          <w:bCs/>
          <w:color w:val="auto"/>
          <w:kern w:val="2"/>
          <w:sz w:val="22"/>
          <w:szCs w:val="22"/>
          <w:highlight w:val="none"/>
          <w:lang w:val="en-US" w:eastAsia="zh-CN" w:bidi="ar-SA"/>
        </w:rPr>
      </w:pPr>
    </w:p>
    <w:p>
      <w:pPr>
        <w:pStyle w:val="24"/>
        <w:spacing w:line="460" w:lineRule="exact"/>
        <w:ind w:left="0" w:firstLine="0" w:firstLineChars="0"/>
        <w:jc w:val="left"/>
        <w:outlineLvl w:val="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四、</w:t>
      </w:r>
      <w:r>
        <w:rPr>
          <w:rFonts w:hint="eastAsia" w:ascii="新宋体" w:hAnsi="新宋体" w:eastAsia="新宋体"/>
          <w:b/>
          <w:bCs/>
          <w:color w:val="auto"/>
          <w:sz w:val="22"/>
          <w:szCs w:val="22"/>
          <w:highlight w:val="none"/>
        </w:rPr>
        <w:t>服务要求：</w:t>
      </w:r>
    </w:p>
    <w:p>
      <w:pPr>
        <w:rPr>
          <w:rFonts w:hint="eastAsia" w:ascii="新宋体" w:hAnsi="新宋体" w:eastAsia="新宋体" w:cs="新宋体"/>
          <w:b/>
          <w:color w:val="auto"/>
          <w:sz w:val="30"/>
          <w:highlight w:val="none"/>
        </w:rPr>
      </w:pPr>
      <w:r>
        <w:rPr>
          <w:rFonts w:hint="eastAsia" w:ascii="新宋体" w:hAnsi="新宋体" w:eastAsia="新宋体"/>
          <w:color w:val="auto"/>
          <w:sz w:val="22"/>
          <w:szCs w:val="22"/>
          <w:highlight w:val="none"/>
        </w:rPr>
        <w:t>在签订合同后</w:t>
      </w:r>
      <w:r>
        <w:rPr>
          <w:rFonts w:hint="eastAsia" w:ascii="新宋体" w:hAnsi="新宋体" w:eastAsia="新宋体"/>
          <w:color w:val="auto"/>
          <w:sz w:val="22"/>
          <w:szCs w:val="22"/>
          <w:highlight w:val="none"/>
          <w:lang w:val="en-US" w:eastAsia="zh-CN"/>
        </w:rPr>
        <w:t>5</w:t>
      </w:r>
      <w:r>
        <w:rPr>
          <w:rFonts w:hint="eastAsia" w:ascii="新宋体" w:hAnsi="新宋体" w:eastAsia="新宋体"/>
          <w:color w:val="auto"/>
          <w:sz w:val="22"/>
          <w:szCs w:val="22"/>
          <w:highlight w:val="none"/>
        </w:rPr>
        <w:t>个月内</w:t>
      </w:r>
      <w:r>
        <w:rPr>
          <w:rFonts w:hint="eastAsia" w:ascii="新宋体" w:hAnsi="新宋体" w:eastAsia="新宋体"/>
          <w:color w:val="auto"/>
          <w:sz w:val="22"/>
          <w:szCs w:val="22"/>
          <w:highlight w:val="none"/>
          <w:lang w:val="en-US" w:eastAsia="zh-CN"/>
        </w:rPr>
        <w:t>完成硬件设备及系统安装等项目所需的所有内容</w:t>
      </w:r>
      <w:r>
        <w:rPr>
          <w:rFonts w:hint="eastAsia" w:ascii="新宋体" w:hAnsi="新宋体" w:eastAsia="新宋体"/>
          <w:color w:val="auto"/>
          <w:sz w:val="22"/>
          <w:szCs w:val="22"/>
          <w:highlight w:val="none"/>
        </w:rPr>
        <w:t>。</w:t>
      </w:r>
    </w:p>
    <w:p>
      <w:pPr>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p>
    <w:p>
      <w:pPr>
        <w:pStyle w:val="24"/>
        <w:spacing w:line="460" w:lineRule="exact"/>
        <w:ind w:left="0" w:firstLine="0" w:firstLineChars="0"/>
        <w:jc w:val="center"/>
        <w:outlineLvl w:val="0"/>
        <w:rPr>
          <w:rFonts w:ascii="新宋体" w:hAnsi="新宋体" w:eastAsia="新宋体" w:cs="新宋体"/>
          <w:b/>
          <w:color w:val="auto"/>
          <w:sz w:val="30"/>
          <w:highlight w:val="none"/>
        </w:rPr>
      </w:pPr>
      <w:r>
        <w:rPr>
          <w:rFonts w:hint="eastAsia" w:ascii="新宋体" w:hAnsi="新宋体" w:eastAsia="新宋体" w:cs="新宋体"/>
          <w:b/>
          <w:color w:val="auto"/>
          <w:sz w:val="30"/>
          <w:highlight w:val="none"/>
        </w:rPr>
        <w:t>第五部分   评标原则及方法</w:t>
      </w:r>
      <w:bookmarkEnd w:id="34"/>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按照《中华人民共和国政府采购法》、《政府采购货物和服务招标投标管理办法》、《中华人民共和国政府采购法实施条例》和《关于进一步规范政府采购活动的若干意见》等相关法规特制定以下评标办法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pPr>
        <w:spacing w:line="460" w:lineRule="exact"/>
        <w:ind w:firstLine="541" w:firstLineChars="245"/>
        <w:outlineLvl w:val="1"/>
        <w:rPr>
          <w:rFonts w:ascii="新宋体" w:hAnsi="新宋体" w:eastAsia="新宋体" w:cs="新宋体"/>
          <w:b/>
          <w:color w:val="auto"/>
          <w:sz w:val="22"/>
          <w:szCs w:val="22"/>
          <w:highlight w:val="none"/>
        </w:rPr>
      </w:pPr>
      <w:bookmarkStart w:id="35" w:name="_Toc20279"/>
      <w:r>
        <w:rPr>
          <w:rFonts w:hint="eastAsia" w:ascii="新宋体" w:hAnsi="新宋体" w:eastAsia="新宋体" w:cs="新宋体"/>
          <w:b/>
          <w:color w:val="auto"/>
          <w:sz w:val="22"/>
          <w:szCs w:val="22"/>
          <w:highlight w:val="none"/>
        </w:rPr>
        <w:t>一、总 则</w:t>
      </w:r>
      <w:bookmarkEnd w:id="35"/>
    </w:p>
    <w:p>
      <w:pPr>
        <w:spacing w:line="460" w:lineRule="exact"/>
        <w:ind w:firstLine="539" w:firstLineChars="245"/>
        <w:rPr>
          <w:rFonts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ascii="新宋体" w:hAnsi="新宋体" w:eastAsia="新宋体" w:cs="新宋体"/>
          <w:b/>
          <w:color w:val="auto"/>
          <w:sz w:val="22"/>
          <w:szCs w:val="22"/>
          <w:highlight w:val="none"/>
        </w:rPr>
      </w:pPr>
      <w:bookmarkStart w:id="36" w:name="_Toc16715"/>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6"/>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评标工作由招标人组建的评标委员会负责，评标全过程由有关部门指导监督。</w:t>
      </w:r>
    </w:p>
    <w:p>
      <w:pPr>
        <w:spacing w:line="460" w:lineRule="exact"/>
        <w:ind w:firstLine="541" w:firstLineChars="245"/>
        <w:outlineLvl w:val="1"/>
        <w:rPr>
          <w:rFonts w:ascii="新宋体" w:hAnsi="新宋体" w:eastAsia="新宋体" w:cs="新宋体"/>
          <w:b/>
          <w:color w:val="auto"/>
          <w:sz w:val="22"/>
          <w:szCs w:val="22"/>
          <w:highlight w:val="none"/>
        </w:rPr>
      </w:pPr>
      <w:bookmarkStart w:id="37" w:name="_Toc21609"/>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7"/>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olor w:val="auto"/>
          <w:sz w:val="22"/>
          <w:szCs w:val="22"/>
          <w:highlight w:val="none"/>
        </w:rPr>
        <w:t>，根据综合评审结果，提交评审报告。</w:t>
      </w:r>
    </w:p>
    <w:p>
      <w:pPr>
        <w:spacing w:line="460" w:lineRule="exact"/>
        <w:ind w:firstLine="541" w:firstLineChars="245"/>
        <w:rPr>
          <w:rFonts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41" w:firstLineChars="245"/>
        <w:rPr>
          <w:rFonts w:ascii="新宋体" w:hAnsi="新宋体" w:eastAsia="新宋体"/>
          <w:color w:val="auto"/>
          <w:sz w:val="22"/>
          <w:szCs w:val="22"/>
          <w:highlight w:val="none"/>
        </w:rPr>
      </w:pPr>
      <w:r>
        <w:rPr>
          <w:rFonts w:hint="eastAsia" w:ascii="新宋体" w:hAnsi="新宋体" w:eastAsia="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pPr>
        <w:spacing w:line="460" w:lineRule="exact"/>
        <w:ind w:firstLine="541" w:firstLineChars="245"/>
        <w:outlineLvl w:val="1"/>
        <w:rPr>
          <w:rFonts w:ascii="新宋体" w:hAnsi="新宋体" w:eastAsia="新宋体" w:cs="新宋体"/>
          <w:b/>
          <w:color w:val="auto"/>
          <w:sz w:val="22"/>
          <w:szCs w:val="22"/>
          <w:highlight w:val="none"/>
        </w:rPr>
      </w:pPr>
      <w:bookmarkStart w:id="38" w:name="_Toc28909"/>
      <w:r>
        <w:rPr>
          <w:rFonts w:hint="eastAsia" w:ascii="新宋体" w:hAnsi="新宋体" w:eastAsia="新宋体" w:cs="新宋体"/>
          <w:b/>
          <w:color w:val="auto"/>
          <w:sz w:val="22"/>
          <w:szCs w:val="22"/>
          <w:highlight w:val="none"/>
        </w:rPr>
        <w:t>四、评标办法</w:t>
      </w:r>
      <w:bookmarkEnd w:id="38"/>
    </w:p>
    <w:p>
      <w:pPr>
        <w:spacing w:line="460" w:lineRule="exact"/>
        <w:ind w:firstLine="539" w:firstLineChars="245"/>
        <w:rPr>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w:t>
      </w:r>
    </w:p>
    <w:p>
      <w:pPr>
        <w:spacing w:line="460" w:lineRule="exact"/>
        <w:ind w:firstLine="541" w:firstLineChars="245"/>
        <w:outlineLvl w:val="1"/>
        <w:rPr>
          <w:rFonts w:ascii="新宋体" w:hAnsi="新宋体" w:eastAsia="新宋体" w:cs="新宋体"/>
          <w:b/>
          <w:color w:val="auto"/>
          <w:sz w:val="22"/>
          <w:szCs w:val="22"/>
          <w:highlight w:val="none"/>
        </w:rPr>
      </w:pPr>
      <w:bookmarkStart w:id="39" w:name="_Toc9209"/>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39"/>
    </w:p>
    <w:p>
      <w:pPr>
        <w:spacing w:line="460" w:lineRule="exact"/>
        <w:ind w:firstLine="541" w:firstLineChars="245"/>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1、技术分的评定：技术标</w:t>
      </w:r>
      <w:r>
        <w:rPr>
          <w:rFonts w:hint="eastAsia" w:ascii="新宋体" w:hAnsi="新宋体" w:eastAsia="新宋体"/>
          <w:b/>
          <w:color w:val="auto"/>
          <w:sz w:val="22"/>
          <w:szCs w:val="22"/>
          <w:highlight w:val="none"/>
          <w:lang w:val="en-US" w:eastAsia="zh-CN"/>
        </w:rPr>
        <w:t>7</w:t>
      </w:r>
      <w:r>
        <w:rPr>
          <w:rFonts w:hint="eastAsia" w:ascii="新宋体" w:hAnsi="新宋体" w:eastAsia="新宋体"/>
          <w:b/>
          <w:color w:val="auto"/>
          <w:sz w:val="22"/>
          <w:szCs w:val="22"/>
          <w:highlight w:val="none"/>
        </w:rPr>
        <w:t>0分（权值</w:t>
      </w:r>
      <w:r>
        <w:rPr>
          <w:rFonts w:hint="eastAsia" w:ascii="新宋体" w:hAnsi="新宋体" w:eastAsia="新宋体"/>
          <w:b/>
          <w:color w:val="auto"/>
          <w:sz w:val="22"/>
          <w:szCs w:val="22"/>
          <w:highlight w:val="none"/>
          <w:lang w:val="en-US" w:eastAsia="zh-CN"/>
        </w:rPr>
        <w:t>7</w:t>
      </w:r>
      <w:r>
        <w:rPr>
          <w:rFonts w:hint="eastAsia" w:ascii="新宋体" w:hAnsi="新宋体" w:eastAsia="新宋体"/>
          <w:b/>
          <w:color w:val="auto"/>
          <w:sz w:val="22"/>
          <w:szCs w:val="22"/>
          <w:highlight w:val="none"/>
        </w:rPr>
        <w:t>0%）</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olor w:val="auto"/>
          <w:sz w:val="22"/>
          <w:highlight w:val="none"/>
        </w:rPr>
        <w:t>各评标委员会成员对各投标人的各项评分内容评分的算术平均值为各投标人技术分得分</w:t>
      </w:r>
      <w:r>
        <w:rPr>
          <w:rFonts w:hint="eastAsia" w:ascii="新宋体" w:hAnsi="新宋体" w:eastAsia="新宋体"/>
          <w:color w:val="auto"/>
          <w:sz w:val="22"/>
          <w:szCs w:val="22"/>
          <w:highlight w:val="none"/>
        </w:rPr>
        <w:t>（小数点后按四舍五入保留2位）。</w:t>
      </w:r>
    </w:p>
    <w:tbl>
      <w:tblPr>
        <w:tblStyle w:val="52"/>
        <w:tblW w:w="10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2"/>
        <w:gridCol w:w="1052"/>
        <w:gridCol w:w="1052"/>
        <w:gridCol w:w="7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10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序号</w:t>
            </w:r>
          </w:p>
        </w:tc>
        <w:tc>
          <w:tcPr>
            <w:tcW w:w="10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评分因素</w:t>
            </w:r>
          </w:p>
        </w:tc>
        <w:tc>
          <w:tcPr>
            <w:tcW w:w="10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分值</w:t>
            </w:r>
          </w:p>
        </w:tc>
        <w:tc>
          <w:tcPr>
            <w:tcW w:w="72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z w:val="22"/>
                <w:szCs w:val="22"/>
                <w:highlight w:val="none"/>
                <w:u w:val="none"/>
              </w:rPr>
            </w:pPr>
            <w:r>
              <w:rPr>
                <w:rFonts w:hint="eastAsia" w:ascii="新宋体" w:hAnsi="新宋体" w:eastAsia="新宋体" w:cs="新宋体"/>
                <w:b/>
                <w:bCs/>
                <w:i w:val="0"/>
                <w:iCs w:val="0"/>
                <w:color w:val="auto"/>
                <w:kern w:val="0"/>
                <w:sz w:val="22"/>
                <w:szCs w:val="22"/>
                <w:highlight w:val="none"/>
                <w:u w:val="none"/>
                <w:lang w:val="en-US" w:eastAsia="zh-CN" w:bidi="ar"/>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jc w:val="center"/>
        </w:trPr>
        <w:tc>
          <w:tcPr>
            <w:tcW w:w="10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w:t>
            </w:r>
          </w:p>
        </w:tc>
        <w:tc>
          <w:tcPr>
            <w:tcW w:w="105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履约能力</w:t>
            </w:r>
          </w:p>
        </w:tc>
        <w:tc>
          <w:tcPr>
            <w:tcW w:w="10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0-3</w:t>
            </w:r>
          </w:p>
        </w:tc>
        <w:tc>
          <w:tcPr>
            <w:tcW w:w="7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投标人具有：ISO9001质量管理体系认证证书；ISO14001环境管理体系认证证书；ISO45001职业健康安全管理体系证书；且证书认证范围包含“系统集成设备的销售及其售后服务、宽带租赁”，每个得1分，最高得3分。（注：须提供相关有效证书原件扫描件加盖投标人公章，未提供或不符合要求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0-2</w:t>
            </w:r>
          </w:p>
        </w:tc>
        <w:tc>
          <w:tcPr>
            <w:tcW w:w="72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投标人自2019年1月1日（以合同签订时间为准）以来承接过同类项目案例的每个得0.5分，最高得2分。（注：须提供合同扫描件加盖公章，未提供不得分。）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0-5</w:t>
            </w:r>
          </w:p>
        </w:tc>
        <w:tc>
          <w:tcPr>
            <w:tcW w:w="72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投标人具备支撑项目整体运行的自有光纤链路资源，具有《基础电信业务经营许可证》得5分，采购第三方光纤链路资源（提供相关证明）得2分， 没有不得分。（需提供复印件加盖投标人公章，未提供的不得分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10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2</w:t>
            </w:r>
          </w:p>
        </w:tc>
        <w:tc>
          <w:tcPr>
            <w:tcW w:w="105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团队能力</w:t>
            </w:r>
          </w:p>
        </w:tc>
        <w:tc>
          <w:tcPr>
            <w:tcW w:w="10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0-15</w:t>
            </w:r>
          </w:p>
        </w:tc>
        <w:tc>
          <w:tcPr>
            <w:tcW w:w="7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投标人项目经理具有网络工程师（软考）、IT服务项目经理、智能化系统集成项目经理、PMP证书，每具备1个证书得1分，最高得4分。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7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投标人技术负责人具有网络规划设计师证书（软考）、网络工程师（软考）、传输与接入技术通信工程师证书，每具备1个证书得1分，最高得3分。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7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投标人项目安全负责人具有智慧消防工程师、网络工程师（软考）、注册信息安全工程师（CISE）和弱电系统集成项目经理，每具备1个证书得1分，最高得4分。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7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投标人技术团队具有ITSS（IT服务工程师）、数据库系统工程师、ITIL、CDCP证书，每具备1个证书得1分，最高得4分；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7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注：投标人须提供本单位人员近3个月的社保证明、证书扫描件加盖投标人公章，否则不计相应分数。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jc w:val="center"/>
        </w:trPr>
        <w:tc>
          <w:tcPr>
            <w:tcW w:w="10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3</w:t>
            </w:r>
          </w:p>
        </w:tc>
        <w:tc>
          <w:tcPr>
            <w:tcW w:w="105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产品参数配置情况</w:t>
            </w:r>
          </w:p>
        </w:tc>
        <w:tc>
          <w:tcPr>
            <w:tcW w:w="10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0-28</w:t>
            </w:r>
          </w:p>
        </w:tc>
        <w:tc>
          <w:tcPr>
            <w:tcW w:w="7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根据招标文件要求带★技术参数符合情况进行打分，不符合技术参数要求的，每项扣2分；其他未带★的技术参数，每发现1处不符合技术参数要求的扣1分，扣完为止；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7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(注：投标人需在《技术规格条款偏离表》中作详细逐项应答，并在商务技术部分提供相关证明材料，未应答视作负偏离)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7" w:hRule="atLeast"/>
          <w:jc w:val="center"/>
        </w:trPr>
        <w:tc>
          <w:tcPr>
            <w:tcW w:w="10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4</w:t>
            </w:r>
          </w:p>
        </w:tc>
        <w:tc>
          <w:tcPr>
            <w:tcW w:w="105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技术方案</w:t>
            </w:r>
          </w:p>
        </w:tc>
        <w:tc>
          <w:tcPr>
            <w:tcW w:w="10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0-4</w:t>
            </w:r>
          </w:p>
        </w:tc>
        <w:tc>
          <w:tcPr>
            <w:tcW w:w="72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整体技术方案：</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投标人对建设项目设计方案的了解程度，提供合理、可行的技术方案等进行评分。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1、技术方案非常科学、合理、可行的得2-4分；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2、技术方案方案基本合理、可行的得1-2分；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3、技术方案方案不合理、不可行得0-1分;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新宋体" w:hAnsi="新宋体" w:eastAsia="新宋体" w:cs="新宋体"/>
                <w:i w:val="0"/>
                <w:iCs w:val="0"/>
                <w:color w:val="auto"/>
                <w:sz w:val="22"/>
                <w:szCs w:val="22"/>
                <w:highlight w:val="none"/>
                <w:u w:val="none"/>
              </w:rPr>
            </w:pPr>
          </w:p>
        </w:tc>
        <w:tc>
          <w:tcPr>
            <w:tcW w:w="10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0-4</w:t>
            </w:r>
          </w:p>
        </w:tc>
        <w:tc>
          <w:tcPr>
            <w:tcW w:w="72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布点规划概念方案：</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提供经现场踏勘，结合投标人实施经验，制作设计杨府山公园，绣山公园、世纪广场布点规划概念方案（智慧步道系统、AI互动大屏系统、智慧服务设施）</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1、对本项目需求理解透彻，提供针对该项目完整的布点方案及布点图，方案规划合理，得2-4分；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2、对本项目需求理解准确度一般，提供针对该项目相对完整的布点方案及布点图，方案规划一般，得1-2分；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3、对本项目需求理解准确度较差，提供针对该项目不完整的布点方案及布点图，方案规划较差，得0-1分；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8" w:hRule="atLeast"/>
          <w:jc w:val="center"/>
        </w:trPr>
        <w:tc>
          <w:tcPr>
            <w:tcW w:w="10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5</w:t>
            </w:r>
          </w:p>
        </w:tc>
        <w:tc>
          <w:tcPr>
            <w:tcW w:w="10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项目实施</w:t>
            </w:r>
          </w:p>
        </w:tc>
        <w:tc>
          <w:tcPr>
            <w:tcW w:w="10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0-6</w:t>
            </w:r>
          </w:p>
        </w:tc>
        <w:tc>
          <w:tcPr>
            <w:tcW w:w="7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1、施工方案内容计划全面（包括进度、质量、安全、文明施工，各公园平面图及设备点位标注、现场照片、系统图等）、合理，针对性及可操作科学、合理，各项施工措施明确、到位的得3-6分；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2、施工方案内容计划较全面、合理，针对性及可操作性较科学，各项施工措施可基本保障项目实施的得2-3分；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3、施工方案内容计划不全面、合理，方案无针对性，无可操作性，各项施工措施不明确且不到位的得0-2分；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jc w:val="center"/>
        </w:trPr>
        <w:tc>
          <w:tcPr>
            <w:tcW w:w="10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6</w:t>
            </w:r>
          </w:p>
        </w:tc>
        <w:tc>
          <w:tcPr>
            <w:tcW w:w="10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售后服务方案</w:t>
            </w:r>
          </w:p>
        </w:tc>
        <w:tc>
          <w:tcPr>
            <w:tcW w:w="10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0-2</w:t>
            </w:r>
          </w:p>
        </w:tc>
        <w:tc>
          <w:tcPr>
            <w:tcW w:w="7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根据投标人售后服务方案的完善合理情况进行综合评分，包括服务目标、支撑服务体系、售后服务网点情况、售后服务内容、故障响应修复方式及保障等。</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1、具体服务安排及措施、承诺明确并切实可行的，得1-2分；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2、描述基本明确，基本具有可操作性的，得0.5-1分；</w:t>
            </w:r>
            <w:r>
              <w:rPr>
                <w:rFonts w:hint="eastAsia" w:ascii="新宋体" w:hAnsi="新宋体" w:eastAsia="新宋体" w:cs="新宋体"/>
                <w:i w:val="0"/>
                <w:iCs w:val="0"/>
                <w:color w:val="auto"/>
                <w:kern w:val="0"/>
                <w:sz w:val="22"/>
                <w:szCs w:val="22"/>
                <w:highlight w:val="none"/>
                <w:u w:val="none"/>
                <w:lang w:val="en-US" w:eastAsia="zh-CN" w:bidi="ar"/>
              </w:rPr>
              <w:br w:type="textWrapping"/>
            </w:r>
            <w:r>
              <w:rPr>
                <w:rFonts w:hint="eastAsia" w:ascii="新宋体" w:hAnsi="新宋体" w:eastAsia="新宋体" w:cs="新宋体"/>
                <w:i w:val="0"/>
                <w:iCs w:val="0"/>
                <w:color w:val="auto"/>
                <w:kern w:val="0"/>
                <w:sz w:val="22"/>
                <w:szCs w:val="22"/>
                <w:highlight w:val="none"/>
                <w:u w:val="none"/>
                <w:lang w:val="en-US" w:eastAsia="zh-CN" w:bidi="ar"/>
              </w:rPr>
              <w:t>3、描述较为简单或存在缺漏的，得0-0.5分；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jc w:val="center"/>
        </w:trPr>
        <w:tc>
          <w:tcPr>
            <w:tcW w:w="10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7</w:t>
            </w:r>
          </w:p>
        </w:tc>
        <w:tc>
          <w:tcPr>
            <w:tcW w:w="10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节能环保产品</w:t>
            </w:r>
          </w:p>
        </w:tc>
        <w:tc>
          <w:tcPr>
            <w:tcW w:w="10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0-1</w:t>
            </w:r>
          </w:p>
        </w:tc>
        <w:tc>
          <w:tcPr>
            <w:tcW w:w="7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sz w:val="22"/>
                <w:szCs w:val="22"/>
                <w:highlight w:val="none"/>
                <w:u w:val="none"/>
              </w:rPr>
            </w:pPr>
            <w:r>
              <w:rPr>
                <w:rFonts w:hint="eastAsia" w:ascii="新宋体" w:hAnsi="新宋体" w:eastAsia="新宋体" w:cs="新宋体"/>
                <w:i w:val="0"/>
                <w:iCs w:val="0"/>
                <w:color w:val="auto"/>
                <w:kern w:val="0"/>
                <w:sz w:val="22"/>
                <w:szCs w:val="22"/>
                <w:highlight w:val="none"/>
                <w:u w:val="none"/>
                <w:lang w:val="en-US" w:eastAsia="zh-CN" w:bidi="ar"/>
              </w:rPr>
              <w:t>提供由《市场监管总局关于发布参与实施政府采购节能产品、环境标志产品认证机构名录的公告》文件指定的环境标志产品认证机构出具的、处于有效期之内的环境标志产品认证证书复印件得0-1分。自行提供证明材料（如标注本次投标产品的清单），由评标委员会根据列入目录清单的产品占比。未提供证明材料或不能清楚辨析的不得分。</w:t>
            </w:r>
          </w:p>
        </w:tc>
      </w:tr>
    </w:tbl>
    <w:p>
      <w:pPr>
        <w:pStyle w:val="24"/>
        <w:spacing w:line="460" w:lineRule="exact"/>
        <w:ind w:left="442" w:firstLine="0" w:firstLineChars="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2、商务评分：</w:t>
      </w:r>
      <w:r>
        <w:rPr>
          <w:rFonts w:hint="eastAsia" w:ascii="新宋体" w:hAnsi="新宋体" w:eastAsia="新宋体"/>
          <w:b/>
          <w:bCs/>
          <w:color w:val="auto"/>
          <w:sz w:val="22"/>
          <w:szCs w:val="22"/>
          <w:highlight w:val="none"/>
          <w:lang w:val="en-US" w:eastAsia="zh-CN"/>
        </w:rPr>
        <w:t>3</w:t>
      </w:r>
      <w:r>
        <w:rPr>
          <w:rFonts w:hint="eastAsia" w:ascii="新宋体" w:hAnsi="新宋体" w:eastAsia="新宋体"/>
          <w:b/>
          <w:bCs/>
          <w:color w:val="auto"/>
          <w:sz w:val="22"/>
          <w:szCs w:val="22"/>
          <w:highlight w:val="none"/>
        </w:rPr>
        <w:t>0分（权值</w:t>
      </w:r>
      <w:r>
        <w:rPr>
          <w:rFonts w:hint="eastAsia" w:ascii="新宋体" w:hAnsi="新宋体" w:eastAsia="新宋体"/>
          <w:b/>
          <w:bCs/>
          <w:color w:val="auto"/>
          <w:sz w:val="22"/>
          <w:szCs w:val="22"/>
          <w:highlight w:val="none"/>
          <w:lang w:val="en-US" w:eastAsia="zh-CN"/>
        </w:rPr>
        <w:t>3</w:t>
      </w:r>
      <w:r>
        <w:rPr>
          <w:rFonts w:hint="eastAsia" w:ascii="新宋体" w:hAnsi="新宋体" w:eastAsia="新宋体"/>
          <w:b/>
          <w:bCs/>
          <w:color w:val="auto"/>
          <w:sz w:val="22"/>
          <w:szCs w:val="22"/>
          <w:highlight w:val="none"/>
        </w:rPr>
        <w:t>0%）</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1）有效投标人的投标报价等于评标基准价时其报价分为满分</w:t>
      </w: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rPr>
        <w:t>0分；</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2）其他投标人的价格分按以下公式计算：</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投标报价得分=（评分基准价/投标人投标报价）× 价格权值 ×100（保留小数2位）</w:t>
      </w:r>
    </w:p>
    <w:p>
      <w:pPr>
        <w:spacing w:line="460" w:lineRule="exact"/>
        <w:ind w:firstLine="539" w:firstLineChars="245"/>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根据《政府采购促进中小企业发展管理办法》（财库﹝2020﹞46号），对投标产品为小型或微型企业生产的，</w:t>
      </w:r>
      <w:r>
        <w:rPr>
          <w:rFonts w:hint="eastAsia" w:ascii="宋体" w:hAnsi="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rPr>
        <w:t>10</w:t>
      </w:r>
      <w:r>
        <w:rPr>
          <w:rFonts w:hint="eastAsia" w:ascii="宋体" w:hAnsi="宋体" w:cs="宋体"/>
          <w:b/>
          <w:bCs/>
          <w:color w:val="auto"/>
          <w:sz w:val="22"/>
          <w:szCs w:val="22"/>
          <w:highlight w:val="none"/>
          <w:u w:val="single"/>
          <w:lang w:val="zh-CN"/>
        </w:rPr>
        <w:t>%的扣除</w:t>
      </w:r>
      <w:r>
        <w:rPr>
          <w:rFonts w:hint="eastAsia" w:ascii="宋体" w:hAnsi="宋体" w:cs="宋体"/>
          <w:color w:val="auto"/>
          <w:sz w:val="22"/>
          <w:szCs w:val="22"/>
          <w:highlight w:val="none"/>
          <w:lang w:val="zh-CN"/>
        </w:rPr>
        <w:t>，用扣除后的价格参与价格评分。</w:t>
      </w:r>
    </w:p>
    <w:p>
      <w:pPr>
        <w:spacing w:line="460" w:lineRule="exact"/>
        <w:ind w:firstLine="541" w:firstLineChars="245"/>
        <w:rPr>
          <w:rFonts w:ascii="新宋体" w:hAnsi="新宋体" w:eastAsia="新宋体" w:cs="新宋体"/>
          <w:b/>
          <w:bCs/>
          <w:color w:val="auto"/>
          <w:sz w:val="22"/>
          <w:szCs w:val="22"/>
          <w:highlight w:val="none"/>
          <w:u w:val="single"/>
          <w:lang w:val="zh-CN"/>
        </w:rPr>
      </w:pPr>
      <w:r>
        <w:rPr>
          <w:rFonts w:hint="eastAsia" w:ascii="宋体" w:hAnsi="宋体" w:cs="宋体"/>
          <w:b/>
          <w:bCs/>
          <w:color w:val="auto"/>
          <w:sz w:val="22"/>
          <w:szCs w:val="22"/>
          <w:highlight w:val="none"/>
          <w:lang w:val="zh-CN"/>
        </w:rPr>
        <w:t>监狱企业视同小微企业，其产品参加本项目投标的，享受小微企业同等的价格扣除。</w:t>
      </w:r>
    </w:p>
    <w:p>
      <w:pPr>
        <w:spacing w:line="460" w:lineRule="exact"/>
        <w:ind w:firstLine="541" w:firstLineChars="245"/>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非单一产品采购项目以核心产品为准，应当根据采购项目技术构成、产品价格比重等合理确定核心产品。</w:t>
      </w:r>
    </w:p>
    <w:p>
      <w:pPr>
        <w:spacing w:line="460" w:lineRule="exact"/>
        <w:ind w:firstLine="541" w:firstLineChars="245"/>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ascii="新宋体" w:hAnsi="新宋体" w:eastAsia="新宋体" w:cs="新宋体"/>
          <w:b/>
          <w:bCs/>
          <w:color w:val="auto"/>
          <w:sz w:val="22"/>
          <w:szCs w:val="22"/>
          <w:highlight w:val="none"/>
        </w:rPr>
      </w:pPr>
      <w:bookmarkStart w:id="40" w:name="_Toc4730"/>
      <w:r>
        <w:rPr>
          <w:rFonts w:hint="eastAsia" w:ascii="新宋体" w:hAnsi="新宋体" w:eastAsia="新宋体" w:cs="新宋体"/>
          <w:b/>
          <w:bCs/>
          <w:color w:val="auto"/>
          <w:sz w:val="22"/>
          <w:szCs w:val="22"/>
          <w:highlight w:val="none"/>
        </w:rPr>
        <w:t>六、定标办法</w:t>
      </w:r>
      <w:bookmarkEnd w:id="40"/>
    </w:p>
    <w:p>
      <w:pPr>
        <w:spacing w:line="460" w:lineRule="exact"/>
        <w:ind w:firstLine="539" w:firstLineChars="245"/>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2.1</w:t>
      </w:r>
      <w:r>
        <w:rPr>
          <w:rFonts w:hint="eastAsia" w:ascii="新宋体" w:hAnsi="新宋体" w:eastAsia="新宋体"/>
          <w:b/>
          <w:bCs/>
          <w:color w:val="auto"/>
          <w:sz w:val="22"/>
          <w:szCs w:val="22"/>
          <w:highlight w:val="none"/>
        </w:rPr>
        <w:t>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中标人（以此类推)或重新组织招标。</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ascii="新宋体" w:hAnsi="新宋体" w:eastAsia="新宋体" w:cs="新宋体"/>
          <w:b/>
          <w:color w:val="auto"/>
          <w:sz w:val="22"/>
          <w:szCs w:val="22"/>
          <w:highlight w:val="none"/>
        </w:rPr>
      </w:pPr>
      <w:bookmarkStart w:id="41" w:name="_Toc3005"/>
      <w:r>
        <w:rPr>
          <w:rFonts w:hint="eastAsia" w:ascii="新宋体" w:hAnsi="新宋体" w:eastAsia="新宋体" w:cs="新宋体"/>
          <w:b/>
          <w:color w:val="auto"/>
          <w:sz w:val="22"/>
          <w:szCs w:val="22"/>
          <w:highlight w:val="none"/>
        </w:rPr>
        <w:t>七、投标人义务</w:t>
      </w:r>
      <w:bookmarkEnd w:id="41"/>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投标人应随时接受评标委员会的询标，解答包括有关的商务技术、报价问题等。评标结束，所有评标资料存招标机构备查。</w:t>
      </w:r>
    </w:p>
    <w:p>
      <w:pPr>
        <w:pStyle w:val="26"/>
        <w:ind w:left="0" w:leftChars="0"/>
        <w:rPr>
          <w:rFonts w:ascii="新宋体" w:hAnsi="新宋体" w:eastAsia="新宋体" w:cs="新宋体"/>
          <w:b/>
          <w:bCs/>
          <w:color w:val="auto"/>
          <w:kern w:val="0"/>
          <w:sz w:val="36"/>
          <w:szCs w:val="36"/>
          <w:highlight w:val="none"/>
          <w:lang w:bidi="ar"/>
        </w:rPr>
      </w:pPr>
    </w:p>
    <w:p>
      <w:pPr>
        <w:pStyle w:val="26"/>
        <w:ind w:left="0" w:leftChars="0"/>
        <w:rPr>
          <w:rFonts w:ascii="新宋体" w:hAnsi="新宋体" w:eastAsia="新宋体" w:cs="新宋体"/>
          <w:b/>
          <w:bCs/>
          <w:color w:val="auto"/>
          <w:kern w:val="0"/>
          <w:sz w:val="36"/>
          <w:szCs w:val="36"/>
          <w:highlight w:val="none"/>
          <w:lang w:bidi="ar"/>
        </w:rPr>
      </w:pPr>
    </w:p>
    <w:p>
      <w:pPr>
        <w:pStyle w:val="26"/>
        <w:ind w:left="0" w:leftChars="0"/>
        <w:rPr>
          <w:rFonts w:ascii="新宋体" w:hAnsi="新宋体" w:eastAsia="新宋体" w:cs="新宋体"/>
          <w:b/>
          <w:bCs/>
          <w:color w:val="auto"/>
          <w:kern w:val="0"/>
          <w:sz w:val="36"/>
          <w:szCs w:val="36"/>
          <w:highlight w:val="none"/>
          <w:lang w:bidi="ar"/>
        </w:rPr>
      </w:pPr>
    </w:p>
    <w:sectPr>
      <w:pgSz w:w="11907" w:h="16840"/>
      <w:pgMar w:top="1134" w:right="1134" w:bottom="1134" w:left="113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1905" r="0" b="0"/>
              <wp:wrapNone/>
              <wp:docPr id="4" name="文本框 307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6"/>
                            <w:jc w:val="cente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077"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lvq9YNAgAABAQAAA4AAABkcnMvZTJvRG9jLnhtbK1TS44TMRDdI3EH&#10;y3vSyUxCRq10RsNEQUjDRxo4gON2py3aLqvspDscAG7Aig17zpVzUHanwzBsZsHGKtvlV++9Ki+u&#10;O9OwvUKvwRZ8MhpzpqyEUtttwT99XL+44swHYUvRgFUFPyjPr5fPny1al6sLqKEpFTICsT5vXcHr&#10;EFyeZV7Wygg/AqcsXVaARgTa4jYrUbSEbprsYjx+mbWApUOQyns6XfWX/ISITwGEqtJSrUDujLKh&#10;R0XViECSfK2d58vEtqqUDO+ryqvAmoKT0pBWKkLxJq7ZciHyLQpXa3miIJ5C4ZEmI7SlomeolQiC&#10;7VD/A2W0RPBQhZEEk/VCkiOkYjJ+5M19LZxKWshq786m+/8HK9/tPyDTZcGnnFlhqOHH79+OP34d&#10;f35ll+P5PDrUOp9T4r2j1NC9go7mJqn17g7kZ88s3NbCbtUNIrS1EiUxnMSX2YOnPY6PIJv2LZRU&#10;SuwCJKCuQhPtI0MYoVN3DufuqC4wSYez+fxqxpmkm8nlZDqdpQIiH9469OG1AsNiUHCk3idssb/z&#10;IXIR+ZASS1lY66ZJ/W/sXweUGE8S90i3Jx66TXfyYgPlgVQg9ONEn4mCGvALZy2NUsEt/RzOmjeW&#10;fIhTNwQ4BJshEFbSw4IHzvrwNvTTuXOotzXhDk7fkFdrnYREU3sOJ5Y0HEnfaZDj9D3cp6w/n3f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Apb6vWDQIAAAQEAAAOAAAAAAAAAAEAIAAAAB8B&#10;AABkcnMvZTJvRG9jLnhtbFBLBQYAAAAABgAGAFkBAACeBQAAAAA=&#10;">
              <v:fill on="f" focussize="0,0"/>
              <v:stroke on="f"/>
              <v:imagedata o:title=""/>
              <o:lock v:ext="edit" aspectratio="f"/>
              <v:textbox inset="0mm,0mm,0mm,0mm" style="mso-fit-shape-to-text:t;">
                <w:txbxContent>
                  <w:p>
                    <w:pPr>
                      <w:pStyle w:val="36"/>
                      <w:jc w:val="cente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1905" r="0" b="0"/>
              <wp:wrapNone/>
              <wp:docPr id="3" name="文本框 307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6"/>
                            <w:jc w:val="cente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078"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SoTQNAgAABAQAAA4AAABkcnMvZTJvRG9jLnhtbK1TS44TMRDdI3EH&#10;y3vSyWTCRK10RsNEQUjDRxo4gON2py3aLqvspDscAG7Aig17zpVzUHanwzBsZsHGKtvlV++9Ki+u&#10;O9OwvUKvwRZ8MhpzpqyEUtttwT99XL+Yc+aDsKVowKqCH5Tn18vnzxaty9UF1NCUChmBWJ+3ruB1&#10;CC7PMi9rZYQfgVOWLitAIwJtcZuVKFpCN012MR6/zFrA0iFI5T2drvpLfkLEpwBCVWmpViB3RtnQ&#10;o6JqRCBJvtbO82ViW1VKhvdV5VVgTcFJaUgrFaF4E9dsuRD5FoWrtTxREE+h8EiTEdpS0TPUSgTB&#10;dqj/gTJaIniowkiCyXohyRFSMRk/8ua+Fk4lLWS1d2fT/f+Dle/2H5DpsuBTzqww1PDj92/HH7+O&#10;P7+y6fhqHh1qnc8p8d5RauheQUdzk9R6dwfys2cWbmtht+oGEdpaiZIYTuLL7MHTHsdHkE37Fkoq&#10;JXYBElBXoYn2kSGM0Kk7h3N3VBeYpMPZ1dV8xpmkm8l0cnk5SwVEPrx16MNrBYbFoOBIvU/YYn/n&#10;Q+Qi8iEllrKw1k2T+t/Yvw4oMZ4k7pFuTzx0m+7kxQbKA6lA6MeJPhMFNeAXzloapYJb+jmcNW8s&#10;+RCnbghwCDZDIKykhwUPnPXhbeinc+dQb2vCHZy+Ia/WOgmJpvYcTixpOJK+0yDH6Xu4T1l/Pu/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DrUqE0DQIAAAQEAAAOAAAAAAAAAAEAIAAAAB8B&#10;AABkcnMvZTJvRG9jLnhtbFBLBQYAAAAABgAGAFkBAACeBQAAAAA=&#10;">
              <v:fill on="f" focussize="0,0"/>
              <v:stroke on="f"/>
              <v:imagedata o:title=""/>
              <o:lock v:ext="edit" aspectratio="f"/>
              <v:textbox inset="0mm,0mm,0mm,0mm" style="mso-fit-shape-to-text:t;">
                <w:txbxContent>
                  <w:p>
                    <w:pPr>
                      <w:pStyle w:val="36"/>
                      <w:jc w:val="cente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4500" w:firstLineChars="25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4445"/>
              <wp:wrapNone/>
              <wp:docPr id="2" name="文本框 307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36"/>
                            <w:rPr>
                              <w:rStyle w:val="56"/>
                            </w:rPr>
                          </w:pPr>
                          <w:r>
                            <w:fldChar w:fldCharType="begin"/>
                          </w:r>
                          <w:r>
                            <w:rPr>
                              <w:rStyle w:val="56"/>
                            </w:rPr>
                            <w:instrText xml:space="preserve">PAGE  </w:instrText>
                          </w:r>
                          <w:r>
                            <w:fldChar w:fldCharType="separate"/>
                          </w:r>
                          <w:r>
                            <w:rPr>
                              <w:rStyle w:val="56"/>
                            </w:rPr>
                            <w:t>80</w:t>
                          </w:r>
                          <w:r>
                            <w:fldChar w:fldCharType="end"/>
                          </w:r>
                        </w:p>
                      </w:txbxContent>
                    </wps:txbx>
                    <wps:bodyPr rot="0" vert="horz" wrap="none" lIns="0" tIns="0" rIns="0" bIns="0" anchor="t" anchorCtr="0" upright="1">
                      <a:spAutoFit/>
                    </wps:bodyPr>
                  </wps:wsp>
                </a:graphicData>
              </a:graphic>
            </wp:anchor>
          </w:drawing>
        </mc:Choice>
        <mc:Fallback>
          <w:pict>
            <v:shape id="文本框 307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mDWywSAgAAEgQAAA4AAABkcnMvZTJvRG9jLnhtbK1TS27bMBDdF+gd&#10;CO5r2U4cB4LlII3hokD6AdIcgKYoi6jEIYa0JfcA7Q26yqb7nsvn6JCSnDTdZNGNMCJn3sx787i4&#10;auuK7RU6DSbjk9GYM2Uk5NpsM37/Zf3mkjPnhclFBUZl/KAcv1q+frVobKqmUEKVK2QEYlza2IyX&#10;3ts0SZwsVS3cCKwydFkA1sLTL26THEVD6HWVTMfji6QBzC2CVM7R6aq75D0ivgQQikJLtQK5q5Xx&#10;HSqqSnii5EptHV/GaYtCSf+pKJzyrMo4MfXxS00o3oRvslyIdIvCllr2I4iXjPCMUy20oaYnqJXw&#10;gu1Q/wNVa4ngoPAjCXXSEYmKEIvJ+Jk2d6WwKnIhqZ09ie7+H6z8uP+MTOcZn3JmRE0LP/78cXz4&#10;ffz1nZ2N5xdBoca6lBLvLKX69i205JvI1tlbkF8dM3BTCrNV14jQlErkNOEkVCZPSjscF0A2zQfI&#10;qZXYeYhAbYF1kI8EYYRO2zmctqNazyQdzubzyxlnkm4mZ5Pz81lsINKh1qLz7xTULAQZR9p9xBb7&#10;W+fDLCIdUkIrA2tdVXH/lfnrgBK7ExUN1FcHJmH4joZvN22vzAbyA3FC6MxFT4uCEvAbZw0ZK+OG&#10;3hFn1XtDqgQPDgEOwWYIhJFUmHHPWRfe+M6rO4t6WxLuoPs1KbfWkVYYrJuh15usEtn2tg5efPof&#10;sx6f8v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vdRNAAAAACAQAADwAAAAAAAAABACAAAAAi&#10;AAAAZHJzL2Rvd25yZXYueG1sUEsBAhQAFAAAAAgAh07iQEmDWywSAgAAEgQAAA4AAAAAAAAAAQAg&#10;AAAAHwEAAGRycy9lMm9Eb2MueG1sUEsFBgAAAAAGAAYAWQEAAKMFAAAAAA==&#10;">
              <v:fill on="f" focussize="0,0"/>
              <v:stroke on="f"/>
              <v:imagedata o:title=""/>
              <o:lock v:ext="edit" aspectratio="f"/>
              <v:textbox inset="0mm,0mm,0mm,0mm" style="mso-fit-shape-to-text:t;">
                <w:txbxContent>
                  <w:p>
                    <w:pPr>
                      <w:pStyle w:val="36"/>
                      <w:rPr>
                        <w:rStyle w:val="56"/>
                      </w:rPr>
                    </w:pPr>
                    <w:r>
                      <w:fldChar w:fldCharType="begin"/>
                    </w:r>
                    <w:r>
                      <w:rPr>
                        <w:rStyle w:val="56"/>
                      </w:rPr>
                      <w:instrText xml:space="preserve">PAGE  </w:instrText>
                    </w:r>
                    <w:r>
                      <w:fldChar w:fldCharType="separate"/>
                    </w:r>
                    <w:r>
                      <w:rPr>
                        <w:rStyle w:val="56"/>
                      </w:rP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4445"/>
              <wp:wrapNone/>
              <wp:docPr id="1" name="文本框 307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6"/>
                            <w:jc w:val="both"/>
                            <w:rPr>
                              <w:rStyle w:val="56"/>
                            </w:rPr>
                          </w:pPr>
                          <w:r>
                            <w:fldChar w:fldCharType="begin"/>
                          </w:r>
                          <w:r>
                            <w:rPr>
                              <w:rStyle w:val="56"/>
                            </w:rPr>
                            <w:instrText xml:space="preserve">PAGE  </w:instrText>
                          </w:r>
                          <w:r>
                            <w:fldChar w:fldCharType="separate"/>
                          </w:r>
                          <w:r>
                            <w:rPr>
                              <w:rStyle w:val="56"/>
                            </w:rPr>
                            <w:t>204</w:t>
                          </w:r>
                          <w:r>
                            <w:fldChar w:fldCharType="end"/>
                          </w:r>
                        </w:p>
                      </w:txbxContent>
                    </wps:txbx>
                    <wps:bodyPr rot="0" vert="horz" wrap="none" lIns="0" tIns="0" rIns="0" bIns="0" anchor="t" anchorCtr="0" upright="1">
                      <a:spAutoFit/>
                    </wps:bodyPr>
                  </wps:wsp>
                </a:graphicData>
              </a:graphic>
            </wp:anchor>
          </w:drawing>
        </mc:Choice>
        <mc:Fallback>
          <w:pict>
            <v:shape id="文本框 307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MQ0psRAgAAEwQAAA4AAABkcnMvZTJvRG9jLnhtbK1TwY7TMBC9I/EP&#10;lu80zbYLS9R0tWxVhLSwSAsf4DpOY5F4rLHbpHwA/MGeuHDnu/odjJ2kLMtlD1yssT3zZt7z8+Ky&#10;a2q2V+g0mJynkylnykgotNnm/POn9YsLzpwXphA1GJXzg3L8cvn82aK1mTqDCupCISMQ47LW5rzy&#10;3mZJ4mSlGuEmYJWhyxKwEZ62uE0KFC2hN3VyNp2+TFrAwiJI5RydrvpLPiDiUwChLLVUK5C7Rhnf&#10;o6KqhSdKrtLW8WWctiyV9Ldl6ZRndc6JqY8rNaF4E9ZkuRDZFoWttBxGEE8Z4RGnRmhDTU9QK+EF&#10;26H+B6rREsFB6ScSmqQnEhUhFun0kTZ3lbAqciGpnT2J7v4frPyw/4hMF+QEzoxo6MGP99+PP34d&#10;f35js+mr86BQa11GiXeWUn33BrqQHdg6ewPyi2MGrithtuoKEdpKiYImTENl8qC0x3EBZNO+h4Ja&#10;iZ2HCNSV2ARAEoQROr3O4fQ6qvNMhpbp/PXsnDNJV+ksnc/jbInIxmKLzr9V0LAQ5Bzp8SO42N84&#10;H4YR2ZgSehlY67qOBqjNXweU2J+o6KChOlAJ0/c8fLfpBmk2UByIFELvLvpbFFSAXzlryVk5N/SR&#10;OKvfGZIlmHAMcAw2YyCMpMKce8768Nr3Zt1Z1NuKcEfhr0i6tY60wmD9DIPg5JXIdvB1MOPDfcz6&#10;85e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MxDSmxECAAATBAAADgAAAAAAAAABACAA&#10;AAAfAQAAZHJzL2Uyb0RvYy54bWxQSwUGAAAAAAYABgBZAQAAogUAAAAA&#10;">
              <v:fill on="f" focussize="0,0"/>
              <v:stroke on="f"/>
              <v:imagedata o:title=""/>
              <o:lock v:ext="edit" aspectratio="f"/>
              <v:textbox inset="0mm,0mm,0mm,0mm" style="mso-fit-shape-to-text:t;">
                <w:txbxContent>
                  <w:p>
                    <w:pPr>
                      <w:pStyle w:val="36"/>
                      <w:jc w:val="both"/>
                      <w:rPr>
                        <w:rStyle w:val="56"/>
                      </w:rPr>
                    </w:pPr>
                    <w:r>
                      <w:fldChar w:fldCharType="begin"/>
                    </w:r>
                    <w:r>
                      <w:rPr>
                        <w:rStyle w:val="56"/>
                      </w:rPr>
                      <w:instrText xml:space="preserve">PAGE  </w:instrText>
                    </w:r>
                    <w:r>
                      <w:fldChar w:fldCharType="separate"/>
                    </w:r>
                    <w:r>
                      <w:rPr>
                        <w:rStyle w:val="56"/>
                      </w:rPr>
                      <w:t>204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rPr>
        <w:rFonts w:hint="eastAsia" w:eastAsia="宋体"/>
        <w:lang w:eastAsia="zh-CN"/>
      </w:rPr>
    </w:pPr>
    <w:r>
      <w:rPr>
        <w:rFonts w:hint="eastAsia"/>
      </w:rPr>
      <w:t xml:space="preserve">温州市政府（分散）采购招标文件                                        项目编号： </w:t>
    </w:r>
    <w:r>
      <w:rPr>
        <w:rFonts w:hint="eastAsia"/>
        <w:lang w:eastAsia="zh-CN"/>
      </w:rPr>
      <w:t>ZJHJ-ZFCG-2022-21</w:t>
    </w:r>
  </w:p>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rPr>
        <w:rFonts w:hint="eastAsia" w:eastAsia="宋体"/>
        <w:lang w:eastAsia="zh-CN"/>
      </w:rPr>
    </w:pPr>
    <w:r>
      <w:rPr>
        <w:rFonts w:hint="eastAsia"/>
      </w:rPr>
      <w:t xml:space="preserve">温州市政府（分散）采购招标文件                                               项目编号： </w:t>
    </w:r>
    <w:r>
      <w:rPr>
        <w:rFonts w:hint="eastAsia"/>
        <w:lang w:eastAsia="zh-CN"/>
      </w:rPr>
      <w:t>ZJHJ-ZFCG-2022-21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rPr>
        <w:rFonts w:hint="eastAsia" w:eastAsia="宋体"/>
        <w:lang w:eastAsia="zh-CN"/>
      </w:rPr>
    </w:pPr>
    <w:r>
      <w:rPr>
        <w:rFonts w:hint="eastAsia"/>
      </w:rPr>
      <w:t xml:space="preserve">温州市政府（分散）采购招标文件                                               项目编号： </w:t>
    </w:r>
    <w:r>
      <w:rPr>
        <w:rFonts w:hint="eastAsia"/>
        <w:lang w:eastAsia="zh-CN"/>
      </w:rPr>
      <w:t>ZJHJ-ZFCG-2022-21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rPr>
        <w:rFonts w:hint="eastAsia" w:eastAsia="宋体"/>
        <w:lang w:eastAsia="zh-CN"/>
      </w:rPr>
    </w:pPr>
    <w:r>
      <w:rPr>
        <w:rFonts w:hint="eastAsia"/>
      </w:rPr>
      <w:t>温州市政府（分散）采购招标文件                                             项目编号：</w:t>
    </w:r>
    <w:r>
      <w:rPr>
        <w:rFonts w:hint="eastAsia"/>
        <w:lang w:eastAsia="zh-CN"/>
      </w:rPr>
      <w:t>ZJHJ-ZFCG-2022-21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9EC89"/>
    <w:multiLevelType w:val="singleLevel"/>
    <w:tmpl w:val="BAF9EC89"/>
    <w:lvl w:ilvl="0" w:tentative="0">
      <w:start w:val="1"/>
      <w:numFmt w:val="chineseCounting"/>
      <w:suff w:val="nothing"/>
      <w:lvlText w:val="（%1）"/>
      <w:lvlJc w:val="left"/>
      <w:rPr>
        <w:rFonts w:hint="eastAsia"/>
      </w:rPr>
    </w:lvl>
  </w:abstractNum>
  <w:abstractNum w:abstractNumId="1">
    <w:nsid w:val="52D7A3B6"/>
    <w:multiLevelType w:val="singleLevel"/>
    <w:tmpl w:val="52D7A3B6"/>
    <w:lvl w:ilvl="0" w:tentative="0">
      <w:start w:val="1"/>
      <w:numFmt w:val="decimal"/>
      <w:suff w:val="nothing"/>
      <w:lvlText w:val="（%1）"/>
      <w:lvlJc w:val="left"/>
    </w:lvl>
  </w:abstractNum>
  <w:abstractNum w:abstractNumId="2">
    <w:nsid w:val="7BCB77E8"/>
    <w:multiLevelType w:val="multilevel"/>
    <w:tmpl w:val="7BCB77E8"/>
    <w:lvl w:ilvl="0" w:tentative="0">
      <w:start w:val="1"/>
      <w:numFmt w:val="bullet"/>
      <w:pStyle w:val="227"/>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3NGI4NDRmNjA0NGY5ZmJlOTY2MjM2NjY4OTU0MWQifQ=="/>
  </w:docVars>
  <w:rsids>
    <w:rsidRoot w:val="00172A27"/>
    <w:rsid w:val="000040BA"/>
    <w:rsid w:val="0002229F"/>
    <w:rsid w:val="00023546"/>
    <w:rsid w:val="000B42BC"/>
    <w:rsid w:val="00106A1C"/>
    <w:rsid w:val="00125E09"/>
    <w:rsid w:val="001330A2"/>
    <w:rsid w:val="00134A12"/>
    <w:rsid w:val="00140069"/>
    <w:rsid w:val="00172A27"/>
    <w:rsid w:val="0019455F"/>
    <w:rsid w:val="001C6657"/>
    <w:rsid w:val="001C6C70"/>
    <w:rsid w:val="002116AF"/>
    <w:rsid w:val="00213153"/>
    <w:rsid w:val="0025409E"/>
    <w:rsid w:val="00267160"/>
    <w:rsid w:val="00300CAD"/>
    <w:rsid w:val="003033AF"/>
    <w:rsid w:val="0031501B"/>
    <w:rsid w:val="003206B1"/>
    <w:rsid w:val="003476DA"/>
    <w:rsid w:val="003A2A47"/>
    <w:rsid w:val="003B1E8D"/>
    <w:rsid w:val="003E6FB1"/>
    <w:rsid w:val="003F6662"/>
    <w:rsid w:val="00413E40"/>
    <w:rsid w:val="00467882"/>
    <w:rsid w:val="00475AAE"/>
    <w:rsid w:val="00490DFB"/>
    <w:rsid w:val="004C14F2"/>
    <w:rsid w:val="004E5871"/>
    <w:rsid w:val="00544B86"/>
    <w:rsid w:val="005736BA"/>
    <w:rsid w:val="0057485A"/>
    <w:rsid w:val="00577C55"/>
    <w:rsid w:val="00581891"/>
    <w:rsid w:val="005978B8"/>
    <w:rsid w:val="005B1B0D"/>
    <w:rsid w:val="005B3D77"/>
    <w:rsid w:val="005E09A1"/>
    <w:rsid w:val="005F0A4C"/>
    <w:rsid w:val="00605459"/>
    <w:rsid w:val="0065705B"/>
    <w:rsid w:val="006730CA"/>
    <w:rsid w:val="006A1ACD"/>
    <w:rsid w:val="006A2C48"/>
    <w:rsid w:val="006F0BE0"/>
    <w:rsid w:val="00700110"/>
    <w:rsid w:val="007031F6"/>
    <w:rsid w:val="00712C8F"/>
    <w:rsid w:val="0074694C"/>
    <w:rsid w:val="0075479D"/>
    <w:rsid w:val="00767F98"/>
    <w:rsid w:val="0077607E"/>
    <w:rsid w:val="0079281C"/>
    <w:rsid w:val="007953A3"/>
    <w:rsid w:val="007A5A00"/>
    <w:rsid w:val="007B51AB"/>
    <w:rsid w:val="007C2046"/>
    <w:rsid w:val="007E6811"/>
    <w:rsid w:val="00824181"/>
    <w:rsid w:val="0082491B"/>
    <w:rsid w:val="00833141"/>
    <w:rsid w:val="00872009"/>
    <w:rsid w:val="00874D13"/>
    <w:rsid w:val="00880971"/>
    <w:rsid w:val="008A6DB7"/>
    <w:rsid w:val="008C3795"/>
    <w:rsid w:val="008C715B"/>
    <w:rsid w:val="008D3F29"/>
    <w:rsid w:val="008E0E2E"/>
    <w:rsid w:val="008E3815"/>
    <w:rsid w:val="0094168C"/>
    <w:rsid w:val="009426F8"/>
    <w:rsid w:val="00944BC5"/>
    <w:rsid w:val="009A47C0"/>
    <w:rsid w:val="009B18FB"/>
    <w:rsid w:val="009B1AD0"/>
    <w:rsid w:val="009D262B"/>
    <w:rsid w:val="009D6EF6"/>
    <w:rsid w:val="009F445E"/>
    <w:rsid w:val="00A16786"/>
    <w:rsid w:val="00A179C3"/>
    <w:rsid w:val="00A41CB5"/>
    <w:rsid w:val="00A825AC"/>
    <w:rsid w:val="00A86DF7"/>
    <w:rsid w:val="00AC1531"/>
    <w:rsid w:val="00AF2C7A"/>
    <w:rsid w:val="00B13A16"/>
    <w:rsid w:val="00B20A22"/>
    <w:rsid w:val="00B25CAE"/>
    <w:rsid w:val="00B35DCE"/>
    <w:rsid w:val="00B43F9A"/>
    <w:rsid w:val="00B57AAC"/>
    <w:rsid w:val="00B61CE5"/>
    <w:rsid w:val="00B72974"/>
    <w:rsid w:val="00B75F10"/>
    <w:rsid w:val="00B90220"/>
    <w:rsid w:val="00B97E3D"/>
    <w:rsid w:val="00BA214E"/>
    <w:rsid w:val="00BB2166"/>
    <w:rsid w:val="00BE7C5D"/>
    <w:rsid w:val="00BF3B8F"/>
    <w:rsid w:val="00C30FAD"/>
    <w:rsid w:val="00C35C45"/>
    <w:rsid w:val="00C374AA"/>
    <w:rsid w:val="00C65F03"/>
    <w:rsid w:val="00C76643"/>
    <w:rsid w:val="00C85187"/>
    <w:rsid w:val="00CA35F5"/>
    <w:rsid w:val="00CA6F14"/>
    <w:rsid w:val="00CE261F"/>
    <w:rsid w:val="00D14C34"/>
    <w:rsid w:val="00D202C2"/>
    <w:rsid w:val="00D31581"/>
    <w:rsid w:val="00D47669"/>
    <w:rsid w:val="00D718AA"/>
    <w:rsid w:val="00DA24F1"/>
    <w:rsid w:val="00DA49EB"/>
    <w:rsid w:val="00DB6D78"/>
    <w:rsid w:val="00DC0E5B"/>
    <w:rsid w:val="00DD141F"/>
    <w:rsid w:val="00DF49CA"/>
    <w:rsid w:val="00E07C3B"/>
    <w:rsid w:val="00E348BC"/>
    <w:rsid w:val="00E826F7"/>
    <w:rsid w:val="00E97B00"/>
    <w:rsid w:val="00EC2597"/>
    <w:rsid w:val="00EC5B63"/>
    <w:rsid w:val="00EE4D82"/>
    <w:rsid w:val="00EE673C"/>
    <w:rsid w:val="00F0783C"/>
    <w:rsid w:val="00F42E54"/>
    <w:rsid w:val="00F505AC"/>
    <w:rsid w:val="00F57253"/>
    <w:rsid w:val="00FA24F1"/>
    <w:rsid w:val="00FA441D"/>
    <w:rsid w:val="00FB7D84"/>
    <w:rsid w:val="00FC1F12"/>
    <w:rsid w:val="00FD56B3"/>
    <w:rsid w:val="00FE468F"/>
    <w:rsid w:val="00FE6E4D"/>
    <w:rsid w:val="013001D8"/>
    <w:rsid w:val="01372171"/>
    <w:rsid w:val="013F27ED"/>
    <w:rsid w:val="01444FC2"/>
    <w:rsid w:val="01733466"/>
    <w:rsid w:val="01BB610E"/>
    <w:rsid w:val="01F15D70"/>
    <w:rsid w:val="020E0E62"/>
    <w:rsid w:val="02437BF2"/>
    <w:rsid w:val="024A13AC"/>
    <w:rsid w:val="02974AC8"/>
    <w:rsid w:val="02D81BE7"/>
    <w:rsid w:val="02DD1A2B"/>
    <w:rsid w:val="02F3661A"/>
    <w:rsid w:val="03002925"/>
    <w:rsid w:val="033141DC"/>
    <w:rsid w:val="03327FC8"/>
    <w:rsid w:val="033D3A9E"/>
    <w:rsid w:val="034A3B2B"/>
    <w:rsid w:val="034C70E3"/>
    <w:rsid w:val="03541CD8"/>
    <w:rsid w:val="035449CF"/>
    <w:rsid w:val="035E4655"/>
    <w:rsid w:val="03601F25"/>
    <w:rsid w:val="03756184"/>
    <w:rsid w:val="03E3512A"/>
    <w:rsid w:val="04113D07"/>
    <w:rsid w:val="042F36AC"/>
    <w:rsid w:val="043053DA"/>
    <w:rsid w:val="043B1FC0"/>
    <w:rsid w:val="049B420E"/>
    <w:rsid w:val="04A51BAC"/>
    <w:rsid w:val="04B539BC"/>
    <w:rsid w:val="04CB22A6"/>
    <w:rsid w:val="04FD5069"/>
    <w:rsid w:val="05011E4D"/>
    <w:rsid w:val="05241C5C"/>
    <w:rsid w:val="057C6E97"/>
    <w:rsid w:val="05B54827"/>
    <w:rsid w:val="05E9329B"/>
    <w:rsid w:val="061456C0"/>
    <w:rsid w:val="062A2873"/>
    <w:rsid w:val="070545E2"/>
    <w:rsid w:val="0705724E"/>
    <w:rsid w:val="073564AA"/>
    <w:rsid w:val="0747552D"/>
    <w:rsid w:val="07544F67"/>
    <w:rsid w:val="076E786E"/>
    <w:rsid w:val="07844B53"/>
    <w:rsid w:val="07D336FA"/>
    <w:rsid w:val="07DA489B"/>
    <w:rsid w:val="07F43B72"/>
    <w:rsid w:val="08301451"/>
    <w:rsid w:val="087972CF"/>
    <w:rsid w:val="08805ACF"/>
    <w:rsid w:val="08846EF7"/>
    <w:rsid w:val="089A0148"/>
    <w:rsid w:val="08C472A9"/>
    <w:rsid w:val="08C96D7B"/>
    <w:rsid w:val="08F6752D"/>
    <w:rsid w:val="0908668B"/>
    <w:rsid w:val="09405F6A"/>
    <w:rsid w:val="098C12EA"/>
    <w:rsid w:val="09C073F6"/>
    <w:rsid w:val="09F132E5"/>
    <w:rsid w:val="0A4A4820"/>
    <w:rsid w:val="0A655B1C"/>
    <w:rsid w:val="0A7022A3"/>
    <w:rsid w:val="0A97481C"/>
    <w:rsid w:val="0AA40B20"/>
    <w:rsid w:val="0AA85CD1"/>
    <w:rsid w:val="0AE3391E"/>
    <w:rsid w:val="0AEB534A"/>
    <w:rsid w:val="0AEC0A73"/>
    <w:rsid w:val="0AF82345"/>
    <w:rsid w:val="0B0F3B3C"/>
    <w:rsid w:val="0B1A73CC"/>
    <w:rsid w:val="0B38086C"/>
    <w:rsid w:val="0B6A2F5F"/>
    <w:rsid w:val="0B793B03"/>
    <w:rsid w:val="0B7D2716"/>
    <w:rsid w:val="0B7D6DAE"/>
    <w:rsid w:val="0B97468A"/>
    <w:rsid w:val="0BA33451"/>
    <w:rsid w:val="0BD66F7F"/>
    <w:rsid w:val="0BED4C67"/>
    <w:rsid w:val="0BFF3D2C"/>
    <w:rsid w:val="0C015C4E"/>
    <w:rsid w:val="0C262886"/>
    <w:rsid w:val="0C272E0B"/>
    <w:rsid w:val="0C331F58"/>
    <w:rsid w:val="0C3A18FA"/>
    <w:rsid w:val="0C5E543A"/>
    <w:rsid w:val="0C614F5B"/>
    <w:rsid w:val="0C935463"/>
    <w:rsid w:val="0C9F59CF"/>
    <w:rsid w:val="0CB85C85"/>
    <w:rsid w:val="0D131EEF"/>
    <w:rsid w:val="0D1E6764"/>
    <w:rsid w:val="0D217569"/>
    <w:rsid w:val="0D2C1241"/>
    <w:rsid w:val="0D3F34E2"/>
    <w:rsid w:val="0D452BE9"/>
    <w:rsid w:val="0D545189"/>
    <w:rsid w:val="0D6B6185"/>
    <w:rsid w:val="0D7D3705"/>
    <w:rsid w:val="0DB54028"/>
    <w:rsid w:val="0DC54F2E"/>
    <w:rsid w:val="0DE3496D"/>
    <w:rsid w:val="0DE573C3"/>
    <w:rsid w:val="0DE934ED"/>
    <w:rsid w:val="0DFC1A08"/>
    <w:rsid w:val="0DFC74A1"/>
    <w:rsid w:val="0E3F42EA"/>
    <w:rsid w:val="0E48055A"/>
    <w:rsid w:val="0E594CE8"/>
    <w:rsid w:val="0E5A20BC"/>
    <w:rsid w:val="0E66152D"/>
    <w:rsid w:val="0E965168"/>
    <w:rsid w:val="0ECA1221"/>
    <w:rsid w:val="0EDE73CB"/>
    <w:rsid w:val="0EDE7AD9"/>
    <w:rsid w:val="0F2261B2"/>
    <w:rsid w:val="0F5D2358"/>
    <w:rsid w:val="0F6041D8"/>
    <w:rsid w:val="0F79019B"/>
    <w:rsid w:val="0FCB1952"/>
    <w:rsid w:val="0FDD3E77"/>
    <w:rsid w:val="0FDF2AA2"/>
    <w:rsid w:val="10003DE9"/>
    <w:rsid w:val="104211F7"/>
    <w:rsid w:val="10C12337"/>
    <w:rsid w:val="10C47A4A"/>
    <w:rsid w:val="10C928E0"/>
    <w:rsid w:val="10D65D4D"/>
    <w:rsid w:val="10D90315"/>
    <w:rsid w:val="11D015CA"/>
    <w:rsid w:val="11DF71C9"/>
    <w:rsid w:val="120D4517"/>
    <w:rsid w:val="125257CA"/>
    <w:rsid w:val="12887BC1"/>
    <w:rsid w:val="12AF7CF6"/>
    <w:rsid w:val="12B60843"/>
    <w:rsid w:val="12D637BE"/>
    <w:rsid w:val="12DA4BE2"/>
    <w:rsid w:val="12F01674"/>
    <w:rsid w:val="131266F0"/>
    <w:rsid w:val="13580201"/>
    <w:rsid w:val="13635613"/>
    <w:rsid w:val="13A90F03"/>
    <w:rsid w:val="13BE6268"/>
    <w:rsid w:val="13C93111"/>
    <w:rsid w:val="1407509A"/>
    <w:rsid w:val="14842E95"/>
    <w:rsid w:val="14A14A9E"/>
    <w:rsid w:val="14B7470A"/>
    <w:rsid w:val="14B97711"/>
    <w:rsid w:val="14F95557"/>
    <w:rsid w:val="150B2E49"/>
    <w:rsid w:val="156F2573"/>
    <w:rsid w:val="159E4E04"/>
    <w:rsid w:val="15A31A05"/>
    <w:rsid w:val="15A6466B"/>
    <w:rsid w:val="15AE0FF3"/>
    <w:rsid w:val="15E96100"/>
    <w:rsid w:val="15F3003D"/>
    <w:rsid w:val="16075434"/>
    <w:rsid w:val="161A56A4"/>
    <w:rsid w:val="163004AD"/>
    <w:rsid w:val="16630751"/>
    <w:rsid w:val="166554E7"/>
    <w:rsid w:val="166E0962"/>
    <w:rsid w:val="167F5567"/>
    <w:rsid w:val="16AA3642"/>
    <w:rsid w:val="16F94DEE"/>
    <w:rsid w:val="171B618B"/>
    <w:rsid w:val="175F4275"/>
    <w:rsid w:val="176F5BDE"/>
    <w:rsid w:val="17905726"/>
    <w:rsid w:val="17981ED7"/>
    <w:rsid w:val="17C2619F"/>
    <w:rsid w:val="17D66CEA"/>
    <w:rsid w:val="17DA1B26"/>
    <w:rsid w:val="17E25A41"/>
    <w:rsid w:val="181A1D25"/>
    <w:rsid w:val="1826131F"/>
    <w:rsid w:val="18271D4B"/>
    <w:rsid w:val="18695AB0"/>
    <w:rsid w:val="1877210B"/>
    <w:rsid w:val="187B0C16"/>
    <w:rsid w:val="18DA5364"/>
    <w:rsid w:val="18E109AB"/>
    <w:rsid w:val="18E64FD6"/>
    <w:rsid w:val="193C44F6"/>
    <w:rsid w:val="196210F5"/>
    <w:rsid w:val="19656B2C"/>
    <w:rsid w:val="196868F5"/>
    <w:rsid w:val="196E79CE"/>
    <w:rsid w:val="19D702C8"/>
    <w:rsid w:val="19EC27FE"/>
    <w:rsid w:val="1A067C49"/>
    <w:rsid w:val="1A1071C9"/>
    <w:rsid w:val="1A340690"/>
    <w:rsid w:val="1A6508B1"/>
    <w:rsid w:val="1A8861D5"/>
    <w:rsid w:val="1A8E4AD8"/>
    <w:rsid w:val="1A9B117B"/>
    <w:rsid w:val="1B324C57"/>
    <w:rsid w:val="1B4643E1"/>
    <w:rsid w:val="1BAE06E6"/>
    <w:rsid w:val="1BBB665B"/>
    <w:rsid w:val="1BC17A75"/>
    <w:rsid w:val="1BD57875"/>
    <w:rsid w:val="1BF57F17"/>
    <w:rsid w:val="1C2568C9"/>
    <w:rsid w:val="1C32098C"/>
    <w:rsid w:val="1C3705CD"/>
    <w:rsid w:val="1C397D37"/>
    <w:rsid w:val="1C420BEA"/>
    <w:rsid w:val="1C485CC3"/>
    <w:rsid w:val="1C6E2BBF"/>
    <w:rsid w:val="1C794E77"/>
    <w:rsid w:val="1C7D1845"/>
    <w:rsid w:val="1C9660BA"/>
    <w:rsid w:val="1CB735C0"/>
    <w:rsid w:val="1CB853B3"/>
    <w:rsid w:val="1CBE4C52"/>
    <w:rsid w:val="1CDA36AB"/>
    <w:rsid w:val="1D2031B4"/>
    <w:rsid w:val="1D31465B"/>
    <w:rsid w:val="1D490AF5"/>
    <w:rsid w:val="1D4D4E89"/>
    <w:rsid w:val="1DB35E4E"/>
    <w:rsid w:val="1DD21D63"/>
    <w:rsid w:val="1DFF66FE"/>
    <w:rsid w:val="1E207E4F"/>
    <w:rsid w:val="1E4235E0"/>
    <w:rsid w:val="1E4F0105"/>
    <w:rsid w:val="1E694D77"/>
    <w:rsid w:val="1EA0401F"/>
    <w:rsid w:val="1EC1289C"/>
    <w:rsid w:val="1EC85D86"/>
    <w:rsid w:val="1EDF5DFF"/>
    <w:rsid w:val="1F0115E6"/>
    <w:rsid w:val="1F400D45"/>
    <w:rsid w:val="1F5B0E3C"/>
    <w:rsid w:val="1F997D08"/>
    <w:rsid w:val="1FAD00B8"/>
    <w:rsid w:val="1FC740F3"/>
    <w:rsid w:val="1FD32D30"/>
    <w:rsid w:val="1FE57748"/>
    <w:rsid w:val="200A4C9E"/>
    <w:rsid w:val="200D6F47"/>
    <w:rsid w:val="20125A90"/>
    <w:rsid w:val="2028604D"/>
    <w:rsid w:val="203C74A5"/>
    <w:rsid w:val="2053359A"/>
    <w:rsid w:val="20FD5107"/>
    <w:rsid w:val="21226EB7"/>
    <w:rsid w:val="21365423"/>
    <w:rsid w:val="213D35C4"/>
    <w:rsid w:val="21482C68"/>
    <w:rsid w:val="215A71A7"/>
    <w:rsid w:val="219465A8"/>
    <w:rsid w:val="21991983"/>
    <w:rsid w:val="21A572BA"/>
    <w:rsid w:val="22273C78"/>
    <w:rsid w:val="227472EC"/>
    <w:rsid w:val="2288155B"/>
    <w:rsid w:val="22953CD1"/>
    <w:rsid w:val="22BC2FE9"/>
    <w:rsid w:val="23093AA8"/>
    <w:rsid w:val="231B1DAE"/>
    <w:rsid w:val="233139A1"/>
    <w:rsid w:val="238610A7"/>
    <w:rsid w:val="2387736F"/>
    <w:rsid w:val="238D2DA6"/>
    <w:rsid w:val="23A07A94"/>
    <w:rsid w:val="23C7193D"/>
    <w:rsid w:val="23D17DC4"/>
    <w:rsid w:val="24327716"/>
    <w:rsid w:val="24491E1F"/>
    <w:rsid w:val="245B6864"/>
    <w:rsid w:val="246F14B7"/>
    <w:rsid w:val="24C10CA1"/>
    <w:rsid w:val="24F00B4F"/>
    <w:rsid w:val="25001CA1"/>
    <w:rsid w:val="251029DC"/>
    <w:rsid w:val="256F4EC7"/>
    <w:rsid w:val="257C2E3C"/>
    <w:rsid w:val="25831E3A"/>
    <w:rsid w:val="25BC0E34"/>
    <w:rsid w:val="25BC27B3"/>
    <w:rsid w:val="25D961F9"/>
    <w:rsid w:val="25DC45DF"/>
    <w:rsid w:val="26236969"/>
    <w:rsid w:val="26245372"/>
    <w:rsid w:val="264B1EE2"/>
    <w:rsid w:val="264B6355"/>
    <w:rsid w:val="26627459"/>
    <w:rsid w:val="268D2F09"/>
    <w:rsid w:val="26BB5760"/>
    <w:rsid w:val="26F84ED3"/>
    <w:rsid w:val="26FD49E5"/>
    <w:rsid w:val="27215E15"/>
    <w:rsid w:val="273374C3"/>
    <w:rsid w:val="27691FEB"/>
    <w:rsid w:val="276C2A47"/>
    <w:rsid w:val="27995126"/>
    <w:rsid w:val="281560EC"/>
    <w:rsid w:val="28AB52FD"/>
    <w:rsid w:val="28B700EB"/>
    <w:rsid w:val="28C93469"/>
    <w:rsid w:val="29007903"/>
    <w:rsid w:val="291E3312"/>
    <w:rsid w:val="29252A62"/>
    <w:rsid w:val="294B208E"/>
    <w:rsid w:val="295D5189"/>
    <w:rsid w:val="2960022A"/>
    <w:rsid w:val="29951A37"/>
    <w:rsid w:val="29C1387D"/>
    <w:rsid w:val="2A0540EB"/>
    <w:rsid w:val="2A27165A"/>
    <w:rsid w:val="2A340A34"/>
    <w:rsid w:val="2A450970"/>
    <w:rsid w:val="2A8F75F4"/>
    <w:rsid w:val="2AA93084"/>
    <w:rsid w:val="2AF00FDF"/>
    <w:rsid w:val="2B165412"/>
    <w:rsid w:val="2B38539E"/>
    <w:rsid w:val="2BA43086"/>
    <w:rsid w:val="2BA44C1F"/>
    <w:rsid w:val="2BC479C2"/>
    <w:rsid w:val="2BEC7E2C"/>
    <w:rsid w:val="2C1D7843"/>
    <w:rsid w:val="2C294F8C"/>
    <w:rsid w:val="2C345177"/>
    <w:rsid w:val="2C4326EC"/>
    <w:rsid w:val="2C4C39BE"/>
    <w:rsid w:val="2C4C6FDD"/>
    <w:rsid w:val="2CAE3665"/>
    <w:rsid w:val="2CF32B84"/>
    <w:rsid w:val="2D0D06C1"/>
    <w:rsid w:val="2D246FEE"/>
    <w:rsid w:val="2D3A28F2"/>
    <w:rsid w:val="2D4128C1"/>
    <w:rsid w:val="2D66475B"/>
    <w:rsid w:val="2D6B4B28"/>
    <w:rsid w:val="2DBE1E41"/>
    <w:rsid w:val="2DCC10A1"/>
    <w:rsid w:val="2DCF03F8"/>
    <w:rsid w:val="2DFF4A83"/>
    <w:rsid w:val="2E122008"/>
    <w:rsid w:val="2E2E2168"/>
    <w:rsid w:val="2E40448B"/>
    <w:rsid w:val="2E8C1E5B"/>
    <w:rsid w:val="2EC861BD"/>
    <w:rsid w:val="2F032CD9"/>
    <w:rsid w:val="2F054A4A"/>
    <w:rsid w:val="2F380AB3"/>
    <w:rsid w:val="2F492300"/>
    <w:rsid w:val="2F541426"/>
    <w:rsid w:val="2F5479BA"/>
    <w:rsid w:val="2F652DBB"/>
    <w:rsid w:val="2F6C589B"/>
    <w:rsid w:val="2F997CCD"/>
    <w:rsid w:val="2FD15A61"/>
    <w:rsid w:val="2FF76742"/>
    <w:rsid w:val="3003598E"/>
    <w:rsid w:val="311F6DD1"/>
    <w:rsid w:val="313B4368"/>
    <w:rsid w:val="315C0464"/>
    <w:rsid w:val="317E778D"/>
    <w:rsid w:val="31A729C5"/>
    <w:rsid w:val="31AC33EA"/>
    <w:rsid w:val="320E0399"/>
    <w:rsid w:val="322240D9"/>
    <w:rsid w:val="32314873"/>
    <w:rsid w:val="32572E2A"/>
    <w:rsid w:val="32AC3DFD"/>
    <w:rsid w:val="32B703C5"/>
    <w:rsid w:val="32BB7DEA"/>
    <w:rsid w:val="32D5578E"/>
    <w:rsid w:val="331B051A"/>
    <w:rsid w:val="332A470C"/>
    <w:rsid w:val="33492157"/>
    <w:rsid w:val="338C350C"/>
    <w:rsid w:val="33A440BD"/>
    <w:rsid w:val="33A725A4"/>
    <w:rsid w:val="33C2118E"/>
    <w:rsid w:val="33DF5176"/>
    <w:rsid w:val="33E96E13"/>
    <w:rsid w:val="34272C71"/>
    <w:rsid w:val="342F1C9A"/>
    <w:rsid w:val="343A07D4"/>
    <w:rsid w:val="343E3710"/>
    <w:rsid w:val="3472746F"/>
    <w:rsid w:val="347C39D1"/>
    <w:rsid w:val="347C4221"/>
    <w:rsid w:val="34AB08B2"/>
    <w:rsid w:val="34B65AB4"/>
    <w:rsid w:val="34F7608F"/>
    <w:rsid w:val="35213707"/>
    <w:rsid w:val="352441F3"/>
    <w:rsid w:val="352B360B"/>
    <w:rsid w:val="352F238C"/>
    <w:rsid w:val="3561697A"/>
    <w:rsid w:val="359039E0"/>
    <w:rsid w:val="35AD3C5E"/>
    <w:rsid w:val="367F3CF4"/>
    <w:rsid w:val="3693324F"/>
    <w:rsid w:val="36BE477C"/>
    <w:rsid w:val="36DD4630"/>
    <w:rsid w:val="36EC2369"/>
    <w:rsid w:val="372D04DB"/>
    <w:rsid w:val="378A0131"/>
    <w:rsid w:val="3790271A"/>
    <w:rsid w:val="37AC2C61"/>
    <w:rsid w:val="37BF3380"/>
    <w:rsid w:val="38021567"/>
    <w:rsid w:val="380E4F1F"/>
    <w:rsid w:val="38432EAC"/>
    <w:rsid w:val="38E36465"/>
    <w:rsid w:val="39213268"/>
    <w:rsid w:val="39796D21"/>
    <w:rsid w:val="3981290F"/>
    <w:rsid w:val="398F5A2D"/>
    <w:rsid w:val="3A594F10"/>
    <w:rsid w:val="3A9C4BBA"/>
    <w:rsid w:val="3A9F2513"/>
    <w:rsid w:val="3AC72086"/>
    <w:rsid w:val="3AFE025A"/>
    <w:rsid w:val="3B0B435E"/>
    <w:rsid w:val="3B3E6753"/>
    <w:rsid w:val="3B835223"/>
    <w:rsid w:val="3BF02C6A"/>
    <w:rsid w:val="3BF53366"/>
    <w:rsid w:val="3BF93AB6"/>
    <w:rsid w:val="3C0C7345"/>
    <w:rsid w:val="3C227A1F"/>
    <w:rsid w:val="3C3451CD"/>
    <w:rsid w:val="3C7D7C99"/>
    <w:rsid w:val="3CA32D84"/>
    <w:rsid w:val="3CBA5285"/>
    <w:rsid w:val="3D1F5E2B"/>
    <w:rsid w:val="3D4C0BB6"/>
    <w:rsid w:val="3D507557"/>
    <w:rsid w:val="3D585B11"/>
    <w:rsid w:val="3D6669E6"/>
    <w:rsid w:val="3D755F99"/>
    <w:rsid w:val="3D7A2502"/>
    <w:rsid w:val="3DEB3279"/>
    <w:rsid w:val="3E0A6B94"/>
    <w:rsid w:val="3E450474"/>
    <w:rsid w:val="3E4C63DD"/>
    <w:rsid w:val="3E59117D"/>
    <w:rsid w:val="3E9B64F0"/>
    <w:rsid w:val="3EDD7FB3"/>
    <w:rsid w:val="3EFD35FC"/>
    <w:rsid w:val="3F177DE4"/>
    <w:rsid w:val="3F1C67B3"/>
    <w:rsid w:val="3F3C61AB"/>
    <w:rsid w:val="3F4E0AF4"/>
    <w:rsid w:val="3F6131BF"/>
    <w:rsid w:val="3F7C6ACF"/>
    <w:rsid w:val="3F87161D"/>
    <w:rsid w:val="3F972383"/>
    <w:rsid w:val="3FC97B77"/>
    <w:rsid w:val="3FCB1275"/>
    <w:rsid w:val="3FD61FD3"/>
    <w:rsid w:val="3FF43235"/>
    <w:rsid w:val="3FF45099"/>
    <w:rsid w:val="401D6D4D"/>
    <w:rsid w:val="403060F0"/>
    <w:rsid w:val="405116F1"/>
    <w:rsid w:val="40A065BD"/>
    <w:rsid w:val="40D006F5"/>
    <w:rsid w:val="40FF1F62"/>
    <w:rsid w:val="4187747B"/>
    <w:rsid w:val="4197782B"/>
    <w:rsid w:val="41A535AA"/>
    <w:rsid w:val="4241137D"/>
    <w:rsid w:val="429C1435"/>
    <w:rsid w:val="42E16EB3"/>
    <w:rsid w:val="43085C34"/>
    <w:rsid w:val="435A06C4"/>
    <w:rsid w:val="43665A5C"/>
    <w:rsid w:val="439A09F5"/>
    <w:rsid w:val="439F1B8F"/>
    <w:rsid w:val="43B8313D"/>
    <w:rsid w:val="4431337C"/>
    <w:rsid w:val="444730A2"/>
    <w:rsid w:val="444A72BB"/>
    <w:rsid w:val="4475727E"/>
    <w:rsid w:val="4476494B"/>
    <w:rsid w:val="449F563D"/>
    <w:rsid w:val="44BB1973"/>
    <w:rsid w:val="44E57F64"/>
    <w:rsid w:val="44EB0D5C"/>
    <w:rsid w:val="44FE278B"/>
    <w:rsid w:val="451F006A"/>
    <w:rsid w:val="45235A63"/>
    <w:rsid w:val="456C2437"/>
    <w:rsid w:val="456C41D2"/>
    <w:rsid w:val="45714C61"/>
    <w:rsid w:val="45732F0F"/>
    <w:rsid w:val="45AF6493"/>
    <w:rsid w:val="45EE76B2"/>
    <w:rsid w:val="46365019"/>
    <w:rsid w:val="46840369"/>
    <w:rsid w:val="468834BE"/>
    <w:rsid w:val="469317FC"/>
    <w:rsid w:val="46990B0B"/>
    <w:rsid w:val="46CD7FE0"/>
    <w:rsid w:val="47644A88"/>
    <w:rsid w:val="47A15929"/>
    <w:rsid w:val="47AB6627"/>
    <w:rsid w:val="47AC5F66"/>
    <w:rsid w:val="47AE70EB"/>
    <w:rsid w:val="47C05CA9"/>
    <w:rsid w:val="47D034B8"/>
    <w:rsid w:val="47F354E7"/>
    <w:rsid w:val="48690867"/>
    <w:rsid w:val="48862697"/>
    <w:rsid w:val="488C61D2"/>
    <w:rsid w:val="48991014"/>
    <w:rsid w:val="48CE2961"/>
    <w:rsid w:val="48D71855"/>
    <w:rsid w:val="48DF1DC3"/>
    <w:rsid w:val="48EF319B"/>
    <w:rsid w:val="48EF714D"/>
    <w:rsid w:val="4924281B"/>
    <w:rsid w:val="49321AAF"/>
    <w:rsid w:val="494F75D6"/>
    <w:rsid w:val="49531B59"/>
    <w:rsid w:val="495F69C1"/>
    <w:rsid w:val="496770E4"/>
    <w:rsid w:val="49A5108D"/>
    <w:rsid w:val="49AC2396"/>
    <w:rsid w:val="49C56596"/>
    <w:rsid w:val="4A011E9A"/>
    <w:rsid w:val="4A0F4A2F"/>
    <w:rsid w:val="4A5E6550"/>
    <w:rsid w:val="4A7103C0"/>
    <w:rsid w:val="4AE419A1"/>
    <w:rsid w:val="4AEC71C1"/>
    <w:rsid w:val="4AFF0413"/>
    <w:rsid w:val="4B066AD1"/>
    <w:rsid w:val="4B3834BD"/>
    <w:rsid w:val="4B8D111A"/>
    <w:rsid w:val="4BE25895"/>
    <w:rsid w:val="4C084CA1"/>
    <w:rsid w:val="4C0F59F4"/>
    <w:rsid w:val="4C227943"/>
    <w:rsid w:val="4CB27F58"/>
    <w:rsid w:val="4CB92ABE"/>
    <w:rsid w:val="4CCC6242"/>
    <w:rsid w:val="4D096E8F"/>
    <w:rsid w:val="4D2F3177"/>
    <w:rsid w:val="4D33390E"/>
    <w:rsid w:val="4D3413B0"/>
    <w:rsid w:val="4D510DA7"/>
    <w:rsid w:val="4D653CC4"/>
    <w:rsid w:val="4D741FFC"/>
    <w:rsid w:val="4DA145FE"/>
    <w:rsid w:val="4DCF60C5"/>
    <w:rsid w:val="4E103A51"/>
    <w:rsid w:val="4E2C41C7"/>
    <w:rsid w:val="4E522D0C"/>
    <w:rsid w:val="4EB44BE7"/>
    <w:rsid w:val="4EE254B9"/>
    <w:rsid w:val="4F105740"/>
    <w:rsid w:val="4F3717BD"/>
    <w:rsid w:val="4F610FB8"/>
    <w:rsid w:val="4FD84E79"/>
    <w:rsid w:val="4FDF2870"/>
    <w:rsid w:val="500D67FE"/>
    <w:rsid w:val="50132220"/>
    <w:rsid w:val="502350D7"/>
    <w:rsid w:val="503209E2"/>
    <w:rsid w:val="50445F58"/>
    <w:rsid w:val="504A26F6"/>
    <w:rsid w:val="504F2B7C"/>
    <w:rsid w:val="50750D8C"/>
    <w:rsid w:val="50A456F9"/>
    <w:rsid w:val="50B234A9"/>
    <w:rsid w:val="50E50AC2"/>
    <w:rsid w:val="50F37CB3"/>
    <w:rsid w:val="510961FA"/>
    <w:rsid w:val="514915AE"/>
    <w:rsid w:val="51622499"/>
    <w:rsid w:val="517B0316"/>
    <w:rsid w:val="51AF57C6"/>
    <w:rsid w:val="51F676C2"/>
    <w:rsid w:val="524A562E"/>
    <w:rsid w:val="52566E48"/>
    <w:rsid w:val="52601278"/>
    <w:rsid w:val="527B23BF"/>
    <w:rsid w:val="5288376A"/>
    <w:rsid w:val="52C32C39"/>
    <w:rsid w:val="52D208E5"/>
    <w:rsid w:val="52ED05BC"/>
    <w:rsid w:val="53150E79"/>
    <w:rsid w:val="532D199E"/>
    <w:rsid w:val="533711EA"/>
    <w:rsid w:val="53567BEF"/>
    <w:rsid w:val="53774E87"/>
    <w:rsid w:val="53B319B5"/>
    <w:rsid w:val="54421A1B"/>
    <w:rsid w:val="5443766F"/>
    <w:rsid w:val="544B29D0"/>
    <w:rsid w:val="544C52F5"/>
    <w:rsid w:val="54B24EA6"/>
    <w:rsid w:val="54E95147"/>
    <w:rsid w:val="54EF5A2E"/>
    <w:rsid w:val="550D2648"/>
    <w:rsid w:val="559E2EBF"/>
    <w:rsid w:val="55AF01DF"/>
    <w:rsid w:val="55CA584F"/>
    <w:rsid w:val="55D07480"/>
    <w:rsid w:val="55E97EAE"/>
    <w:rsid w:val="55F552C0"/>
    <w:rsid w:val="55FD7B2E"/>
    <w:rsid w:val="56192A6A"/>
    <w:rsid w:val="562B1343"/>
    <w:rsid w:val="56745142"/>
    <w:rsid w:val="56BB2D2F"/>
    <w:rsid w:val="56ED629A"/>
    <w:rsid w:val="56F96B07"/>
    <w:rsid w:val="572B4892"/>
    <w:rsid w:val="574A099D"/>
    <w:rsid w:val="57616002"/>
    <w:rsid w:val="578E25D7"/>
    <w:rsid w:val="57C26B2D"/>
    <w:rsid w:val="57E66D1D"/>
    <w:rsid w:val="57F83669"/>
    <w:rsid w:val="582B432B"/>
    <w:rsid w:val="58322558"/>
    <w:rsid w:val="5841719C"/>
    <w:rsid w:val="58AE15EB"/>
    <w:rsid w:val="58DE757B"/>
    <w:rsid w:val="5921150F"/>
    <w:rsid w:val="592D2F60"/>
    <w:rsid w:val="594D7699"/>
    <w:rsid w:val="597577F3"/>
    <w:rsid w:val="59B20F9F"/>
    <w:rsid w:val="59B35B4B"/>
    <w:rsid w:val="59B819C2"/>
    <w:rsid w:val="59B961D4"/>
    <w:rsid w:val="59D67D5B"/>
    <w:rsid w:val="5A7066E6"/>
    <w:rsid w:val="5A7C73B7"/>
    <w:rsid w:val="5A9F6BD3"/>
    <w:rsid w:val="5AE002CC"/>
    <w:rsid w:val="5AF15244"/>
    <w:rsid w:val="5AFD02AF"/>
    <w:rsid w:val="5B021445"/>
    <w:rsid w:val="5B1B2537"/>
    <w:rsid w:val="5B204573"/>
    <w:rsid w:val="5B560270"/>
    <w:rsid w:val="5BEE69DD"/>
    <w:rsid w:val="5C095E6F"/>
    <w:rsid w:val="5C322EA1"/>
    <w:rsid w:val="5C3F1579"/>
    <w:rsid w:val="5C942F44"/>
    <w:rsid w:val="5C9B11E3"/>
    <w:rsid w:val="5CBB1864"/>
    <w:rsid w:val="5CBD3460"/>
    <w:rsid w:val="5CF94831"/>
    <w:rsid w:val="5D0A4A91"/>
    <w:rsid w:val="5D1C12A9"/>
    <w:rsid w:val="5D6A3D29"/>
    <w:rsid w:val="5D9F77DE"/>
    <w:rsid w:val="5DB93E54"/>
    <w:rsid w:val="5DC82FE0"/>
    <w:rsid w:val="5DE70C7D"/>
    <w:rsid w:val="5E016E99"/>
    <w:rsid w:val="5E0C2497"/>
    <w:rsid w:val="5E1223FD"/>
    <w:rsid w:val="5E19480E"/>
    <w:rsid w:val="5E196F30"/>
    <w:rsid w:val="5E473B1C"/>
    <w:rsid w:val="5F042E24"/>
    <w:rsid w:val="5F1627E6"/>
    <w:rsid w:val="5F2356CA"/>
    <w:rsid w:val="5F3E2B5F"/>
    <w:rsid w:val="5F522D7B"/>
    <w:rsid w:val="5F644FE3"/>
    <w:rsid w:val="5F8E6276"/>
    <w:rsid w:val="5FA410D6"/>
    <w:rsid w:val="5FC43550"/>
    <w:rsid w:val="5FCB6A79"/>
    <w:rsid w:val="5FE479BB"/>
    <w:rsid w:val="5FE71F50"/>
    <w:rsid w:val="5FE72A0A"/>
    <w:rsid w:val="5FFF000A"/>
    <w:rsid w:val="5FFF2396"/>
    <w:rsid w:val="6007755F"/>
    <w:rsid w:val="60746A0B"/>
    <w:rsid w:val="60817E51"/>
    <w:rsid w:val="60A46F62"/>
    <w:rsid w:val="60E36D36"/>
    <w:rsid w:val="61053D86"/>
    <w:rsid w:val="615B1AFB"/>
    <w:rsid w:val="61667C45"/>
    <w:rsid w:val="61865557"/>
    <w:rsid w:val="61BB66C4"/>
    <w:rsid w:val="61DE2370"/>
    <w:rsid w:val="622F7629"/>
    <w:rsid w:val="624A2CA8"/>
    <w:rsid w:val="626E4109"/>
    <w:rsid w:val="62980D9A"/>
    <w:rsid w:val="629F55E2"/>
    <w:rsid w:val="62B8141D"/>
    <w:rsid w:val="62CD53DB"/>
    <w:rsid w:val="62DC6926"/>
    <w:rsid w:val="62EF3F61"/>
    <w:rsid w:val="62F32066"/>
    <w:rsid w:val="63505E25"/>
    <w:rsid w:val="635A423F"/>
    <w:rsid w:val="637C0340"/>
    <w:rsid w:val="638527C3"/>
    <w:rsid w:val="63F8673F"/>
    <w:rsid w:val="63FF44DC"/>
    <w:rsid w:val="63FF6967"/>
    <w:rsid w:val="6407452F"/>
    <w:rsid w:val="6418198D"/>
    <w:rsid w:val="642E1979"/>
    <w:rsid w:val="646E3CB5"/>
    <w:rsid w:val="64E51842"/>
    <w:rsid w:val="656104A6"/>
    <w:rsid w:val="657C36B8"/>
    <w:rsid w:val="65F430E2"/>
    <w:rsid w:val="6605515F"/>
    <w:rsid w:val="66117811"/>
    <w:rsid w:val="66826A65"/>
    <w:rsid w:val="669323DE"/>
    <w:rsid w:val="66AA37C4"/>
    <w:rsid w:val="66C4441A"/>
    <w:rsid w:val="66D22371"/>
    <w:rsid w:val="67371992"/>
    <w:rsid w:val="673A3D9F"/>
    <w:rsid w:val="67580D25"/>
    <w:rsid w:val="676A58B0"/>
    <w:rsid w:val="677F598A"/>
    <w:rsid w:val="678A05F9"/>
    <w:rsid w:val="678A0690"/>
    <w:rsid w:val="67A75387"/>
    <w:rsid w:val="6819737B"/>
    <w:rsid w:val="68201E16"/>
    <w:rsid w:val="6833629F"/>
    <w:rsid w:val="68533AC7"/>
    <w:rsid w:val="685A0428"/>
    <w:rsid w:val="68972F13"/>
    <w:rsid w:val="68F240C7"/>
    <w:rsid w:val="68F45EB1"/>
    <w:rsid w:val="690B750D"/>
    <w:rsid w:val="69336C29"/>
    <w:rsid w:val="693518F9"/>
    <w:rsid w:val="69360900"/>
    <w:rsid w:val="69412846"/>
    <w:rsid w:val="69694CF5"/>
    <w:rsid w:val="696B7731"/>
    <w:rsid w:val="69A06439"/>
    <w:rsid w:val="69D229D3"/>
    <w:rsid w:val="69D84081"/>
    <w:rsid w:val="69FD46DC"/>
    <w:rsid w:val="6A726123"/>
    <w:rsid w:val="6A9B699A"/>
    <w:rsid w:val="6AEE0668"/>
    <w:rsid w:val="6AFB6BAE"/>
    <w:rsid w:val="6B0C0BEA"/>
    <w:rsid w:val="6B22413D"/>
    <w:rsid w:val="6B5862FD"/>
    <w:rsid w:val="6B6D1CF4"/>
    <w:rsid w:val="6B7F5533"/>
    <w:rsid w:val="6B93280A"/>
    <w:rsid w:val="6BD23C6D"/>
    <w:rsid w:val="6BDA3B40"/>
    <w:rsid w:val="6BF16A36"/>
    <w:rsid w:val="6C0C756A"/>
    <w:rsid w:val="6C1B1900"/>
    <w:rsid w:val="6C391476"/>
    <w:rsid w:val="6C954F10"/>
    <w:rsid w:val="6C985842"/>
    <w:rsid w:val="6CA13AB4"/>
    <w:rsid w:val="6D032D5E"/>
    <w:rsid w:val="6D0675E3"/>
    <w:rsid w:val="6D29017D"/>
    <w:rsid w:val="6D4C14BC"/>
    <w:rsid w:val="6D6B2E2D"/>
    <w:rsid w:val="6D8D314D"/>
    <w:rsid w:val="6E074888"/>
    <w:rsid w:val="6E12150B"/>
    <w:rsid w:val="6E1B0232"/>
    <w:rsid w:val="6E4101E5"/>
    <w:rsid w:val="6E5C21A3"/>
    <w:rsid w:val="6E835256"/>
    <w:rsid w:val="6EB90F5C"/>
    <w:rsid w:val="6EDD013F"/>
    <w:rsid w:val="6EDF1252"/>
    <w:rsid w:val="6EF963B0"/>
    <w:rsid w:val="6F083CD9"/>
    <w:rsid w:val="6F366286"/>
    <w:rsid w:val="6F49026C"/>
    <w:rsid w:val="6F50716D"/>
    <w:rsid w:val="6F644F21"/>
    <w:rsid w:val="6F837F46"/>
    <w:rsid w:val="6FD20CED"/>
    <w:rsid w:val="70140259"/>
    <w:rsid w:val="701F5075"/>
    <w:rsid w:val="703469E0"/>
    <w:rsid w:val="70402F20"/>
    <w:rsid w:val="70524D90"/>
    <w:rsid w:val="70815A9F"/>
    <w:rsid w:val="70BA2FA5"/>
    <w:rsid w:val="70BD378A"/>
    <w:rsid w:val="7134474E"/>
    <w:rsid w:val="71354044"/>
    <w:rsid w:val="715A415B"/>
    <w:rsid w:val="71727E74"/>
    <w:rsid w:val="717363AB"/>
    <w:rsid w:val="71BB2F36"/>
    <w:rsid w:val="71C13337"/>
    <w:rsid w:val="71D40552"/>
    <w:rsid w:val="71D5155C"/>
    <w:rsid w:val="71E1094E"/>
    <w:rsid w:val="71E677AF"/>
    <w:rsid w:val="71F930DA"/>
    <w:rsid w:val="72097843"/>
    <w:rsid w:val="72102FEF"/>
    <w:rsid w:val="72284E61"/>
    <w:rsid w:val="725F6BE2"/>
    <w:rsid w:val="72762278"/>
    <w:rsid w:val="72D43F0D"/>
    <w:rsid w:val="73251E72"/>
    <w:rsid w:val="732C4C98"/>
    <w:rsid w:val="733E62E4"/>
    <w:rsid w:val="735A2AFA"/>
    <w:rsid w:val="73915317"/>
    <w:rsid w:val="73E350DB"/>
    <w:rsid w:val="745C3B28"/>
    <w:rsid w:val="745D7BAE"/>
    <w:rsid w:val="746F0F8A"/>
    <w:rsid w:val="74752613"/>
    <w:rsid w:val="748E7375"/>
    <w:rsid w:val="74D156FD"/>
    <w:rsid w:val="74E840FD"/>
    <w:rsid w:val="751F640F"/>
    <w:rsid w:val="752407A4"/>
    <w:rsid w:val="752A45A8"/>
    <w:rsid w:val="75385F59"/>
    <w:rsid w:val="758F5A18"/>
    <w:rsid w:val="75A33669"/>
    <w:rsid w:val="75AD3CB7"/>
    <w:rsid w:val="76140754"/>
    <w:rsid w:val="7615746B"/>
    <w:rsid w:val="761E5F2D"/>
    <w:rsid w:val="76240449"/>
    <w:rsid w:val="766D7A52"/>
    <w:rsid w:val="76BC33F3"/>
    <w:rsid w:val="76EA2099"/>
    <w:rsid w:val="76F64356"/>
    <w:rsid w:val="770B7760"/>
    <w:rsid w:val="77221A9D"/>
    <w:rsid w:val="77234FCF"/>
    <w:rsid w:val="7795168F"/>
    <w:rsid w:val="77C5082F"/>
    <w:rsid w:val="78140343"/>
    <w:rsid w:val="784A6913"/>
    <w:rsid w:val="78926E68"/>
    <w:rsid w:val="789B791D"/>
    <w:rsid w:val="78C52B6C"/>
    <w:rsid w:val="78FD76B9"/>
    <w:rsid w:val="79045905"/>
    <w:rsid w:val="79152FEB"/>
    <w:rsid w:val="7937333A"/>
    <w:rsid w:val="797A63CF"/>
    <w:rsid w:val="79817742"/>
    <w:rsid w:val="79842ABB"/>
    <w:rsid w:val="7986478E"/>
    <w:rsid w:val="79A937FB"/>
    <w:rsid w:val="79D1132C"/>
    <w:rsid w:val="79DA2354"/>
    <w:rsid w:val="79EC63BA"/>
    <w:rsid w:val="7A893971"/>
    <w:rsid w:val="7ABC3697"/>
    <w:rsid w:val="7AD45005"/>
    <w:rsid w:val="7B1A4F2F"/>
    <w:rsid w:val="7B244303"/>
    <w:rsid w:val="7B751FD5"/>
    <w:rsid w:val="7BAD6EB9"/>
    <w:rsid w:val="7BBC2008"/>
    <w:rsid w:val="7BC040B8"/>
    <w:rsid w:val="7BD96D1A"/>
    <w:rsid w:val="7BF36FA6"/>
    <w:rsid w:val="7C116E57"/>
    <w:rsid w:val="7C1C1C02"/>
    <w:rsid w:val="7C592AD4"/>
    <w:rsid w:val="7C6341CC"/>
    <w:rsid w:val="7CB7798D"/>
    <w:rsid w:val="7CCF79B4"/>
    <w:rsid w:val="7CEA58C8"/>
    <w:rsid w:val="7CF85706"/>
    <w:rsid w:val="7D3A38AD"/>
    <w:rsid w:val="7DA01B79"/>
    <w:rsid w:val="7DB43938"/>
    <w:rsid w:val="7DF62DC9"/>
    <w:rsid w:val="7E0151A3"/>
    <w:rsid w:val="7E8245BA"/>
    <w:rsid w:val="7EA22E4D"/>
    <w:rsid w:val="7EA426CC"/>
    <w:rsid w:val="7EBD4CC0"/>
    <w:rsid w:val="7EC035FD"/>
    <w:rsid w:val="7EC40A24"/>
    <w:rsid w:val="7F0B5DF7"/>
    <w:rsid w:val="7F2733BE"/>
    <w:rsid w:val="7F283120"/>
    <w:rsid w:val="7F6337BD"/>
    <w:rsid w:val="7F846908"/>
    <w:rsid w:val="7FB551BC"/>
    <w:rsid w:val="7FBB0384"/>
    <w:rsid w:val="7FCB2254"/>
    <w:rsid w:val="7FD22087"/>
    <w:rsid w:val="7FD2471A"/>
    <w:rsid w:val="7FDA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jc w:val="center"/>
      <w:outlineLvl w:val="0"/>
    </w:pPr>
    <w:rPr>
      <w:rFonts w:eastAsia="黑体"/>
      <w:b/>
      <w:sz w:val="32"/>
      <w:szCs w:val="20"/>
    </w:rPr>
  </w:style>
  <w:style w:type="paragraph" w:styleId="4">
    <w:name w:val="heading 2"/>
    <w:basedOn w:val="1"/>
    <w:next w:val="1"/>
    <w:link w:val="66"/>
    <w:qFormat/>
    <w:uiPriority w:val="0"/>
    <w:pPr>
      <w:keepNext/>
      <w:outlineLvl w:val="1"/>
    </w:pPr>
    <w:rPr>
      <w:rFonts w:ascii="仿宋_GB2312"/>
      <w:b/>
      <w:sz w:val="28"/>
      <w:szCs w:val="32"/>
    </w:rPr>
  </w:style>
  <w:style w:type="paragraph" w:styleId="5">
    <w:name w:val="heading 3"/>
    <w:basedOn w:val="1"/>
    <w:next w:val="1"/>
    <w:link w:val="67"/>
    <w:qFormat/>
    <w:uiPriority w:val="0"/>
    <w:pPr>
      <w:keepNext/>
      <w:keepLines/>
      <w:spacing w:line="540" w:lineRule="atLeast"/>
      <w:outlineLvl w:val="2"/>
    </w:pPr>
    <w:rPr>
      <w:rFonts w:eastAsia="黑体"/>
      <w:b/>
      <w:sz w:val="28"/>
      <w:szCs w:val="20"/>
    </w:rPr>
  </w:style>
  <w:style w:type="paragraph" w:styleId="6">
    <w:name w:val="heading 4"/>
    <w:basedOn w:val="1"/>
    <w:next w:val="1"/>
    <w:link w:val="68"/>
    <w:qFormat/>
    <w:uiPriority w:val="0"/>
    <w:pPr>
      <w:keepNext/>
      <w:keepLines/>
      <w:spacing w:line="540" w:lineRule="atLeast"/>
      <w:outlineLvl w:val="3"/>
    </w:pPr>
    <w:rPr>
      <w:sz w:val="28"/>
      <w:szCs w:val="28"/>
    </w:rPr>
  </w:style>
  <w:style w:type="paragraph" w:styleId="7">
    <w:name w:val="heading 5"/>
    <w:basedOn w:val="1"/>
    <w:next w:val="1"/>
    <w:link w:val="69"/>
    <w:qFormat/>
    <w:uiPriority w:val="0"/>
    <w:pPr>
      <w:keepNext/>
      <w:keepLines/>
      <w:spacing w:before="280" w:after="290" w:line="372" w:lineRule="auto"/>
      <w:outlineLvl w:val="4"/>
    </w:pPr>
    <w:rPr>
      <w:b/>
      <w:bCs/>
      <w:kern w:val="0"/>
      <w:sz w:val="28"/>
      <w:szCs w:val="28"/>
    </w:rPr>
  </w:style>
  <w:style w:type="paragraph" w:styleId="8">
    <w:name w:val="heading 6"/>
    <w:basedOn w:val="1"/>
    <w:next w:val="1"/>
    <w:link w:val="70"/>
    <w:qFormat/>
    <w:uiPriority w:val="0"/>
    <w:pPr>
      <w:keepNext/>
      <w:keepLines/>
      <w:spacing w:before="240" w:after="64" w:line="317" w:lineRule="auto"/>
      <w:outlineLvl w:val="5"/>
    </w:pPr>
    <w:rPr>
      <w:rFonts w:ascii="Arial" w:hAnsi="Arial" w:eastAsia="黑体"/>
      <w:b/>
      <w:sz w:val="24"/>
      <w:szCs w:val="20"/>
    </w:rPr>
  </w:style>
  <w:style w:type="paragraph" w:styleId="9">
    <w:name w:val="heading 7"/>
    <w:basedOn w:val="1"/>
    <w:next w:val="10"/>
    <w:link w:val="71"/>
    <w:qFormat/>
    <w:uiPriority w:val="0"/>
    <w:pPr>
      <w:keepNext/>
      <w:keepLines/>
      <w:spacing w:before="240" w:after="64" w:line="317" w:lineRule="auto"/>
      <w:outlineLvl w:val="6"/>
    </w:pPr>
    <w:rPr>
      <w:b/>
      <w:sz w:val="24"/>
      <w:szCs w:val="20"/>
    </w:rPr>
  </w:style>
  <w:style w:type="paragraph" w:styleId="11">
    <w:name w:val="heading 8"/>
    <w:basedOn w:val="1"/>
    <w:next w:val="10"/>
    <w:link w:val="73"/>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10"/>
    <w:link w:val="74"/>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macro"/>
    <w:link w:val="6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0">
    <w:name w:val="Normal Indent"/>
    <w:basedOn w:val="1"/>
    <w:next w:val="1"/>
    <w:link w:val="72"/>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75"/>
    <w:qFormat/>
    <w:uiPriority w:val="0"/>
    <w:pPr>
      <w:shd w:val="clear" w:color="auto" w:fill="000080"/>
    </w:pPr>
  </w:style>
  <w:style w:type="paragraph" w:styleId="18">
    <w:name w:val="annotation text"/>
    <w:basedOn w:val="1"/>
    <w:link w:val="76"/>
    <w:qFormat/>
    <w:uiPriority w:val="0"/>
    <w:pPr>
      <w:jc w:val="left"/>
    </w:pPr>
  </w:style>
  <w:style w:type="paragraph" w:styleId="19">
    <w:name w:val="Salutation"/>
    <w:basedOn w:val="1"/>
    <w:next w:val="1"/>
    <w:link w:val="77"/>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78"/>
    <w:qFormat/>
    <w:uiPriority w:val="0"/>
    <w:pPr>
      <w:autoSpaceDE w:val="0"/>
      <w:autoSpaceDN w:val="0"/>
      <w:adjustRightInd w:val="0"/>
      <w:jc w:val="center"/>
    </w:pPr>
  </w:style>
  <w:style w:type="paragraph" w:styleId="21">
    <w:name w:val="Body Text"/>
    <w:basedOn w:val="1"/>
    <w:next w:val="22"/>
    <w:link w:val="79"/>
    <w:qFormat/>
    <w:uiPriority w:val="0"/>
    <w:pPr>
      <w:spacing w:after="120"/>
    </w:pPr>
    <w:rPr>
      <w:rFonts w:ascii="仿宋_GB2312"/>
      <w:b/>
    </w:rPr>
  </w:style>
  <w:style w:type="paragraph" w:styleId="22">
    <w:name w:val="Body Text First Indent"/>
    <w:basedOn w:val="21"/>
    <w:next w:val="23"/>
    <w:link w:val="80"/>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link w:val="81"/>
    <w:qFormat/>
    <w:uiPriority w:val="0"/>
    <w:pPr>
      <w:ind w:left="480" w:hanging="480" w:hangingChars="200"/>
    </w:pPr>
    <w:rPr>
      <w:sz w:val="24"/>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next w:val="31"/>
    <w:link w:val="82"/>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1">
    <w:name w:val="Date"/>
    <w:basedOn w:val="1"/>
    <w:next w:val="1"/>
    <w:link w:val="83"/>
    <w:qFormat/>
    <w:uiPriority w:val="0"/>
    <w:pPr>
      <w:ind w:left="100" w:leftChars="2500"/>
    </w:p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Body Text Indent 2"/>
    <w:basedOn w:val="1"/>
    <w:link w:val="84"/>
    <w:qFormat/>
    <w:uiPriority w:val="0"/>
    <w:pPr>
      <w:spacing w:line="500" w:lineRule="exact"/>
      <w:ind w:firstLine="511" w:firstLineChars="213"/>
    </w:pPr>
    <w:rPr>
      <w:sz w:val="24"/>
    </w:rPr>
  </w:style>
  <w:style w:type="paragraph" w:styleId="35">
    <w:name w:val="Balloon Text"/>
    <w:basedOn w:val="1"/>
    <w:link w:val="85"/>
    <w:qFormat/>
    <w:uiPriority w:val="0"/>
    <w:rPr>
      <w:sz w:val="18"/>
      <w:szCs w:val="18"/>
    </w:rPr>
  </w:style>
  <w:style w:type="paragraph" w:styleId="36">
    <w:name w:val="footer"/>
    <w:basedOn w:val="1"/>
    <w:link w:val="86"/>
    <w:qFormat/>
    <w:uiPriority w:val="0"/>
    <w:pPr>
      <w:tabs>
        <w:tab w:val="center" w:pos="4153"/>
        <w:tab w:val="right" w:pos="8306"/>
      </w:tabs>
      <w:snapToGrid w:val="0"/>
      <w:jc w:val="left"/>
    </w:pPr>
    <w:rPr>
      <w:sz w:val="18"/>
      <w:szCs w:val="18"/>
    </w:rPr>
  </w:style>
  <w:style w:type="paragraph" w:styleId="37">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88"/>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9">
    <w:name w:val="toc 1"/>
    <w:basedOn w:val="1"/>
    <w:next w:val="1"/>
    <w:qFormat/>
    <w:uiPriority w:val="0"/>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style>
  <w:style w:type="paragraph" w:styleId="44">
    <w:name w:val="Body Text Indent 3"/>
    <w:basedOn w:val="1"/>
    <w:link w:val="90"/>
    <w:qFormat/>
    <w:uiPriority w:val="0"/>
    <w:pPr>
      <w:spacing w:line="500" w:lineRule="exact"/>
      <w:ind w:left="511" w:hanging="511" w:hangingChars="213"/>
    </w:pPr>
    <w:rPr>
      <w:sz w:val="24"/>
    </w:rPr>
  </w:style>
  <w:style w:type="paragraph" w:styleId="45">
    <w:name w:val="toc 2"/>
    <w:basedOn w:val="1"/>
    <w:next w:val="1"/>
    <w:qFormat/>
    <w:uiPriority w:val="0"/>
    <w:pPr>
      <w:ind w:left="420" w:leftChars="200"/>
    </w:pPr>
  </w:style>
  <w:style w:type="paragraph" w:styleId="46">
    <w:name w:val="toc 9"/>
    <w:basedOn w:val="1"/>
    <w:next w:val="1"/>
    <w:qFormat/>
    <w:uiPriority w:val="0"/>
    <w:pPr>
      <w:autoSpaceDE w:val="0"/>
      <w:autoSpaceDN w:val="0"/>
      <w:adjustRightInd w:val="0"/>
      <w:ind w:left="3360" w:leftChars="1600"/>
      <w:jc w:val="left"/>
    </w:pPr>
    <w:rPr>
      <w:kern w:val="0"/>
      <w:sz w:val="20"/>
      <w:szCs w:val="20"/>
    </w:rPr>
  </w:style>
  <w:style w:type="paragraph" w:styleId="47">
    <w:name w:val="Body Text 2"/>
    <w:basedOn w:val="1"/>
    <w:link w:val="91"/>
    <w:qFormat/>
    <w:uiPriority w:val="0"/>
    <w:pPr>
      <w:autoSpaceDE w:val="0"/>
      <w:autoSpaceDN w:val="0"/>
      <w:adjustRightInd w:val="0"/>
      <w:spacing w:after="120" w:line="480" w:lineRule="auto"/>
      <w:jc w:val="left"/>
    </w:p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92"/>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93"/>
    <w:qFormat/>
    <w:uiPriority w:val="0"/>
    <w:rPr>
      <w:b/>
      <w:bCs/>
    </w:rPr>
  </w:style>
  <w:style w:type="paragraph" w:styleId="51">
    <w:name w:val="Body Text First Indent 2"/>
    <w:basedOn w:val="24"/>
    <w:qFormat/>
    <w:uiPriority w:val="0"/>
    <w:pPr>
      <w:spacing w:after="120"/>
      <w:ind w:left="420" w:leftChars="200" w:firstLine="420"/>
    </w:pPr>
    <w:rPr>
      <w:rFonts w:cs="宋体"/>
      <w:sz w:val="21"/>
      <w:szCs w:val="21"/>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4">
    <w:name w:val="宏文本 字符"/>
    <w:link w:val="2"/>
    <w:qFormat/>
    <w:uiPriority w:val="0"/>
    <w:rPr>
      <w:rFonts w:ascii="Courier New" w:hAnsi="Courier New" w:eastAsia="Times New Roman"/>
      <w:kern w:val="2"/>
      <w:sz w:val="24"/>
      <w:szCs w:val="24"/>
      <w:lang w:val="en-US" w:eastAsia="zh-CN" w:bidi="ar-SA"/>
    </w:rPr>
  </w:style>
  <w:style w:type="character" w:customStyle="1" w:styleId="65">
    <w:name w:val="标题 1 字符"/>
    <w:link w:val="3"/>
    <w:qFormat/>
    <w:uiPriority w:val="0"/>
    <w:rPr>
      <w:rFonts w:eastAsia="黑体"/>
      <w:b/>
      <w:kern w:val="2"/>
      <w:sz w:val="32"/>
      <w:lang w:val="en-US" w:eastAsia="zh-CN" w:bidi="ar-SA"/>
    </w:rPr>
  </w:style>
  <w:style w:type="character" w:customStyle="1" w:styleId="66">
    <w:name w:val="标题 2 字符"/>
    <w:link w:val="4"/>
    <w:qFormat/>
    <w:uiPriority w:val="0"/>
    <w:rPr>
      <w:rFonts w:ascii="仿宋_GB2312" w:eastAsia="宋体"/>
      <w:b/>
      <w:kern w:val="2"/>
      <w:sz w:val="28"/>
      <w:szCs w:val="32"/>
      <w:lang w:val="en-US" w:eastAsia="zh-CN" w:bidi="ar-SA"/>
    </w:rPr>
  </w:style>
  <w:style w:type="character" w:customStyle="1" w:styleId="67">
    <w:name w:val="标题 3 字符"/>
    <w:link w:val="5"/>
    <w:qFormat/>
    <w:uiPriority w:val="0"/>
    <w:rPr>
      <w:rFonts w:eastAsia="黑体"/>
      <w:b/>
      <w:kern w:val="2"/>
      <w:sz w:val="28"/>
      <w:lang w:val="en-US" w:eastAsia="zh-CN" w:bidi="ar-SA"/>
    </w:rPr>
  </w:style>
  <w:style w:type="character" w:customStyle="1" w:styleId="68">
    <w:name w:val="标题 4 字符"/>
    <w:link w:val="6"/>
    <w:uiPriority w:val="0"/>
    <w:rPr>
      <w:rFonts w:eastAsia="宋体"/>
      <w:kern w:val="2"/>
      <w:sz w:val="28"/>
      <w:szCs w:val="28"/>
      <w:lang w:val="en-US" w:eastAsia="zh-CN" w:bidi="ar-SA"/>
    </w:rPr>
  </w:style>
  <w:style w:type="character" w:customStyle="1" w:styleId="69">
    <w:name w:val="标题 5 字符"/>
    <w:link w:val="7"/>
    <w:qFormat/>
    <w:uiPriority w:val="0"/>
    <w:rPr>
      <w:rFonts w:eastAsia="宋体"/>
      <w:b/>
      <w:bCs/>
      <w:sz w:val="28"/>
      <w:szCs w:val="28"/>
      <w:lang w:bidi="ar-SA"/>
    </w:rPr>
  </w:style>
  <w:style w:type="character" w:customStyle="1" w:styleId="70">
    <w:name w:val="标题 6 字符"/>
    <w:link w:val="8"/>
    <w:qFormat/>
    <w:uiPriority w:val="0"/>
    <w:rPr>
      <w:rFonts w:ascii="Arial" w:hAnsi="Arial" w:eastAsia="黑体"/>
      <w:b/>
      <w:kern w:val="2"/>
      <w:sz w:val="24"/>
      <w:lang w:val="en-US" w:eastAsia="zh-CN" w:bidi="ar-SA"/>
    </w:rPr>
  </w:style>
  <w:style w:type="character" w:customStyle="1" w:styleId="71">
    <w:name w:val="标题 7 字符"/>
    <w:link w:val="9"/>
    <w:qFormat/>
    <w:uiPriority w:val="0"/>
    <w:rPr>
      <w:rFonts w:eastAsia="宋体"/>
      <w:b/>
      <w:kern w:val="2"/>
      <w:sz w:val="24"/>
      <w:lang w:val="en-US" w:eastAsia="zh-CN" w:bidi="ar-SA"/>
    </w:rPr>
  </w:style>
  <w:style w:type="character" w:customStyle="1" w:styleId="72">
    <w:name w:val="正文缩进 字符"/>
    <w:link w:val="10"/>
    <w:qFormat/>
    <w:uiPriority w:val="0"/>
    <w:rPr>
      <w:rFonts w:ascii="仿宋_GB2312" w:eastAsia="宋体"/>
      <w:b/>
      <w:sz w:val="21"/>
      <w:szCs w:val="32"/>
      <w:lang w:val="en-US" w:eastAsia="zh-CN" w:bidi="ar-SA"/>
    </w:rPr>
  </w:style>
  <w:style w:type="character" w:customStyle="1" w:styleId="73">
    <w:name w:val="标题 8 字符"/>
    <w:link w:val="11"/>
    <w:qFormat/>
    <w:uiPriority w:val="0"/>
    <w:rPr>
      <w:rFonts w:ascii="Arial" w:hAnsi="Arial" w:eastAsia="黑体"/>
      <w:kern w:val="2"/>
      <w:sz w:val="24"/>
      <w:lang w:val="en-US" w:eastAsia="zh-CN" w:bidi="ar-SA"/>
    </w:rPr>
  </w:style>
  <w:style w:type="character" w:customStyle="1" w:styleId="74">
    <w:name w:val="标题 9 字符"/>
    <w:link w:val="12"/>
    <w:qFormat/>
    <w:uiPriority w:val="0"/>
    <w:rPr>
      <w:rFonts w:ascii="Arial" w:hAnsi="Arial" w:eastAsia="黑体"/>
      <w:kern w:val="2"/>
      <w:sz w:val="21"/>
      <w:lang w:val="en-US" w:eastAsia="zh-CN" w:bidi="ar-SA"/>
    </w:rPr>
  </w:style>
  <w:style w:type="character" w:customStyle="1" w:styleId="75">
    <w:name w:val="文档结构图 字符"/>
    <w:link w:val="17"/>
    <w:qFormat/>
    <w:uiPriority w:val="0"/>
    <w:rPr>
      <w:rFonts w:eastAsia="宋体"/>
      <w:kern w:val="2"/>
      <w:sz w:val="21"/>
      <w:szCs w:val="24"/>
      <w:lang w:val="en-US" w:eastAsia="zh-CN" w:bidi="ar-SA"/>
    </w:rPr>
  </w:style>
  <w:style w:type="character" w:customStyle="1" w:styleId="76">
    <w:name w:val="批注文字 字符"/>
    <w:link w:val="18"/>
    <w:qFormat/>
    <w:uiPriority w:val="0"/>
    <w:rPr>
      <w:rFonts w:eastAsia="宋体"/>
      <w:kern w:val="2"/>
      <w:sz w:val="21"/>
      <w:szCs w:val="24"/>
      <w:lang w:val="en-US" w:eastAsia="zh-CN" w:bidi="ar-SA"/>
    </w:rPr>
  </w:style>
  <w:style w:type="character" w:customStyle="1" w:styleId="77">
    <w:name w:val="称呼 字符"/>
    <w:link w:val="19"/>
    <w:qFormat/>
    <w:uiPriority w:val="0"/>
    <w:rPr>
      <w:rFonts w:ascii="仿宋_GB2312" w:eastAsia="仿宋_GB2312"/>
      <w:b/>
      <w:sz w:val="24"/>
      <w:szCs w:val="32"/>
    </w:rPr>
  </w:style>
  <w:style w:type="character" w:customStyle="1" w:styleId="78">
    <w:name w:val="正文文本 3 字符"/>
    <w:basedOn w:val="54"/>
    <w:link w:val="20"/>
    <w:qFormat/>
    <w:uiPriority w:val="0"/>
  </w:style>
  <w:style w:type="character" w:customStyle="1" w:styleId="79">
    <w:name w:val="正文文本 字符"/>
    <w:link w:val="21"/>
    <w:qFormat/>
    <w:uiPriority w:val="0"/>
    <w:rPr>
      <w:rFonts w:ascii="仿宋_GB2312" w:eastAsia="宋体"/>
      <w:b/>
      <w:kern w:val="2"/>
      <w:sz w:val="21"/>
      <w:szCs w:val="24"/>
      <w:lang w:val="en-US" w:eastAsia="zh-CN" w:bidi="ar-SA"/>
    </w:rPr>
  </w:style>
  <w:style w:type="character" w:customStyle="1" w:styleId="80">
    <w:name w:val="正文文本首行缩进 字符"/>
    <w:link w:val="22"/>
    <w:qFormat/>
    <w:uiPriority w:val="0"/>
    <w:rPr>
      <w:rFonts w:eastAsia="宋体"/>
      <w:lang w:val="en-US" w:eastAsia="zh-CN" w:bidi="ar-SA"/>
    </w:rPr>
  </w:style>
  <w:style w:type="character" w:customStyle="1" w:styleId="81">
    <w:name w:val="正文文本缩进 字符"/>
    <w:link w:val="24"/>
    <w:uiPriority w:val="0"/>
    <w:rPr>
      <w:rFonts w:eastAsia="宋体"/>
      <w:kern w:val="2"/>
      <w:sz w:val="24"/>
      <w:szCs w:val="24"/>
      <w:lang w:val="en-US" w:eastAsia="zh-CN" w:bidi="ar-SA"/>
    </w:rPr>
  </w:style>
  <w:style w:type="character" w:customStyle="1" w:styleId="82">
    <w:name w:val="纯文本 字符"/>
    <w:link w:val="30"/>
    <w:qFormat/>
    <w:uiPriority w:val="0"/>
    <w:rPr>
      <w:rFonts w:ascii="宋体" w:hAnsi="Courier New" w:eastAsia="宋体"/>
      <w:b/>
      <w:sz w:val="21"/>
      <w:szCs w:val="21"/>
      <w:lang w:val="en-US" w:eastAsia="zh-CN" w:bidi="ar-SA"/>
    </w:rPr>
  </w:style>
  <w:style w:type="character" w:customStyle="1" w:styleId="83">
    <w:name w:val="日期 字符"/>
    <w:link w:val="31"/>
    <w:qFormat/>
    <w:uiPriority w:val="0"/>
    <w:rPr>
      <w:rFonts w:eastAsia="宋体"/>
      <w:kern w:val="2"/>
      <w:sz w:val="21"/>
      <w:szCs w:val="24"/>
      <w:lang w:val="en-US" w:eastAsia="zh-CN" w:bidi="ar-SA"/>
    </w:rPr>
  </w:style>
  <w:style w:type="character" w:customStyle="1" w:styleId="84">
    <w:name w:val="正文文本缩进 2 字符"/>
    <w:link w:val="34"/>
    <w:qFormat/>
    <w:uiPriority w:val="0"/>
    <w:rPr>
      <w:rFonts w:eastAsia="宋体"/>
      <w:kern w:val="2"/>
      <w:sz w:val="24"/>
      <w:szCs w:val="24"/>
      <w:lang w:val="en-US" w:eastAsia="zh-CN" w:bidi="ar-SA"/>
    </w:rPr>
  </w:style>
  <w:style w:type="character" w:customStyle="1" w:styleId="85">
    <w:name w:val="批注框文本 字符"/>
    <w:link w:val="35"/>
    <w:qFormat/>
    <w:uiPriority w:val="0"/>
    <w:rPr>
      <w:rFonts w:eastAsia="宋体"/>
      <w:kern w:val="2"/>
      <w:sz w:val="18"/>
      <w:szCs w:val="18"/>
      <w:lang w:val="en-US" w:eastAsia="zh-CN" w:bidi="ar-SA"/>
    </w:rPr>
  </w:style>
  <w:style w:type="character" w:customStyle="1" w:styleId="86">
    <w:name w:val="页脚 字符"/>
    <w:link w:val="36"/>
    <w:qFormat/>
    <w:uiPriority w:val="0"/>
    <w:rPr>
      <w:rFonts w:eastAsia="宋体"/>
      <w:kern w:val="2"/>
      <w:sz w:val="18"/>
      <w:szCs w:val="18"/>
      <w:lang w:val="en-US" w:eastAsia="zh-CN" w:bidi="ar-SA"/>
    </w:rPr>
  </w:style>
  <w:style w:type="character" w:customStyle="1" w:styleId="87">
    <w:name w:val="页眉 字符"/>
    <w:link w:val="37"/>
    <w:qFormat/>
    <w:uiPriority w:val="0"/>
    <w:rPr>
      <w:rFonts w:eastAsia="宋体"/>
      <w:kern w:val="2"/>
      <w:sz w:val="18"/>
      <w:szCs w:val="18"/>
      <w:lang w:val="en-US" w:eastAsia="zh-CN" w:bidi="ar-SA"/>
    </w:rPr>
  </w:style>
  <w:style w:type="character" w:customStyle="1" w:styleId="88">
    <w:name w:val="签名 字符"/>
    <w:link w:val="38"/>
    <w:qFormat/>
    <w:uiPriority w:val="0"/>
    <w:rPr>
      <w:rFonts w:ascii="仿宋_GB2312" w:eastAsia="仿宋_GB2312"/>
      <w:b/>
      <w:sz w:val="24"/>
      <w:szCs w:val="32"/>
    </w:rPr>
  </w:style>
  <w:style w:type="character" w:customStyle="1" w:styleId="89">
    <w:name w:val="副标题 字符"/>
    <w:link w:val="41"/>
    <w:qFormat/>
    <w:uiPriority w:val="0"/>
    <w:rPr>
      <w:rFonts w:ascii="Cambria" w:hAnsi="Cambria" w:eastAsia="宋体"/>
      <w:b/>
      <w:bCs/>
      <w:kern w:val="28"/>
      <w:sz w:val="32"/>
      <w:szCs w:val="32"/>
      <w:lang w:val="en-US" w:eastAsia="zh-CN" w:bidi="ar-SA"/>
    </w:rPr>
  </w:style>
  <w:style w:type="character" w:customStyle="1" w:styleId="90">
    <w:name w:val="正文文本缩进 3 字符"/>
    <w:link w:val="44"/>
    <w:qFormat/>
    <w:uiPriority w:val="0"/>
    <w:rPr>
      <w:rFonts w:eastAsia="宋体"/>
      <w:kern w:val="2"/>
      <w:sz w:val="24"/>
      <w:szCs w:val="24"/>
      <w:lang w:val="en-US" w:eastAsia="zh-CN" w:bidi="ar-SA"/>
    </w:rPr>
  </w:style>
  <w:style w:type="character" w:customStyle="1" w:styleId="91">
    <w:name w:val="正文文本 2 字符"/>
    <w:basedOn w:val="54"/>
    <w:link w:val="47"/>
    <w:qFormat/>
    <w:uiPriority w:val="0"/>
  </w:style>
  <w:style w:type="character" w:customStyle="1" w:styleId="92">
    <w:name w:val="标题 字符"/>
    <w:link w:val="49"/>
    <w:qFormat/>
    <w:uiPriority w:val="0"/>
    <w:rPr>
      <w:rFonts w:ascii="Cambria" w:hAnsi="Cambria" w:eastAsia="宋体"/>
      <w:b/>
      <w:bCs/>
      <w:kern w:val="2"/>
      <w:sz w:val="32"/>
      <w:szCs w:val="32"/>
      <w:lang w:val="en-US" w:eastAsia="zh-CN" w:bidi="ar-SA"/>
    </w:rPr>
  </w:style>
  <w:style w:type="character" w:customStyle="1" w:styleId="93">
    <w:name w:val="批注主题 字符"/>
    <w:link w:val="50"/>
    <w:qFormat/>
    <w:uiPriority w:val="0"/>
    <w:rPr>
      <w:rFonts w:eastAsia="宋体"/>
      <w:b/>
      <w:bCs/>
      <w:kern w:val="2"/>
      <w:sz w:val="21"/>
      <w:szCs w:val="24"/>
      <w:lang w:val="en-US" w:eastAsia="zh-CN" w:bidi="ar-SA"/>
    </w:rPr>
  </w:style>
  <w:style w:type="character" w:customStyle="1" w:styleId="94">
    <w:name w:val="Footer-Even Char2"/>
    <w:qFormat/>
    <w:uiPriority w:val="0"/>
    <w:rPr>
      <w:kern w:val="2"/>
      <w:sz w:val="18"/>
      <w:szCs w:val="18"/>
    </w:rPr>
  </w:style>
  <w:style w:type="character" w:customStyle="1" w:styleId="95">
    <w:name w:val="dandyren_title1"/>
    <w:qFormat/>
    <w:uiPriority w:val="0"/>
    <w:rPr>
      <w:b/>
      <w:bCs/>
      <w:color w:val="FF6633"/>
      <w:sz w:val="18"/>
      <w:szCs w:val="18"/>
    </w:rPr>
  </w:style>
  <w:style w:type="character" w:customStyle="1" w:styleId="96">
    <w:name w:val="Char Char Char1"/>
    <w:qFormat/>
    <w:uiPriority w:val="0"/>
    <w:rPr>
      <w:rFonts w:ascii="宋体" w:hAnsi="Courier New"/>
      <w:sz w:val="21"/>
      <w:szCs w:val="21"/>
    </w:rPr>
  </w:style>
  <w:style w:type="character" w:customStyle="1" w:styleId="97">
    <w:name w:val="无间隔 字符"/>
    <w:link w:val="98"/>
    <w:qFormat/>
    <w:uiPriority w:val="0"/>
    <w:rPr>
      <w:rFonts w:eastAsia="Times New Roman"/>
      <w:sz w:val="22"/>
      <w:szCs w:val="22"/>
      <w:lang w:val="en-US" w:eastAsia="zh-CN" w:bidi="ar-SA"/>
    </w:rPr>
  </w:style>
  <w:style w:type="paragraph" w:styleId="98">
    <w:name w:val="No Spacing"/>
    <w:link w:val="97"/>
    <w:qFormat/>
    <w:uiPriority w:val="0"/>
    <w:rPr>
      <w:rFonts w:ascii="Times New Roman" w:hAnsi="Times New Roman" w:eastAsia="Times New Roman" w:cs="Times New Roman"/>
      <w:sz w:val="22"/>
      <w:szCs w:val="22"/>
      <w:lang w:val="en-US" w:eastAsia="zh-CN" w:bidi="ar-SA"/>
    </w:rPr>
  </w:style>
  <w:style w:type="character" w:customStyle="1" w:styleId="99">
    <w:name w:val="Footer-Even Char1"/>
    <w:qFormat/>
    <w:uiPriority w:val="0"/>
    <w:rPr>
      <w:rFonts w:eastAsia="宋体"/>
      <w:kern w:val="2"/>
      <w:sz w:val="18"/>
      <w:szCs w:val="18"/>
      <w:lang w:val="en-US" w:eastAsia="zh-CN" w:bidi="ar-SA"/>
    </w:rPr>
  </w:style>
  <w:style w:type="character" w:customStyle="1" w:styleId="100">
    <w:name w:val="PI Char1"/>
    <w:qFormat/>
    <w:uiPriority w:val="0"/>
    <w:rPr>
      <w:rFonts w:eastAsia="宋体"/>
      <w:kern w:val="2"/>
      <w:sz w:val="24"/>
      <w:szCs w:val="24"/>
      <w:lang w:val="en-US" w:eastAsia="zh-CN" w:bidi="ar-SA"/>
    </w:rPr>
  </w:style>
  <w:style w:type="character" w:customStyle="1" w:styleId="101">
    <w:name w:val="heading 4 Char1"/>
    <w:qFormat/>
    <w:uiPriority w:val="0"/>
    <w:rPr>
      <w:rFonts w:ascii="Cambria" w:hAnsi="Cambria" w:eastAsia="宋体"/>
      <w:b/>
      <w:bCs/>
      <w:kern w:val="2"/>
      <w:sz w:val="28"/>
      <w:szCs w:val="28"/>
      <w:lang w:val="en-US" w:eastAsia="zh-CN" w:bidi="ar-SA"/>
    </w:rPr>
  </w:style>
  <w:style w:type="character" w:customStyle="1" w:styleId="102">
    <w:name w:val="Char Char201"/>
    <w:qFormat/>
    <w:uiPriority w:val="0"/>
    <w:rPr>
      <w:rFonts w:ascii="Cambria" w:hAnsi="Cambria" w:eastAsia="宋体" w:cs="Times New Roman"/>
      <w:b/>
      <w:bCs/>
      <w:sz w:val="32"/>
      <w:szCs w:val="32"/>
    </w:rPr>
  </w:style>
  <w:style w:type="character" w:customStyle="1" w:styleId="103">
    <w:name w:val="表格 Char Char"/>
    <w:link w:val="104"/>
    <w:qFormat/>
    <w:uiPriority w:val="0"/>
    <w:rPr>
      <w:rFonts w:ascii="宋体" w:hAnsi="宋体" w:eastAsia="宋体"/>
      <w:lang w:val="en-US" w:eastAsia="zh-CN" w:bidi="ar-SA"/>
    </w:rPr>
  </w:style>
  <w:style w:type="paragraph" w:customStyle="1" w:styleId="104">
    <w:name w:val="表格"/>
    <w:basedOn w:val="1"/>
    <w:link w:val="103"/>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05">
    <w:name w:val="heading 4 Char"/>
    <w:qFormat/>
    <w:uiPriority w:val="0"/>
    <w:rPr>
      <w:rFonts w:ascii="Arial" w:hAnsi="Arial" w:eastAsia="黑体" w:cs="Times New Roman"/>
      <w:sz w:val="21"/>
      <w:szCs w:val="21"/>
    </w:rPr>
  </w:style>
  <w:style w:type="character" w:customStyle="1" w:styleId="106">
    <w:name w:val="样式 宋体"/>
    <w:qFormat/>
    <w:uiPriority w:val="0"/>
    <w:rPr>
      <w:rFonts w:ascii="宋体" w:hAnsi="宋体" w:eastAsia="宋体"/>
      <w:sz w:val="24"/>
      <w:szCs w:val="24"/>
    </w:rPr>
  </w:style>
  <w:style w:type="character" w:customStyle="1" w:styleId="107">
    <w:name w:val="正文1 Char Char"/>
    <w:link w:val="108"/>
    <w:qFormat/>
    <w:uiPriority w:val="0"/>
    <w:rPr>
      <w:rFonts w:ascii="宋体" w:hAnsi="宋体" w:eastAsia="宋体" w:cs="宋体"/>
      <w:sz w:val="21"/>
      <w:lang w:val="en-US" w:eastAsia="zh-CN" w:bidi="ar-SA"/>
    </w:rPr>
  </w:style>
  <w:style w:type="paragraph" w:customStyle="1" w:styleId="108">
    <w:name w:val="正文1"/>
    <w:basedOn w:val="1"/>
    <w:link w:val="107"/>
    <w:qFormat/>
    <w:uiPriority w:val="0"/>
    <w:pPr>
      <w:widowControl/>
      <w:spacing w:line="360" w:lineRule="auto"/>
      <w:ind w:left="360" w:firstLine="420"/>
      <w:jc w:val="left"/>
    </w:pPr>
    <w:rPr>
      <w:rFonts w:ascii="宋体" w:hAnsi="宋体" w:cs="宋体"/>
      <w:kern w:val="0"/>
      <w:szCs w:val="20"/>
    </w:rPr>
  </w:style>
  <w:style w:type="character" w:customStyle="1" w:styleId="109">
    <w:name w:val="引用 字符"/>
    <w:link w:val="110"/>
    <w:qFormat/>
    <w:uiPriority w:val="0"/>
    <w:rPr>
      <w:rFonts w:ascii="Calibri" w:hAnsi="Calibri" w:eastAsia="宋体"/>
      <w:i/>
      <w:iCs/>
      <w:color w:val="000000"/>
      <w:lang w:val="en-US" w:eastAsia="zh-CN" w:bidi="ar-SA"/>
    </w:rPr>
  </w:style>
  <w:style w:type="paragraph" w:styleId="110">
    <w:name w:val="Quote"/>
    <w:basedOn w:val="1"/>
    <w:next w:val="1"/>
    <w:link w:val="109"/>
    <w:qFormat/>
    <w:uiPriority w:val="0"/>
    <w:rPr>
      <w:rFonts w:ascii="Calibri" w:hAnsi="Calibri"/>
      <w:i/>
      <w:iCs/>
      <w:color w:val="000000"/>
      <w:kern w:val="0"/>
      <w:sz w:val="20"/>
      <w:szCs w:val="20"/>
    </w:rPr>
  </w:style>
  <w:style w:type="character" w:customStyle="1" w:styleId="111">
    <w:name w:val="style41"/>
    <w:qFormat/>
    <w:uiPriority w:val="0"/>
    <w:rPr>
      <w:color w:val="auto"/>
    </w:rPr>
  </w:style>
  <w:style w:type="character" w:customStyle="1" w:styleId="112">
    <w:name w:val="heading 3 Char"/>
    <w:qFormat/>
    <w:uiPriority w:val="0"/>
    <w:rPr>
      <w:rFonts w:ascii="Arial" w:hAnsi="Arial" w:eastAsia="黑体"/>
      <w:sz w:val="28"/>
      <w:szCs w:val="24"/>
    </w:rPr>
  </w:style>
  <w:style w:type="character" w:customStyle="1" w:styleId="113">
    <w:name w:val="不明显参考1"/>
    <w:qFormat/>
    <w:uiPriority w:val="0"/>
    <w:rPr>
      <w:smallCaps/>
      <w:color w:val="C0504D"/>
      <w:u w:val="single"/>
    </w:rPr>
  </w:style>
  <w:style w:type="character" w:customStyle="1" w:styleId="114">
    <w:name w:val="font01"/>
    <w:qFormat/>
    <w:uiPriority w:val="0"/>
    <w:rPr>
      <w:rFonts w:hint="eastAsia" w:ascii="宋体" w:hAnsi="宋体" w:eastAsia="宋体" w:cs="宋体"/>
      <w:color w:val="000000"/>
      <w:sz w:val="21"/>
      <w:szCs w:val="21"/>
      <w:u w:val="none"/>
    </w:rPr>
  </w:style>
  <w:style w:type="character" w:customStyle="1" w:styleId="115">
    <w:name w:val="Book Title"/>
    <w:qFormat/>
    <w:uiPriority w:val="0"/>
    <w:rPr>
      <w:b/>
      <w:bCs/>
      <w:smallCaps/>
      <w:spacing w:val="5"/>
    </w:rPr>
  </w:style>
  <w:style w:type="character" w:customStyle="1" w:styleId="116">
    <w:name w:val="Plain Text Char"/>
    <w:qFormat/>
    <w:uiPriority w:val="0"/>
    <w:rPr>
      <w:rFonts w:ascii="宋体" w:hAnsi="Courier New" w:eastAsia="宋体" w:cs="Times New Roman"/>
      <w:sz w:val="21"/>
      <w:szCs w:val="21"/>
    </w:rPr>
  </w:style>
  <w:style w:type="character" w:customStyle="1" w:styleId="117">
    <w:name w:val="Char Char27"/>
    <w:qFormat/>
    <w:uiPriority w:val="0"/>
    <w:rPr>
      <w:rFonts w:eastAsia="宋体"/>
      <w:kern w:val="2"/>
      <w:sz w:val="28"/>
      <w:lang w:val="en-US" w:eastAsia="zh-CN" w:bidi="ar-SA"/>
    </w:rPr>
  </w:style>
  <w:style w:type="character" w:customStyle="1" w:styleId="118">
    <w:name w:val="Char Char24"/>
    <w:qFormat/>
    <w:uiPriority w:val="0"/>
    <w:rPr>
      <w:rFonts w:eastAsia="宋体"/>
      <w:b/>
      <w:kern w:val="2"/>
      <w:sz w:val="28"/>
      <w:lang w:val="en-US" w:eastAsia="zh-CN" w:bidi="ar-SA"/>
    </w:rPr>
  </w:style>
  <w:style w:type="character" w:customStyle="1" w:styleId="119">
    <w:name w:val="heading 5 Char"/>
    <w:qFormat/>
    <w:uiPriority w:val="0"/>
    <w:rPr>
      <w:rFonts w:ascii="Arial" w:hAnsi="Arial" w:eastAsia="黑体"/>
      <w:sz w:val="21"/>
      <w:szCs w:val="21"/>
    </w:rPr>
  </w:style>
  <w:style w:type="character" w:customStyle="1" w:styleId="120">
    <w:name w:val="blue1"/>
    <w:basedOn w:val="54"/>
    <w:qFormat/>
    <w:uiPriority w:val="0"/>
  </w:style>
  <w:style w:type="character" w:customStyle="1" w:styleId="121">
    <w:name w:val="Char Char271"/>
    <w:qFormat/>
    <w:uiPriority w:val="0"/>
    <w:rPr>
      <w:rFonts w:eastAsia="宋体"/>
      <w:kern w:val="2"/>
      <w:sz w:val="28"/>
      <w:lang w:val="en-US" w:eastAsia="zh-CN" w:bidi="ar-SA"/>
    </w:rPr>
  </w:style>
  <w:style w:type="character" w:customStyle="1" w:styleId="122">
    <w:name w:val="Ò³Ã¼ Char Char2"/>
    <w:qFormat/>
    <w:uiPriority w:val="0"/>
    <w:rPr>
      <w:kern w:val="2"/>
      <w:sz w:val="18"/>
      <w:szCs w:val="18"/>
    </w:rPr>
  </w:style>
  <w:style w:type="character" w:customStyle="1" w:styleId="123">
    <w:name w:val="ListLabel 1"/>
    <w:qFormat/>
    <w:uiPriority w:val="7"/>
    <w:rPr>
      <w:rFonts w:ascii="宋体" w:hAnsi="宋体" w:cs="宋体"/>
      <w:color w:val="FF0000"/>
      <w:sz w:val="24"/>
    </w:rPr>
  </w:style>
  <w:style w:type="character" w:customStyle="1" w:styleId="124">
    <w:name w:val="不明显强调1"/>
    <w:qFormat/>
    <w:uiPriority w:val="0"/>
    <w:rPr>
      <w:i/>
      <w:iCs/>
      <w:color w:val="808080"/>
    </w:rPr>
  </w:style>
  <w:style w:type="character" w:customStyle="1" w:styleId="125">
    <w:name w:val="Subtle Reference"/>
    <w:qFormat/>
    <w:uiPriority w:val="0"/>
    <w:rPr>
      <w:smallCaps/>
      <w:color w:val="C0504D"/>
      <w:u w:val="single"/>
    </w:rPr>
  </w:style>
  <w:style w:type="character" w:customStyle="1" w:styleId="126">
    <w:name w:val="Style2"/>
    <w:qFormat/>
    <w:uiPriority w:val="0"/>
    <w:rPr>
      <w:rFonts w:ascii="Calibri" w:hAnsi="宋体" w:eastAsia="宋体" w:cs="Times New Roman"/>
      <w:sz w:val="22"/>
      <w:szCs w:val="22"/>
      <w:lang w:eastAsia="zh-CN"/>
    </w:rPr>
  </w:style>
  <w:style w:type="character" w:customStyle="1" w:styleId="127">
    <w:name w:val="Char Char21"/>
    <w:qFormat/>
    <w:uiPriority w:val="0"/>
    <w:rPr>
      <w:rFonts w:ascii="Times New Roman" w:hAnsi="Times New Roman" w:eastAsia="宋体" w:cs="Times New Roman"/>
      <w:b/>
      <w:bCs/>
      <w:kern w:val="44"/>
      <w:sz w:val="44"/>
      <w:szCs w:val="44"/>
    </w:rPr>
  </w:style>
  <w:style w:type="character" w:customStyle="1" w:styleId="128">
    <w:name w:val="Char Char22"/>
    <w:qFormat/>
    <w:uiPriority w:val="0"/>
    <w:rPr>
      <w:rFonts w:ascii="Arial" w:hAnsi="Arial" w:eastAsia="黑体"/>
      <w:b/>
      <w:bCs/>
      <w:kern w:val="44"/>
      <w:sz w:val="30"/>
      <w:szCs w:val="44"/>
      <w:lang w:val="en-US" w:eastAsia="zh-CN" w:bidi="ar-SA"/>
    </w:rPr>
  </w:style>
  <w:style w:type="character" w:customStyle="1" w:styleId="129">
    <w:name w:val="Char Char16"/>
    <w:qFormat/>
    <w:uiPriority w:val="0"/>
    <w:rPr>
      <w:b/>
      <w:bCs/>
      <w:kern w:val="2"/>
      <w:sz w:val="28"/>
      <w:szCs w:val="28"/>
    </w:rPr>
  </w:style>
  <w:style w:type="character" w:customStyle="1" w:styleId="130">
    <w:name w:val="gray6"/>
    <w:basedOn w:val="54"/>
    <w:qFormat/>
    <w:uiPriority w:val="0"/>
  </w:style>
  <w:style w:type="character" w:customStyle="1" w:styleId="131">
    <w:name w:val="Style1"/>
    <w:qFormat/>
    <w:uiPriority w:val="0"/>
    <w:rPr>
      <w:rFonts w:ascii="Calibri" w:hAnsi="宋体" w:eastAsia="宋体" w:cs="Times New Roman"/>
      <w:sz w:val="22"/>
      <w:szCs w:val="22"/>
      <w:lang w:eastAsia="zh-CN"/>
    </w:rPr>
  </w:style>
  <w:style w:type="character" w:customStyle="1" w:styleId="132">
    <w:name w:val="Char Char Char Char Char Char Char Char Char"/>
    <w:qFormat/>
    <w:uiPriority w:val="0"/>
    <w:rPr>
      <w:rFonts w:ascii="宋体" w:hAnsi="Courier New" w:eastAsia="宋体"/>
      <w:sz w:val="21"/>
      <w:szCs w:val="21"/>
      <w:lang w:val="en-US" w:eastAsia="zh-CN" w:bidi="ar-SA"/>
    </w:rPr>
  </w:style>
  <w:style w:type="character" w:customStyle="1" w:styleId="133">
    <w:name w:val="Subtle Emphasis"/>
    <w:qFormat/>
    <w:uiPriority w:val="0"/>
    <w:rPr>
      <w:i/>
      <w:iCs/>
      <w:color w:val="808080"/>
    </w:rPr>
  </w:style>
  <w:style w:type="character" w:customStyle="1" w:styleId="134">
    <w:name w:val="heading 2 Char2"/>
    <w:qFormat/>
    <w:uiPriority w:val="0"/>
    <w:rPr>
      <w:rFonts w:ascii="Cambria" w:hAnsi="Cambria"/>
      <w:b/>
      <w:bCs/>
      <w:kern w:val="2"/>
      <w:sz w:val="32"/>
      <w:szCs w:val="32"/>
    </w:rPr>
  </w:style>
  <w:style w:type="character" w:customStyle="1" w:styleId="135">
    <w:name w:val="PI Char2"/>
    <w:qFormat/>
    <w:uiPriority w:val="0"/>
    <w:rPr>
      <w:kern w:val="2"/>
      <w:sz w:val="24"/>
      <w:szCs w:val="24"/>
    </w:rPr>
  </w:style>
  <w:style w:type="character" w:customStyle="1" w:styleId="136">
    <w:name w:val="Char Char18"/>
    <w:uiPriority w:val="0"/>
    <w:rPr>
      <w:b/>
      <w:bCs/>
      <w:kern w:val="2"/>
      <w:sz w:val="32"/>
      <w:szCs w:val="32"/>
    </w:rPr>
  </w:style>
  <w:style w:type="character" w:customStyle="1" w:styleId="137">
    <w:name w:val="heading 5 Char1"/>
    <w:uiPriority w:val="0"/>
    <w:rPr>
      <w:rFonts w:eastAsia="宋体"/>
      <w:b/>
      <w:bCs/>
      <w:kern w:val="2"/>
      <w:sz w:val="28"/>
      <w:szCs w:val="28"/>
      <w:lang w:val="en-US" w:eastAsia="zh-CN" w:bidi="ar-SA"/>
    </w:rPr>
  </w:style>
  <w:style w:type="character" w:customStyle="1" w:styleId="138">
    <w:name w:val="heading 5 Char2"/>
    <w:qFormat/>
    <w:uiPriority w:val="0"/>
    <w:rPr>
      <w:b/>
      <w:bCs/>
      <w:kern w:val="2"/>
      <w:sz w:val="28"/>
      <w:szCs w:val="28"/>
    </w:rPr>
  </w:style>
  <w:style w:type="character" w:customStyle="1" w:styleId="139">
    <w:name w:val="Style3"/>
    <w:qFormat/>
    <w:uiPriority w:val="0"/>
    <w:rPr>
      <w:rFonts w:ascii="Calibri" w:hAnsi="宋体" w:eastAsia="宋体" w:cs="Times New Roman"/>
      <w:szCs w:val="22"/>
      <w:lang w:eastAsia="zh-CN"/>
    </w:rPr>
  </w:style>
  <w:style w:type="character" w:customStyle="1" w:styleId="140">
    <w:name w:val="style111"/>
    <w:qFormat/>
    <w:uiPriority w:val="0"/>
    <w:rPr>
      <w:sz w:val="27"/>
      <w:szCs w:val="27"/>
    </w:rPr>
  </w:style>
  <w:style w:type="character" w:customStyle="1" w:styleId="141">
    <w:name w:val="style21"/>
    <w:qFormat/>
    <w:uiPriority w:val="0"/>
    <w:rPr>
      <w:sz w:val="15"/>
      <w:szCs w:val="15"/>
    </w:rPr>
  </w:style>
  <w:style w:type="character" w:customStyle="1" w:styleId="142">
    <w:name w:val="书籍标题1"/>
    <w:qFormat/>
    <w:uiPriority w:val="0"/>
    <w:rPr>
      <w:b/>
      <w:bCs/>
      <w:smallCaps/>
      <w:spacing w:val="5"/>
    </w:rPr>
  </w:style>
  <w:style w:type="character" w:customStyle="1" w:styleId="143">
    <w:name w:val="Char Char4"/>
    <w:qFormat/>
    <w:uiPriority w:val="0"/>
    <w:rPr>
      <w:rFonts w:ascii="Cambria" w:hAnsi="Cambria" w:eastAsia="宋体"/>
      <w:b/>
      <w:bCs/>
      <w:sz w:val="32"/>
      <w:szCs w:val="32"/>
      <w:lang w:bidi="ar-SA"/>
    </w:rPr>
  </w:style>
  <w:style w:type="character" w:customStyle="1" w:styleId="144">
    <w:name w:val="明显引用 字符"/>
    <w:link w:val="145"/>
    <w:qFormat/>
    <w:uiPriority w:val="0"/>
    <w:rPr>
      <w:rFonts w:ascii="Calibri" w:hAnsi="Calibri" w:eastAsia="宋体"/>
      <w:b/>
      <w:bCs/>
      <w:i/>
      <w:iCs/>
      <w:color w:val="4F81BD"/>
      <w:lang w:val="en-US" w:eastAsia="zh-CN" w:bidi="ar-SA"/>
    </w:rPr>
  </w:style>
  <w:style w:type="paragraph" w:styleId="145">
    <w:name w:val="Intense Quote"/>
    <w:basedOn w:val="1"/>
    <w:next w:val="1"/>
    <w:link w:val="14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46">
    <w:name w:val="font31"/>
    <w:qFormat/>
    <w:uiPriority w:val="0"/>
    <w:rPr>
      <w:rFonts w:hint="eastAsia" w:ascii="宋体" w:hAnsi="宋体" w:eastAsia="宋体" w:cs="宋体"/>
      <w:color w:val="000000"/>
      <w:sz w:val="24"/>
      <w:szCs w:val="24"/>
      <w:u w:val="single"/>
    </w:rPr>
  </w:style>
  <w:style w:type="character" w:customStyle="1" w:styleId="147">
    <w:name w:val="style13"/>
    <w:basedOn w:val="54"/>
    <w:qFormat/>
    <w:uiPriority w:val="0"/>
  </w:style>
  <w:style w:type="character" w:customStyle="1" w:styleId="148">
    <w:name w:val="样式2 Char Char"/>
    <w:link w:val="149"/>
    <w:qFormat/>
    <w:uiPriority w:val="0"/>
    <w:rPr>
      <w:rFonts w:ascii="宋体" w:hAnsi="宋体" w:eastAsia="宋体"/>
      <w:bCs/>
      <w:kern w:val="2"/>
      <w:sz w:val="28"/>
      <w:szCs w:val="28"/>
      <w:lang w:val="en-US" w:eastAsia="zh-CN" w:bidi="ar-SA"/>
    </w:rPr>
  </w:style>
  <w:style w:type="paragraph" w:customStyle="1" w:styleId="149">
    <w:name w:val="样式2"/>
    <w:basedOn w:val="4"/>
    <w:link w:val="148"/>
    <w:qFormat/>
    <w:uiPriority w:val="0"/>
    <w:pPr>
      <w:keepLines/>
      <w:snapToGrid w:val="0"/>
      <w:spacing w:before="260" w:after="156" w:afterLines="50" w:line="480" w:lineRule="exact"/>
      <w:ind w:firstLine="556"/>
    </w:pPr>
    <w:rPr>
      <w:rFonts w:ascii="宋体" w:hAnsi="宋体"/>
      <w:b w:val="0"/>
      <w:bCs/>
      <w:szCs w:val="28"/>
    </w:rPr>
  </w:style>
  <w:style w:type="character" w:customStyle="1" w:styleId="150">
    <w:name w:val="Char Char19"/>
    <w:qFormat/>
    <w:uiPriority w:val="0"/>
    <w:rPr>
      <w:rFonts w:ascii="Cambria" w:hAnsi="Cambria"/>
      <w:b/>
      <w:bCs/>
      <w:kern w:val="2"/>
      <w:sz w:val="32"/>
      <w:szCs w:val="32"/>
    </w:rPr>
  </w:style>
  <w:style w:type="character" w:customStyle="1" w:styleId="151">
    <w:name w:val="Char Char241"/>
    <w:qFormat/>
    <w:uiPriority w:val="0"/>
    <w:rPr>
      <w:rFonts w:eastAsia="宋体"/>
      <w:b/>
      <w:kern w:val="2"/>
      <w:sz w:val="28"/>
      <w:lang w:val="en-US" w:eastAsia="zh-CN" w:bidi="ar-SA"/>
    </w:rPr>
  </w:style>
  <w:style w:type="character" w:customStyle="1" w:styleId="152">
    <w:name w:val="PI Char"/>
    <w:qFormat/>
    <w:uiPriority w:val="0"/>
    <w:rPr>
      <w:rFonts w:ascii="宋体" w:hAnsi="宋体"/>
      <w:sz w:val="24"/>
    </w:rPr>
  </w:style>
  <w:style w:type="character" w:customStyle="1" w:styleId="153">
    <w:name w:val="Char Char6"/>
    <w:qFormat/>
    <w:uiPriority w:val="0"/>
    <w:rPr>
      <w:rFonts w:ascii="Times New Roman" w:hAnsi="Times New Roman" w:eastAsia="宋体" w:cs="Times New Roman"/>
      <w:szCs w:val="24"/>
    </w:rPr>
  </w:style>
  <w:style w:type="character" w:customStyle="1" w:styleId="154">
    <w:name w:val="Char Char12"/>
    <w:qFormat/>
    <w:uiPriority w:val="0"/>
    <w:rPr>
      <w:rFonts w:eastAsia="宋体"/>
      <w:kern w:val="2"/>
      <w:sz w:val="21"/>
      <w:szCs w:val="24"/>
      <w:lang w:val="en-US" w:eastAsia="zh-CN" w:bidi="ar-SA"/>
    </w:rPr>
  </w:style>
  <w:style w:type="character" w:customStyle="1" w:styleId="155">
    <w:name w:val="Char Char11"/>
    <w:qFormat/>
    <w:uiPriority w:val="0"/>
    <w:rPr>
      <w:rFonts w:ascii="Times New Roman" w:hAnsi="Times New Roman" w:eastAsia="宋体" w:cs="Times New Roman"/>
      <w:sz w:val="18"/>
      <w:szCs w:val="18"/>
    </w:rPr>
  </w:style>
  <w:style w:type="character" w:customStyle="1" w:styleId="156">
    <w:name w:val="Char Char20"/>
    <w:qFormat/>
    <w:uiPriority w:val="0"/>
    <w:rPr>
      <w:b/>
      <w:bCs/>
      <w:kern w:val="44"/>
      <w:sz w:val="44"/>
      <w:szCs w:val="44"/>
    </w:rPr>
  </w:style>
  <w:style w:type="character" w:customStyle="1" w:styleId="157">
    <w:name w:val="Char Char121"/>
    <w:qFormat/>
    <w:uiPriority w:val="0"/>
    <w:rPr>
      <w:rFonts w:eastAsia="宋体"/>
      <w:kern w:val="2"/>
      <w:sz w:val="21"/>
      <w:szCs w:val="24"/>
      <w:lang w:val="en-US" w:eastAsia="zh-CN" w:bidi="ar-SA"/>
    </w:rPr>
  </w:style>
  <w:style w:type="character" w:customStyle="1" w:styleId="158">
    <w:name w:val="heading 7 Char1"/>
    <w:qFormat/>
    <w:uiPriority w:val="0"/>
    <w:rPr>
      <w:rFonts w:ascii="Arial" w:hAnsi="Arial" w:eastAsia="黑体"/>
      <w:sz w:val="21"/>
      <w:szCs w:val="21"/>
      <w:lang w:val="en-US" w:eastAsia="zh-CN" w:bidi="ar-SA"/>
    </w:rPr>
  </w:style>
  <w:style w:type="character" w:customStyle="1" w:styleId="159">
    <w:name w:val="样式 标题 3 + 黑体 小四 Char Char"/>
    <w:link w:val="160"/>
    <w:qFormat/>
    <w:uiPriority w:val="0"/>
    <w:rPr>
      <w:rFonts w:ascii="黑体" w:hAnsi="Arial" w:eastAsia="黑体"/>
      <w:bCs/>
      <w:sz w:val="24"/>
      <w:szCs w:val="24"/>
      <w:lang w:bidi="ar-SA"/>
    </w:rPr>
  </w:style>
  <w:style w:type="paragraph" w:customStyle="1" w:styleId="160">
    <w:name w:val="样式 标题 3 + 黑体 小四"/>
    <w:basedOn w:val="5"/>
    <w:link w:val="159"/>
    <w:qFormat/>
    <w:uiPriority w:val="0"/>
    <w:pPr>
      <w:spacing w:before="260" w:after="260" w:line="413" w:lineRule="auto"/>
    </w:pPr>
    <w:rPr>
      <w:rFonts w:ascii="黑体" w:hAnsi="Arial"/>
      <w:b w:val="0"/>
      <w:bCs/>
      <w:kern w:val="0"/>
      <w:sz w:val="24"/>
      <w:szCs w:val="24"/>
    </w:rPr>
  </w:style>
  <w:style w:type="character" w:customStyle="1" w:styleId="161">
    <w:name w:val="Char Char111"/>
    <w:qFormat/>
    <w:uiPriority w:val="0"/>
    <w:rPr>
      <w:rFonts w:ascii="Times New Roman" w:hAnsi="Times New Roman" w:eastAsia="宋体" w:cs="Times New Roman"/>
      <w:sz w:val="18"/>
      <w:szCs w:val="18"/>
    </w:rPr>
  </w:style>
  <w:style w:type="character" w:customStyle="1" w:styleId="162">
    <w:name w:val="Char Char2"/>
    <w:qFormat/>
    <w:uiPriority w:val="0"/>
    <w:rPr>
      <w:rFonts w:ascii="Arial" w:hAnsi="Arial" w:eastAsia="黑体"/>
      <w:b/>
      <w:bCs/>
      <w:kern w:val="44"/>
      <w:sz w:val="30"/>
      <w:szCs w:val="44"/>
      <w:lang w:val="en-US" w:eastAsia="zh-CN" w:bidi="ar-SA"/>
    </w:rPr>
  </w:style>
  <w:style w:type="character" w:customStyle="1" w:styleId="163">
    <w:name w:val="heading 1 Char1"/>
    <w:qFormat/>
    <w:uiPriority w:val="0"/>
    <w:rPr>
      <w:rFonts w:eastAsia="宋体"/>
      <w:b/>
      <w:bCs/>
      <w:kern w:val="44"/>
      <w:sz w:val="44"/>
      <w:szCs w:val="44"/>
      <w:lang w:val="en-US" w:eastAsia="zh-CN" w:bidi="ar-SA"/>
    </w:rPr>
  </w:style>
  <w:style w:type="character" w:customStyle="1" w:styleId="164">
    <w:name w:val="heading 9 Char1"/>
    <w:qFormat/>
    <w:uiPriority w:val="0"/>
    <w:rPr>
      <w:rFonts w:ascii="Arial" w:hAnsi="Arial" w:eastAsia="黑体"/>
      <w:sz w:val="21"/>
      <w:lang w:val="en-US" w:eastAsia="zh-CN" w:bidi="ar-SA"/>
    </w:rPr>
  </w:style>
  <w:style w:type="character" w:customStyle="1" w:styleId="165">
    <w:name w:val="Style5"/>
    <w:qFormat/>
    <w:uiPriority w:val="0"/>
    <w:rPr>
      <w:rFonts w:ascii="Calibri" w:hAnsi="宋体" w:eastAsia="宋体" w:cs="Times New Roman"/>
      <w:sz w:val="22"/>
      <w:szCs w:val="22"/>
      <w:lang w:eastAsia="zh-CN"/>
    </w:rPr>
  </w:style>
  <w:style w:type="character" w:customStyle="1" w:styleId="166">
    <w:name w:val="表正文 Char2"/>
    <w:qFormat/>
    <w:uiPriority w:val="0"/>
    <w:rPr>
      <w:rFonts w:ascii="Times New Roman" w:hAnsi="Times New Roman" w:eastAsia="宋体" w:cs="Times New Roman"/>
      <w:szCs w:val="24"/>
    </w:rPr>
  </w:style>
  <w:style w:type="character" w:customStyle="1" w:styleId="167">
    <w:name w:val="ändrad Char1"/>
    <w:qFormat/>
    <w:uiPriority w:val="0"/>
    <w:rPr>
      <w:rFonts w:ascii="仿宋_GB2312" w:eastAsia="宋体"/>
      <w:b/>
      <w:kern w:val="2"/>
      <w:sz w:val="21"/>
      <w:szCs w:val="24"/>
      <w:lang w:val="en-US" w:eastAsia="zh-CN" w:bidi="ar-SA"/>
    </w:rPr>
  </w:style>
  <w:style w:type="character" w:customStyle="1" w:styleId="168">
    <w:name w:val="Char Char15"/>
    <w:qFormat/>
    <w:uiPriority w:val="0"/>
    <w:rPr>
      <w:rFonts w:ascii="Arial" w:hAnsi="Arial" w:eastAsia="黑体"/>
      <w:sz w:val="24"/>
      <w:szCs w:val="24"/>
    </w:rPr>
  </w:style>
  <w:style w:type="character" w:customStyle="1" w:styleId="169">
    <w:name w:val="Footer-Even Char"/>
    <w:qFormat/>
    <w:uiPriority w:val="0"/>
    <w:rPr>
      <w:sz w:val="18"/>
      <w:szCs w:val="18"/>
    </w:rPr>
  </w:style>
  <w:style w:type="character" w:customStyle="1" w:styleId="170">
    <w:name w:val="Style4"/>
    <w:qFormat/>
    <w:uiPriority w:val="0"/>
    <w:rPr>
      <w:rFonts w:ascii="Calibri" w:hAnsi="宋体" w:eastAsia="宋体" w:cs="Times New Roman"/>
      <w:szCs w:val="22"/>
      <w:lang w:eastAsia="zh-CN"/>
    </w:rPr>
  </w:style>
  <w:style w:type="character" w:customStyle="1" w:styleId="171">
    <w:name w:val="heading 3 Char2"/>
    <w:qFormat/>
    <w:uiPriority w:val="0"/>
    <w:rPr>
      <w:b/>
      <w:bCs/>
      <w:kern w:val="2"/>
      <w:sz w:val="32"/>
      <w:szCs w:val="32"/>
    </w:rPr>
  </w:style>
  <w:style w:type="character" w:customStyle="1" w:styleId="172">
    <w:name w:val="Char Char Char"/>
    <w:qFormat/>
    <w:uiPriority w:val="0"/>
    <w:rPr>
      <w:rFonts w:ascii="宋体" w:hAnsi="Courier New" w:eastAsia="宋体"/>
      <w:b/>
      <w:sz w:val="21"/>
      <w:szCs w:val="21"/>
      <w:lang w:val="en-US" w:eastAsia="zh-CN" w:bidi="ar-SA"/>
    </w:rPr>
  </w:style>
  <w:style w:type="character" w:customStyle="1" w:styleId="173">
    <w:name w:val="Char Char41"/>
    <w:qFormat/>
    <w:uiPriority w:val="0"/>
    <w:rPr>
      <w:rFonts w:ascii="Cambria" w:hAnsi="Cambria" w:eastAsia="宋体"/>
      <w:b/>
      <w:bCs/>
      <w:sz w:val="32"/>
      <w:szCs w:val="32"/>
      <w:lang w:bidi="ar-SA"/>
    </w:rPr>
  </w:style>
  <w:style w:type="character" w:customStyle="1" w:styleId="174">
    <w:name w:val="heading 2 Char1"/>
    <w:qFormat/>
    <w:uiPriority w:val="0"/>
    <w:rPr>
      <w:rFonts w:ascii="Cambria" w:hAnsi="Cambria" w:eastAsia="宋体"/>
      <w:b/>
      <w:bCs/>
      <w:kern w:val="2"/>
      <w:sz w:val="32"/>
      <w:szCs w:val="32"/>
      <w:lang w:val="en-US" w:eastAsia="zh-CN" w:bidi="ar-SA"/>
    </w:rPr>
  </w:style>
  <w:style w:type="character" w:customStyle="1" w:styleId="175">
    <w:name w:val="font11"/>
    <w:basedOn w:val="54"/>
    <w:qFormat/>
    <w:uiPriority w:val="0"/>
    <w:rPr>
      <w:rFonts w:hint="eastAsia" w:ascii="宋体" w:hAnsi="宋体" w:eastAsia="宋体" w:cs="宋体"/>
      <w:color w:val="000000"/>
      <w:sz w:val="20"/>
      <w:szCs w:val="20"/>
      <w:u w:val="none"/>
    </w:rPr>
  </w:style>
  <w:style w:type="character" w:customStyle="1" w:styleId="176">
    <w:name w:val="Ò³Ã¼ Char Char1"/>
    <w:qFormat/>
    <w:uiPriority w:val="0"/>
    <w:rPr>
      <w:rFonts w:eastAsia="宋体"/>
      <w:kern w:val="2"/>
      <w:sz w:val="18"/>
      <w:szCs w:val="18"/>
      <w:lang w:val="en-US" w:eastAsia="zh-CN" w:bidi="ar-SA"/>
    </w:rPr>
  </w:style>
  <w:style w:type="character" w:customStyle="1" w:styleId="177">
    <w:name w:val="smalltxt1"/>
    <w:qFormat/>
    <w:uiPriority w:val="0"/>
    <w:rPr>
      <w:rFonts w:hint="default" w:ascii="ˎ̥" w:hAnsi="ˎ̥"/>
      <w:sz w:val="24"/>
      <w:szCs w:val="24"/>
    </w:rPr>
  </w:style>
  <w:style w:type="character" w:customStyle="1" w:styleId="178">
    <w:name w:val="heading 2 Char"/>
    <w:qFormat/>
    <w:uiPriority w:val="0"/>
    <w:rPr>
      <w:rFonts w:ascii="Arial" w:hAnsi="Arial" w:eastAsia="黑体" w:cs="Times New Roman"/>
      <w:sz w:val="30"/>
      <w:szCs w:val="24"/>
    </w:rPr>
  </w:style>
  <w:style w:type="character" w:customStyle="1" w:styleId="179">
    <w:name w:val="明显强调1"/>
    <w:qFormat/>
    <w:uiPriority w:val="0"/>
    <w:rPr>
      <w:b/>
      <w:bCs/>
      <w:i/>
      <w:iCs/>
      <w:color w:val="4F81BD"/>
    </w:rPr>
  </w:style>
  <w:style w:type="character" w:customStyle="1" w:styleId="180">
    <w:name w:val="Char Char17"/>
    <w:qFormat/>
    <w:uiPriority w:val="0"/>
    <w:rPr>
      <w:rFonts w:ascii="Cambria" w:hAnsi="Cambria"/>
      <w:b/>
      <w:bCs/>
      <w:kern w:val="2"/>
      <w:sz w:val="28"/>
      <w:szCs w:val="28"/>
    </w:rPr>
  </w:style>
  <w:style w:type="character" w:customStyle="1" w:styleId="181">
    <w:name w:val="Table Text Char Char"/>
    <w:link w:val="182"/>
    <w:qFormat/>
    <w:uiPriority w:val="0"/>
    <w:rPr>
      <w:sz w:val="21"/>
      <w:lang w:val="en-US" w:eastAsia="en-US" w:bidi="ar-SA"/>
    </w:rPr>
  </w:style>
  <w:style w:type="paragraph" w:customStyle="1" w:styleId="182">
    <w:name w:val="Table Text"/>
    <w:basedOn w:val="1"/>
    <w:link w:val="181"/>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83">
    <w:name w:val="Intense Reference"/>
    <w:qFormat/>
    <w:uiPriority w:val="0"/>
    <w:rPr>
      <w:b/>
      <w:bCs/>
      <w:smallCaps/>
      <w:color w:val="C0504D"/>
      <w:spacing w:val="5"/>
      <w:u w:val="single"/>
    </w:rPr>
  </w:style>
  <w:style w:type="character" w:customStyle="1" w:styleId="184">
    <w:name w:val="ändrad Char"/>
    <w:qFormat/>
    <w:uiPriority w:val="0"/>
    <w:rPr>
      <w:rFonts w:eastAsia="宋体"/>
      <w:kern w:val="2"/>
      <w:sz w:val="21"/>
      <w:szCs w:val="24"/>
      <w:lang w:val="en-US" w:eastAsia="zh-CN" w:bidi="ar-SA"/>
    </w:rPr>
  </w:style>
  <w:style w:type="character" w:customStyle="1" w:styleId="185">
    <w:name w:val="Ò³Ã¼ Char Char"/>
    <w:uiPriority w:val="0"/>
    <w:rPr>
      <w:sz w:val="18"/>
      <w:szCs w:val="18"/>
    </w:rPr>
  </w:style>
  <w:style w:type="character" w:customStyle="1" w:styleId="186">
    <w:name w:val="Char Char1"/>
    <w:uiPriority w:val="0"/>
    <w:rPr>
      <w:rFonts w:eastAsia="宋体"/>
      <w:sz w:val="21"/>
      <w:lang w:val="en-US" w:eastAsia="zh-CN" w:bidi="ar-SA"/>
    </w:rPr>
  </w:style>
  <w:style w:type="character" w:customStyle="1" w:styleId="187">
    <w:name w:val="heading 6 Char1"/>
    <w:uiPriority w:val="0"/>
    <w:rPr>
      <w:rFonts w:ascii="Arial" w:hAnsi="Arial" w:eastAsia="黑体"/>
      <w:kern w:val="2"/>
      <w:sz w:val="24"/>
      <w:szCs w:val="24"/>
      <w:lang w:val="en-US" w:eastAsia="zh-CN" w:bidi="ar-SA"/>
    </w:rPr>
  </w:style>
  <w:style w:type="character" w:customStyle="1" w:styleId="188">
    <w:name w:val="heading 4 Char2"/>
    <w:uiPriority w:val="0"/>
    <w:rPr>
      <w:rFonts w:ascii="Cambria" w:hAnsi="Cambria"/>
      <w:b/>
      <w:bCs/>
      <w:kern w:val="2"/>
      <w:sz w:val="28"/>
      <w:szCs w:val="28"/>
    </w:rPr>
  </w:style>
  <w:style w:type="character" w:customStyle="1" w:styleId="189">
    <w:name w:val="font21"/>
    <w:qFormat/>
    <w:uiPriority w:val="0"/>
    <w:rPr>
      <w:rFonts w:hint="eastAsia" w:ascii="宋体" w:hAnsi="宋体" w:eastAsia="宋体" w:cs="宋体"/>
      <w:color w:val="000000"/>
      <w:sz w:val="18"/>
      <w:szCs w:val="18"/>
      <w:u w:val="none"/>
    </w:rPr>
  </w:style>
  <w:style w:type="character" w:customStyle="1" w:styleId="190">
    <w:name w:val="textcolor1"/>
    <w:uiPriority w:val="0"/>
    <w:rPr>
      <w:rFonts w:ascii="仿宋_GB2312" w:eastAsia="仿宋_GB2312"/>
      <w:b/>
      <w:color w:val="FF6600"/>
      <w:sz w:val="32"/>
      <w:szCs w:val="32"/>
    </w:rPr>
  </w:style>
  <w:style w:type="character" w:customStyle="1" w:styleId="191">
    <w:name w:val="heading 8 Char1"/>
    <w:uiPriority w:val="0"/>
    <w:rPr>
      <w:rFonts w:ascii="Arial" w:hAnsi="Arial" w:eastAsia="黑体"/>
      <w:sz w:val="24"/>
      <w:lang w:val="en-US" w:eastAsia="zh-CN" w:bidi="ar-SA"/>
    </w:rPr>
  </w:style>
  <w:style w:type="character" w:customStyle="1" w:styleId="192">
    <w:name w:val="heading 1 Char"/>
    <w:uiPriority w:val="0"/>
    <w:rPr>
      <w:rFonts w:ascii="Arial" w:hAnsi="Arial" w:eastAsia="黑体"/>
      <w:b/>
      <w:sz w:val="36"/>
      <w:szCs w:val="36"/>
    </w:rPr>
  </w:style>
  <w:style w:type="character" w:customStyle="1" w:styleId="193">
    <w:name w:val="Char Char61"/>
    <w:qFormat/>
    <w:uiPriority w:val="0"/>
    <w:rPr>
      <w:rFonts w:ascii="Times New Roman" w:hAnsi="Times New Roman" w:eastAsia="宋体" w:cs="Times New Roman"/>
      <w:szCs w:val="24"/>
    </w:rPr>
  </w:style>
  <w:style w:type="character" w:customStyle="1" w:styleId="194">
    <w:name w:val="heading 3 Char1"/>
    <w:uiPriority w:val="0"/>
    <w:rPr>
      <w:rFonts w:eastAsia="宋体"/>
      <w:b/>
      <w:bCs/>
      <w:kern w:val="2"/>
      <w:sz w:val="32"/>
      <w:szCs w:val="32"/>
      <w:lang w:val="en-US" w:eastAsia="zh-CN" w:bidi="ar-SA"/>
    </w:rPr>
  </w:style>
  <w:style w:type="character" w:customStyle="1" w:styleId="195">
    <w:name w:val="Texte Char Char"/>
    <w:uiPriority w:val="0"/>
    <w:rPr>
      <w:rFonts w:ascii="宋体" w:hAnsi="Courier New" w:eastAsia="宋体"/>
      <w:sz w:val="21"/>
      <w:szCs w:val="21"/>
      <w:lang w:val="en-US" w:eastAsia="zh-CN" w:bidi="ar-SA"/>
    </w:rPr>
  </w:style>
  <w:style w:type="character" w:customStyle="1" w:styleId="196">
    <w:name w:val="pt141"/>
    <w:uiPriority w:val="0"/>
    <w:rPr>
      <w:color w:val="330066"/>
      <w:spacing w:val="450"/>
      <w:sz w:val="22"/>
      <w:szCs w:val="22"/>
    </w:rPr>
  </w:style>
  <w:style w:type="character" w:customStyle="1" w:styleId="197">
    <w:name w:val="Char Char211"/>
    <w:qFormat/>
    <w:uiPriority w:val="0"/>
    <w:rPr>
      <w:rFonts w:ascii="Times New Roman" w:hAnsi="Times New Roman" w:eastAsia="宋体" w:cs="Times New Roman"/>
      <w:b/>
      <w:bCs/>
      <w:kern w:val="44"/>
      <w:sz w:val="44"/>
      <w:szCs w:val="44"/>
    </w:rPr>
  </w:style>
  <w:style w:type="character" w:customStyle="1" w:styleId="198">
    <w:name w:val="heading 1 Char2"/>
    <w:qFormat/>
    <w:uiPriority w:val="0"/>
    <w:rPr>
      <w:b/>
      <w:bCs/>
      <w:kern w:val="44"/>
      <w:sz w:val="44"/>
      <w:szCs w:val="44"/>
    </w:rPr>
  </w:style>
  <w:style w:type="character" w:customStyle="1" w:styleId="199">
    <w:name w:val="Intense Emphasis"/>
    <w:qFormat/>
    <w:uiPriority w:val="0"/>
    <w:rPr>
      <w:b/>
      <w:bCs/>
      <w:i/>
      <w:iCs/>
      <w:color w:val="4F81BD"/>
    </w:rPr>
  </w:style>
  <w:style w:type="character" w:customStyle="1" w:styleId="200">
    <w:name w:val="明显参考1"/>
    <w:qFormat/>
    <w:uiPriority w:val="0"/>
    <w:rPr>
      <w:b/>
      <w:bCs/>
      <w:smallCaps/>
      <w:color w:val="C0504D"/>
      <w:spacing w:val="5"/>
      <w:u w:val="single"/>
    </w:rPr>
  </w:style>
  <w:style w:type="paragraph" w:customStyle="1" w:styleId="201">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02">
    <w:name w:val="Char Char"/>
    <w:basedOn w:val="1"/>
    <w:uiPriority w:val="0"/>
    <w:rPr>
      <w:rFonts w:ascii="仿宋_GB2312" w:eastAsia="仿宋_GB2312"/>
      <w:b/>
      <w:sz w:val="32"/>
      <w:szCs w:val="32"/>
    </w:rPr>
  </w:style>
  <w:style w:type="paragraph" w:customStyle="1" w:styleId="203">
    <w:name w:val="È±Ê¡ÎÄ±¾ Char"/>
    <w:basedOn w:val="1"/>
    <w:uiPriority w:val="0"/>
    <w:pPr>
      <w:widowControl/>
      <w:overflowPunct w:val="0"/>
      <w:autoSpaceDE w:val="0"/>
      <w:autoSpaceDN w:val="0"/>
      <w:adjustRightInd w:val="0"/>
      <w:textAlignment w:val="baseline"/>
    </w:pPr>
    <w:rPr>
      <w:szCs w:val="21"/>
      <w:lang w:val="zh-CN"/>
    </w:rPr>
  </w:style>
  <w:style w:type="paragraph" w:customStyle="1" w:styleId="204">
    <w:name w:val="Char Char Char Char Char Char Char"/>
    <w:basedOn w:val="1"/>
    <w:qFormat/>
    <w:uiPriority w:val="0"/>
    <w:rPr>
      <w:rFonts w:ascii="仿宋_GB2312" w:eastAsia="仿宋_GB2312"/>
      <w:b/>
      <w:sz w:val="32"/>
      <w:szCs w:val="32"/>
    </w:rPr>
  </w:style>
  <w:style w:type="paragraph" w:customStyle="1" w:styleId="205">
    <w:name w:val="文字"/>
    <w:basedOn w:val="1"/>
    <w:uiPriority w:val="0"/>
    <w:pPr>
      <w:tabs>
        <w:tab w:val="left" w:pos="8520"/>
      </w:tabs>
      <w:spacing w:line="312" w:lineRule="auto"/>
      <w:ind w:right="-210" w:firstLine="556"/>
    </w:pPr>
    <w:rPr>
      <w:rFonts w:ascii="宋体"/>
      <w:sz w:val="28"/>
      <w:szCs w:val="20"/>
    </w:rPr>
  </w:style>
  <w:style w:type="paragraph" w:customStyle="1" w:styleId="206">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8">
    <w:name w:val="文档正文"/>
    <w:basedOn w:val="1"/>
    <w:qFormat/>
    <w:uiPriority w:val="0"/>
    <w:pPr>
      <w:adjustRightInd w:val="0"/>
      <w:spacing w:line="300" w:lineRule="auto"/>
      <w:ind w:firstLine="567"/>
      <w:textAlignment w:val="baseline"/>
    </w:pPr>
    <w:rPr>
      <w:kern w:val="0"/>
      <w:sz w:val="24"/>
      <w:szCs w:val="20"/>
    </w:rPr>
  </w:style>
  <w:style w:type="paragraph" w:customStyle="1" w:styleId="209">
    <w:name w:val="Test2"/>
    <w:basedOn w:val="4"/>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10">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211">
    <w:name w:val="xl9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2">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1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5">
    <w:name w:val="正文文本缩进 31"/>
    <w:basedOn w:val="1"/>
    <w:qFormat/>
    <w:uiPriority w:val="99"/>
    <w:pPr>
      <w:spacing w:line="300" w:lineRule="auto"/>
      <w:ind w:firstLine="480" w:firstLineChars="200"/>
      <w:jc w:val="left"/>
    </w:pPr>
    <w:rPr>
      <w:kern w:val="0"/>
      <w:sz w:val="24"/>
    </w:rPr>
  </w:style>
  <w:style w:type="paragraph" w:customStyle="1" w:styleId="216">
    <w:name w:val="l正文"/>
    <w:basedOn w:val="1"/>
    <w:qFormat/>
    <w:uiPriority w:val="0"/>
    <w:pPr>
      <w:spacing w:line="360" w:lineRule="auto"/>
      <w:ind w:firstLine="200" w:firstLineChars="200"/>
    </w:pPr>
    <w:rPr>
      <w:rFonts w:ascii="宋体" w:hAnsi="宋体"/>
      <w:sz w:val="24"/>
    </w:rPr>
  </w:style>
  <w:style w:type="paragraph" w:customStyle="1" w:styleId="217">
    <w:name w:val="保留正文"/>
    <w:basedOn w:val="21"/>
    <w:uiPriority w:val="0"/>
    <w:pPr>
      <w:keepNext/>
      <w:spacing w:after="160"/>
    </w:pPr>
    <w:rPr>
      <w:szCs w:val="20"/>
    </w:rPr>
  </w:style>
  <w:style w:type="paragraph" w:customStyle="1" w:styleId="2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20">
    <w:name w:val="GW-正文"/>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221">
    <w:name w:val="Char1"/>
    <w:basedOn w:val="1"/>
    <w:uiPriority w:val="0"/>
    <w:rPr>
      <w:rFonts w:ascii="仿宋_GB2312" w:eastAsia="仿宋_GB2312"/>
      <w:b/>
      <w:sz w:val="32"/>
      <w:szCs w:val="32"/>
    </w:rPr>
  </w:style>
  <w:style w:type="paragraph" w:customStyle="1" w:styleId="222">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23">
    <w:name w:val="正文－恩普"/>
    <w:basedOn w:val="10"/>
    <w:qFormat/>
    <w:uiPriority w:val="0"/>
    <w:pPr>
      <w:adjustRightInd/>
      <w:spacing w:line="360" w:lineRule="auto"/>
      <w:ind w:firstLine="200" w:firstLineChars="200"/>
      <w:textAlignment w:val="auto"/>
    </w:pPr>
    <w:rPr>
      <w:kern w:val="2"/>
      <w:sz w:val="24"/>
      <w:szCs w:val="24"/>
    </w:rPr>
  </w:style>
  <w:style w:type="paragraph" w:customStyle="1" w:styleId="224">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25">
    <w:name w:val="Char Char Char Char Char Char Char1"/>
    <w:basedOn w:val="1"/>
    <w:uiPriority w:val="0"/>
    <w:rPr>
      <w:rFonts w:ascii="仿宋_GB2312" w:eastAsia="仿宋_GB2312"/>
      <w:b/>
      <w:sz w:val="32"/>
      <w:szCs w:val="32"/>
    </w:rPr>
  </w:style>
  <w:style w:type="paragraph" w:customStyle="1" w:styleId="226">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27">
    <w:name w:val="标识2"/>
    <w:basedOn w:val="1"/>
    <w:qFormat/>
    <w:uiPriority w:val="0"/>
    <w:pPr>
      <w:numPr>
        <w:ilvl w:val="0"/>
        <w:numId w:val="1"/>
      </w:numPr>
      <w:ind w:left="278" w:hanging="193"/>
      <w:jc w:val="left"/>
    </w:pPr>
    <w:rPr>
      <w:kern w:val="0"/>
      <w:szCs w:val="22"/>
    </w:rPr>
  </w:style>
  <w:style w:type="paragraph" w:customStyle="1" w:styleId="2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0">
    <w:name w:val="列表内容"/>
    <w:basedOn w:val="1"/>
    <w:next w:val="1"/>
    <w:uiPriority w:val="0"/>
    <w:pPr>
      <w:widowControl/>
      <w:autoSpaceDE w:val="0"/>
      <w:autoSpaceDN w:val="0"/>
      <w:adjustRightInd w:val="0"/>
      <w:ind w:firstLine="200"/>
      <w:jc w:val="left"/>
    </w:pPr>
    <w:rPr>
      <w:kern w:val="0"/>
      <w:sz w:val="18"/>
      <w:szCs w:val="20"/>
    </w:rPr>
  </w:style>
  <w:style w:type="paragraph" w:customStyle="1" w:styleId="231">
    <w:name w:val="列出段落1"/>
    <w:basedOn w:val="1"/>
    <w:qFormat/>
    <w:uiPriority w:val="0"/>
    <w:pPr>
      <w:ind w:firstLine="420" w:firstLineChars="200"/>
    </w:pPr>
    <w:rPr>
      <w:szCs w:val="20"/>
    </w:rPr>
  </w:style>
  <w:style w:type="paragraph" w:customStyle="1" w:styleId="232">
    <w:name w:val="xl8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34">
    <w:name w:val="xl85"/>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5">
    <w:name w:val="简单回函地址"/>
    <w:basedOn w:val="1"/>
    <w:qFormat/>
    <w:uiPriority w:val="0"/>
  </w:style>
  <w:style w:type="paragraph" w:customStyle="1" w:styleId="236">
    <w:name w:val="正文（首行缩进）"/>
    <w:basedOn w:val="24"/>
    <w:uiPriority w:val="0"/>
    <w:pPr>
      <w:widowControl/>
      <w:overflowPunct w:val="0"/>
      <w:autoSpaceDE w:val="0"/>
      <w:autoSpaceDN w:val="0"/>
      <w:adjustRightInd w:val="0"/>
      <w:spacing w:before="156" w:beforeLines="50" w:after="120" w:line="400" w:lineRule="exact"/>
      <w:ind w:left="200" w:leftChars="200" w:firstLine="200" w:firstLineChars="200"/>
      <w:jc w:val="left"/>
      <w:textAlignment w:val="baseline"/>
    </w:pPr>
    <w:rPr>
      <w:spacing w:val="10"/>
      <w:kern w:val="0"/>
      <w:szCs w:val="20"/>
    </w:rPr>
  </w:style>
  <w:style w:type="paragraph" w:customStyle="1" w:styleId="2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Table Contents"/>
    <w:basedOn w:val="1"/>
    <w:uiPriority w:val="0"/>
    <w:pPr>
      <w:suppressAutoHyphens/>
      <w:autoSpaceDE w:val="0"/>
      <w:autoSpaceDN w:val="0"/>
      <w:adjustRightInd w:val="0"/>
      <w:spacing w:after="120"/>
      <w:jc w:val="left"/>
    </w:pPr>
    <w:rPr>
      <w:rFonts w:ascii="Helvetica" w:hAnsi="Helvetica"/>
      <w:kern w:val="1"/>
      <w:sz w:val="20"/>
      <w:szCs w:val="20"/>
    </w:rPr>
  </w:style>
  <w:style w:type="paragraph" w:customStyle="1" w:styleId="239">
    <w:name w:val="列表段落1"/>
    <w:basedOn w:val="1"/>
    <w:qFormat/>
    <w:uiPriority w:val="0"/>
    <w:pPr>
      <w:ind w:firstLine="420" w:firstLineChars="200"/>
    </w:pPr>
  </w:style>
  <w:style w:type="paragraph" w:customStyle="1" w:styleId="240">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41">
    <w:name w:val="图表"/>
    <w:basedOn w:val="1"/>
    <w:qFormat/>
    <w:uiPriority w:val="0"/>
    <w:pPr>
      <w:widowControl/>
      <w:spacing w:after="160"/>
      <w:jc w:val="center"/>
    </w:pPr>
    <w:rPr>
      <w:kern w:val="0"/>
      <w:szCs w:val="20"/>
      <w:lang w:eastAsia="en-US"/>
    </w:rPr>
  </w:style>
  <w:style w:type="paragraph" w:customStyle="1" w:styleId="242">
    <w:name w:val="xl8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3">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4">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5">
    <w:name w:val="tabletext"/>
    <w:basedOn w:val="1"/>
    <w:qFormat/>
    <w:uiPriority w:val="0"/>
    <w:pPr>
      <w:widowControl/>
      <w:spacing w:line="300" w:lineRule="atLeast"/>
      <w:jc w:val="left"/>
    </w:pPr>
    <w:rPr>
      <w:rFonts w:ascii="宋体" w:hAnsi="宋体" w:cs="宋体"/>
      <w:kern w:val="0"/>
      <w:sz w:val="18"/>
      <w:szCs w:val="18"/>
    </w:rPr>
  </w:style>
  <w:style w:type="paragraph" w:customStyle="1" w:styleId="246">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47">
    <w:name w:val="样式1"/>
    <w:basedOn w:val="1"/>
    <w:uiPriority w:val="0"/>
    <w:pPr>
      <w:autoSpaceDE w:val="0"/>
      <w:autoSpaceDN w:val="0"/>
      <w:adjustRightInd w:val="0"/>
      <w:spacing w:line="400" w:lineRule="exact"/>
    </w:pPr>
    <w:rPr>
      <w:rFonts w:ascii="宋体" w:cs="宋体"/>
      <w:kern w:val="0"/>
    </w:rPr>
  </w:style>
  <w:style w:type="paragraph" w:customStyle="1" w:styleId="248">
    <w:name w:val="font5"/>
    <w:basedOn w:val="1"/>
    <w:uiPriority w:val="0"/>
    <w:pPr>
      <w:widowControl/>
      <w:spacing w:before="100" w:beforeAutospacing="1" w:after="100" w:afterAutospacing="1"/>
      <w:jc w:val="left"/>
    </w:pPr>
    <w:rPr>
      <w:rFonts w:ascii="宋体" w:hAnsi="宋体" w:cs="宋体"/>
      <w:kern w:val="0"/>
      <w:sz w:val="18"/>
      <w:szCs w:val="18"/>
    </w:rPr>
  </w:style>
  <w:style w:type="paragraph" w:styleId="249">
    <w:name w:val="List Paragraph"/>
    <w:basedOn w:val="1"/>
    <w:qFormat/>
    <w:uiPriority w:val="0"/>
    <w:pPr>
      <w:ind w:firstLine="420" w:firstLineChars="200"/>
    </w:pPr>
    <w:rPr>
      <w:rFonts w:ascii="Calibri" w:hAnsi="Calibri"/>
      <w:szCs w:val="22"/>
    </w:rPr>
  </w:style>
  <w:style w:type="paragraph" w:customStyle="1" w:styleId="250">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51">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252">
    <w:name w:val="一级条标题"/>
    <w:next w:val="1"/>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53">
    <w:name w:val="TOC Heading"/>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54">
    <w:name w:val="Table Paragraph"/>
    <w:basedOn w:val="1"/>
    <w:qFormat/>
    <w:uiPriority w:val="1"/>
  </w:style>
  <w:style w:type="paragraph" w:customStyle="1" w:styleId="255">
    <w:name w:val="xl91"/>
    <w:basedOn w:val="1"/>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6">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5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58">
    <w:name w:val="p0"/>
    <w:basedOn w:val="1"/>
    <w:qFormat/>
    <w:uiPriority w:val="0"/>
    <w:pPr>
      <w:widowControl/>
    </w:pPr>
    <w:rPr>
      <w:kern w:val="0"/>
      <w:szCs w:val="21"/>
    </w:rPr>
  </w:style>
  <w:style w:type="paragraph" w:customStyle="1" w:styleId="259">
    <w:name w:val="正文首行缩进2字符"/>
    <w:basedOn w:val="1"/>
    <w:qFormat/>
    <w:uiPriority w:val="0"/>
    <w:pPr>
      <w:spacing w:before="60" w:after="60"/>
      <w:ind w:firstLine="482"/>
      <w:jc w:val="left"/>
    </w:pPr>
    <w:rPr>
      <w:iCs/>
      <w:kern w:val="0"/>
      <w:szCs w:val="22"/>
    </w:rPr>
  </w:style>
  <w:style w:type="paragraph" w:customStyle="1" w:styleId="260">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6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62">
    <w:name w:val="正文-宋体四号"/>
    <w:basedOn w:val="1"/>
    <w:qFormat/>
    <w:uiPriority w:val="0"/>
    <w:pPr>
      <w:spacing w:line="360" w:lineRule="auto"/>
      <w:ind w:firstLine="560" w:firstLineChars="200"/>
    </w:pPr>
    <w:rPr>
      <w:rFonts w:cs="宋体"/>
      <w:sz w:val="28"/>
      <w:szCs w:val="20"/>
    </w:rPr>
  </w:style>
  <w:style w:type="paragraph" w:customStyle="1" w:styleId="263">
    <w:name w:val="默认段落字体 Para Char Char Char Char Char Char Char"/>
    <w:basedOn w:val="1"/>
    <w:qFormat/>
    <w:uiPriority w:val="0"/>
  </w:style>
  <w:style w:type="paragraph" w:customStyle="1" w:styleId="26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65">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66">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7">
    <w:name w:val="xl29"/>
    <w:basedOn w:val="1"/>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6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9">
    <w:name w:val="Char2"/>
    <w:basedOn w:val="1"/>
    <w:uiPriority w:val="0"/>
    <w:pPr>
      <w:autoSpaceDE w:val="0"/>
      <w:autoSpaceDN w:val="0"/>
      <w:adjustRightInd w:val="0"/>
      <w:jc w:val="left"/>
    </w:pPr>
    <w:rPr>
      <w:rFonts w:ascii="仿宋_GB2312" w:eastAsia="仿宋_GB2312"/>
      <w:b/>
      <w:kern w:val="0"/>
      <w:sz w:val="32"/>
      <w:szCs w:val="32"/>
    </w:rPr>
  </w:style>
  <w:style w:type="paragraph" w:customStyle="1" w:styleId="270">
    <w:name w:val="二级条标题"/>
    <w:basedOn w:val="252"/>
    <w:next w:val="1"/>
    <w:uiPriority w:val="0"/>
    <w:pPr>
      <w:tabs>
        <w:tab w:val="left" w:pos="4309"/>
        <w:tab w:val="clear" w:pos="3889"/>
      </w:tabs>
      <w:ind w:left="4309"/>
      <w:outlineLvl w:val="3"/>
    </w:pPr>
  </w:style>
  <w:style w:type="paragraph" w:customStyle="1" w:styleId="271">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72">
    <w:name w:val="1 Char"/>
    <w:basedOn w:val="10"/>
    <w:uiPriority w:val="0"/>
    <w:pPr>
      <w:adjustRightInd/>
      <w:spacing w:line="360" w:lineRule="auto"/>
      <w:ind w:firstLine="200" w:firstLineChars="200"/>
      <w:textAlignment w:val="auto"/>
    </w:pPr>
    <w:rPr>
      <w:kern w:val="2"/>
    </w:rPr>
  </w:style>
  <w:style w:type="paragraph" w:customStyle="1" w:styleId="273">
    <w:name w:val="正文-2字符首行缩进"/>
    <w:basedOn w:val="1"/>
    <w:qFormat/>
    <w:uiPriority w:val="0"/>
    <w:pPr>
      <w:ind w:firstLine="200" w:firstLineChars="200"/>
    </w:pPr>
    <w:rPr>
      <w:rFonts w:ascii="Calibri" w:hAnsi="Calibri" w:eastAsia="仿宋"/>
    </w:rPr>
  </w:style>
  <w:style w:type="paragraph" w:customStyle="1" w:styleId="2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5">
    <w:name w:val="样式5"/>
    <w:basedOn w:val="10"/>
    <w:qFormat/>
    <w:uiPriority w:val="0"/>
    <w:pPr>
      <w:adjustRightInd/>
      <w:spacing w:line="360" w:lineRule="auto"/>
      <w:ind w:firstLine="200" w:firstLineChars="200"/>
      <w:textAlignment w:val="auto"/>
    </w:pPr>
    <w:rPr>
      <w:sz w:val="28"/>
      <w:szCs w:val="21"/>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7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79">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280">
    <w:name w:val="样式 首行缩进:  0 字符"/>
    <w:basedOn w:val="1"/>
    <w:qFormat/>
    <w:uiPriority w:val="0"/>
    <w:pPr>
      <w:ind w:firstLine="200" w:firstLineChars="200"/>
    </w:pPr>
    <w:rPr>
      <w:rFonts w:cs="宋体"/>
      <w:szCs w:val="20"/>
    </w:rPr>
  </w:style>
  <w:style w:type="paragraph" w:customStyle="1" w:styleId="28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82">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83">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84">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5">
    <w:name w:val="样式 标题 3 + 黑色 段前: 5 磅 段后: 5 磅 行距: 1.5 倍行距"/>
    <w:basedOn w:val="1"/>
    <w:qFormat/>
    <w:uiPriority w:val="0"/>
    <w:pPr>
      <w:ind w:left="855" w:hanging="855"/>
    </w:pPr>
    <w:rPr>
      <w:sz w:val="24"/>
      <w:szCs w:val="20"/>
    </w:rPr>
  </w:style>
  <w:style w:type="paragraph" w:customStyle="1" w:styleId="28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90">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91">
    <w:name w:val="列出段落2"/>
    <w:basedOn w:val="1"/>
    <w:qFormat/>
    <w:uiPriority w:val="34"/>
    <w:pPr>
      <w:ind w:firstLine="420" w:firstLineChars="200"/>
    </w:pPr>
  </w:style>
  <w:style w:type="paragraph" w:customStyle="1" w:styleId="292">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93">
    <w:name w:val="Char1 Char Char Char Char Char Char"/>
    <w:basedOn w:val="1"/>
    <w:uiPriority w:val="0"/>
    <w:rPr>
      <w:rFonts w:ascii="宋体" w:hAnsi="宋体"/>
      <w:color w:val="000000"/>
      <w:sz w:val="24"/>
    </w:rPr>
  </w:style>
  <w:style w:type="paragraph" w:customStyle="1" w:styleId="294">
    <w:name w:val="立地科技 正文"/>
    <w:basedOn w:val="1"/>
    <w:qFormat/>
    <w:uiPriority w:val="0"/>
    <w:pPr>
      <w:ind w:firstLine="480" w:firstLineChars="200"/>
    </w:pPr>
    <w:rPr>
      <w:kern w:val="0"/>
    </w:rPr>
  </w:style>
  <w:style w:type="paragraph" w:customStyle="1" w:styleId="295">
    <w:name w:val="正文字缩2字"/>
    <w:basedOn w:val="1"/>
    <w:qFormat/>
    <w:uiPriority w:val="0"/>
    <w:pPr>
      <w:spacing w:before="60" w:after="60" w:line="360" w:lineRule="auto"/>
      <w:ind w:left="200" w:leftChars="200" w:firstLine="200" w:firstLineChars="200"/>
    </w:pPr>
    <w:rPr>
      <w:sz w:val="24"/>
    </w:rPr>
  </w:style>
  <w:style w:type="paragraph" w:customStyle="1" w:styleId="296">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97">
    <w:name w:val="正文2"/>
    <w:basedOn w:val="1"/>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8">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299">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3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0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2">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3">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304">
    <w:name w:val="表格文字"/>
    <w:basedOn w:val="1"/>
    <w:next w:val="21"/>
    <w:qFormat/>
    <w:uiPriority w:val="0"/>
    <w:pPr>
      <w:widowControl/>
      <w:adjustRightInd w:val="0"/>
      <w:spacing w:line="420" w:lineRule="atLeast"/>
      <w:jc w:val="left"/>
      <w:textAlignment w:val="baseline"/>
    </w:pPr>
    <w:rPr>
      <w:kern w:val="0"/>
    </w:rPr>
  </w:style>
  <w:style w:type="paragraph" w:customStyle="1" w:styleId="305">
    <w:name w:val="Char3 Char Char Char"/>
    <w:basedOn w:val="1"/>
    <w:qFormat/>
    <w:uiPriority w:val="0"/>
  </w:style>
  <w:style w:type="paragraph" w:customStyle="1" w:styleId="30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07">
    <w:name w:val="Char Char Char Char Char Char Char Char Char Char Char Char Char"/>
    <w:basedOn w:val="1"/>
    <w:qFormat/>
    <w:uiPriority w:val="0"/>
    <w:rPr>
      <w:rFonts w:ascii="Tahoma" w:hAnsi="Tahoma"/>
      <w:sz w:val="24"/>
      <w:szCs w:val="20"/>
    </w:rPr>
  </w:style>
  <w:style w:type="paragraph" w:customStyle="1" w:styleId="30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09">
    <w:name w:val="*正文"/>
    <w:basedOn w:val="1"/>
    <w:qFormat/>
    <w:uiPriority w:val="0"/>
    <w:pPr>
      <w:spacing w:line="300" w:lineRule="auto"/>
      <w:ind w:firstLine="480" w:firstLineChars="200"/>
    </w:pPr>
    <w:rPr>
      <w:rFonts w:ascii="宋体" w:hAnsi="宋体" w:cs="仿宋_GB2312"/>
    </w:rPr>
  </w:style>
  <w:style w:type="paragraph" w:customStyle="1" w:styleId="310">
    <w:name w:val="List Paragraph1"/>
    <w:basedOn w:val="1"/>
    <w:qFormat/>
    <w:uiPriority w:val="0"/>
    <w:pPr>
      <w:ind w:firstLine="420" w:firstLineChars="200"/>
    </w:pPr>
    <w:rPr>
      <w:rFonts w:ascii="Calibri" w:hAnsi="Calibri"/>
      <w:szCs w:val="22"/>
    </w:rPr>
  </w:style>
  <w:style w:type="paragraph" w:customStyle="1" w:styleId="31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1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3">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14">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15">
    <w:name w:val="Char Char Char Char Char Char Char Char Char Char Char Char Char1"/>
    <w:basedOn w:val="1"/>
    <w:qFormat/>
    <w:uiPriority w:val="0"/>
  </w:style>
  <w:style w:type="paragraph" w:customStyle="1" w:styleId="316">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317">
    <w:name w:val="纯文本1"/>
    <w:basedOn w:val="1"/>
    <w:qFormat/>
    <w:uiPriority w:val="0"/>
    <w:pPr>
      <w:adjustRightInd w:val="0"/>
      <w:textAlignment w:val="baseline"/>
    </w:pPr>
    <w:rPr>
      <w:rFonts w:ascii="宋体" w:hAnsi="Courier New" w:eastAsia="楷体_GB2312"/>
      <w:sz w:val="28"/>
      <w:szCs w:val="20"/>
    </w:rPr>
  </w:style>
  <w:style w:type="paragraph" w:customStyle="1" w:styleId="318">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19">
    <w:name w:val="正文 首行缩进:  2 字符 Char"/>
    <w:basedOn w:val="1"/>
    <w:qFormat/>
    <w:uiPriority w:val="0"/>
    <w:pPr>
      <w:spacing w:line="360" w:lineRule="auto"/>
      <w:ind w:firstLine="480"/>
    </w:pPr>
    <w:rPr>
      <w:rFonts w:cs="宋体"/>
      <w:sz w:val="24"/>
      <w:szCs w:val="20"/>
    </w:rPr>
  </w:style>
  <w:style w:type="paragraph" w:customStyle="1" w:styleId="320">
    <w:name w:val="五级条标题"/>
    <w:basedOn w:val="321"/>
    <w:next w:val="1"/>
    <w:qFormat/>
    <w:uiPriority w:val="0"/>
    <w:pPr>
      <w:tabs>
        <w:tab w:val="left" w:pos="4729"/>
        <w:tab w:val="left" w:pos="5149"/>
        <w:tab w:val="left" w:pos="5569"/>
      </w:tabs>
      <w:ind w:left="5569"/>
      <w:outlineLvl w:val="6"/>
    </w:pPr>
  </w:style>
  <w:style w:type="paragraph" w:customStyle="1" w:styleId="321">
    <w:name w:val="四级条标题"/>
    <w:basedOn w:val="322"/>
    <w:next w:val="1"/>
    <w:qFormat/>
    <w:uiPriority w:val="0"/>
    <w:pPr>
      <w:tabs>
        <w:tab w:val="left" w:pos="4729"/>
        <w:tab w:val="left" w:pos="5149"/>
      </w:tabs>
      <w:ind w:left="5149"/>
      <w:outlineLvl w:val="5"/>
    </w:pPr>
  </w:style>
  <w:style w:type="paragraph" w:customStyle="1" w:styleId="322">
    <w:name w:val="三级条标题"/>
    <w:basedOn w:val="270"/>
    <w:next w:val="1"/>
    <w:qFormat/>
    <w:uiPriority w:val="0"/>
    <w:pPr>
      <w:tabs>
        <w:tab w:val="left" w:pos="4729"/>
        <w:tab w:val="clear" w:pos="4309"/>
      </w:tabs>
      <w:ind w:left="4729"/>
      <w:outlineLvl w:val="4"/>
    </w:pPr>
  </w:style>
  <w:style w:type="paragraph" w:customStyle="1" w:styleId="323">
    <w:name w:val="表内文字"/>
    <w:basedOn w:val="1"/>
    <w:qFormat/>
    <w:uiPriority w:val="0"/>
    <w:pPr>
      <w:spacing w:line="240" w:lineRule="atLeast"/>
      <w:jc w:val="center"/>
    </w:pPr>
    <w:rPr>
      <w:rFonts w:ascii="Arial" w:hAnsi="Arial" w:cs="Arial"/>
      <w:b/>
      <w:bCs/>
    </w:rPr>
  </w:style>
  <w:style w:type="paragraph" w:customStyle="1" w:styleId="324">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325">
    <w:name w:val="Char"/>
    <w:basedOn w:val="1"/>
    <w:qFormat/>
    <w:uiPriority w:val="0"/>
    <w:rPr>
      <w:rFonts w:ascii="仿宋_GB2312" w:eastAsia="仿宋_GB2312"/>
      <w:b/>
      <w:sz w:val="32"/>
      <w:szCs w:val="32"/>
    </w:rPr>
  </w:style>
  <w:style w:type="paragraph" w:customStyle="1" w:styleId="326">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327">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28">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29">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3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31">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332">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333">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334">
    <w:name w:val="章标题"/>
    <w:next w:val="1"/>
    <w:qFormat/>
    <w:uiPriority w:val="0"/>
    <w:pPr>
      <w:tabs>
        <w:tab w:val="left" w:pos="3469"/>
      </w:tabs>
      <w:spacing w:before="156" w:beforeLines="50" w:after="156" w:afterLines="50"/>
      <w:ind w:left="3469" w:hanging="420"/>
      <w:jc w:val="both"/>
      <w:outlineLvl w:val="1"/>
    </w:pPr>
    <w:rPr>
      <w:rFonts w:ascii="黑体" w:hAnsi="Times New Roman" w:eastAsia="黑体" w:cs="Times New Roman"/>
      <w:sz w:val="21"/>
      <w:lang w:val="en-US" w:eastAsia="zh-CN" w:bidi="ar-SA"/>
    </w:rPr>
  </w:style>
  <w:style w:type="paragraph" w:customStyle="1" w:styleId="335">
    <w:name w:val="Char Char Char Char1"/>
    <w:basedOn w:val="17"/>
    <w:qFormat/>
    <w:uiPriority w:val="0"/>
    <w:rPr>
      <w:rFonts w:ascii="Tahoma" w:hAnsi="Tahoma"/>
      <w:sz w:val="24"/>
    </w:rPr>
  </w:style>
  <w:style w:type="paragraph" w:customStyle="1" w:styleId="33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3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38">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3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340">
    <w:name w:val="WPSOffice手动目录 1"/>
    <w:qFormat/>
    <w:uiPriority w:val="0"/>
    <w:rPr>
      <w:rFonts w:ascii="Times New Roman" w:hAnsi="Times New Roman" w:eastAsia="宋体" w:cs="Times New Roman"/>
      <w:lang w:val="en-US" w:eastAsia="zh-CN" w:bidi="ar-SA"/>
    </w:rPr>
  </w:style>
  <w:style w:type="paragraph" w:customStyle="1" w:styleId="34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2">
    <w:name w:val="font71"/>
    <w:basedOn w:val="54"/>
    <w:uiPriority w:val="0"/>
    <w:rPr>
      <w:rFonts w:hint="default" w:ascii="Times New Roman" w:hAnsi="Times New Roman" w:cs="Times New Roman"/>
      <w:color w:val="000000"/>
      <w:sz w:val="18"/>
      <w:szCs w:val="18"/>
      <w:u w:val="none"/>
    </w:rPr>
  </w:style>
  <w:style w:type="character" w:customStyle="1" w:styleId="343">
    <w:name w:val="font61"/>
    <w:basedOn w:val="54"/>
    <w:qFormat/>
    <w:uiPriority w:val="0"/>
    <w:rPr>
      <w:rFonts w:hint="eastAsia" w:ascii="仿宋" w:hAnsi="仿宋" w:eastAsia="仿宋" w:cs="仿宋"/>
      <w:color w:val="000000"/>
      <w:sz w:val="18"/>
      <w:szCs w:val="18"/>
      <w:u w:val="none"/>
    </w:rPr>
  </w:style>
  <w:style w:type="character" w:customStyle="1" w:styleId="344">
    <w:name w:val="font91"/>
    <w:basedOn w:val="54"/>
    <w:qFormat/>
    <w:uiPriority w:val="0"/>
    <w:rPr>
      <w:rFonts w:ascii="Arial" w:hAnsi="Arial" w:cs="Arial"/>
      <w:color w:val="000000"/>
      <w:sz w:val="18"/>
      <w:szCs w:val="18"/>
      <w:u w:val="none"/>
    </w:rPr>
  </w:style>
  <w:style w:type="character" w:customStyle="1" w:styleId="345">
    <w:name w:val="font81"/>
    <w:basedOn w:val="54"/>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89</Pages>
  <Words>51372</Words>
  <Characters>56776</Characters>
  <Lines>310</Lines>
  <Paragraphs>87</Paragraphs>
  <TotalTime>62</TotalTime>
  <ScaleCrop>false</ScaleCrop>
  <LinksUpToDate>false</LinksUpToDate>
  <CharactersWithSpaces>66013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2022-04-21T02:16:00Z</dcterms:created>
  <dc:creator>zyq</dc:creator>
  <cp:lastModifiedBy>重庆联盛建设项目管理有限公司</cp:lastModifiedBy>
  <cp:lastPrinted>2021-12-31T09:45:00Z</cp:lastPrinted>
  <dcterms:modified xsi:type="dcterms:W3CDTF">2022-06-02T08:00:46Z</dcterms:modified>
  <dc:title>招标文件目录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E124BEDAB773410CA4040786677AC94A</vt:lpwstr>
  </property>
</Properties>
</file>