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60" w:lineRule="auto"/>
        <w:ind w:right="62"/>
        <w:jc w:val="center"/>
        <w:rPr>
          <w:rFonts w:hint="eastAsia" w:ascii="仿宋" w:hAnsi="仿宋" w:eastAsia="仿宋" w:cs="仿宋"/>
          <w:b/>
          <w:color w:val="auto"/>
          <w:sz w:val="32"/>
          <w:szCs w:val="32"/>
          <w:highlight w:val="none"/>
        </w:rPr>
      </w:pPr>
    </w:p>
    <w:p>
      <w:pPr>
        <w:widowControl/>
        <w:spacing w:line="360" w:lineRule="auto"/>
        <w:ind w:right="62"/>
        <w:jc w:val="center"/>
        <w:rPr>
          <w:rFonts w:hint="eastAsia" w:ascii="仿宋" w:hAnsi="仿宋" w:eastAsia="仿宋" w:cs="仿宋"/>
          <w:b/>
          <w:color w:val="auto"/>
          <w:kern w:val="0"/>
          <w:sz w:val="30"/>
          <w:szCs w:val="30"/>
          <w:highlight w:val="none"/>
          <w:lang w:val="en-US" w:eastAsia="zh-CN"/>
        </w:rPr>
      </w:pPr>
      <w:r>
        <w:rPr>
          <w:rFonts w:hint="eastAsia" w:ascii="仿宋" w:hAnsi="仿宋" w:eastAsia="仿宋" w:cs="仿宋"/>
          <w:b/>
          <w:color w:val="auto"/>
          <w:kern w:val="0"/>
          <w:sz w:val="30"/>
          <w:szCs w:val="30"/>
          <w:highlight w:val="none"/>
          <w:lang w:eastAsia="zh-CN"/>
        </w:rPr>
        <w:t xml:space="preserve"> 温州医科大学附属第二医院所有院区小额工程设计服务</w:t>
      </w:r>
    </w:p>
    <w:p>
      <w:pPr>
        <w:rPr>
          <w:rFonts w:hint="eastAsia" w:ascii="仿宋" w:hAnsi="仿宋" w:eastAsia="仿宋" w:cs="仿宋"/>
          <w:color w:val="auto"/>
          <w:sz w:val="44"/>
          <w:szCs w:val="44"/>
          <w:highlight w:val="none"/>
        </w:rPr>
      </w:pPr>
    </w:p>
    <w:p>
      <w:pPr>
        <w:rPr>
          <w:rFonts w:hint="eastAsia" w:ascii="仿宋" w:hAnsi="仿宋" w:eastAsia="仿宋" w:cs="仿宋"/>
          <w:b/>
          <w:bCs/>
          <w:color w:val="auto"/>
          <w:sz w:val="36"/>
          <w:highlight w:val="none"/>
        </w:rPr>
      </w:pPr>
    </w:p>
    <w:p>
      <w:pPr>
        <w:rPr>
          <w:rFonts w:hint="eastAsia" w:ascii="仿宋" w:hAnsi="仿宋" w:eastAsia="仿宋" w:cs="仿宋"/>
          <w:b/>
          <w:bCs/>
          <w:color w:val="auto"/>
          <w:sz w:val="36"/>
          <w:highlight w:val="none"/>
        </w:rPr>
      </w:pPr>
    </w:p>
    <w:p>
      <w:pPr>
        <w:adjustRightInd w:val="0"/>
        <w:snapToGrid w:val="0"/>
        <w:spacing w:line="800" w:lineRule="atLeast"/>
        <w:rPr>
          <w:rFonts w:hint="eastAsia" w:ascii="仿宋" w:hAnsi="仿宋" w:eastAsia="仿宋" w:cs="仿宋"/>
          <w:b/>
          <w:snapToGrid w:val="0"/>
          <w:color w:val="auto"/>
          <w:sz w:val="52"/>
          <w:szCs w:val="52"/>
          <w:highlight w:val="none"/>
        </w:rPr>
      </w:pPr>
    </w:p>
    <w:p>
      <w:pPr>
        <w:widowControl/>
        <w:spacing w:line="360" w:lineRule="auto"/>
        <w:ind w:right="62"/>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竞争性磋商文件</w:t>
      </w:r>
    </w:p>
    <w:p>
      <w:pPr>
        <w:adjustRightInd w:val="0"/>
        <w:snapToGrid w:val="0"/>
        <w:spacing w:line="520" w:lineRule="exact"/>
        <w:rPr>
          <w:rFonts w:hint="eastAsia" w:ascii="仿宋" w:hAnsi="仿宋" w:eastAsia="仿宋" w:cs="仿宋"/>
          <w:b/>
          <w:snapToGrid w:val="0"/>
          <w:color w:val="auto"/>
          <w:sz w:val="32"/>
          <w:szCs w:val="32"/>
          <w:highlight w:val="none"/>
        </w:rPr>
      </w:pPr>
    </w:p>
    <w:p>
      <w:pPr>
        <w:adjustRightInd w:val="0"/>
        <w:snapToGrid w:val="0"/>
        <w:spacing w:line="520" w:lineRule="exact"/>
        <w:rPr>
          <w:rFonts w:hint="eastAsia" w:ascii="仿宋" w:hAnsi="仿宋" w:eastAsia="仿宋" w:cs="仿宋"/>
          <w:b/>
          <w:snapToGrid w:val="0"/>
          <w:color w:val="auto"/>
          <w:sz w:val="32"/>
          <w:szCs w:val="32"/>
          <w:highlight w:val="none"/>
        </w:rPr>
      </w:pPr>
    </w:p>
    <w:p>
      <w:pPr>
        <w:adjustRightInd w:val="0"/>
        <w:snapToGrid w:val="0"/>
        <w:spacing w:line="520" w:lineRule="exact"/>
        <w:rPr>
          <w:rFonts w:hint="eastAsia" w:ascii="仿宋" w:hAnsi="仿宋" w:eastAsia="仿宋" w:cs="仿宋"/>
          <w:b/>
          <w:snapToGrid w:val="0"/>
          <w:color w:val="auto"/>
          <w:sz w:val="32"/>
          <w:szCs w:val="32"/>
          <w:highlight w:val="none"/>
        </w:rPr>
      </w:pPr>
    </w:p>
    <w:p>
      <w:pPr>
        <w:adjustRightInd w:val="0"/>
        <w:snapToGrid w:val="0"/>
        <w:spacing w:line="520" w:lineRule="exact"/>
        <w:rPr>
          <w:rFonts w:hint="eastAsia" w:ascii="仿宋" w:hAnsi="仿宋" w:eastAsia="仿宋" w:cs="仿宋"/>
          <w:b/>
          <w:snapToGrid w:val="0"/>
          <w:color w:val="auto"/>
          <w:sz w:val="32"/>
          <w:szCs w:val="32"/>
          <w:highlight w:val="none"/>
        </w:rPr>
      </w:pPr>
    </w:p>
    <w:p>
      <w:pPr>
        <w:adjustRightInd w:val="0"/>
        <w:snapToGrid w:val="0"/>
        <w:spacing w:line="520" w:lineRule="exact"/>
        <w:rPr>
          <w:rFonts w:hint="eastAsia" w:ascii="仿宋" w:hAnsi="仿宋" w:eastAsia="仿宋" w:cs="仿宋"/>
          <w:b/>
          <w:snapToGrid w:val="0"/>
          <w:color w:val="auto"/>
          <w:sz w:val="32"/>
          <w:szCs w:val="32"/>
          <w:highlight w:val="none"/>
        </w:rPr>
      </w:pPr>
    </w:p>
    <w:p>
      <w:pPr>
        <w:adjustRightInd w:val="0"/>
        <w:snapToGrid w:val="0"/>
        <w:spacing w:line="520" w:lineRule="exact"/>
        <w:rPr>
          <w:rFonts w:hint="eastAsia" w:ascii="仿宋" w:hAnsi="仿宋" w:eastAsia="仿宋" w:cs="仿宋"/>
          <w:b/>
          <w:snapToGrid w:val="0"/>
          <w:color w:val="auto"/>
          <w:sz w:val="32"/>
          <w:szCs w:val="32"/>
          <w:highlight w:val="none"/>
        </w:rPr>
      </w:pPr>
    </w:p>
    <w:p>
      <w:pPr>
        <w:adjustRightInd w:val="0"/>
        <w:snapToGrid w:val="0"/>
        <w:spacing w:line="520" w:lineRule="exact"/>
        <w:rPr>
          <w:rFonts w:hint="eastAsia" w:ascii="仿宋" w:hAnsi="仿宋" w:eastAsia="仿宋" w:cs="仿宋"/>
          <w:b/>
          <w:snapToGrid w:val="0"/>
          <w:color w:val="auto"/>
          <w:sz w:val="32"/>
          <w:szCs w:val="32"/>
          <w:highlight w:val="none"/>
        </w:rPr>
      </w:pPr>
    </w:p>
    <w:p>
      <w:pPr>
        <w:adjustRightInd w:val="0"/>
        <w:snapToGrid w:val="0"/>
        <w:spacing w:line="600" w:lineRule="exact"/>
        <w:rPr>
          <w:rFonts w:hint="eastAsia" w:ascii="仿宋" w:hAnsi="仿宋" w:eastAsia="仿宋" w:cs="仿宋"/>
          <w:b/>
          <w:snapToGrid w:val="0"/>
          <w:color w:val="auto"/>
          <w:sz w:val="32"/>
          <w:szCs w:val="32"/>
          <w:highlight w:val="none"/>
          <w:u w:val="single"/>
        </w:rPr>
      </w:pPr>
      <w:r>
        <w:rPr>
          <w:rFonts w:hint="eastAsia" w:ascii="仿宋" w:hAnsi="仿宋" w:eastAsia="仿宋" w:cs="仿宋"/>
          <w:b/>
          <w:snapToGrid w:val="0"/>
          <w:color w:val="auto"/>
          <w:sz w:val="32"/>
          <w:szCs w:val="32"/>
          <w:highlight w:val="none"/>
          <w:lang w:eastAsia="zh-CN"/>
        </w:rPr>
        <w:t>项目</w:t>
      </w:r>
      <w:r>
        <w:rPr>
          <w:rFonts w:hint="eastAsia" w:ascii="仿宋" w:hAnsi="仿宋" w:eastAsia="仿宋" w:cs="仿宋"/>
          <w:b/>
          <w:snapToGrid w:val="0"/>
          <w:color w:val="auto"/>
          <w:sz w:val="32"/>
          <w:szCs w:val="32"/>
          <w:highlight w:val="none"/>
        </w:rPr>
        <w:t>编号：</w:t>
      </w:r>
      <w:r>
        <w:rPr>
          <w:rFonts w:hint="eastAsia" w:ascii="仿宋" w:hAnsi="仿宋" w:eastAsia="仿宋" w:cs="仿宋"/>
          <w:b/>
          <w:bCs/>
          <w:snapToGrid w:val="0"/>
          <w:color w:val="auto"/>
          <w:sz w:val="32"/>
          <w:szCs w:val="32"/>
          <w:highlight w:val="none"/>
          <w:u w:val="single"/>
        </w:rPr>
        <w:t>ZJHJ-ZFCG-2022-47</w:t>
      </w:r>
    </w:p>
    <w:p>
      <w:pPr>
        <w:spacing w:line="600" w:lineRule="exact"/>
        <w:rPr>
          <w:rFonts w:hint="eastAsia" w:ascii="仿宋" w:hAnsi="仿宋" w:eastAsia="仿宋" w:cs="仿宋"/>
          <w:b/>
          <w:snapToGrid w:val="0"/>
          <w:color w:val="auto"/>
          <w:sz w:val="30"/>
          <w:szCs w:val="30"/>
          <w:highlight w:val="none"/>
          <w:u w:val="single"/>
          <w:lang w:val="en-US" w:eastAsia="zh-CN"/>
        </w:rPr>
      </w:pPr>
      <w:r>
        <w:rPr>
          <w:rFonts w:hint="eastAsia" w:ascii="仿宋" w:hAnsi="仿宋" w:eastAsia="仿宋" w:cs="仿宋"/>
          <w:b/>
          <w:bCs/>
          <w:snapToGrid w:val="0"/>
          <w:color w:val="auto"/>
          <w:sz w:val="32"/>
          <w:szCs w:val="32"/>
          <w:highlight w:val="none"/>
        </w:rPr>
        <w:t>项目名称：</w:t>
      </w:r>
      <w:r>
        <w:rPr>
          <w:rFonts w:hint="eastAsia" w:ascii="仿宋" w:hAnsi="仿宋" w:eastAsia="仿宋" w:cs="仿宋"/>
          <w:b/>
          <w:color w:val="auto"/>
          <w:sz w:val="32"/>
          <w:szCs w:val="32"/>
          <w:highlight w:val="none"/>
          <w:u w:val="single"/>
          <w:lang w:eastAsia="zh-CN"/>
        </w:rPr>
        <w:t>温州医科大学附属第二医院所有院区小额工程设计服务</w:t>
      </w:r>
      <w:r>
        <w:rPr>
          <w:rFonts w:hint="eastAsia" w:ascii="仿宋" w:hAnsi="仿宋" w:eastAsia="仿宋" w:cs="仿宋"/>
          <w:b/>
          <w:color w:val="auto"/>
          <w:sz w:val="32"/>
          <w:szCs w:val="32"/>
          <w:highlight w:val="none"/>
          <w:u w:val="single"/>
          <w:lang w:val="en-US" w:eastAsia="zh-CN"/>
        </w:rPr>
        <w:t xml:space="preserve">             </w:t>
      </w:r>
    </w:p>
    <w:p>
      <w:pPr>
        <w:widowControl/>
        <w:spacing w:line="600" w:lineRule="exact"/>
        <w:ind w:right="62"/>
        <w:rPr>
          <w:rFonts w:hint="eastAsia" w:ascii="仿宋" w:hAnsi="仿宋" w:eastAsia="仿宋" w:cs="仿宋"/>
          <w:b/>
          <w:bCs/>
          <w:color w:val="auto"/>
          <w:sz w:val="32"/>
          <w:szCs w:val="32"/>
          <w:highlight w:val="none"/>
        </w:rPr>
      </w:pPr>
      <w:r>
        <w:rPr>
          <w:rFonts w:hint="eastAsia" w:ascii="仿宋" w:hAnsi="仿宋" w:eastAsia="仿宋" w:cs="仿宋"/>
          <w:b/>
          <w:bCs/>
          <w:snapToGrid w:val="0"/>
          <w:color w:val="auto"/>
          <w:sz w:val="32"/>
          <w:szCs w:val="32"/>
          <w:highlight w:val="none"/>
        </w:rPr>
        <w:t>采购单位：</w:t>
      </w:r>
      <w:r>
        <w:rPr>
          <w:rFonts w:hint="eastAsia" w:ascii="仿宋" w:hAnsi="仿宋" w:eastAsia="仿宋" w:cs="仿宋"/>
          <w:b/>
          <w:bCs/>
          <w:snapToGrid w:val="0"/>
          <w:color w:val="auto"/>
          <w:spacing w:val="-6"/>
          <w:sz w:val="32"/>
          <w:szCs w:val="32"/>
          <w:highlight w:val="none"/>
          <w:u w:val="single"/>
          <w:lang w:eastAsia="zh-CN"/>
        </w:rPr>
        <w:t>温州医科大学附属第二医院</w:t>
      </w:r>
      <w:r>
        <w:rPr>
          <w:rFonts w:hint="eastAsia" w:ascii="仿宋" w:hAnsi="仿宋" w:eastAsia="仿宋" w:cs="仿宋"/>
          <w:b/>
          <w:bCs/>
          <w:snapToGrid w:val="0"/>
          <w:color w:val="auto"/>
          <w:spacing w:val="-6"/>
          <w:sz w:val="32"/>
          <w:szCs w:val="32"/>
          <w:highlight w:val="none"/>
          <w:u w:val="single"/>
        </w:rPr>
        <w:t>（盖章）</w:t>
      </w:r>
      <w:r>
        <w:rPr>
          <w:rFonts w:hint="eastAsia" w:ascii="仿宋" w:hAnsi="仿宋" w:eastAsia="仿宋" w:cs="仿宋"/>
          <w:b/>
          <w:bCs/>
          <w:snapToGrid w:val="0"/>
          <w:color w:val="auto"/>
          <w:spacing w:val="-6"/>
          <w:sz w:val="32"/>
          <w:szCs w:val="32"/>
          <w:highlight w:val="none"/>
          <w:u w:val="single"/>
          <w:lang w:val="en-US" w:eastAsia="zh-CN"/>
        </w:rPr>
        <w:t xml:space="preserve"> </w:t>
      </w:r>
    </w:p>
    <w:p>
      <w:pPr>
        <w:adjustRightInd w:val="0"/>
        <w:snapToGrid w:val="0"/>
        <w:spacing w:line="600" w:lineRule="exact"/>
        <w:rPr>
          <w:rFonts w:hint="eastAsia" w:ascii="仿宋" w:hAnsi="仿宋" w:eastAsia="仿宋" w:cs="仿宋"/>
          <w:b/>
          <w:bCs/>
          <w:snapToGrid w:val="0"/>
          <w:color w:val="auto"/>
          <w:sz w:val="32"/>
          <w:szCs w:val="32"/>
          <w:highlight w:val="none"/>
        </w:rPr>
      </w:pPr>
      <w:r>
        <w:rPr>
          <w:rFonts w:hint="eastAsia" w:ascii="仿宋" w:hAnsi="仿宋" w:eastAsia="仿宋" w:cs="仿宋"/>
          <w:b/>
          <w:bCs/>
          <w:snapToGrid w:val="0"/>
          <w:color w:val="auto"/>
          <w:sz w:val="32"/>
          <w:szCs w:val="32"/>
          <w:highlight w:val="none"/>
        </w:rPr>
        <w:t>代理机构：</w:t>
      </w:r>
      <w:r>
        <w:rPr>
          <w:rFonts w:hint="eastAsia" w:ascii="仿宋" w:hAnsi="仿宋" w:eastAsia="仿宋" w:cs="仿宋"/>
          <w:b/>
          <w:bCs/>
          <w:snapToGrid w:val="0"/>
          <w:color w:val="auto"/>
          <w:sz w:val="32"/>
          <w:szCs w:val="32"/>
          <w:highlight w:val="none"/>
          <w:u w:val="single"/>
          <w:lang w:eastAsia="zh-CN"/>
        </w:rPr>
        <w:t>浙江恒杰工程管理有限公司</w:t>
      </w:r>
      <w:r>
        <w:rPr>
          <w:rFonts w:hint="eastAsia" w:ascii="仿宋" w:hAnsi="仿宋" w:eastAsia="仿宋" w:cs="仿宋"/>
          <w:b/>
          <w:bCs/>
          <w:snapToGrid w:val="0"/>
          <w:color w:val="auto"/>
          <w:sz w:val="32"/>
          <w:szCs w:val="32"/>
          <w:highlight w:val="none"/>
          <w:u w:val="single"/>
        </w:rPr>
        <w:t xml:space="preserve">（盖章）   </w:t>
      </w:r>
      <w:r>
        <w:rPr>
          <w:rFonts w:hint="eastAsia" w:ascii="仿宋" w:hAnsi="仿宋" w:eastAsia="仿宋" w:cs="仿宋"/>
          <w:b/>
          <w:bCs/>
          <w:snapToGrid w:val="0"/>
          <w:color w:val="auto"/>
          <w:sz w:val="32"/>
          <w:szCs w:val="32"/>
          <w:highlight w:val="none"/>
          <w:u w:val="single"/>
          <w:lang w:val="en-US" w:eastAsia="zh-CN"/>
        </w:rPr>
        <w:t xml:space="preserve">  </w:t>
      </w:r>
    </w:p>
    <w:p>
      <w:pPr>
        <w:adjustRightInd w:val="0"/>
        <w:snapToGrid w:val="0"/>
        <w:spacing w:line="600" w:lineRule="exact"/>
        <w:jc w:val="center"/>
        <w:rPr>
          <w:rFonts w:hint="eastAsia" w:ascii="仿宋" w:hAnsi="仿宋" w:eastAsia="仿宋" w:cs="仿宋"/>
          <w:b/>
          <w:color w:val="auto"/>
          <w:sz w:val="52"/>
          <w:szCs w:val="52"/>
          <w:highlight w:val="none"/>
        </w:rPr>
      </w:pPr>
      <w:r>
        <w:rPr>
          <w:rFonts w:hint="eastAsia" w:ascii="仿宋" w:hAnsi="仿宋" w:eastAsia="仿宋" w:cs="仿宋"/>
          <w:b/>
          <w:snapToGrid w:val="0"/>
          <w:color w:val="auto"/>
          <w:sz w:val="32"/>
          <w:highlight w:val="none"/>
        </w:rPr>
        <w:t>202</w:t>
      </w:r>
      <w:r>
        <w:rPr>
          <w:rFonts w:hint="eastAsia" w:ascii="仿宋" w:hAnsi="仿宋" w:eastAsia="仿宋" w:cs="仿宋"/>
          <w:b/>
          <w:snapToGrid w:val="0"/>
          <w:color w:val="auto"/>
          <w:sz w:val="32"/>
          <w:highlight w:val="none"/>
          <w:lang w:val="en-US" w:eastAsia="zh-CN"/>
        </w:rPr>
        <w:t>2</w:t>
      </w:r>
      <w:r>
        <w:rPr>
          <w:rFonts w:hint="eastAsia" w:ascii="仿宋" w:hAnsi="仿宋" w:eastAsia="仿宋" w:cs="仿宋"/>
          <w:b/>
          <w:snapToGrid w:val="0"/>
          <w:color w:val="auto"/>
          <w:sz w:val="32"/>
          <w:highlight w:val="none"/>
        </w:rPr>
        <w:t>年</w:t>
      </w:r>
      <w:r>
        <w:rPr>
          <w:rFonts w:hint="eastAsia" w:ascii="仿宋" w:hAnsi="仿宋" w:eastAsia="仿宋" w:cs="仿宋"/>
          <w:b/>
          <w:snapToGrid w:val="0"/>
          <w:color w:val="auto"/>
          <w:sz w:val="32"/>
          <w:highlight w:val="none"/>
          <w:lang w:val="en-US" w:eastAsia="zh-CN"/>
        </w:rPr>
        <w:t>11</w:t>
      </w:r>
      <w:r>
        <w:rPr>
          <w:rFonts w:hint="eastAsia" w:ascii="仿宋" w:hAnsi="仿宋" w:eastAsia="仿宋" w:cs="仿宋"/>
          <w:b/>
          <w:snapToGrid w:val="0"/>
          <w:color w:val="auto"/>
          <w:sz w:val="32"/>
          <w:highlight w:val="none"/>
        </w:rPr>
        <w:t>月</w:t>
      </w: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ind w:right="-512" w:rightChars="-244"/>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35"/>
        <w:rPr>
          <w:rFonts w:hint="eastAsia" w:ascii="仿宋" w:hAnsi="仿宋" w:eastAsia="仿宋" w:cs="仿宋"/>
          <w:color w:val="auto"/>
          <w:highlight w:val="none"/>
        </w:rPr>
      </w:pPr>
    </w:p>
    <w:p>
      <w:pPr>
        <w:rPr>
          <w:rFonts w:hint="eastAsia" w:ascii="仿宋" w:hAnsi="仿宋" w:eastAsia="仿宋" w:cs="仿宋"/>
          <w:b/>
          <w:bCs/>
          <w:color w:val="auto"/>
          <w:kern w:val="2"/>
          <w:sz w:val="32"/>
          <w:szCs w:val="32"/>
          <w:highlight w:val="none"/>
          <w:lang w:val="en-US" w:eastAsia="zh-CN" w:bidi="ar-SA"/>
        </w:rPr>
      </w:pPr>
      <w:bookmarkStart w:id="0" w:name="_Toc13336"/>
      <w:r>
        <w:rPr>
          <w:rFonts w:hint="eastAsia" w:ascii="仿宋" w:hAnsi="仿宋" w:eastAsia="仿宋" w:cs="仿宋"/>
          <w:b/>
          <w:bCs/>
          <w:color w:val="auto"/>
          <w:kern w:val="2"/>
          <w:sz w:val="32"/>
          <w:szCs w:val="32"/>
          <w:highlight w:val="none"/>
          <w:lang w:val="en-US" w:eastAsia="zh-CN" w:bidi="ar-SA"/>
        </w:rPr>
        <w:br w:type="page"/>
      </w:r>
    </w:p>
    <w:p>
      <w:pPr>
        <w:pStyle w:val="26"/>
        <w:keepNext w:val="0"/>
        <w:keepLines w:val="0"/>
        <w:pageBreakBefore w:val="0"/>
        <w:widowControl w:val="0"/>
        <w:tabs>
          <w:tab w:val="right" w:leader="dot" w:pos="8820"/>
        </w:tabs>
        <w:kinsoku/>
        <w:wordWrap/>
        <w:overflowPunct/>
        <w:topLinePunct w:val="0"/>
        <w:autoSpaceDE/>
        <w:autoSpaceDN/>
        <w:bidi w:val="0"/>
        <w:adjustRightInd/>
        <w:snapToGrid/>
        <w:spacing w:line="480" w:lineRule="auto"/>
        <w:jc w:val="center"/>
        <w:textAlignment w:val="auto"/>
        <w:rPr>
          <w:rFonts w:hint="eastAsia" w:ascii="仿宋" w:hAnsi="仿宋" w:eastAsia="仿宋" w:cs="仿宋"/>
          <w:b w:val="0"/>
          <w:bCs w:val="0"/>
          <w:color w:val="auto"/>
          <w:kern w:val="2"/>
          <w:sz w:val="28"/>
          <w:szCs w:val="28"/>
          <w:highlight w:val="none"/>
          <w:lang w:val="en-US" w:eastAsia="zh-CN" w:bidi="ar-SA"/>
        </w:rPr>
      </w:pPr>
      <w:r>
        <w:rPr>
          <w:rFonts w:hint="eastAsia" w:ascii="仿宋" w:hAnsi="仿宋" w:eastAsia="仿宋" w:cs="仿宋"/>
          <w:b/>
          <w:bCs/>
          <w:color w:val="auto"/>
          <w:kern w:val="2"/>
          <w:sz w:val="32"/>
          <w:szCs w:val="32"/>
          <w:highlight w:val="none"/>
          <w:lang w:val="en-US" w:eastAsia="zh-CN" w:bidi="ar-SA"/>
        </w:rPr>
        <w:t>目 录</w:t>
      </w:r>
      <w:bookmarkEnd w:id="0"/>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TOC \o "1-3" \h \u </w:instrText>
      </w:r>
      <w:r>
        <w:rPr>
          <w:rFonts w:hint="eastAsia" w:ascii="仿宋" w:hAnsi="仿宋" w:eastAsia="仿宋" w:cs="仿宋"/>
          <w:b w:val="0"/>
          <w:bCs w:val="0"/>
          <w:color w:val="auto"/>
          <w:sz w:val="28"/>
          <w:szCs w:val="28"/>
          <w:highlight w:val="none"/>
        </w:rPr>
        <w:fldChar w:fldCharType="separate"/>
      </w:r>
    </w:p>
    <w:p>
      <w:pPr>
        <w:pStyle w:val="22"/>
        <w:tabs>
          <w:tab w:val="right" w:leader="dot" w:pos="9460"/>
        </w:tabs>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rPr>
        <w:fldChar w:fldCharType="begin"/>
      </w:r>
      <w:r>
        <w:rPr>
          <w:rFonts w:hint="eastAsia" w:ascii="仿宋" w:hAnsi="仿宋" w:eastAsia="仿宋" w:cs="仿宋"/>
          <w:bCs w:val="0"/>
          <w:color w:val="auto"/>
          <w:sz w:val="24"/>
          <w:szCs w:val="24"/>
          <w:highlight w:val="none"/>
        </w:rPr>
        <w:instrText xml:space="preserve"> HYPERLINK \l _Toc6204 </w:instrText>
      </w:r>
      <w:r>
        <w:rPr>
          <w:rFonts w:hint="eastAsia" w:ascii="仿宋" w:hAnsi="仿宋" w:eastAsia="仿宋" w:cs="仿宋"/>
          <w:bCs w:val="0"/>
          <w:color w:val="auto"/>
          <w:sz w:val="24"/>
          <w:szCs w:val="24"/>
          <w:highlight w:val="none"/>
        </w:rPr>
        <w:fldChar w:fldCharType="separate"/>
      </w:r>
      <w:r>
        <w:rPr>
          <w:rFonts w:hint="eastAsia" w:ascii="仿宋" w:hAnsi="仿宋" w:eastAsia="仿宋" w:cs="仿宋"/>
          <w:color w:val="auto"/>
          <w:sz w:val="24"/>
          <w:szCs w:val="24"/>
          <w:highlight w:val="none"/>
          <w:lang w:eastAsia="zh-CN"/>
        </w:rPr>
        <w:t>第一章</w:t>
      </w:r>
      <w:r>
        <w:rPr>
          <w:rFonts w:hint="eastAsia" w:ascii="仿宋" w:hAnsi="仿宋" w:eastAsia="仿宋" w:cs="仿宋"/>
          <w:color w:val="auto"/>
          <w:sz w:val="24"/>
          <w:szCs w:val="24"/>
          <w:highlight w:val="none"/>
          <w:lang w:val="en-US" w:eastAsia="zh-CN"/>
        </w:rPr>
        <w:t xml:space="preserve"> 竞争性磋商公告</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_Toc6204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rPr>
        <w:fldChar w:fldCharType="end"/>
      </w:r>
      <w:r>
        <w:rPr>
          <w:rFonts w:hint="eastAsia" w:ascii="仿宋" w:hAnsi="仿宋" w:eastAsia="仿宋" w:cs="仿宋"/>
          <w:bCs w:val="0"/>
          <w:color w:val="auto"/>
          <w:sz w:val="24"/>
          <w:szCs w:val="24"/>
          <w:highlight w:val="none"/>
        </w:rPr>
        <w:fldChar w:fldCharType="end"/>
      </w:r>
    </w:p>
    <w:p>
      <w:pPr>
        <w:pStyle w:val="22"/>
        <w:tabs>
          <w:tab w:val="right" w:leader="dot" w:pos="9460"/>
        </w:tabs>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rPr>
        <w:fldChar w:fldCharType="begin"/>
      </w:r>
      <w:r>
        <w:rPr>
          <w:rFonts w:hint="eastAsia" w:ascii="仿宋" w:hAnsi="仿宋" w:eastAsia="仿宋" w:cs="仿宋"/>
          <w:bCs w:val="0"/>
          <w:color w:val="auto"/>
          <w:sz w:val="24"/>
          <w:szCs w:val="24"/>
          <w:highlight w:val="none"/>
        </w:rPr>
        <w:instrText xml:space="preserve"> HYPERLINK \l _Toc2304 </w:instrText>
      </w:r>
      <w:r>
        <w:rPr>
          <w:rFonts w:hint="eastAsia" w:ascii="仿宋" w:hAnsi="仿宋" w:eastAsia="仿宋" w:cs="仿宋"/>
          <w:bCs w:val="0"/>
          <w:color w:val="auto"/>
          <w:sz w:val="24"/>
          <w:szCs w:val="24"/>
          <w:highlight w:val="none"/>
        </w:rPr>
        <w:fldChar w:fldCharType="separate"/>
      </w:r>
      <w:r>
        <w:rPr>
          <w:rFonts w:hint="eastAsia" w:ascii="仿宋" w:hAnsi="仿宋" w:eastAsia="仿宋" w:cs="仿宋"/>
          <w:color w:val="auto"/>
          <w:sz w:val="24"/>
          <w:szCs w:val="24"/>
          <w:highlight w:val="none"/>
          <w:lang w:eastAsia="zh-CN"/>
        </w:rPr>
        <w:t>第二章</w:t>
      </w:r>
      <w:r>
        <w:rPr>
          <w:rFonts w:hint="eastAsia" w:ascii="仿宋" w:hAnsi="仿宋" w:eastAsia="仿宋" w:cs="仿宋"/>
          <w:color w:val="auto"/>
          <w:sz w:val="24"/>
          <w:szCs w:val="24"/>
          <w:highlight w:val="none"/>
          <w:lang w:val="en-US" w:eastAsia="zh-CN"/>
        </w:rPr>
        <w:t xml:space="preserve"> 磋商需求</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_Toc2304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rPr>
        <w:fldChar w:fldCharType="end"/>
      </w:r>
      <w:r>
        <w:rPr>
          <w:rFonts w:hint="eastAsia" w:ascii="仿宋" w:hAnsi="仿宋" w:eastAsia="仿宋" w:cs="仿宋"/>
          <w:bCs w:val="0"/>
          <w:color w:val="auto"/>
          <w:sz w:val="24"/>
          <w:szCs w:val="24"/>
          <w:highlight w:val="none"/>
        </w:rPr>
        <w:fldChar w:fldCharType="end"/>
      </w:r>
    </w:p>
    <w:p>
      <w:pPr>
        <w:pStyle w:val="22"/>
        <w:tabs>
          <w:tab w:val="right" w:leader="dot" w:pos="9460"/>
        </w:tabs>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rPr>
        <w:fldChar w:fldCharType="begin"/>
      </w:r>
      <w:r>
        <w:rPr>
          <w:rFonts w:hint="eastAsia" w:ascii="仿宋" w:hAnsi="仿宋" w:eastAsia="仿宋" w:cs="仿宋"/>
          <w:bCs w:val="0"/>
          <w:color w:val="auto"/>
          <w:sz w:val="24"/>
          <w:szCs w:val="24"/>
          <w:highlight w:val="none"/>
        </w:rPr>
        <w:instrText xml:space="preserve"> HYPERLINK \l _Toc13355 </w:instrText>
      </w:r>
      <w:r>
        <w:rPr>
          <w:rFonts w:hint="eastAsia" w:ascii="仿宋" w:hAnsi="仿宋" w:eastAsia="仿宋" w:cs="仿宋"/>
          <w:bCs w:val="0"/>
          <w:color w:val="auto"/>
          <w:sz w:val="24"/>
          <w:szCs w:val="24"/>
          <w:highlight w:val="none"/>
        </w:rPr>
        <w:fldChar w:fldCharType="separate"/>
      </w:r>
      <w:r>
        <w:rPr>
          <w:rFonts w:hint="eastAsia" w:ascii="仿宋" w:hAnsi="仿宋" w:eastAsia="仿宋" w:cs="仿宋"/>
          <w:color w:val="auto"/>
          <w:sz w:val="24"/>
          <w:szCs w:val="24"/>
          <w:highlight w:val="none"/>
          <w:lang w:eastAsia="zh-CN"/>
        </w:rPr>
        <w:t>第三章</w:t>
      </w:r>
      <w:r>
        <w:rPr>
          <w:rFonts w:hint="eastAsia" w:ascii="仿宋" w:hAnsi="仿宋" w:eastAsia="仿宋" w:cs="仿宋"/>
          <w:color w:val="auto"/>
          <w:sz w:val="24"/>
          <w:szCs w:val="24"/>
          <w:highlight w:val="none"/>
          <w:lang w:val="en-US" w:eastAsia="zh-CN"/>
        </w:rPr>
        <w:t xml:space="preserve"> 磋商须知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_Toc13355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rPr>
        <w:fldChar w:fldCharType="end"/>
      </w:r>
      <w:r>
        <w:rPr>
          <w:rFonts w:hint="eastAsia" w:ascii="仿宋" w:hAnsi="仿宋" w:eastAsia="仿宋" w:cs="仿宋"/>
          <w:bCs w:val="0"/>
          <w:color w:val="auto"/>
          <w:sz w:val="24"/>
          <w:szCs w:val="24"/>
          <w:highlight w:val="none"/>
        </w:rPr>
        <w:fldChar w:fldCharType="end"/>
      </w:r>
    </w:p>
    <w:p>
      <w:pPr>
        <w:pStyle w:val="22"/>
        <w:tabs>
          <w:tab w:val="right" w:leader="dot" w:pos="9460"/>
        </w:tabs>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rPr>
        <w:fldChar w:fldCharType="begin"/>
      </w:r>
      <w:r>
        <w:rPr>
          <w:rFonts w:hint="eastAsia" w:ascii="仿宋" w:hAnsi="仿宋" w:eastAsia="仿宋" w:cs="仿宋"/>
          <w:bCs w:val="0"/>
          <w:color w:val="auto"/>
          <w:sz w:val="24"/>
          <w:szCs w:val="24"/>
          <w:highlight w:val="none"/>
        </w:rPr>
        <w:instrText xml:space="preserve"> HYPERLINK \l _Toc30547 </w:instrText>
      </w:r>
      <w:r>
        <w:rPr>
          <w:rFonts w:hint="eastAsia" w:ascii="仿宋" w:hAnsi="仿宋" w:eastAsia="仿宋" w:cs="仿宋"/>
          <w:bCs w:val="0"/>
          <w:color w:val="auto"/>
          <w:sz w:val="24"/>
          <w:szCs w:val="24"/>
          <w:highlight w:val="none"/>
        </w:rPr>
        <w:fldChar w:fldCharType="separate"/>
      </w:r>
      <w:r>
        <w:rPr>
          <w:rFonts w:hint="eastAsia" w:ascii="仿宋" w:hAnsi="仿宋" w:eastAsia="仿宋" w:cs="仿宋"/>
          <w:color w:val="auto"/>
          <w:sz w:val="24"/>
          <w:szCs w:val="24"/>
          <w:highlight w:val="none"/>
          <w:lang w:val="en-US" w:eastAsia="zh-CN"/>
        </w:rPr>
        <w:t>第四章 评分办法及评分标准</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_Toc30547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23</w:t>
      </w:r>
      <w:r>
        <w:rPr>
          <w:rFonts w:hint="eastAsia" w:ascii="仿宋" w:hAnsi="仿宋" w:eastAsia="仿宋" w:cs="仿宋"/>
          <w:color w:val="auto"/>
          <w:sz w:val="24"/>
          <w:szCs w:val="24"/>
          <w:highlight w:val="none"/>
        </w:rPr>
        <w:fldChar w:fldCharType="end"/>
      </w:r>
      <w:r>
        <w:rPr>
          <w:rFonts w:hint="eastAsia" w:ascii="仿宋" w:hAnsi="仿宋" w:eastAsia="仿宋" w:cs="仿宋"/>
          <w:bCs w:val="0"/>
          <w:color w:val="auto"/>
          <w:sz w:val="24"/>
          <w:szCs w:val="24"/>
          <w:highlight w:val="none"/>
        </w:rPr>
        <w:fldChar w:fldCharType="end"/>
      </w:r>
    </w:p>
    <w:p>
      <w:pPr>
        <w:pStyle w:val="22"/>
        <w:tabs>
          <w:tab w:val="right" w:leader="dot" w:pos="9460"/>
        </w:tabs>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rPr>
        <w:fldChar w:fldCharType="begin"/>
      </w:r>
      <w:r>
        <w:rPr>
          <w:rFonts w:hint="eastAsia" w:ascii="仿宋" w:hAnsi="仿宋" w:eastAsia="仿宋" w:cs="仿宋"/>
          <w:bCs w:val="0"/>
          <w:color w:val="auto"/>
          <w:sz w:val="24"/>
          <w:szCs w:val="24"/>
          <w:highlight w:val="none"/>
        </w:rPr>
        <w:instrText xml:space="preserve"> HYPERLINK \l _Toc18485 </w:instrText>
      </w:r>
      <w:r>
        <w:rPr>
          <w:rFonts w:hint="eastAsia" w:ascii="仿宋" w:hAnsi="仿宋" w:eastAsia="仿宋" w:cs="仿宋"/>
          <w:bCs w:val="0"/>
          <w:color w:val="auto"/>
          <w:sz w:val="24"/>
          <w:szCs w:val="24"/>
          <w:highlight w:val="none"/>
        </w:rPr>
        <w:fldChar w:fldCharType="separate"/>
      </w:r>
      <w:r>
        <w:rPr>
          <w:rFonts w:hint="eastAsia" w:ascii="仿宋" w:hAnsi="仿宋" w:eastAsia="仿宋" w:cs="仿宋"/>
          <w:color w:val="auto"/>
          <w:sz w:val="24"/>
          <w:szCs w:val="24"/>
          <w:highlight w:val="none"/>
          <w:lang w:val="en-US" w:eastAsia="zh-CN"/>
        </w:rPr>
        <w:t>第五章 合同条款（参考）</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_Toc18485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26</w:t>
      </w:r>
      <w:r>
        <w:rPr>
          <w:rFonts w:hint="eastAsia" w:ascii="仿宋" w:hAnsi="仿宋" w:eastAsia="仿宋" w:cs="仿宋"/>
          <w:color w:val="auto"/>
          <w:sz w:val="24"/>
          <w:szCs w:val="24"/>
          <w:highlight w:val="none"/>
        </w:rPr>
        <w:fldChar w:fldCharType="end"/>
      </w:r>
      <w:r>
        <w:rPr>
          <w:rFonts w:hint="eastAsia" w:ascii="仿宋" w:hAnsi="仿宋" w:eastAsia="仿宋" w:cs="仿宋"/>
          <w:bCs w:val="0"/>
          <w:color w:val="auto"/>
          <w:sz w:val="24"/>
          <w:szCs w:val="24"/>
          <w:highlight w:val="none"/>
        </w:rPr>
        <w:fldChar w:fldCharType="end"/>
      </w:r>
    </w:p>
    <w:p>
      <w:pPr>
        <w:pStyle w:val="22"/>
        <w:tabs>
          <w:tab w:val="right" w:leader="dot" w:pos="9460"/>
        </w:tabs>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rPr>
        <w:fldChar w:fldCharType="begin"/>
      </w:r>
      <w:r>
        <w:rPr>
          <w:rFonts w:hint="eastAsia" w:ascii="仿宋" w:hAnsi="仿宋" w:eastAsia="仿宋" w:cs="仿宋"/>
          <w:bCs w:val="0"/>
          <w:color w:val="auto"/>
          <w:sz w:val="24"/>
          <w:szCs w:val="24"/>
          <w:highlight w:val="none"/>
        </w:rPr>
        <w:instrText xml:space="preserve"> HYPERLINK \l _Toc16836 </w:instrText>
      </w:r>
      <w:r>
        <w:rPr>
          <w:rFonts w:hint="eastAsia" w:ascii="仿宋" w:hAnsi="仿宋" w:eastAsia="仿宋" w:cs="仿宋"/>
          <w:bCs w:val="0"/>
          <w:color w:val="auto"/>
          <w:sz w:val="24"/>
          <w:szCs w:val="24"/>
          <w:highlight w:val="none"/>
        </w:rPr>
        <w:fldChar w:fldCharType="separate"/>
      </w:r>
      <w:r>
        <w:rPr>
          <w:rFonts w:hint="eastAsia" w:ascii="仿宋" w:hAnsi="仿宋" w:eastAsia="仿宋" w:cs="仿宋"/>
          <w:color w:val="auto"/>
          <w:sz w:val="24"/>
          <w:szCs w:val="24"/>
          <w:highlight w:val="none"/>
          <w:lang w:val="en-US" w:eastAsia="zh-CN"/>
        </w:rPr>
        <w:t>第六章 磋商响应文件格式</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_Toc16836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33</w:t>
      </w:r>
      <w:r>
        <w:rPr>
          <w:rFonts w:hint="eastAsia" w:ascii="仿宋" w:hAnsi="仿宋" w:eastAsia="仿宋" w:cs="仿宋"/>
          <w:color w:val="auto"/>
          <w:sz w:val="24"/>
          <w:szCs w:val="24"/>
          <w:highlight w:val="none"/>
        </w:rPr>
        <w:fldChar w:fldCharType="end"/>
      </w:r>
      <w:r>
        <w:rPr>
          <w:rFonts w:hint="eastAsia" w:ascii="仿宋" w:hAnsi="仿宋" w:eastAsia="仿宋" w:cs="仿宋"/>
          <w:bCs w:val="0"/>
          <w:color w:val="auto"/>
          <w:sz w:val="24"/>
          <w:szCs w:val="24"/>
          <w:highlight w:val="none"/>
        </w:rPr>
        <w:fldChar w:fldCharType="end"/>
      </w:r>
    </w:p>
    <w:p>
      <w:pPr>
        <w:pStyle w:val="22"/>
        <w:tabs>
          <w:tab w:val="right" w:leader="dot" w:pos="9460"/>
        </w:tabs>
        <w:rPr>
          <w:rFonts w:hint="eastAsia" w:ascii="仿宋" w:hAnsi="仿宋" w:eastAsia="仿宋" w:cs="仿宋"/>
          <w:color w:val="auto"/>
          <w:highlight w:val="none"/>
        </w:rPr>
      </w:pPr>
      <w:r>
        <w:rPr>
          <w:rFonts w:hint="eastAsia" w:ascii="仿宋" w:hAnsi="仿宋" w:eastAsia="仿宋" w:cs="仿宋"/>
          <w:bCs w:val="0"/>
          <w:color w:val="auto"/>
          <w:sz w:val="24"/>
          <w:szCs w:val="24"/>
          <w:highlight w:val="none"/>
        </w:rPr>
        <w:fldChar w:fldCharType="begin"/>
      </w:r>
      <w:r>
        <w:rPr>
          <w:rFonts w:hint="eastAsia" w:ascii="仿宋" w:hAnsi="仿宋" w:eastAsia="仿宋" w:cs="仿宋"/>
          <w:bCs w:val="0"/>
          <w:color w:val="auto"/>
          <w:sz w:val="24"/>
          <w:szCs w:val="24"/>
          <w:highlight w:val="none"/>
        </w:rPr>
        <w:instrText xml:space="preserve"> HYPERLINK \l _Toc25383 </w:instrText>
      </w:r>
      <w:r>
        <w:rPr>
          <w:rFonts w:hint="eastAsia" w:ascii="仿宋" w:hAnsi="仿宋" w:eastAsia="仿宋" w:cs="仿宋"/>
          <w:bCs w:val="0"/>
          <w:color w:val="auto"/>
          <w:sz w:val="24"/>
          <w:szCs w:val="24"/>
          <w:highlight w:val="none"/>
        </w:rPr>
        <w:fldChar w:fldCharType="separate"/>
      </w: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eastAsia="zh-CN"/>
        </w:rPr>
        <w:t>七</w:t>
      </w:r>
      <w:r>
        <w:rPr>
          <w:rFonts w:hint="eastAsia" w:ascii="仿宋" w:hAnsi="仿宋" w:eastAsia="仿宋" w:cs="仿宋"/>
          <w:color w:val="auto"/>
          <w:sz w:val="24"/>
          <w:szCs w:val="24"/>
          <w:highlight w:val="none"/>
        </w:rPr>
        <w:t xml:space="preserve">章 </w:t>
      </w:r>
      <w:r>
        <w:rPr>
          <w:rFonts w:hint="eastAsia" w:ascii="仿宋" w:hAnsi="仿宋" w:eastAsia="仿宋" w:cs="仿宋"/>
          <w:color w:val="auto"/>
          <w:sz w:val="24"/>
          <w:szCs w:val="24"/>
          <w:highlight w:val="none"/>
          <w:lang w:eastAsia="zh-CN"/>
        </w:rPr>
        <w:t>工程量清单</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_Toc25383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42</w:t>
      </w:r>
      <w:r>
        <w:rPr>
          <w:rFonts w:hint="eastAsia" w:ascii="仿宋" w:hAnsi="仿宋" w:eastAsia="仿宋" w:cs="仿宋"/>
          <w:color w:val="auto"/>
          <w:sz w:val="24"/>
          <w:szCs w:val="24"/>
          <w:highlight w:val="none"/>
        </w:rPr>
        <w:fldChar w:fldCharType="end"/>
      </w:r>
      <w:r>
        <w:rPr>
          <w:rFonts w:hint="eastAsia" w:ascii="仿宋" w:hAnsi="仿宋" w:eastAsia="仿宋" w:cs="仿宋"/>
          <w:bCs w:val="0"/>
          <w:color w:val="auto"/>
          <w:sz w:val="24"/>
          <w:szCs w:val="24"/>
          <w:highlight w:val="none"/>
        </w:rPr>
        <w:fldChar w:fldCharType="end"/>
      </w:r>
    </w:p>
    <w:p>
      <w:pPr>
        <w:pStyle w:val="4"/>
        <w:keepNext w:val="0"/>
        <w:keepLines w:val="0"/>
        <w:pageBreakBefore w:val="0"/>
        <w:widowControl w:val="0"/>
        <w:tabs>
          <w:tab w:val="right" w:leader="dot" w:pos="8820"/>
        </w:tabs>
        <w:kinsoku/>
        <w:wordWrap/>
        <w:overflowPunct/>
        <w:topLinePunct w:val="0"/>
        <w:autoSpaceDE/>
        <w:autoSpaceDN/>
        <w:bidi w:val="0"/>
        <w:adjustRightInd/>
        <w:snapToGrid/>
        <w:spacing w:line="480" w:lineRule="auto"/>
        <w:jc w:val="center"/>
        <w:textAlignment w:val="auto"/>
        <w:rPr>
          <w:rFonts w:hint="eastAsia" w:ascii="仿宋" w:hAnsi="仿宋" w:eastAsia="仿宋" w:cs="仿宋"/>
          <w:color w:val="auto"/>
          <w:highlight w:val="none"/>
          <w:lang w:val="en-US"/>
        </w:rPr>
      </w:pPr>
      <w:r>
        <w:rPr>
          <w:rFonts w:hint="eastAsia" w:ascii="仿宋" w:hAnsi="仿宋" w:eastAsia="仿宋" w:cs="仿宋"/>
          <w:b w:val="0"/>
          <w:bCs w:val="0"/>
          <w:color w:val="auto"/>
          <w:sz w:val="28"/>
          <w:szCs w:val="28"/>
          <w:highlight w:val="none"/>
        </w:rPr>
        <w:fldChar w:fldCharType="end"/>
      </w: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 </w:t>
      </w: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4"/>
        <w:bidi w:val="0"/>
        <w:rPr>
          <w:rFonts w:hint="eastAsia" w:ascii="仿宋" w:hAnsi="仿宋" w:eastAsia="仿宋" w:cs="仿宋"/>
          <w:color w:val="auto"/>
          <w:highlight w:val="none"/>
        </w:rPr>
      </w:pPr>
      <w:bookmarkStart w:id="1" w:name="_Toc6204"/>
      <w:r>
        <w:rPr>
          <w:rFonts w:hint="eastAsia" w:ascii="仿宋" w:hAnsi="仿宋" w:eastAsia="仿宋" w:cs="仿宋"/>
          <w:color w:val="auto"/>
          <w:highlight w:val="none"/>
          <w:lang w:eastAsia="zh-CN"/>
        </w:rPr>
        <w:t>第一章</w:t>
      </w:r>
      <w:r>
        <w:rPr>
          <w:rFonts w:hint="eastAsia" w:ascii="仿宋" w:hAnsi="仿宋" w:eastAsia="仿宋" w:cs="仿宋"/>
          <w:color w:val="auto"/>
          <w:highlight w:val="none"/>
          <w:lang w:val="en-US" w:eastAsia="zh-CN"/>
        </w:rPr>
        <w:t xml:space="preserve"> 竞争性磋商公告</w:t>
      </w:r>
      <w:bookmarkEnd w:id="1"/>
    </w:p>
    <w:p>
      <w:pPr>
        <w:pageBreakBefore w:val="0"/>
        <w:widowControl/>
        <w:kinsoku/>
        <w:wordWrap/>
        <w:overflowPunct/>
        <w:topLinePunct w:val="0"/>
        <w:autoSpaceDE/>
        <w:autoSpaceDN/>
        <w:bidi w:val="0"/>
        <w:adjustRightInd/>
        <w:spacing w:line="520" w:lineRule="exact"/>
        <w:ind w:firstLine="480" w:firstLineChars="200"/>
        <w:textAlignment w:val="auto"/>
        <w:rPr>
          <w:rFonts w:hint="eastAsia" w:ascii="仿宋" w:hAnsi="仿宋" w:eastAsia="仿宋" w:cs="仿宋"/>
          <w:b/>
          <w:color w:val="auto"/>
          <w:kern w:val="0"/>
          <w:sz w:val="24"/>
          <w:szCs w:val="24"/>
          <w:highlight w:val="none"/>
          <w:u w:val="single"/>
        </w:rPr>
      </w:pPr>
      <w:r>
        <w:rPr>
          <w:rFonts w:hint="eastAsia" w:ascii="仿宋" w:hAnsi="仿宋" w:eastAsia="仿宋" w:cs="仿宋"/>
          <w:color w:val="auto"/>
          <w:kern w:val="0"/>
          <w:sz w:val="24"/>
          <w:szCs w:val="24"/>
          <w:highlight w:val="none"/>
        </w:rPr>
        <w:t>根据《中华人民共和国政府采购法》及相关法律、法规等规定，</w:t>
      </w:r>
      <w:r>
        <w:rPr>
          <w:rFonts w:hint="eastAsia" w:ascii="仿宋" w:hAnsi="仿宋" w:eastAsia="仿宋" w:cs="仿宋"/>
          <w:color w:val="auto"/>
          <w:sz w:val="24"/>
          <w:szCs w:val="24"/>
          <w:highlight w:val="none"/>
        </w:rPr>
        <w:t>经</w:t>
      </w:r>
      <w:r>
        <w:rPr>
          <w:rFonts w:hint="eastAsia" w:ascii="仿宋" w:hAnsi="仿宋" w:eastAsia="仿宋" w:cs="仿宋"/>
          <w:color w:val="auto"/>
          <w:sz w:val="24"/>
          <w:szCs w:val="24"/>
          <w:highlight w:val="none"/>
          <w:u w:val="single"/>
          <w:lang w:val="en-US" w:eastAsia="zh-CN"/>
        </w:rPr>
        <w:t>浙江省财政厅</w:t>
      </w:r>
      <w:r>
        <w:rPr>
          <w:rFonts w:hint="eastAsia" w:ascii="仿宋" w:hAnsi="仿宋" w:eastAsia="仿宋" w:cs="仿宋"/>
          <w:color w:val="auto"/>
          <w:sz w:val="24"/>
          <w:szCs w:val="24"/>
          <w:highlight w:val="none"/>
        </w:rPr>
        <w:t>批准的编号：</w:t>
      </w:r>
      <w:r>
        <w:rPr>
          <w:rFonts w:hint="eastAsia" w:ascii="仿宋" w:hAnsi="仿宋" w:eastAsia="仿宋" w:cs="仿宋"/>
          <w:color w:val="auto"/>
          <w:sz w:val="24"/>
          <w:szCs w:val="24"/>
          <w:highlight w:val="none"/>
          <w:u w:val="single"/>
          <w:lang w:val="en-US" w:eastAsia="zh-CN"/>
        </w:rPr>
        <w:t>浙财采确</w:t>
      </w:r>
      <w:r>
        <w:rPr>
          <w:rFonts w:hint="eastAsia" w:ascii="仿宋" w:hAnsi="仿宋" w:eastAsia="仿宋" w:cs="仿宋"/>
          <w:color w:val="auto"/>
          <w:sz w:val="24"/>
          <w:szCs w:val="24"/>
          <w:highlight w:val="none"/>
          <w:u w:val="single"/>
          <w:lang w:eastAsia="zh-CN"/>
        </w:rPr>
        <w:t>[2022]</w:t>
      </w:r>
      <w:r>
        <w:rPr>
          <w:rFonts w:hint="eastAsia" w:ascii="仿宋" w:hAnsi="仿宋" w:eastAsia="仿宋" w:cs="仿宋"/>
          <w:color w:val="auto"/>
          <w:sz w:val="24"/>
          <w:szCs w:val="24"/>
          <w:highlight w:val="none"/>
          <w:u w:val="single"/>
          <w:lang w:val="en-US" w:eastAsia="zh-CN"/>
        </w:rPr>
        <w:t>68550</w:t>
      </w:r>
      <w:r>
        <w:rPr>
          <w:rFonts w:hint="eastAsia" w:ascii="仿宋" w:hAnsi="仿宋" w:eastAsia="仿宋" w:cs="仿宋"/>
          <w:color w:val="auto"/>
          <w:sz w:val="24"/>
          <w:szCs w:val="24"/>
          <w:highlight w:val="none"/>
          <w:u w:val="single"/>
          <w:lang w:eastAsia="zh-CN"/>
        </w:rPr>
        <w:t>号</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现就</w:t>
      </w:r>
      <w:r>
        <w:rPr>
          <w:rFonts w:hint="eastAsia" w:ascii="仿宋" w:hAnsi="仿宋" w:eastAsia="仿宋" w:cs="仿宋"/>
          <w:b/>
          <w:bCs/>
          <w:color w:val="auto"/>
          <w:kern w:val="0"/>
          <w:sz w:val="24"/>
          <w:szCs w:val="24"/>
          <w:highlight w:val="none"/>
          <w:u w:val="single"/>
          <w:lang w:eastAsia="zh-CN"/>
        </w:rPr>
        <w:t xml:space="preserve"> 温州医科大学附属第二医院所有院区小额工程设计服务</w:t>
      </w:r>
      <w:r>
        <w:rPr>
          <w:rFonts w:hint="eastAsia" w:ascii="仿宋" w:hAnsi="仿宋" w:eastAsia="仿宋" w:cs="仿宋"/>
          <w:color w:val="auto"/>
          <w:kern w:val="0"/>
          <w:sz w:val="24"/>
          <w:szCs w:val="24"/>
          <w:highlight w:val="none"/>
        </w:rPr>
        <w:t>进行竞争性磋商采购，欢迎符合要求的</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前来磋商：</w:t>
      </w:r>
    </w:p>
    <w:p>
      <w:pPr>
        <w:pageBreakBefore w:val="0"/>
        <w:numPr>
          <w:ilvl w:val="0"/>
          <w:numId w:val="1"/>
        </w:numPr>
        <w:kinsoku/>
        <w:wordWrap/>
        <w:overflowPunct/>
        <w:topLinePunct w:val="0"/>
        <w:autoSpaceDE/>
        <w:autoSpaceDN/>
        <w:bidi w:val="0"/>
        <w:adjustRightInd/>
        <w:snapToGrid w:val="0"/>
        <w:spacing w:line="520" w:lineRule="exac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bCs/>
          <w:color w:val="auto"/>
          <w:sz w:val="24"/>
          <w:szCs w:val="24"/>
          <w:highlight w:val="none"/>
        </w:rPr>
        <w:t>项目编号：ZJHJ-ZFCG-2022-47</w:t>
      </w:r>
    </w:p>
    <w:p>
      <w:pPr>
        <w:pageBreakBefore w:val="0"/>
        <w:numPr>
          <w:ilvl w:val="0"/>
          <w:numId w:val="0"/>
        </w:numPr>
        <w:kinsoku/>
        <w:wordWrap/>
        <w:overflowPunct/>
        <w:topLinePunct w:val="0"/>
        <w:autoSpaceDE/>
        <w:autoSpaceDN/>
        <w:bidi w:val="0"/>
        <w:adjustRightInd/>
        <w:snapToGrid w:val="0"/>
        <w:spacing w:line="5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r>
        <w:rPr>
          <w:rFonts w:hint="eastAsia" w:ascii="仿宋" w:hAnsi="仿宋" w:eastAsia="仿宋" w:cs="仿宋"/>
          <w:b/>
          <w:color w:val="auto"/>
          <w:sz w:val="24"/>
          <w:szCs w:val="24"/>
          <w:highlight w:val="none"/>
        </w:rPr>
        <w:t>采购组织类型：</w:t>
      </w:r>
      <w:r>
        <w:rPr>
          <w:rFonts w:hint="eastAsia" w:ascii="仿宋" w:hAnsi="仿宋" w:eastAsia="仿宋" w:cs="仿宋"/>
          <w:color w:val="auto"/>
          <w:sz w:val="24"/>
          <w:szCs w:val="24"/>
          <w:highlight w:val="none"/>
        </w:rPr>
        <w:t>分散采购委托代理</w:t>
      </w:r>
    </w:p>
    <w:p>
      <w:pPr>
        <w:pageBreakBefore w:val="0"/>
        <w:kinsoku/>
        <w:wordWrap/>
        <w:overflowPunct/>
        <w:topLinePunct w:val="0"/>
        <w:autoSpaceDE/>
        <w:autoSpaceDN/>
        <w:bidi w:val="0"/>
        <w:adjustRightInd/>
        <w:snapToGrid w:val="0"/>
        <w:spacing w:line="520" w:lineRule="exac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三、采购方式：</w:t>
      </w:r>
      <w:r>
        <w:rPr>
          <w:rFonts w:hint="eastAsia" w:ascii="仿宋" w:hAnsi="仿宋" w:eastAsia="仿宋" w:cs="仿宋"/>
          <w:color w:val="auto"/>
          <w:sz w:val="24"/>
          <w:szCs w:val="24"/>
          <w:highlight w:val="none"/>
        </w:rPr>
        <w:t>竞争性磋商</w:t>
      </w:r>
    </w:p>
    <w:p>
      <w:pPr>
        <w:pageBreakBefore w:val="0"/>
        <w:kinsoku/>
        <w:wordWrap/>
        <w:overflowPunct/>
        <w:topLinePunct w:val="0"/>
        <w:autoSpaceDE/>
        <w:autoSpaceDN/>
        <w:bidi w:val="0"/>
        <w:adjustRightInd/>
        <w:snapToGrid w:val="0"/>
        <w:spacing w:line="520" w:lineRule="exact"/>
        <w:textAlignment w:val="auto"/>
        <w:rPr>
          <w:rFonts w:hint="eastAsia" w:ascii="仿宋" w:hAnsi="仿宋" w:eastAsia="仿宋" w:cs="仿宋"/>
          <w:color w:val="auto"/>
          <w:highlight w:val="none"/>
          <w:vertAlign w:val="baseline"/>
          <w:lang w:eastAsia="zh-CN"/>
        </w:rPr>
      </w:pPr>
      <w:r>
        <w:rPr>
          <w:rFonts w:hint="eastAsia" w:ascii="仿宋" w:hAnsi="仿宋" w:eastAsia="仿宋" w:cs="仿宋"/>
          <w:b/>
          <w:bCs/>
          <w:color w:val="auto"/>
          <w:sz w:val="24"/>
          <w:szCs w:val="24"/>
          <w:highlight w:val="none"/>
          <w:lang w:eastAsia="zh-CN"/>
        </w:rPr>
        <w:t>四</w:t>
      </w:r>
      <w:r>
        <w:rPr>
          <w:rFonts w:hint="eastAsia" w:ascii="仿宋" w:hAnsi="仿宋" w:eastAsia="仿宋" w:cs="仿宋"/>
          <w:b/>
          <w:color w:val="auto"/>
          <w:sz w:val="24"/>
          <w:szCs w:val="24"/>
          <w:highlight w:val="none"/>
        </w:rPr>
        <w:t>、</w:t>
      </w:r>
      <w:r>
        <w:rPr>
          <w:rFonts w:hint="eastAsia" w:ascii="仿宋" w:hAnsi="仿宋" w:eastAsia="仿宋" w:cs="仿宋"/>
          <w:b/>
          <w:bCs/>
          <w:color w:val="auto"/>
          <w:sz w:val="24"/>
          <w:highlight w:val="none"/>
          <w:lang w:eastAsia="zh-CN"/>
        </w:rPr>
        <w:t>项目概况</w:t>
      </w:r>
    </w:p>
    <w:tbl>
      <w:tblPr>
        <w:tblStyle w:val="31"/>
        <w:tblW w:w="95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2"/>
        <w:gridCol w:w="3085"/>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4262" w:type="dxa"/>
            <w:noWrap w:val="0"/>
            <w:vAlign w:val="center"/>
          </w:tcPr>
          <w:p>
            <w:pPr>
              <w:adjustRightInd w:val="0"/>
              <w:snapToGrid w:val="0"/>
              <w:spacing w:line="360" w:lineRule="auto"/>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项目名称</w:t>
            </w:r>
          </w:p>
        </w:tc>
        <w:tc>
          <w:tcPr>
            <w:tcW w:w="3085" w:type="dxa"/>
            <w:noWrap w:val="0"/>
            <w:vAlign w:val="center"/>
          </w:tcPr>
          <w:p>
            <w:pPr>
              <w:adjustRightInd w:val="0"/>
              <w:snapToGrid w:val="0"/>
              <w:spacing w:line="360" w:lineRule="auto"/>
              <w:jc w:val="center"/>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采购数量及单位</w:t>
            </w:r>
          </w:p>
        </w:tc>
        <w:tc>
          <w:tcPr>
            <w:tcW w:w="2232" w:type="dxa"/>
            <w:noWrap w:val="0"/>
            <w:vAlign w:val="center"/>
          </w:tcPr>
          <w:p>
            <w:pPr>
              <w:adjustRightInd w:val="0"/>
              <w:snapToGrid w:val="0"/>
              <w:spacing w:line="360" w:lineRule="auto"/>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采购预算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4262" w:type="dxa"/>
            <w:noWrap w:val="0"/>
            <w:vAlign w:val="center"/>
          </w:tcPr>
          <w:p>
            <w:pPr>
              <w:numPr>
                <w:ilvl w:val="0"/>
                <w:numId w:val="0"/>
              </w:numPr>
              <w:adjustRightInd w:val="0"/>
              <w:snapToGrid w:val="0"/>
              <w:spacing w:line="360" w:lineRule="auto"/>
              <w:jc w:val="center"/>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lang w:eastAsia="zh-CN"/>
              </w:rPr>
              <w:t>温州医科大学附属第二医院所有院区小额工程设计服务</w:t>
            </w:r>
          </w:p>
        </w:tc>
        <w:tc>
          <w:tcPr>
            <w:tcW w:w="3085" w:type="dxa"/>
            <w:noWrap w:val="0"/>
            <w:vAlign w:val="center"/>
          </w:tcPr>
          <w:p>
            <w:pPr>
              <w:numPr>
                <w:ilvl w:val="0"/>
                <w:numId w:val="0"/>
              </w:numPr>
              <w:adjustRightInd w:val="0"/>
              <w:snapToGrid w:val="0"/>
              <w:spacing w:line="360" w:lineRule="auto"/>
              <w:jc w:val="center"/>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1项</w:t>
            </w:r>
          </w:p>
        </w:tc>
        <w:tc>
          <w:tcPr>
            <w:tcW w:w="2232" w:type="dxa"/>
            <w:noWrap w:val="0"/>
            <w:vAlign w:val="center"/>
          </w:tcPr>
          <w:p>
            <w:pPr>
              <w:numPr>
                <w:ilvl w:val="0"/>
                <w:numId w:val="0"/>
              </w:numPr>
              <w:adjustRightInd w:val="0"/>
              <w:snapToGrid w:val="0"/>
              <w:spacing w:line="360" w:lineRule="auto"/>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180万元</w:t>
            </w:r>
          </w:p>
        </w:tc>
      </w:tr>
    </w:tbl>
    <w:p>
      <w:pPr>
        <w:keepNext w:val="0"/>
        <w:keepLines w:val="0"/>
        <w:pageBreakBefore w:val="0"/>
        <w:widowControl w:val="0"/>
        <w:kinsoku/>
        <w:wordWrap/>
        <w:overflowPunct/>
        <w:topLinePunct w:val="0"/>
        <w:autoSpaceDE/>
        <w:autoSpaceDN/>
        <w:bidi w:val="0"/>
        <w:adjustRightInd/>
        <w:snapToGrid w:val="0"/>
        <w:spacing w:line="400" w:lineRule="exact"/>
        <w:ind w:firstLine="241" w:firstLineChars="1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六</w:t>
      </w:r>
      <w:r>
        <w:rPr>
          <w:rFonts w:hint="eastAsia" w:ascii="仿宋" w:hAnsi="仿宋" w:eastAsia="仿宋" w:cs="仿宋"/>
          <w:color w:val="auto"/>
          <w:sz w:val="24"/>
          <w:szCs w:val="24"/>
          <w:highlight w:val="none"/>
        </w:rPr>
        <w:t>、</w:t>
      </w:r>
      <w:r>
        <w:rPr>
          <w:rFonts w:hint="eastAsia" w:ascii="仿宋" w:hAnsi="仿宋" w:eastAsia="仿宋" w:cs="仿宋"/>
          <w:b/>
          <w:bCs/>
          <w:color w:val="auto"/>
          <w:sz w:val="24"/>
          <w:szCs w:val="24"/>
          <w:highlight w:val="none"/>
        </w:rPr>
        <w:t>申请人的资格要求</w:t>
      </w:r>
    </w:p>
    <w:p>
      <w:pPr>
        <w:keepNext w:val="0"/>
        <w:keepLines w:val="0"/>
        <w:pageBreakBefore w:val="0"/>
        <w:widowControl/>
        <w:numPr>
          <w:ilvl w:val="0"/>
          <w:numId w:val="0"/>
        </w:numPr>
        <w:shd w:val="clear" w:color="auto" w:fill="FFFFFF"/>
        <w:kinsoku/>
        <w:wordWrap/>
        <w:overflowPunct/>
        <w:topLinePunct w:val="0"/>
        <w:autoSpaceDE/>
        <w:autoSpaceDN/>
        <w:bidi w:val="0"/>
        <w:adjustRightInd/>
        <w:spacing w:line="400" w:lineRule="exact"/>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widowControl/>
        <w:numPr>
          <w:ilvl w:val="0"/>
          <w:numId w:val="0"/>
        </w:numPr>
        <w:shd w:val="clear" w:color="auto" w:fill="FFFFFF"/>
        <w:kinsoku/>
        <w:wordWrap/>
        <w:overflowPunct/>
        <w:topLinePunct w:val="0"/>
        <w:autoSpaceDE/>
        <w:autoSpaceDN/>
        <w:bidi w:val="0"/>
        <w:adjustRightInd/>
        <w:spacing w:line="400" w:lineRule="exact"/>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落实政府采购政策需满足的资格要求：根据《政府采购促进中小企业发展管理办法》财库〔2020〕46号，本项目专门面向中小企业采购，供应商为中小微企业（监狱企业及残疾人福利性单位视同小型、微型企业），大型企业不得参与本项目）</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w:t>
      </w:r>
    </w:p>
    <w:p>
      <w:pPr>
        <w:keepNext w:val="0"/>
        <w:keepLines w:val="0"/>
        <w:pageBreakBefore w:val="0"/>
        <w:widowControl/>
        <w:numPr>
          <w:ilvl w:val="0"/>
          <w:numId w:val="0"/>
        </w:numPr>
        <w:shd w:val="clear" w:color="auto" w:fill="FFFFFF"/>
        <w:kinsoku/>
        <w:wordWrap/>
        <w:overflowPunct/>
        <w:topLinePunct w:val="0"/>
        <w:autoSpaceDE/>
        <w:autoSpaceDN/>
        <w:bidi w:val="0"/>
        <w:adjustRightInd/>
        <w:spacing w:line="400" w:lineRule="exact"/>
        <w:ind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color w:val="auto"/>
          <w:kern w:val="0"/>
          <w:sz w:val="24"/>
          <w:highlight w:val="none"/>
        </w:rPr>
        <w:t>3.本项目的特定资格要求：（1）建筑行业（建筑工程）设计甲级或工程设计综合甲级资质；（2）项目负责人资格：一级注册建筑师或高级工程师</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w:t>
      </w:r>
    </w:p>
    <w:p>
      <w:pPr>
        <w:keepNext w:val="0"/>
        <w:keepLines w:val="0"/>
        <w:pageBreakBefore w:val="0"/>
        <w:widowControl/>
        <w:numPr>
          <w:ilvl w:val="0"/>
          <w:numId w:val="0"/>
        </w:numPr>
        <w:shd w:val="clear" w:color="auto" w:fill="FFFFFF"/>
        <w:kinsoku/>
        <w:wordWrap/>
        <w:overflowPunct/>
        <w:topLinePunct w:val="0"/>
        <w:autoSpaceDE/>
        <w:autoSpaceDN/>
        <w:bidi w:val="0"/>
        <w:adjustRightInd/>
        <w:spacing w:line="400" w:lineRule="exact"/>
        <w:ind w:firstLine="480" w:firstLineChars="200"/>
        <w:jc w:val="left"/>
        <w:textAlignment w:val="auto"/>
        <w:rPr>
          <w:rFonts w:hint="eastAsia" w:ascii="仿宋" w:hAnsi="仿宋" w:eastAsia="仿宋" w:cs="仿宋"/>
          <w:b/>
          <w:color w:val="auto"/>
          <w:kern w:val="0"/>
          <w:sz w:val="24"/>
          <w:highlight w:val="none"/>
        </w:rPr>
      </w:pPr>
      <w:r>
        <w:rPr>
          <w:rFonts w:hint="eastAsia" w:ascii="仿宋" w:hAnsi="仿宋" w:eastAsia="仿宋" w:cs="仿宋"/>
          <w:b w:val="0"/>
          <w:color w:val="auto"/>
          <w:kern w:val="2"/>
          <w:sz w:val="24"/>
          <w:szCs w:val="24"/>
          <w:highlight w:val="none"/>
          <w:lang w:val="en-US" w:eastAsia="zh-CN" w:bidi="ar-SA"/>
        </w:rPr>
        <w:t>4、</w:t>
      </w:r>
      <w:r>
        <w:rPr>
          <w:rFonts w:hint="eastAsia" w:ascii="仿宋" w:hAnsi="仿宋" w:eastAsia="仿宋" w:cs="仿宋"/>
          <w:color w:val="auto"/>
          <w:sz w:val="24"/>
          <w:highlight w:val="none"/>
        </w:rPr>
        <w:t>本项目不接受联合体投标。</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bCs w:val="0"/>
          <w:color w:val="auto"/>
          <w:kern w:val="0"/>
          <w:sz w:val="24"/>
          <w:szCs w:val="24"/>
          <w:highlight w:val="none"/>
          <w:lang w:eastAsia="zh-CN"/>
        </w:rPr>
      </w:pPr>
      <w:r>
        <w:rPr>
          <w:rFonts w:hint="eastAsia" w:ascii="仿宋" w:hAnsi="仿宋" w:eastAsia="仿宋" w:cs="仿宋"/>
          <w:b/>
          <w:bCs w:val="0"/>
          <w:color w:val="auto"/>
          <w:kern w:val="0"/>
          <w:sz w:val="24"/>
          <w:szCs w:val="24"/>
          <w:highlight w:val="none"/>
          <w:lang w:eastAsia="zh-CN"/>
        </w:rPr>
        <w:t>七、磋商文件的获取:</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eastAsia="zh-CN"/>
        </w:rPr>
        <w:t>1.</w:t>
      </w:r>
      <w:r>
        <w:rPr>
          <w:rFonts w:hint="eastAsia" w:ascii="仿宋" w:hAnsi="仿宋" w:eastAsia="仿宋" w:cs="仿宋"/>
          <w:bCs/>
          <w:color w:val="auto"/>
          <w:kern w:val="0"/>
          <w:sz w:val="24"/>
          <w:highlight w:val="none"/>
          <w:lang w:eastAsia="zh-CN"/>
        </w:rPr>
        <w:t>获取</w:t>
      </w:r>
      <w:r>
        <w:rPr>
          <w:rFonts w:hint="eastAsia" w:ascii="仿宋" w:hAnsi="仿宋" w:eastAsia="仿宋" w:cs="仿宋"/>
          <w:bCs/>
          <w:color w:val="auto"/>
          <w:kern w:val="0"/>
          <w:sz w:val="24"/>
          <w:highlight w:val="none"/>
        </w:rPr>
        <w:t>时间：</w:t>
      </w:r>
      <w:r>
        <w:rPr>
          <w:rFonts w:hint="eastAsia" w:ascii="仿宋" w:hAnsi="仿宋" w:eastAsia="仿宋" w:cs="仿宋"/>
          <w:bCs/>
          <w:color w:val="auto"/>
          <w:kern w:val="0"/>
          <w:sz w:val="24"/>
          <w:highlight w:val="none"/>
          <w:lang w:val="en-US" w:eastAsia="zh-CN"/>
        </w:rPr>
        <w:t>公告发布之日起</w:t>
      </w:r>
      <w:r>
        <w:rPr>
          <w:rFonts w:hint="eastAsia" w:ascii="仿宋" w:hAnsi="仿宋" w:eastAsia="仿宋" w:cs="仿宋"/>
          <w:b w:val="0"/>
          <w:bCs/>
          <w:color w:val="auto"/>
          <w:kern w:val="0"/>
          <w:sz w:val="24"/>
          <w:szCs w:val="24"/>
          <w:highlight w:val="none"/>
          <w:lang w:eastAsia="zh-CN"/>
        </w:rPr>
        <w:t xml:space="preserve">至响应文件上传截至时间止。  </w:t>
      </w:r>
      <w:r>
        <w:rPr>
          <w:rFonts w:hint="eastAsia" w:ascii="仿宋" w:hAnsi="仿宋" w:eastAsia="仿宋" w:cs="仿宋"/>
          <w:bCs/>
          <w:color w:val="auto"/>
          <w:kern w:val="0"/>
          <w:sz w:val="24"/>
          <w:highlight w:val="none"/>
        </w:rPr>
        <w:t xml:space="preserve">  </w:t>
      </w:r>
      <w:r>
        <w:rPr>
          <w:rFonts w:hint="eastAsia" w:ascii="仿宋" w:hAnsi="仿宋" w:eastAsia="仿宋" w:cs="仿宋"/>
          <w:b w:val="0"/>
          <w:bCs/>
          <w:color w:val="auto"/>
          <w:kern w:val="0"/>
          <w:sz w:val="24"/>
          <w:szCs w:val="24"/>
          <w:highlight w:val="none"/>
          <w:lang w:eastAsia="zh-CN"/>
        </w:rPr>
        <w:t xml:space="preserve">        </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eastAsia="zh-CN"/>
        </w:rPr>
        <w:t>2.本项目磋商文件实行网上获取。供应商登录浙江政府采购网(https://zfcg.czt.zj.gov.cn/)进入政采云系统“项目采购”模块“获取采购文件”菜单，进行网上获取磋商文件。（“政采云”注册账号、密码登录系统后获取采购文件）。</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eastAsia="zh-CN"/>
        </w:rPr>
        <w:t>3.免费注册网址：浙江政府采购网（供应商注册页面）：https://middle.zcygov.cn/settle-front/#/registry“政采云”，咨询电话：400-881-7190。（已经注册成功的供应商无需重复注册。）</w:t>
      </w:r>
    </w:p>
    <w:p>
      <w:pPr>
        <w:pStyle w:val="3"/>
        <w:keepNext w:val="0"/>
        <w:keepLines w:val="0"/>
        <w:pageBreakBefore w:val="0"/>
        <w:kinsoku/>
        <w:wordWrap/>
        <w:overflowPunct/>
        <w:topLinePunct w:val="0"/>
        <w:autoSpaceDE/>
        <w:autoSpaceDN/>
        <w:bidi w:val="0"/>
        <w:adjustRightInd/>
        <w:spacing w:line="4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val="0"/>
          <w:bCs/>
          <w:color w:val="auto"/>
          <w:kern w:val="0"/>
          <w:sz w:val="24"/>
          <w:szCs w:val="24"/>
          <w:highlight w:val="none"/>
          <w:lang w:val="en-US" w:eastAsia="zh-CN" w:bidi="ar-SA"/>
        </w:rPr>
        <w:t>注：磋商公告附件内的磋商文件（或采购需求）仅供阅览使用，供应商只有在“政府采购云平台”完成获取磋商文件申请并下载了磋商文件后才视作依法获取磋商文件（法律法规所指的供应商获取磋商文件时间以供应商完成获取磋商文件申请后下载磋商文件的时间为准）。</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bCs w:val="0"/>
          <w:color w:val="auto"/>
          <w:kern w:val="0"/>
          <w:sz w:val="24"/>
          <w:szCs w:val="24"/>
          <w:highlight w:val="none"/>
          <w:lang w:eastAsia="zh-CN"/>
        </w:rPr>
      </w:pPr>
      <w:r>
        <w:rPr>
          <w:rFonts w:hint="eastAsia" w:ascii="仿宋" w:hAnsi="仿宋" w:eastAsia="仿宋" w:cs="仿宋"/>
          <w:b/>
          <w:bCs w:val="0"/>
          <w:color w:val="auto"/>
          <w:kern w:val="0"/>
          <w:sz w:val="24"/>
          <w:szCs w:val="24"/>
          <w:highlight w:val="none"/>
          <w:lang w:eastAsia="zh-CN"/>
        </w:rPr>
        <w:t>八、投标文件的递交及相关事宜：</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val="en-US" w:eastAsia="zh-CN"/>
        </w:rPr>
        <w:t>1</w:t>
      </w:r>
      <w:r>
        <w:rPr>
          <w:rFonts w:hint="eastAsia" w:ascii="仿宋" w:hAnsi="仿宋" w:eastAsia="仿宋" w:cs="仿宋"/>
          <w:b w:val="0"/>
          <w:bCs/>
          <w:color w:val="auto"/>
          <w:kern w:val="0"/>
          <w:sz w:val="24"/>
          <w:szCs w:val="24"/>
          <w:highlight w:val="none"/>
          <w:lang w:eastAsia="zh-CN"/>
        </w:rPr>
        <w:t>.投标文件递交方式：</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eastAsia="zh-CN"/>
        </w:rPr>
        <w:t>（</w:t>
      </w:r>
      <w:r>
        <w:rPr>
          <w:rFonts w:hint="eastAsia" w:ascii="仿宋" w:hAnsi="仿宋" w:eastAsia="仿宋" w:cs="仿宋"/>
          <w:b w:val="0"/>
          <w:bCs/>
          <w:color w:val="auto"/>
          <w:kern w:val="0"/>
          <w:sz w:val="24"/>
          <w:szCs w:val="24"/>
          <w:highlight w:val="none"/>
          <w:lang w:val="en-US" w:eastAsia="zh-CN"/>
        </w:rPr>
        <w:t>1</w:t>
      </w:r>
      <w:r>
        <w:rPr>
          <w:rFonts w:hint="eastAsia" w:ascii="仿宋" w:hAnsi="仿宋" w:eastAsia="仿宋" w:cs="仿宋"/>
          <w:b w:val="0"/>
          <w:bCs/>
          <w:color w:val="auto"/>
          <w:kern w:val="0"/>
          <w:sz w:val="24"/>
          <w:szCs w:val="24"/>
          <w:highlight w:val="none"/>
          <w:lang w:eastAsia="zh-CN"/>
        </w:rPr>
        <w:t>）电子投标文件：按政采云平台项目采购-电子交易操作指南及本磋商文件要求递交。投标人应于202</w:t>
      </w:r>
      <w:r>
        <w:rPr>
          <w:rFonts w:hint="eastAsia" w:ascii="仿宋" w:hAnsi="仿宋" w:eastAsia="仿宋" w:cs="仿宋"/>
          <w:b w:val="0"/>
          <w:bCs/>
          <w:color w:val="auto"/>
          <w:kern w:val="0"/>
          <w:sz w:val="24"/>
          <w:szCs w:val="24"/>
          <w:highlight w:val="none"/>
          <w:lang w:val="en-US" w:eastAsia="zh-CN"/>
        </w:rPr>
        <w:t>2</w:t>
      </w:r>
      <w:r>
        <w:rPr>
          <w:rFonts w:hint="eastAsia" w:ascii="仿宋" w:hAnsi="仿宋" w:eastAsia="仿宋" w:cs="仿宋"/>
          <w:b w:val="0"/>
          <w:bCs/>
          <w:color w:val="auto"/>
          <w:kern w:val="0"/>
          <w:sz w:val="24"/>
          <w:szCs w:val="24"/>
          <w:highlight w:val="none"/>
          <w:lang w:eastAsia="zh-CN"/>
        </w:rPr>
        <w:t>年</w:t>
      </w:r>
      <w:r>
        <w:rPr>
          <w:rFonts w:hint="eastAsia" w:ascii="仿宋" w:hAnsi="仿宋" w:eastAsia="仿宋" w:cs="仿宋"/>
          <w:b w:val="0"/>
          <w:bCs/>
          <w:color w:val="auto"/>
          <w:kern w:val="0"/>
          <w:sz w:val="24"/>
          <w:szCs w:val="24"/>
          <w:highlight w:val="none"/>
          <w:lang w:val="en-US" w:eastAsia="zh-CN"/>
        </w:rPr>
        <w:t>11</w:t>
      </w:r>
      <w:r>
        <w:rPr>
          <w:rFonts w:hint="eastAsia" w:ascii="仿宋" w:hAnsi="仿宋" w:eastAsia="仿宋" w:cs="仿宋"/>
          <w:b w:val="0"/>
          <w:bCs/>
          <w:color w:val="auto"/>
          <w:kern w:val="0"/>
          <w:sz w:val="24"/>
          <w:szCs w:val="24"/>
          <w:highlight w:val="none"/>
          <w:lang w:eastAsia="zh-CN"/>
        </w:rPr>
        <w:t>月</w:t>
      </w:r>
      <w:r>
        <w:rPr>
          <w:rFonts w:hint="eastAsia" w:ascii="仿宋" w:hAnsi="仿宋" w:eastAsia="仿宋" w:cs="仿宋"/>
          <w:b w:val="0"/>
          <w:bCs/>
          <w:color w:val="auto"/>
          <w:kern w:val="0"/>
          <w:sz w:val="24"/>
          <w:szCs w:val="24"/>
          <w:highlight w:val="none"/>
          <w:lang w:val="en-US" w:eastAsia="zh-CN"/>
        </w:rPr>
        <w:t>16</w:t>
      </w:r>
      <w:r>
        <w:rPr>
          <w:rFonts w:hint="eastAsia" w:ascii="仿宋" w:hAnsi="仿宋" w:eastAsia="仿宋" w:cs="仿宋"/>
          <w:b w:val="0"/>
          <w:bCs/>
          <w:color w:val="auto"/>
          <w:kern w:val="0"/>
          <w:sz w:val="24"/>
          <w:szCs w:val="24"/>
          <w:highlight w:val="none"/>
          <w:lang w:eastAsia="zh-CN"/>
        </w:rPr>
        <w:t>日</w:t>
      </w:r>
      <w:r>
        <w:rPr>
          <w:rFonts w:hint="eastAsia" w:ascii="仿宋" w:hAnsi="仿宋" w:eastAsia="仿宋" w:cs="仿宋"/>
          <w:b w:val="0"/>
          <w:bCs/>
          <w:color w:val="auto"/>
          <w:kern w:val="0"/>
          <w:sz w:val="24"/>
          <w:szCs w:val="24"/>
          <w:highlight w:val="none"/>
          <w:lang w:val="en-US" w:eastAsia="zh-CN"/>
        </w:rPr>
        <w:t>9</w:t>
      </w:r>
      <w:r>
        <w:rPr>
          <w:rFonts w:hint="eastAsia" w:ascii="仿宋" w:hAnsi="仿宋" w:eastAsia="仿宋" w:cs="仿宋"/>
          <w:b w:val="0"/>
          <w:bCs/>
          <w:color w:val="auto"/>
          <w:kern w:val="0"/>
          <w:sz w:val="24"/>
          <w:szCs w:val="24"/>
          <w:highlight w:val="none"/>
          <w:lang w:eastAsia="zh-CN"/>
        </w:rPr>
        <w:t>:</w:t>
      </w:r>
      <w:r>
        <w:rPr>
          <w:rFonts w:hint="eastAsia" w:ascii="仿宋" w:hAnsi="仿宋" w:eastAsia="仿宋" w:cs="仿宋"/>
          <w:b w:val="0"/>
          <w:bCs/>
          <w:color w:val="auto"/>
          <w:kern w:val="0"/>
          <w:sz w:val="24"/>
          <w:szCs w:val="24"/>
          <w:highlight w:val="none"/>
          <w:lang w:val="en-US" w:eastAsia="zh-CN"/>
        </w:rPr>
        <w:t>3</w:t>
      </w:r>
      <w:r>
        <w:rPr>
          <w:rFonts w:hint="eastAsia" w:ascii="仿宋" w:hAnsi="仿宋" w:eastAsia="仿宋" w:cs="仿宋"/>
          <w:b w:val="0"/>
          <w:bCs/>
          <w:color w:val="auto"/>
          <w:kern w:val="0"/>
          <w:sz w:val="24"/>
          <w:szCs w:val="24"/>
          <w:highlight w:val="none"/>
          <w:lang w:eastAsia="zh-CN"/>
        </w:rPr>
        <w:t>0（北京时间）前将加密的电子版投标文件上传到政采云系统中（不准时上传视为不参加）。</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eastAsia="zh-CN"/>
        </w:rPr>
        <w:t>（2）数据电子备份投标文件（U 盘）：以 U 盘形式提供的数据电子备份投标文件格</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eastAsia="zh-CN"/>
        </w:rPr>
        <w:t>式及内容须与政采云平台项目采购-电子交易操作指南中制作、加密并递交的电子响应文件格式及内容一致。</w:t>
      </w:r>
      <w:r>
        <w:rPr>
          <w:rFonts w:hint="eastAsia" w:ascii="仿宋" w:hAnsi="仿宋" w:eastAsia="仿宋" w:cs="仿宋"/>
          <w:b/>
          <w:bCs w:val="0"/>
          <w:color w:val="auto"/>
          <w:kern w:val="0"/>
          <w:sz w:val="24"/>
          <w:szCs w:val="24"/>
          <w:highlight w:val="none"/>
          <w:lang w:eastAsia="zh-CN"/>
        </w:rPr>
        <w:t>递交方式（邮寄，详情见其他事项</w:t>
      </w:r>
      <w:r>
        <w:rPr>
          <w:rFonts w:hint="eastAsia" w:ascii="仿宋" w:hAnsi="仿宋" w:eastAsia="仿宋" w:cs="仿宋"/>
          <w:b/>
          <w:bCs w:val="0"/>
          <w:color w:val="auto"/>
          <w:kern w:val="0"/>
          <w:sz w:val="24"/>
          <w:szCs w:val="24"/>
          <w:highlight w:val="none"/>
          <w:lang w:val="en-US" w:eastAsia="zh-CN"/>
        </w:rPr>
        <w:t>8</w:t>
      </w:r>
      <w:r>
        <w:rPr>
          <w:rFonts w:hint="eastAsia" w:ascii="仿宋" w:hAnsi="仿宋" w:eastAsia="仿宋" w:cs="仿宋"/>
          <w:b/>
          <w:bCs w:val="0"/>
          <w:color w:val="auto"/>
          <w:kern w:val="0"/>
          <w:sz w:val="24"/>
          <w:szCs w:val="24"/>
          <w:highlight w:val="none"/>
          <w:lang w:eastAsia="zh-CN"/>
        </w:rPr>
        <w:t>）</w:t>
      </w:r>
      <w:r>
        <w:rPr>
          <w:rFonts w:hint="eastAsia" w:ascii="仿宋" w:hAnsi="仿宋" w:eastAsia="仿宋" w:cs="仿宋"/>
          <w:b w:val="0"/>
          <w:bCs/>
          <w:color w:val="auto"/>
          <w:kern w:val="0"/>
          <w:sz w:val="24"/>
          <w:szCs w:val="24"/>
          <w:highlight w:val="none"/>
          <w:lang w:eastAsia="zh-CN"/>
        </w:rPr>
        <w:t>，逾期送达或未密封将拒绝接收。</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val="en-US" w:eastAsia="zh-CN"/>
        </w:rPr>
        <w:t>2</w:t>
      </w:r>
      <w:r>
        <w:rPr>
          <w:rFonts w:hint="eastAsia" w:ascii="仿宋" w:hAnsi="仿宋" w:eastAsia="仿宋" w:cs="仿宋"/>
          <w:b w:val="0"/>
          <w:bCs/>
          <w:color w:val="auto"/>
          <w:kern w:val="0"/>
          <w:sz w:val="24"/>
          <w:szCs w:val="24"/>
          <w:highlight w:val="none"/>
          <w:lang w:eastAsia="zh-CN"/>
        </w:rPr>
        <w:t>.CA锁解密时间为开标当日</w:t>
      </w:r>
      <w:r>
        <w:rPr>
          <w:rFonts w:hint="eastAsia" w:ascii="仿宋" w:hAnsi="仿宋" w:eastAsia="仿宋" w:cs="仿宋"/>
          <w:b w:val="0"/>
          <w:bCs/>
          <w:color w:val="auto"/>
          <w:kern w:val="0"/>
          <w:sz w:val="24"/>
          <w:szCs w:val="24"/>
          <w:highlight w:val="none"/>
          <w:lang w:val="en-US" w:eastAsia="zh-CN"/>
        </w:rPr>
        <w:t>9:30</w:t>
      </w:r>
      <w:r>
        <w:rPr>
          <w:rFonts w:hint="eastAsia" w:ascii="仿宋" w:hAnsi="仿宋" w:eastAsia="仿宋" w:cs="仿宋"/>
          <w:b w:val="0"/>
          <w:bCs/>
          <w:color w:val="auto"/>
          <w:kern w:val="0"/>
          <w:sz w:val="24"/>
          <w:szCs w:val="24"/>
          <w:highlight w:val="none"/>
          <w:lang w:eastAsia="zh-CN"/>
        </w:rPr>
        <w:t>至</w:t>
      </w:r>
      <w:r>
        <w:rPr>
          <w:rFonts w:hint="eastAsia" w:ascii="仿宋" w:hAnsi="仿宋" w:eastAsia="仿宋" w:cs="仿宋"/>
          <w:b w:val="0"/>
          <w:bCs/>
          <w:color w:val="auto"/>
          <w:kern w:val="0"/>
          <w:sz w:val="24"/>
          <w:szCs w:val="24"/>
          <w:highlight w:val="none"/>
          <w:lang w:val="en-US" w:eastAsia="zh-CN"/>
        </w:rPr>
        <w:t>10:00</w:t>
      </w:r>
      <w:r>
        <w:rPr>
          <w:rFonts w:hint="eastAsia" w:ascii="仿宋" w:hAnsi="仿宋" w:eastAsia="仿宋" w:cs="仿宋"/>
          <w:b w:val="0"/>
          <w:bCs/>
          <w:color w:val="auto"/>
          <w:kern w:val="0"/>
          <w:sz w:val="24"/>
          <w:szCs w:val="24"/>
          <w:highlight w:val="none"/>
          <w:lang w:eastAsia="zh-CN"/>
        </w:rPr>
        <w:t>。超过投标截止时间未完成上传的投标文件或未按规定时间递交数据电子备份投标文件，招标人不予受理。</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val="en-US" w:eastAsia="zh-CN"/>
        </w:rPr>
        <w:t>3</w:t>
      </w:r>
      <w:r>
        <w:rPr>
          <w:rFonts w:hint="eastAsia" w:ascii="仿宋" w:hAnsi="仿宋" w:eastAsia="仿宋" w:cs="仿宋"/>
          <w:b w:val="0"/>
          <w:bCs/>
          <w:color w:val="auto"/>
          <w:kern w:val="0"/>
          <w:sz w:val="24"/>
          <w:szCs w:val="24"/>
          <w:highlight w:val="none"/>
          <w:lang w:eastAsia="zh-CN"/>
        </w:rPr>
        <w:t>.供应商须在线获取CA数字证书（完成CA数字证书办理预计一周左右，建议各投标人自行把握时间），并登</w:t>
      </w:r>
      <w:r>
        <w:rPr>
          <w:rFonts w:hint="eastAsia" w:ascii="仿宋" w:hAnsi="仿宋" w:eastAsia="仿宋" w:cs="仿宋"/>
          <w:b w:val="0"/>
          <w:bCs/>
          <w:color w:val="auto"/>
          <w:kern w:val="0"/>
          <w:sz w:val="24"/>
          <w:szCs w:val="24"/>
          <w:highlight w:val="none"/>
          <w:lang w:val="en-US" w:eastAsia="zh-CN"/>
        </w:rPr>
        <w:t>录</w:t>
      </w:r>
      <w:r>
        <w:rPr>
          <w:rFonts w:hint="eastAsia" w:ascii="仿宋" w:hAnsi="仿宋" w:eastAsia="仿宋" w:cs="仿宋"/>
          <w:b w:val="0"/>
          <w:bCs/>
          <w:color w:val="auto"/>
          <w:kern w:val="0"/>
          <w:sz w:val="24"/>
          <w:szCs w:val="24"/>
          <w:highlight w:val="none"/>
          <w:lang w:eastAsia="zh-CN"/>
        </w:rPr>
        <w:t>“浙江省政府采购网”(https://zfcg.czt.zj.gov.cn/)，进入“下载专区”下载“电子交易客户端”，制作投标文件。</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val="en-US" w:eastAsia="zh-CN"/>
        </w:rPr>
        <w:t>4</w:t>
      </w:r>
      <w:r>
        <w:rPr>
          <w:rFonts w:hint="eastAsia" w:ascii="仿宋" w:hAnsi="仿宋" w:eastAsia="仿宋" w:cs="仿宋"/>
          <w:b w:val="0"/>
          <w:bCs/>
          <w:color w:val="auto"/>
          <w:kern w:val="0"/>
          <w:sz w:val="24"/>
          <w:szCs w:val="24"/>
          <w:highlight w:val="none"/>
          <w:lang w:eastAsia="zh-CN"/>
        </w:rPr>
        <w:t>.投标人将加密的电子版投标文件于投标截止时间前上传到政采云系统中。</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val="en-US" w:eastAsia="zh-CN"/>
        </w:rPr>
        <w:t>5</w:t>
      </w:r>
      <w:r>
        <w:rPr>
          <w:rFonts w:hint="eastAsia" w:ascii="仿宋" w:hAnsi="仿宋" w:eastAsia="仿宋" w:cs="仿宋"/>
          <w:b w:val="0"/>
          <w:bCs/>
          <w:color w:val="auto"/>
          <w:kern w:val="0"/>
          <w:sz w:val="24"/>
          <w:szCs w:val="24"/>
          <w:highlight w:val="none"/>
          <w:lang w:eastAsia="zh-CN"/>
        </w:rPr>
        <w:t>.具体的投标文件加密上传等操作详见政采云平台操作指南。https://edu.zcygov.cn/luban/e-biding?utm=a0004.2ef5001f.0001.0109.da8b35e0da8611e98d8937b7ef8a3544</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bCs w:val="0"/>
          <w:color w:val="auto"/>
          <w:kern w:val="0"/>
          <w:sz w:val="24"/>
          <w:szCs w:val="24"/>
          <w:highlight w:val="none"/>
          <w:lang w:eastAsia="zh-CN"/>
        </w:rPr>
        <w:t>九．磋商截止时间：</w:t>
      </w:r>
      <w:r>
        <w:rPr>
          <w:rFonts w:hint="eastAsia" w:ascii="仿宋" w:hAnsi="仿宋" w:eastAsia="仿宋" w:cs="仿宋"/>
          <w:b w:val="0"/>
          <w:bCs/>
          <w:color w:val="auto"/>
          <w:kern w:val="0"/>
          <w:sz w:val="24"/>
          <w:szCs w:val="24"/>
          <w:highlight w:val="none"/>
          <w:lang w:eastAsia="zh-CN"/>
        </w:rPr>
        <w:t xml:space="preserve"> 202</w:t>
      </w:r>
      <w:r>
        <w:rPr>
          <w:rFonts w:hint="eastAsia" w:ascii="仿宋" w:hAnsi="仿宋" w:eastAsia="仿宋" w:cs="仿宋"/>
          <w:b w:val="0"/>
          <w:bCs/>
          <w:color w:val="auto"/>
          <w:kern w:val="0"/>
          <w:sz w:val="24"/>
          <w:szCs w:val="24"/>
          <w:highlight w:val="none"/>
          <w:lang w:val="en-US" w:eastAsia="zh-CN"/>
        </w:rPr>
        <w:t>2</w:t>
      </w:r>
      <w:r>
        <w:rPr>
          <w:rFonts w:hint="eastAsia" w:ascii="仿宋" w:hAnsi="仿宋" w:eastAsia="仿宋" w:cs="仿宋"/>
          <w:b w:val="0"/>
          <w:bCs/>
          <w:color w:val="auto"/>
          <w:kern w:val="0"/>
          <w:sz w:val="24"/>
          <w:szCs w:val="24"/>
          <w:highlight w:val="none"/>
          <w:lang w:eastAsia="zh-CN"/>
        </w:rPr>
        <w:t>年</w:t>
      </w:r>
      <w:r>
        <w:rPr>
          <w:rFonts w:hint="eastAsia" w:ascii="仿宋" w:hAnsi="仿宋" w:eastAsia="仿宋" w:cs="仿宋"/>
          <w:b w:val="0"/>
          <w:bCs/>
          <w:color w:val="auto"/>
          <w:kern w:val="0"/>
          <w:sz w:val="24"/>
          <w:szCs w:val="24"/>
          <w:highlight w:val="none"/>
          <w:lang w:val="en-US" w:eastAsia="zh-CN"/>
        </w:rPr>
        <w:t>11</w:t>
      </w:r>
      <w:r>
        <w:rPr>
          <w:rFonts w:hint="eastAsia" w:ascii="仿宋" w:hAnsi="仿宋" w:eastAsia="仿宋" w:cs="仿宋"/>
          <w:b w:val="0"/>
          <w:bCs/>
          <w:color w:val="auto"/>
          <w:kern w:val="0"/>
          <w:sz w:val="24"/>
          <w:szCs w:val="24"/>
          <w:highlight w:val="none"/>
          <w:lang w:eastAsia="zh-CN"/>
        </w:rPr>
        <w:t>月</w:t>
      </w:r>
      <w:r>
        <w:rPr>
          <w:rFonts w:hint="eastAsia" w:ascii="仿宋" w:hAnsi="仿宋" w:eastAsia="仿宋" w:cs="仿宋"/>
          <w:b w:val="0"/>
          <w:bCs/>
          <w:color w:val="auto"/>
          <w:kern w:val="0"/>
          <w:sz w:val="24"/>
          <w:szCs w:val="24"/>
          <w:highlight w:val="none"/>
          <w:lang w:val="en-US" w:eastAsia="zh-CN"/>
        </w:rPr>
        <w:t>16</w:t>
      </w:r>
      <w:r>
        <w:rPr>
          <w:rFonts w:hint="eastAsia" w:ascii="仿宋" w:hAnsi="仿宋" w:eastAsia="仿宋" w:cs="仿宋"/>
          <w:b w:val="0"/>
          <w:bCs/>
          <w:color w:val="auto"/>
          <w:kern w:val="0"/>
          <w:sz w:val="24"/>
          <w:szCs w:val="24"/>
          <w:highlight w:val="none"/>
          <w:lang w:eastAsia="zh-CN"/>
        </w:rPr>
        <w:t>日</w:t>
      </w:r>
      <w:r>
        <w:rPr>
          <w:rFonts w:hint="eastAsia" w:ascii="仿宋" w:hAnsi="仿宋" w:eastAsia="仿宋" w:cs="仿宋"/>
          <w:b w:val="0"/>
          <w:bCs/>
          <w:color w:val="auto"/>
          <w:kern w:val="0"/>
          <w:sz w:val="24"/>
          <w:szCs w:val="24"/>
          <w:highlight w:val="none"/>
          <w:lang w:val="en-US" w:eastAsia="zh-CN"/>
        </w:rPr>
        <w:t>9</w:t>
      </w:r>
      <w:r>
        <w:rPr>
          <w:rFonts w:hint="eastAsia" w:ascii="仿宋" w:hAnsi="仿宋" w:eastAsia="仿宋" w:cs="仿宋"/>
          <w:b w:val="0"/>
          <w:bCs/>
          <w:color w:val="auto"/>
          <w:kern w:val="0"/>
          <w:sz w:val="24"/>
          <w:szCs w:val="24"/>
          <w:highlight w:val="none"/>
          <w:lang w:eastAsia="zh-CN"/>
        </w:rPr>
        <w:t>:</w:t>
      </w:r>
      <w:r>
        <w:rPr>
          <w:rFonts w:hint="eastAsia" w:ascii="仿宋" w:hAnsi="仿宋" w:eastAsia="仿宋" w:cs="仿宋"/>
          <w:b w:val="0"/>
          <w:bCs/>
          <w:color w:val="auto"/>
          <w:kern w:val="0"/>
          <w:sz w:val="24"/>
          <w:szCs w:val="24"/>
          <w:highlight w:val="none"/>
          <w:lang w:val="en-US" w:eastAsia="zh-CN"/>
        </w:rPr>
        <w:t>3</w:t>
      </w:r>
      <w:r>
        <w:rPr>
          <w:rFonts w:hint="eastAsia" w:ascii="仿宋" w:hAnsi="仿宋" w:eastAsia="仿宋" w:cs="仿宋"/>
          <w:b w:val="0"/>
          <w:bCs/>
          <w:color w:val="auto"/>
          <w:kern w:val="0"/>
          <w:sz w:val="24"/>
          <w:szCs w:val="24"/>
          <w:highlight w:val="none"/>
          <w:lang w:eastAsia="zh-CN"/>
        </w:rPr>
        <w:t>0</w:t>
      </w:r>
      <w:r>
        <w:rPr>
          <w:rFonts w:hint="eastAsia" w:ascii="仿宋" w:hAnsi="仿宋" w:eastAsia="仿宋" w:cs="仿宋"/>
          <w:b w:val="0"/>
          <w:bCs/>
          <w:color w:val="auto"/>
          <w:kern w:val="0"/>
          <w:sz w:val="24"/>
          <w:szCs w:val="24"/>
          <w:highlight w:val="none"/>
          <w:lang w:val="en-US" w:eastAsia="zh-CN"/>
        </w:rPr>
        <w:t>时</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bCs w:val="0"/>
          <w:color w:val="auto"/>
          <w:kern w:val="0"/>
          <w:sz w:val="24"/>
          <w:szCs w:val="24"/>
          <w:highlight w:val="none"/>
          <w:lang w:eastAsia="zh-CN"/>
        </w:rPr>
        <w:t>十．磋商地址：</w:t>
      </w:r>
      <w:r>
        <w:rPr>
          <w:rFonts w:hint="eastAsia" w:ascii="仿宋" w:hAnsi="仿宋" w:eastAsia="仿宋" w:cs="仿宋"/>
          <w:b w:val="0"/>
          <w:bCs/>
          <w:color w:val="auto"/>
          <w:kern w:val="0"/>
          <w:sz w:val="24"/>
          <w:szCs w:val="24"/>
          <w:highlight w:val="none"/>
          <w:lang w:eastAsia="zh-CN"/>
        </w:rPr>
        <w:t>温州市鹿城区黎明西路236号国际贸易中心29楼（浙江恒杰工程管理有限公司评审室）。</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bCs w:val="0"/>
          <w:color w:val="auto"/>
          <w:kern w:val="0"/>
          <w:sz w:val="24"/>
          <w:szCs w:val="24"/>
          <w:highlight w:val="none"/>
          <w:lang w:eastAsia="zh-CN"/>
        </w:rPr>
        <w:t>十一．磋商时间：</w:t>
      </w:r>
      <w:r>
        <w:rPr>
          <w:rFonts w:hint="eastAsia" w:ascii="仿宋" w:hAnsi="仿宋" w:eastAsia="仿宋" w:cs="仿宋"/>
          <w:b w:val="0"/>
          <w:bCs/>
          <w:color w:val="auto"/>
          <w:kern w:val="0"/>
          <w:sz w:val="24"/>
          <w:szCs w:val="24"/>
          <w:highlight w:val="none"/>
          <w:lang w:eastAsia="zh-CN"/>
        </w:rPr>
        <w:t>202</w:t>
      </w:r>
      <w:r>
        <w:rPr>
          <w:rFonts w:hint="eastAsia" w:ascii="仿宋" w:hAnsi="仿宋" w:eastAsia="仿宋" w:cs="仿宋"/>
          <w:b w:val="0"/>
          <w:bCs/>
          <w:color w:val="auto"/>
          <w:kern w:val="0"/>
          <w:sz w:val="24"/>
          <w:szCs w:val="24"/>
          <w:highlight w:val="none"/>
          <w:lang w:val="en-US" w:eastAsia="zh-CN"/>
        </w:rPr>
        <w:t>2</w:t>
      </w:r>
      <w:r>
        <w:rPr>
          <w:rFonts w:hint="eastAsia" w:ascii="仿宋" w:hAnsi="仿宋" w:eastAsia="仿宋" w:cs="仿宋"/>
          <w:b w:val="0"/>
          <w:bCs/>
          <w:color w:val="auto"/>
          <w:kern w:val="0"/>
          <w:sz w:val="24"/>
          <w:szCs w:val="24"/>
          <w:highlight w:val="none"/>
          <w:lang w:eastAsia="zh-CN"/>
        </w:rPr>
        <w:t>年</w:t>
      </w:r>
      <w:r>
        <w:rPr>
          <w:rFonts w:hint="eastAsia" w:ascii="仿宋" w:hAnsi="仿宋" w:eastAsia="仿宋" w:cs="仿宋"/>
          <w:b w:val="0"/>
          <w:bCs/>
          <w:color w:val="auto"/>
          <w:kern w:val="0"/>
          <w:sz w:val="24"/>
          <w:szCs w:val="24"/>
          <w:highlight w:val="none"/>
          <w:lang w:val="en-US" w:eastAsia="zh-CN"/>
        </w:rPr>
        <w:t>11</w:t>
      </w:r>
      <w:r>
        <w:rPr>
          <w:rFonts w:hint="eastAsia" w:ascii="仿宋" w:hAnsi="仿宋" w:eastAsia="仿宋" w:cs="仿宋"/>
          <w:b w:val="0"/>
          <w:bCs/>
          <w:color w:val="auto"/>
          <w:kern w:val="0"/>
          <w:sz w:val="24"/>
          <w:szCs w:val="24"/>
          <w:highlight w:val="none"/>
          <w:lang w:eastAsia="zh-CN"/>
        </w:rPr>
        <w:t>月</w:t>
      </w:r>
      <w:r>
        <w:rPr>
          <w:rFonts w:hint="eastAsia" w:ascii="仿宋" w:hAnsi="仿宋" w:eastAsia="仿宋" w:cs="仿宋"/>
          <w:b w:val="0"/>
          <w:bCs/>
          <w:color w:val="auto"/>
          <w:kern w:val="0"/>
          <w:sz w:val="24"/>
          <w:szCs w:val="24"/>
          <w:highlight w:val="none"/>
          <w:lang w:val="en-US" w:eastAsia="zh-CN"/>
        </w:rPr>
        <w:t>16</w:t>
      </w:r>
      <w:r>
        <w:rPr>
          <w:rFonts w:hint="eastAsia" w:ascii="仿宋" w:hAnsi="仿宋" w:eastAsia="仿宋" w:cs="仿宋"/>
          <w:b w:val="0"/>
          <w:bCs/>
          <w:color w:val="auto"/>
          <w:kern w:val="0"/>
          <w:sz w:val="24"/>
          <w:szCs w:val="24"/>
          <w:highlight w:val="none"/>
          <w:lang w:eastAsia="zh-CN"/>
        </w:rPr>
        <w:t>日</w:t>
      </w:r>
      <w:r>
        <w:rPr>
          <w:rFonts w:hint="eastAsia" w:ascii="仿宋" w:hAnsi="仿宋" w:eastAsia="仿宋" w:cs="仿宋"/>
          <w:b w:val="0"/>
          <w:bCs/>
          <w:color w:val="auto"/>
          <w:kern w:val="0"/>
          <w:sz w:val="24"/>
          <w:szCs w:val="24"/>
          <w:highlight w:val="none"/>
          <w:lang w:val="en-US" w:eastAsia="zh-CN"/>
        </w:rPr>
        <w:t>9</w:t>
      </w:r>
      <w:r>
        <w:rPr>
          <w:rFonts w:hint="eastAsia" w:ascii="仿宋" w:hAnsi="仿宋" w:eastAsia="仿宋" w:cs="仿宋"/>
          <w:b w:val="0"/>
          <w:bCs/>
          <w:color w:val="auto"/>
          <w:kern w:val="0"/>
          <w:sz w:val="24"/>
          <w:szCs w:val="24"/>
          <w:highlight w:val="none"/>
          <w:lang w:eastAsia="zh-CN"/>
        </w:rPr>
        <w:t>:</w:t>
      </w:r>
      <w:r>
        <w:rPr>
          <w:rFonts w:hint="eastAsia" w:ascii="仿宋" w:hAnsi="仿宋" w:eastAsia="仿宋" w:cs="仿宋"/>
          <w:b w:val="0"/>
          <w:bCs/>
          <w:color w:val="auto"/>
          <w:kern w:val="0"/>
          <w:sz w:val="24"/>
          <w:szCs w:val="24"/>
          <w:highlight w:val="none"/>
          <w:lang w:val="en-US" w:eastAsia="zh-CN"/>
        </w:rPr>
        <w:t>3</w:t>
      </w:r>
      <w:r>
        <w:rPr>
          <w:rFonts w:hint="eastAsia" w:ascii="仿宋" w:hAnsi="仿宋" w:eastAsia="仿宋" w:cs="仿宋"/>
          <w:b w:val="0"/>
          <w:bCs/>
          <w:color w:val="auto"/>
          <w:kern w:val="0"/>
          <w:sz w:val="24"/>
          <w:szCs w:val="24"/>
          <w:highlight w:val="none"/>
          <w:lang w:eastAsia="zh-CN"/>
        </w:rPr>
        <w:t>0</w:t>
      </w:r>
      <w:r>
        <w:rPr>
          <w:rFonts w:hint="eastAsia" w:ascii="仿宋" w:hAnsi="仿宋" w:eastAsia="仿宋" w:cs="仿宋"/>
          <w:b w:val="0"/>
          <w:bCs/>
          <w:color w:val="auto"/>
          <w:kern w:val="0"/>
          <w:sz w:val="24"/>
          <w:szCs w:val="24"/>
          <w:highlight w:val="none"/>
          <w:lang w:val="en-US" w:eastAsia="zh-CN"/>
        </w:rPr>
        <w:t>时</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b/>
          <w:bCs w:val="0"/>
          <w:color w:val="auto"/>
          <w:kern w:val="0"/>
          <w:sz w:val="24"/>
          <w:szCs w:val="24"/>
          <w:highlight w:val="none"/>
          <w:lang w:eastAsia="zh-CN"/>
        </w:rPr>
      </w:pPr>
      <w:r>
        <w:rPr>
          <w:rFonts w:hint="eastAsia" w:ascii="仿宋" w:hAnsi="仿宋" w:eastAsia="仿宋" w:cs="仿宋"/>
          <w:b/>
          <w:bCs w:val="0"/>
          <w:color w:val="auto"/>
          <w:kern w:val="0"/>
          <w:sz w:val="24"/>
          <w:szCs w:val="24"/>
          <w:highlight w:val="none"/>
          <w:lang w:eastAsia="zh-CN"/>
        </w:rPr>
        <w:t>十二．其他事项：</w:t>
      </w:r>
    </w:p>
    <w:p>
      <w:pPr>
        <w:keepNext w:val="0"/>
        <w:keepLines w:val="0"/>
        <w:pageBreakBefore w:val="0"/>
        <w:widowControl/>
        <w:kinsoku/>
        <w:wordWrap/>
        <w:overflowPunct/>
        <w:topLinePunct w:val="0"/>
        <w:autoSpaceDE/>
        <w:autoSpaceDN/>
        <w:bidi w:val="0"/>
        <w:adjustRightInd/>
        <w:spacing w:line="400" w:lineRule="exact"/>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kern w:val="0"/>
          <w:sz w:val="24"/>
          <w:szCs w:val="24"/>
          <w:highlight w:val="none"/>
        </w:rPr>
        <w:t>1、本项目为电子招投标项目，实行网上招投标，应按照本竞争性磋商文件及政采云平台的要求编制、加密并要求供应商通过政采云系统在线投标响应，磋商截止时间前须完成电子响应文件的上传，同时供应商须随身携带制作在线投标响应文件时所用的CA锁，供应商在使用系统进行投标的过程中遇到涉及平台使用的任何问题，可致电政采云平台技术支持热线咨询，联系方式：400-881-7190。</w:t>
      </w:r>
    </w:p>
    <w:p>
      <w:pPr>
        <w:keepNext w:val="0"/>
        <w:keepLines w:val="0"/>
        <w:pageBreakBefore w:val="0"/>
        <w:widowControl/>
        <w:kinsoku/>
        <w:wordWrap/>
        <w:overflowPunct/>
        <w:topLinePunct w:val="0"/>
        <w:autoSpaceDE/>
        <w:autoSpaceDN/>
        <w:bidi w:val="0"/>
        <w:adjustRightInd/>
        <w:spacing w:line="400" w:lineRule="exact"/>
        <w:ind w:firstLine="240" w:firstLineChars="1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潜在供应商已依法获取（依法获取指：供应商按本项目竞争性磋商公告要求在政采云系统上获取并报名成功）其可质疑的竞争性磋商文件的，可以对该文件提出质疑。未按照规定方式依法获取竞争性磋商文件的，不得对竞争性磋商文件提起质疑投诉。</w:t>
      </w:r>
    </w:p>
    <w:p>
      <w:pPr>
        <w:keepNext w:val="0"/>
        <w:keepLines w:val="0"/>
        <w:pageBreakBefore w:val="0"/>
        <w:widowControl/>
        <w:kinsoku/>
        <w:wordWrap/>
        <w:overflowPunct/>
        <w:topLinePunct w:val="0"/>
        <w:autoSpaceDE/>
        <w:autoSpaceDN/>
        <w:bidi w:val="0"/>
        <w:adjustRightInd/>
        <w:spacing w:line="400" w:lineRule="exact"/>
        <w:ind w:firstLine="240" w:firstLineChars="100"/>
        <w:jc w:val="left"/>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szCs w:val="24"/>
          <w:highlight w:val="none"/>
        </w:rPr>
        <w:t>3、</w:t>
      </w:r>
      <w:r>
        <w:rPr>
          <w:rFonts w:hint="eastAsia" w:ascii="仿宋" w:hAnsi="仿宋" w:eastAsia="仿宋" w:cs="仿宋"/>
          <w:bCs/>
          <w:color w:val="auto"/>
          <w:sz w:val="24"/>
          <w:highlight w:val="none"/>
        </w:rPr>
        <w:t>供应商</w:t>
      </w:r>
      <w:r>
        <w:rPr>
          <w:rFonts w:hint="eastAsia" w:ascii="仿宋" w:hAnsi="仿宋" w:eastAsia="仿宋" w:cs="仿宋"/>
          <w:color w:val="auto"/>
          <w:sz w:val="24"/>
          <w:highlight w:val="none"/>
        </w:rPr>
        <w:t>如认为</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文件表述不清晰、存在歧视性或者其他违法内容的，可以在知道或者应知其权益受到损害之日起7个工作日内，以书面形式向采购人、采购代理机构提出质疑，根据《中华人民共和国财政部令第94号-政府采购质疑和投诉办法》第十条第二款规定，供应商在法定质疑期内须一次性提出针对同一采购程序环节的质疑，否则采购代理机构有权拒绝第一次质疑以外其他所有质疑。答疑内容是</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文件的组成部分，并将在网上发布补充（答疑、澄清）文件，潜在供应商应自行关注网站公告，采购人不再一一通知，供应商因自身贻误行为导致投标失效的，责任自负。质疑供应商对采购人、采购代理机构的答复不满意或者采购人、采购代理机构未在规定的时间内</w:t>
      </w:r>
      <w:r>
        <w:rPr>
          <w:rFonts w:hint="eastAsia" w:ascii="仿宋" w:hAnsi="仿宋" w:eastAsia="仿宋" w:cs="仿宋"/>
          <w:color w:val="auto"/>
          <w:sz w:val="24"/>
          <w:highlight w:val="none"/>
          <w:lang w:val="en-US" w:eastAsia="zh-CN"/>
        </w:rPr>
        <w:t>做</w:t>
      </w:r>
      <w:r>
        <w:rPr>
          <w:rFonts w:hint="eastAsia" w:ascii="仿宋" w:hAnsi="仿宋" w:eastAsia="仿宋" w:cs="仿宋"/>
          <w:color w:val="auto"/>
          <w:sz w:val="24"/>
          <w:highlight w:val="none"/>
        </w:rPr>
        <w:t>出答复的，可以在答复期满后十五个工作日内向同级政府采购监督管理部门投诉。质疑函范本、投诉书范本请到浙江政府采购网下载专区下载。</w:t>
      </w:r>
    </w:p>
    <w:p>
      <w:pPr>
        <w:keepNext w:val="0"/>
        <w:keepLines w:val="0"/>
        <w:pageBreakBefore w:val="0"/>
        <w:widowControl/>
        <w:kinsoku/>
        <w:wordWrap/>
        <w:overflowPunct/>
        <w:topLinePunct w:val="0"/>
        <w:autoSpaceDE/>
        <w:autoSpaceDN/>
        <w:bidi w:val="0"/>
        <w:adjustRightInd/>
        <w:spacing w:line="400" w:lineRule="exact"/>
        <w:ind w:firstLine="240" w:firstLineChars="1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、参与政府采购项目的注册供应商，须登录浙江政府采购云平台(http://www.zcygov.cn)进行网上报名；尚未注册的供应商应当先在浙江政府采购云平台上申请注册，注册终审通过后再进行网上报名。</w:t>
      </w:r>
    </w:p>
    <w:p>
      <w:pPr>
        <w:keepNext w:val="0"/>
        <w:keepLines w:val="0"/>
        <w:pageBreakBefore w:val="0"/>
        <w:widowControl/>
        <w:kinsoku/>
        <w:wordWrap/>
        <w:overflowPunct/>
        <w:topLinePunct w:val="0"/>
        <w:autoSpaceDE/>
        <w:autoSpaceDN/>
        <w:bidi w:val="0"/>
        <w:adjustRightInd/>
        <w:spacing w:line="400" w:lineRule="exact"/>
        <w:ind w:firstLine="240" w:firstLineChars="1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、本次磋商有关信息刊登在：“浙江省政府采购网”(http://zfcg.czt.zj.gov.cn/)</w:t>
      </w:r>
    </w:p>
    <w:p>
      <w:pPr>
        <w:keepNext w:val="0"/>
        <w:keepLines w:val="0"/>
        <w:pageBreakBefore w:val="0"/>
        <w:widowControl/>
        <w:kinsoku/>
        <w:wordWrap/>
        <w:overflowPunct/>
        <w:topLinePunct w:val="0"/>
        <w:autoSpaceDE/>
        <w:autoSpaceDN/>
        <w:bidi w:val="0"/>
        <w:adjustRightInd/>
        <w:spacing w:line="400" w:lineRule="exact"/>
        <w:ind w:firstLine="240" w:firstLineChars="10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6.为有效破解当前中小微企业面临的“融资难、融资贵”困局，充分发挥好政府采购扶持小微企业发展的政策功能，本项目中标供应商可凭中标通知书等材料至“绿贷通平台”网页（</w:t>
      </w:r>
      <w:r>
        <w:rPr>
          <w:rFonts w:hint="eastAsia" w:ascii="仿宋" w:hAnsi="仿宋" w:eastAsia="仿宋" w:cs="仿宋"/>
          <w:b w:val="0"/>
          <w:bCs w:val="0"/>
          <w:color w:val="auto"/>
          <w:kern w:val="0"/>
          <w:sz w:val="24"/>
          <w:szCs w:val="24"/>
          <w:highlight w:val="none"/>
          <w:lang w:val="en-US" w:eastAsia="zh-CN"/>
        </w:rPr>
        <w:fldChar w:fldCharType="begin"/>
      </w:r>
      <w:r>
        <w:rPr>
          <w:rFonts w:hint="eastAsia" w:ascii="仿宋" w:hAnsi="仿宋" w:eastAsia="仿宋" w:cs="仿宋"/>
          <w:b w:val="0"/>
          <w:bCs w:val="0"/>
          <w:color w:val="auto"/>
          <w:kern w:val="0"/>
          <w:sz w:val="24"/>
          <w:szCs w:val="24"/>
          <w:highlight w:val="none"/>
          <w:lang w:val="en-US" w:eastAsia="zh-CN"/>
        </w:rPr>
        <w:instrText xml:space="preserve">INCLUDEPICTURE \d "C:\\Users\\Administrator\\AppData\\Roaming\\Tencent\\QQ\\Temp\\%W@GJ$ACOF(TYDYECOKVDYB.png" \* MERGEFORMATINET </w:instrText>
      </w:r>
      <w:r>
        <w:rPr>
          <w:rFonts w:hint="eastAsia" w:ascii="仿宋" w:hAnsi="仿宋" w:eastAsia="仿宋" w:cs="仿宋"/>
          <w:b w:val="0"/>
          <w:bCs w:val="0"/>
          <w:color w:val="auto"/>
          <w:kern w:val="0"/>
          <w:sz w:val="24"/>
          <w:szCs w:val="24"/>
          <w:highlight w:val="none"/>
          <w:lang w:val="en-US" w:eastAsia="zh-CN"/>
        </w:rPr>
        <w:fldChar w:fldCharType="separate"/>
      </w:r>
      <w:r>
        <w:rPr>
          <w:rFonts w:hint="eastAsia" w:ascii="仿宋" w:hAnsi="仿宋" w:eastAsia="仿宋" w:cs="仿宋"/>
          <w:b w:val="0"/>
          <w:bCs w:val="0"/>
          <w:color w:val="auto"/>
          <w:kern w:val="0"/>
          <w:sz w:val="24"/>
          <w:szCs w:val="24"/>
          <w:highlight w:val="none"/>
          <w:lang w:val="en-US" w:eastAsia="zh-CN"/>
        </w:rPr>
        <w:drawing>
          <wp:inline distT="0" distB="0" distL="114300" distR="114300">
            <wp:extent cx="190500" cy="142875"/>
            <wp:effectExtent l="0" t="0" r="0" b="9525"/>
            <wp:docPr id="5" name="图片 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IMG_257"/>
                    <pic:cNvPicPr>
                      <a:picLocks noChangeAspect="1"/>
                    </pic:cNvPicPr>
                  </pic:nvPicPr>
                  <pic:blipFill>
                    <a:blip r:embed="rId8"/>
                    <a:stretch>
                      <a:fillRect/>
                    </a:stretch>
                  </pic:blipFill>
                  <pic:spPr>
                    <a:xfrm>
                      <a:off x="0" y="0"/>
                      <a:ext cx="190500" cy="142875"/>
                    </a:xfrm>
                    <a:prstGeom prst="rect">
                      <a:avLst/>
                    </a:prstGeom>
                    <a:noFill/>
                    <a:ln>
                      <a:noFill/>
                    </a:ln>
                  </pic:spPr>
                </pic:pic>
              </a:graphicData>
            </a:graphic>
          </wp:inline>
        </w:drawing>
      </w:r>
      <w:r>
        <w:rPr>
          <w:rFonts w:hint="eastAsia" w:ascii="仿宋" w:hAnsi="仿宋" w:eastAsia="仿宋" w:cs="仿宋"/>
          <w:b w:val="0"/>
          <w:bCs w:val="0"/>
          <w:color w:val="auto"/>
          <w:kern w:val="0"/>
          <w:sz w:val="24"/>
          <w:szCs w:val="24"/>
          <w:highlight w:val="none"/>
          <w:lang w:val="en-US" w:eastAsia="zh-CN"/>
        </w:rPr>
        <w:fldChar w:fldCharType="end"/>
      </w:r>
      <w:r>
        <w:rPr>
          <w:rFonts w:hint="eastAsia" w:ascii="仿宋" w:hAnsi="仿宋" w:eastAsia="仿宋" w:cs="仿宋"/>
          <w:b w:val="0"/>
          <w:bCs w:val="0"/>
          <w:color w:val="auto"/>
          <w:kern w:val="0"/>
          <w:sz w:val="24"/>
          <w:szCs w:val="24"/>
          <w:highlight w:val="none"/>
          <w:lang w:val="en-US" w:eastAsia="zh-CN"/>
        </w:rPr>
        <w:t>www.lvdt.huzldt.com）或“政采贷”平台网页（</w:t>
      </w:r>
      <w:r>
        <w:rPr>
          <w:rFonts w:hint="eastAsia" w:ascii="仿宋" w:hAnsi="仿宋" w:eastAsia="仿宋" w:cs="仿宋"/>
          <w:b w:val="0"/>
          <w:bCs w:val="0"/>
          <w:color w:val="auto"/>
          <w:kern w:val="0"/>
          <w:sz w:val="24"/>
          <w:szCs w:val="24"/>
          <w:highlight w:val="none"/>
          <w:lang w:val="en-US" w:eastAsia="zh-CN"/>
        </w:rPr>
        <w:fldChar w:fldCharType="begin"/>
      </w:r>
      <w:r>
        <w:rPr>
          <w:rFonts w:hint="eastAsia" w:ascii="仿宋" w:hAnsi="仿宋" w:eastAsia="仿宋" w:cs="仿宋"/>
          <w:b w:val="0"/>
          <w:bCs w:val="0"/>
          <w:color w:val="auto"/>
          <w:kern w:val="0"/>
          <w:sz w:val="24"/>
          <w:szCs w:val="24"/>
          <w:highlight w:val="none"/>
          <w:lang w:val="en-US" w:eastAsia="zh-CN"/>
        </w:rPr>
        <w:instrText xml:space="preserve">INCLUDEPICTURE \d "C:\\Users\\Administrator\\AppData\\Roaming\\Tencent\\QQ\\Temp\\%W@GJ$ACOF(TYDYECOKVDYB.png" \* MERGEFORMATINET </w:instrText>
      </w:r>
      <w:r>
        <w:rPr>
          <w:rFonts w:hint="eastAsia" w:ascii="仿宋" w:hAnsi="仿宋" w:eastAsia="仿宋" w:cs="仿宋"/>
          <w:b w:val="0"/>
          <w:bCs w:val="0"/>
          <w:color w:val="auto"/>
          <w:kern w:val="0"/>
          <w:sz w:val="24"/>
          <w:szCs w:val="24"/>
          <w:highlight w:val="none"/>
          <w:lang w:val="en-US" w:eastAsia="zh-CN"/>
        </w:rPr>
        <w:fldChar w:fldCharType="separate"/>
      </w:r>
      <w:r>
        <w:rPr>
          <w:rFonts w:hint="eastAsia" w:ascii="仿宋" w:hAnsi="仿宋" w:eastAsia="仿宋" w:cs="仿宋"/>
          <w:b w:val="0"/>
          <w:bCs w:val="0"/>
          <w:color w:val="auto"/>
          <w:kern w:val="0"/>
          <w:sz w:val="24"/>
          <w:szCs w:val="24"/>
          <w:highlight w:val="none"/>
          <w:lang w:val="en-US" w:eastAsia="zh-CN"/>
        </w:rPr>
        <w:drawing>
          <wp:inline distT="0" distB="0" distL="114300" distR="114300">
            <wp:extent cx="190500" cy="142875"/>
            <wp:effectExtent l="0" t="0" r="0" b="9525"/>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8"/>
                    <a:stretch>
                      <a:fillRect/>
                    </a:stretch>
                  </pic:blipFill>
                  <pic:spPr>
                    <a:xfrm>
                      <a:off x="0" y="0"/>
                      <a:ext cx="190500" cy="142875"/>
                    </a:xfrm>
                    <a:prstGeom prst="rect">
                      <a:avLst/>
                    </a:prstGeom>
                    <a:noFill/>
                    <a:ln>
                      <a:noFill/>
                    </a:ln>
                  </pic:spPr>
                </pic:pic>
              </a:graphicData>
            </a:graphic>
          </wp:inline>
        </w:drawing>
      </w:r>
      <w:r>
        <w:rPr>
          <w:rFonts w:hint="eastAsia" w:ascii="仿宋" w:hAnsi="仿宋" w:eastAsia="仿宋" w:cs="仿宋"/>
          <w:b w:val="0"/>
          <w:bCs w:val="0"/>
          <w:color w:val="auto"/>
          <w:kern w:val="0"/>
          <w:sz w:val="24"/>
          <w:szCs w:val="24"/>
          <w:highlight w:val="none"/>
          <w:lang w:val="en-US" w:eastAsia="zh-CN"/>
        </w:rPr>
        <w:fldChar w:fldCharType="end"/>
      </w:r>
      <w:r>
        <w:rPr>
          <w:rFonts w:hint="eastAsia" w:ascii="仿宋" w:hAnsi="仿宋" w:eastAsia="仿宋" w:cs="仿宋"/>
          <w:b w:val="0"/>
          <w:bCs w:val="0"/>
          <w:color w:val="auto"/>
          <w:kern w:val="0"/>
          <w:sz w:val="24"/>
          <w:szCs w:val="24"/>
          <w:highlight w:val="none"/>
          <w:lang w:val="en-US" w:eastAsia="zh-CN"/>
        </w:rPr>
        <w:t>www.zcygov.cn）申请相关融资产品。具体操作方式可在“绿贷通”或“政采贷”平台网站查询，也可向“绿贷通”或“政采贷”平台电话咨询（“绿贷通”联系电话：0572-2392590、“政采贷”联系电话：0572-2151055、18698580797）。</w:t>
      </w:r>
    </w:p>
    <w:p>
      <w:pPr>
        <w:keepNext w:val="0"/>
        <w:keepLines w:val="0"/>
        <w:pageBreakBefore w:val="0"/>
        <w:kinsoku/>
        <w:wordWrap/>
        <w:overflowPunct/>
        <w:topLinePunct w:val="0"/>
        <w:autoSpaceDE/>
        <w:autoSpaceDN/>
        <w:bidi w:val="0"/>
        <w:adjustRightInd/>
        <w:spacing w:line="400" w:lineRule="exact"/>
        <w:ind w:firstLine="240" w:firstLineChars="1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7.</w:t>
      </w:r>
      <w:r>
        <w:rPr>
          <w:rFonts w:hint="eastAsia" w:ascii="仿宋" w:hAnsi="仿宋" w:eastAsia="仿宋" w:cs="仿宋"/>
          <w:color w:val="auto"/>
          <w:sz w:val="24"/>
          <w:highlight w:val="none"/>
        </w:rPr>
        <w:t>本项目是否专门面向中小企业采购：</w:t>
      </w:r>
      <w:r>
        <w:rPr>
          <w:rFonts w:hint="eastAsia" w:ascii="仿宋" w:hAnsi="仿宋" w:eastAsia="仿宋" w:cs="仿宋"/>
          <w:color w:val="auto"/>
          <w:sz w:val="24"/>
          <w:highlight w:val="none"/>
          <w:lang w:val="en-US" w:eastAsia="zh-CN"/>
        </w:rPr>
        <w:t>是。本项目采购标的对应的中小企业划分标准所属行业为：建筑业。</w:t>
      </w:r>
    </w:p>
    <w:p>
      <w:pPr>
        <w:keepNext w:val="0"/>
        <w:keepLines w:val="0"/>
        <w:pageBreakBefore w:val="0"/>
        <w:widowControl/>
        <w:kinsoku/>
        <w:wordWrap/>
        <w:overflowPunct/>
        <w:topLinePunct w:val="0"/>
        <w:autoSpaceDE/>
        <w:autoSpaceDN/>
        <w:bidi w:val="0"/>
        <w:adjustRightInd/>
        <w:snapToGrid/>
        <w:spacing w:line="400" w:lineRule="exact"/>
        <w:ind w:firstLine="240" w:firstLineChars="1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注：疫情防控期，按照“不见面、少接触”的原则，</w:t>
      </w:r>
      <w:r>
        <w:rPr>
          <w:rFonts w:hint="eastAsia" w:ascii="仿宋" w:hAnsi="仿宋" w:eastAsia="仿宋" w:cs="仿宋"/>
          <w:color w:val="auto"/>
          <w:sz w:val="24"/>
          <w:szCs w:val="24"/>
          <w:highlight w:val="none"/>
          <w:lang w:val="en-US" w:eastAsia="zh-CN"/>
        </w:rPr>
        <w:t>疫情</w:t>
      </w:r>
      <w:r>
        <w:rPr>
          <w:rFonts w:hint="eastAsia" w:ascii="仿宋" w:hAnsi="仿宋" w:eastAsia="仿宋" w:cs="仿宋"/>
          <w:color w:val="auto"/>
          <w:sz w:val="24"/>
          <w:szCs w:val="24"/>
          <w:highlight w:val="none"/>
        </w:rPr>
        <w:t>防控期采购过程接受邮寄备份投标文件模式，采用邮寄方式递交备份投标文件的，邮寄地址：</w:t>
      </w:r>
      <w:r>
        <w:rPr>
          <w:rFonts w:hint="eastAsia" w:ascii="仿宋" w:hAnsi="仿宋" w:eastAsia="仿宋" w:cs="仿宋"/>
          <w:color w:val="auto"/>
          <w:sz w:val="24"/>
          <w:szCs w:val="24"/>
          <w:highlight w:val="none"/>
          <w:lang w:val="en-US" w:eastAsia="zh-CN"/>
        </w:rPr>
        <w:t>温州市鹿城区黎明西路236号国际贸易中心29楼（浙江恒杰工程管理有限公司）</w:t>
      </w:r>
      <w:r>
        <w:rPr>
          <w:rFonts w:hint="eastAsia" w:ascii="仿宋" w:hAnsi="仿宋" w:eastAsia="仿宋" w:cs="仿宋"/>
          <w:color w:val="auto"/>
          <w:sz w:val="24"/>
          <w:szCs w:val="24"/>
          <w:highlight w:val="none"/>
        </w:rPr>
        <w:t>；收件人：</w:t>
      </w:r>
      <w:r>
        <w:rPr>
          <w:rFonts w:hint="eastAsia" w:ascii="仿宋" w:hAnsi="仿宋" w:eastAsia="仿宋" w:cs="仿宋"/>
          <w:color w:val="auto"/>
          <w:sz w:val="24"/>
          <w:szCs w:val="24"/>
          <w:highlight w:val="none"/>
          <w:lang w:val="en-US" w:eastAsia="zh-CN"/>
        </w:rPr>
        <w:t>林磊</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lang w:val="en-US" w:eastAsia="zh-CN"/>
        </w:rPr>
        <w:t>13868808710</w:t>
      </w:r>
      <w:r>
        <w:rPr>
          <w:rFonts w:hint="eastAsia" w:ascii="仿宋" w:hAnsi="仿宋" w:eastAsia="仿宋" w:cs="仿宋"/>
          <w:color w:val="auto"/>
          <w:sz w:val="24"/>
          <w:szCs w:val="24"/>
          <w:highlight w:val="none"/>
        </w:rPr>
        <w:t>。邮寄时，应注明供应商名称、供应商的联系人、联系电话及投标项目名称。</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自公告之日起至投标截止时间，供应商需留足投标响应文件邮寄时间,确保投标响应文件于投标截止时间前送达，因自身贻误行为导致投标失败的，责任自负。备份文件逾期送达指定地点的，备份文件将被拒绝。</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邮寄时，总的外包封袋上可不注明供应商名称，但应注明供应商的联系人、联系电话及投标项目名称。</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十二、业务咨询：</w:t>
      </w:r>
    </w:p>
    <w:p>
      <w:pPr>
        <w:widowControl/>
        <w:spacing w:before="75" w:after="75" w:line="460" w:lineRule="exact"/>
        <w:ind w:firstLine="480" w:firstLineChars="200"/>
        <w:jc w:val="left"/>
        <w:rPr>
          <w:rFonts w:hint="eastAsia" w:ascii="仿宋" w:hAnsi="仿宋" w:eastAsia="仿宋" w:cs="仿宋"/>
          <w:color w:val="auto"/>
          <w:kern w:val="0"/>
          <w:sz w:val="24"/>
          <w:szCs w:val="24"/>
          <w:highlight w:val="none"/>
        </w:rPr>
      </w:pPr>
      <w:bookmarkStart w:id="2" w:name="_Toc2304"/>
      <w:r>
        <w:rPr>
          <w:rFonts w:hint="eastAsia" w:ascii="仿宋" w:hAnsi="仿宋" w:eastAsia="仿宋" w:cs="仿宋"/>
          <w:color w:val="auto"/>
          <w:kern w:val="0"/>
          <w:sz w:val="24"/>
          <w:szCs w:val="24"/>
          <w:highlight w:val="none"/>
        </w:rPr>
        <w:t> 1.采购人信息</w:t>
      </w:r>
    </w:p>
    <w:p>
      <w:pPr>
        <w:widowControl/>
        <w:spacing w:before="75" w:after="75" w:line="460" w:lineRule="exact"/>
        <w:ind w:firstLine="720" w:firstLineChars="300"/>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名    称：</w:t>
      </w:r>
      <w:r>
        <w:rPr>
          <w:rFonts w:hint="eastAsia" w:ascii="仿宋" w:hAnsi="仿宋" w:eastAsia="仿宋" w:cs="仿宋"/>
          <w:color w:val="auto"/>
          <w:kern w:val="0"/>
          <w:sz w:val="24"/>
          <w:szCs w:val="24"/>
          <w:highlight w:val="none"/>
          <w:lang w:eastAsia="zh-CN"/>
        </w:rPr>
        <w:t>温州医科大学附属第二医院</w:t>
      </w:r>
    </w:p>
    <w:p>
      <w:pPr>
        <w:widowControl/>
        <w:spacing w:before="75" w:after="75" w:line="460" w:lineRule="exact"/>
        <w:ind w:firstLine="720" w:firstLineChars="3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地    址：</w:t>
      </w:r>
      <w:r>
        <w:rPr>
          <w:rFonts w:hint="eastAsia" w:ascii="仿宋" w:hAnsi="仿宋" w:eastAsia="仿宋" w:cs="仿宋"/>
          <w:color w:val="auto"/>
          <w:kern w:val="0"/>
          <w:sz w:val="24"/>
          <w:szCs w:val="24"/>
          <w:highlight w:val="none"/>
          <w:lang w:eastAsia="zh-CN"/>
        </w:rPr>
        <w:t>浙江省温州市学院西路109号</w:t>
      </w:r>
    </w:p>
    <w:p>
      <w:pPr>
        <w:widowControl/>
        <w:spacing w:before="75" w:after="75" w:line="460" w:lineRule="exact"/>
        <w:ind w:firstLine="720" w:firstLineChars="3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传     真：/</w:t>
      </w:r>
    </w:p>
    <w:p>
      <w:pPr>
        <w:widowControl/>
        <w:spacing w:before="75" w:after="75" w:line="460" w:lineRule="exact"/>
        <w:ind w:firstLine="720" w:firstLineChars="3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项目联系人（询问）：</w:t>
      </w:r>
      <w:r>
        <w:rPr>
          <w:rFonts w:hint="eastAsia" w:ascii="仿宋" w:hAnsi="仿宋" w:eastAsia="仿宋" w:cs="仿宋"/>
          <w:color w:val="auto"/>
          <w:kern w:val="0"/>
          <w:sz w:val="24"/>
          <w:szCs w:val="24"/>
          <w:highlight w:val="none"/>
          <w:lang w:val="en-US" w:eastAsia="zh-CN"/>
        </w:rPr>
        <w:t>林工</w:t>
      </w:r>
    </w:p>
    <w:p>
      <w:pPr>
        <w:widowControl/>
        <w:spacing w:before="75" w:after="75" w:line="460" w:lineRule="exact"/>
        <w:ind w:firstLine="720" w:firstLineChars="3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项目联系方式（询问）：0577-</w:t>
      </w:r>
      <w:r>
        <w:rPr>
          <w:rFonts w:hint="eastAsia" w:ascii="仿宋" w:hAnsi="仿宋" w:eastAsia="仿宋" w:cs="仿宋"/>
          <w:color w:val="auto"/>
          <w:kern w:val="0"/>
          <w:sz w:val="24"/>
          <w:szCs w:val="24"/>
          <w:highlight w:val="none"/>
          <w:lang w:val="en-US" w:eastAsia="zh-CN"/>
        </w:rPr>
        <w:t>85676855</w:t>
      </w:r>
    </w:p>
    <w:p>
      <w:pPr>
        <w:widowControl/>
        <w:spacing w:before="75" w:after="75" w:line="460" w:lineRule="exact"/>
        <w:ind w:firstLine="720" w:firstLineChars="3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质疑联系人：</w:t>
      </w:r>
      <w:r>
        <w:rPr>
          <w:rFonts w:hint="eastAsia" w:ascii="仿宋" w:hAnsi="仿宋" w:eastAsia="仿宋" w:cs="仿宋"/>
          <w:color w:val="auto"/>
          <w:kern w:val="0"/>
          <w:sz w:val="24"/>
          <w:szCs w:val="24"/>
          <w:highlight w:val="none"/>
          <w:lang w:val="en-US" w:eastAsia="zh-CN"/>
        </w:rPr>
        <w:t>林工</w:t>
      </w:r>
    </w:p>
    <w:p>
      <w:pPr>
        <w:widowControl/>
        <w:spacing w:before="75" w:after="75" w:line="460" w:lineRule="exact"/>
        <w:ind w:firstLine="720" w:firstLineChars="3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质疑联系方式：0577-</w:t>
      </w:r>
      <w:r>
        <w:rPr>
          <w:rFonts w:hint="eastAsia" w:ascii="仿宋" w:hAnsi="仿宋" w:eastAsia="仿宋" w:cs="仿宋"/>
          <w:color w:val="auto"/>
          <w:kern w:val="0"/>
          <w:sz w:val="24"/>
          <w:szCs w:val="24"/>
          <w:highlight w:val="none"/>
          <w:lang w:val="en-US" w:eastAsia="zh-CN"/>
        </w:rPr>
        <w:t>85676855</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    2.采购代理机构信息</w:t>
      </w:r>
    </w:p>
    <w:p>
      <w:pPr>
        <w:widowControl/>
        <w:tabs>
          <w:tab w:val="left" w:pos="567"/>
        </w:tabs>
        <w:spacing w:before="75" w:after="75"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名    称：浙江恒杰工程管理有限公司 </w:t>
      </w:r>
    </w:p>
    <w:p>
      <w:pPr>
        <w:widowControl/>
        <w:spacing w:before="75" w:after="75"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地    址：温州市鹿城区黎明西路236号国际贸易中心29楼 </w:t>
      </w:r>
    </w:p>
    <w:p>
      <w:pPr>
        <w:widowControl/>
        <w:spacing w:before="75" w:after="75"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传    真：0577-88118617  </w:t>
      </w:r>
    </w:p>
    <w:p>
      <w:pPr>
        <w:widowControl/>
        <w:spacing w:before="75" w:after="75"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项目联系人（询问）：林磊 </w:t>
      </w:r>
    </w:p>
    <w:p>
      <w:pPr>
        <w:widowControl/>
        <w:spacing w:before="75" w:after="75"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项目联系方式（询问）：13868808710 </w:t>
      </w:r>
    </w:p>
    <w:p>
      <w:pPr>
        <w:widowControl/>
        <w:spacing w:before="75" w:after="75"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质疑联系人：林开敏 </w:t>
      </w:r>
    </w:p>
    <w:p>
      <w:pPr>
        <w:widowControl/>
        <w:spacing w:before="75" w:after="75"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质疑联系方式：18957717310</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    3.同级政府采购监管管理部门：浙江省财政厅政府采购建管处</w:t>
      </w:r>
    </w:p>
    <w:p>
      <w:pPr>
        <w:widowControl/>
        <w:spacing w:before="75" w:after="75" w:line="460" w:lineRule="exact"/>
        <w:ind w:firstLine="720" w:firstLineChars="3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联系人：倪文良</w:t>
      </w:r>
    </w:p>
    <w:p>
      <w:pPr>
        <w:widowControl/>
        <w:spacing w:before="75" w:after="75" w:line="460" w:lineRule="exact"/>
        <w:ind w:firstLine="720" w:firstLineChars="3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监督投诉电话：0571-87057615</w:t>
      </w:r>
    </w:p>
    <w:p>
      <w:pPr>
        <w:widowControl/>
        <w:spacing w:before="75" w:after="75" w:line="460" w:lineRule="exact"/>
        <w:ind w:firstLine="720" w:firstLineChars="3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地址：杭州市环城西路37号</w:t>
      </w:r>
    </w:p>
    <w:p>
      <w:pP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pPr>
        <w:pStyle w:val="4"/>
        <w:bidi w:val="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第二章</w:t>
      </w:r>
      <w:r>
        <w:rPr>
          <w:rFonts w:hint="eastAsia" w:ascii="仿宋" w:hAnsi="仿宋" w:eastAsia="仿宋" w:cs="仿宋"/>
          <w:color w:val="auto"/>
          <w:highlight w:val="none"/>
          <w:lang w:val="en-US" w:eastAsia="zh-CN"/>
        </w:rPr>
        <w:t xml:space="preserve"> 磋商需求</w:t>
      </w:r>
      <w:bookmarkEnd w:id="2"/>
    </w:p>
    <w:p>
      <w:pPr>
        <w:numPr>
          <w:ilvl w:val="0"/>
          <w:numId w:val="2"/>
        </w:num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项目地址：温州市。</w:t>
      </w:r>
    </w:p>
    <w:p>
      <w:pPr>
        <w:numPr>
          <w:ilvl w:val="0"/>
          <w:numId w:val="2"/>
        </w:num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建设规模：</w:t>
      </w:r>
      <w:r>
        <w:rPr>
          <w:rFonts w:hint="eastAsia" w:ascii="仿宋" w:hAnsi="仿宋" w:eastAsia="仿宋" w:cs="仿宋"/>
          <w:color w:val="auto"/>
          <w:sz w:val="24"/>
          <w:szCs w:val="24"/>
          <w:highlight w:val="none"/>
          <w:lang w:eastAsia="zh-CN"/>
        </w:rPr>
        <w:t>所有院区小额项目的设计</w:t>
      </w:r>
      <w:r>
        <w:rPr>
          <w:rFonts w:hint="eastAsia" w:ascii="仿宋" w:hAnsi="仿宋" w:eastAsia="仿宋" w:cs="仿宋"/>
          <w:color w:val="auto"/>
          <w:sz w:val="24"/>
          <w:szCs w:val="24"/>
          <w:highlight w:val="none"/>
          <w:lang w:val="en-US" w:eastAsia="zh-CN"/>
        </w:rPr>
        <w:t>,项目采购预算约180万元</w:t>
      </w:r>
      <w:r>
        <w:rPr>
          <w:rFonts w:hint="eastAsia" w:ascii="仿宋" w:hAnsi="仿宋" w:eastAsia="仿宋" w:cs="仿宋"/>
          <w:color w:val="auto"/>
          <w:sz w:val="24"/>
          <w:szCs w:val="24"/>
          <w:highlight w:val="none"/>
        </w:rPr>
        <w:t xml:space="preserve">。 </w:t>
      </w:r>
    </w:p>
    <w:p>
      <w:pPr>
        <w:numPr>
          <w:ilvl w:val="0"/>
          <w:numId w:val="2"/>
        </w:num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建设内容：</w:t>
      </w:r>
      <w:r>
        <w:rPr>
          <w:rFonts w:hint="eastAsia" w:ascii="仿宋" w:hAnsi="仿宋" w:eastAsia="仿宋" w:cs="仿宋"/>
          <w:color w:val="auto"/>
          <w:sz w:val="24"/>
          <w:szCs w:val="24"/>
          <w:highlight w:val="none"/>
          <w:lang w:eastAsia="zh-CN"/>
        </w:rPr>
        <w:t>温州医科大学附属第二医院所有院区小额项目（</w:t>
      </w:r>
      <w:r>
        <w:rPr>
          <w:rFonts w:hint="eastAsia" w:ascii="仿宋" w:hAnsi="仿宋" w:eastAsia="仿宋" w:cs="仿宋"/>
          <w:color w:val="auto"/>
          <w:sz w:val="24"/>
          <w:szCs w:val="24"/>
          <w:highlight w:val="none"/>
          <w:lang w:val="en-US" w:eastAsia="zh-CN"/>
        </w:rPr>
        <w:t>＜400万</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lang w:val="en-US" w:eastAsia="zh-CN"/>
        </w:rPr>
        <w:t>规划选址论证</w:t>
      </w:r>
      <w:r>
        <w:rPr>
          <w:rFonts w:hint="eastAsia" w:ascii="仿宋" w:hAnsi="仿宋" w:eastAsia="仿宋" w:cs="仿宋"/>
          <w:color w:val="auto"/>
          <w:sz w:val="24"/>
          <w:szCs w:val="24"/>
          <w:highlight w:val="none"/>
          <w:lang w:eastAsia="zh-CN"/>
        </w:rPr>
        <w:t>、方案设计、初步设计、施工图设计及施工期间配合等直至工程竣工的全过程设计服务。</w:t>
      </w:r>
    </w:p>
    <w:p>
      <w:pPr>
        <w:numPr>
          <w:ilvl w:val="0"/>
          <w:numId w:val="2"/>
        </w:numPr>
        <w:spacing w:line="44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招标范围：</w:t>
      </w:r>
      <w:r>
        <w:rPr>
          <w:rFonts w:hint="eastAsia" w:ascii="仿宋" w:hAnsi="仿宋" w:eastAsia="仿宋" w:cs="仿宋"/>
          <w:color w:val="auto"/>
          <w:sz w:val="24"/>
          <w:szCs w:val="24"/>
          <w:highlight w:val="none"/>
          <w:lang w:eastAsia="zh-CN"/>
        </w:rPr>
        <w:t>温州医科大学附属第二医院所有院区小额项目的方案设计、初步设计、施工图设计及施工期间配合等直至工程竣工的全过程设计服务。</w:t>
      </w:r>
    </w:p>
    <w:p>
      <w:pPr>
        <w:numPr>
          <w:ilvl w:val="0"/>
          <w:numId w:val="2"/>
        </w:numPr>
        <w:spacing w:line="440" w:lineRule="exact"/>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项目服务期：合同签订之日起设计费用累计达到180万元或合同签订之日起两年后止。</w:t>
      </w:r>
    </w:p>
    <w:p>
      <w:pPr>
        <w:numPr>
          <w:ilvl w:val="0"/>
          <w:numId w:val="2"/>
        </w:num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资金来源：自筹资金。</w:t>
      </w:r>
    </w:p>
    <w:p>
      <w:pPr>
        <w:numPr>
          <w:ilvl w:val="0"/>
          <w:numId w:val="2"/>
        </w:num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本项目无设计补偿费用。</w:t>
      </w:r>
    </w:p>
    <w:p>
      <w:pPr>
        <w:pStyle w:val="5"/>
        <w:bidi w:val="0"/>
        <w:rPr>
          <w:rFonts w:hint="eastAsia" w:ascii="仿宋" w:hAnsi="仿宋" w:eastAsia="仿宋" w:cs="仿宋"/>
          <w:color w:val="auto"/>
          <w:highlight w:val="none"/>
          <w:lang w:eastAsia="zh-CN"/>
        </w:rPr>
      </w:pPr>
    </w:p>
    <w:p>
      <w:pPr>
        <w:rPr>
          <w:rFonts w:hint="eastAsia" w:ascii="仿宋" w:hAnsi="仿宋" w:eastAsia="仿宋" w:cs="仿宋"/>
          <w:color w:val="auto"/>
          <w:highlight w:val="none"/>
          <w:lang w:eastAsia="zh-CN"/>
        </w:rPr>
      </w:pPr>
    </w:p>
    <w:p>
      <w:pPr>
        <w:pStyle w:val="35"/>
        <w:rPr>
          <w:rFonts w:hint="eastAsia" w:ascii="仿宋" w:hAnsi="仿宋" w:eastAsia="仿宋" w:cs="仿宋"/>
          <w:color w:val="auto"/>
          <w:highlight w:val="none"/>
          <w:lang w:eastAsia="zh-CN"/>
        </w:rPr>
      </w:pPr>
    </w:p>
    <w:p>
      <w:pPr>
        <w:pStyle w:val="35"/>
        <w:rPr>
          <w:rFonts w:hint="eastAsia" w:ascii="仿宋" w:hAnsi="仿宋" w:eastAsia="仿宋" w:cs="仿宋"/>
          <w:color w:val="auto"/>
          <w:highlight w:val="none"/>
          <w:lang w:eastAsia="zh-CN"/>
        </w:rPr>
      </w:pPr>
    </w:p>
    <w:p>
      <w:pPr>
        <w:pStyle w:val="35"/>
        <w:rPr>
          <w:rFonts w:hint="eastAsia" w:ascii="仿宋" w:hAnsi="仿宋" w:eastAsia="仿宋" w:cs="仿宋"/>
          <w:color w:val="auto"/>
          <w:highlight w:val="none"/>
          <w:lang w:eastAsia="zh-CN"/>
        </w:rPr>
      </w:pPr>
    </w:p>
    <w:p>
      <w:pPr>
        <w:rPr>
          <w:rFonts w:hint="eastAsia" w:ascii="仿宋" w:hAnsi="仿宋" w:eastAsia="仿宋" w:cs="仿宋"/>
          <w:color w:val="auto"/>
          <w:highlight w:val="none"/>
          <w:lang w:eastAsia="zh-CN"/>
        </w:rPr>
      </w:pPr>
      <w:bookmarkStart w:id="3" w:name="_Toc13355"/>
      <w:r>
        <w:rPr>
          <w:rFonts w:hint="eastAsia" w:ascii="仿宋" w:hAnsi="仿宋" w:eastAsia="仿宋" w:cs="仿宋"/>
          <w:color w:val="auto"/>
          <w:highlight w:val="none"/>
          <w:lang w:eastAsia="zh-CN"/>
        </w:rPr>
        <w:br w:type="page"/>
      </w:r>
    </w:p>
    <w:p>
      <w:pPr>
        <w:pStyle w:val="4"/>
        <w:bidi w:val="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第三章</w:t>
      </w:r>
      <w:r>
        <w:rPr>
          <w:rFonts w:hint="eastAsia" w:ascii="仿宋" w:hAnsi="仿宋" w:eastAsia="仿宋" w:cs="仿宋"/>
          <w:color w:val="auto"/>
          <w:highlight w:val="none"/>
          <w:lang w:val="en-US" w:eastAsia="zh-CN"/>
        </w:rPr>
        <w:t xml:space="preserve"> 磋商须知</w:t>
      </w:r>
      <w:bookmarkEnd w:id="3"/>
    </w:p>
    <w:p>
      <w:pPr>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前附表</w:t>
      </w:r>
    </w:p>
    <w:tbl>
      <w:tblPr>
        <w:tblStyle w:val="30"/>
        <w:tblW w:w="92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16"/>
        <w:gridCol w:w="822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2" w:hRule="atLeas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7" w:hRule="atLeas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温州医科大学附属第二医院所有院区小额工程设计服务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2" w:hRule="atLeas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磋商报价及费用：1、本项目磋商应以人民币报价；2、不论磋商结果如何，供应商均应自行承担所有与磋商有关的全部费用；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磋商保证金：无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7" w:hRule="atLeas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仿宋" w:hAnsi="仿宋" w:eastAsia="仿宋" w:cs="仿宋"/>
                <w:color w:val="auto"/>
                <w:highlight w:val="none"/>
              </w:rPr>
            </w:pPr>
            <w:r>
              <w:rPr>
                <w:rFonts w:hint="eastAsia" w:ascii="仿宋" w:hAnsi="仿宋" w:eastAsia="仿宋" w:cs="仿宋"/>
                <w:color w:val="auto"/>
                <w:sz w:val="24"/>
                <w:highlight w:val="none"/>
              </w:rPr>
              <w:t>采购预算：</w:t>
            </w:r>
            <w:r>
              <w:rPr>
                <w:rFonts w:hint="eastAsia" w:ascii="仿宋" w:hAnsi="仿宋" w:eastAsia="仿宋" w:cs="仿宋"/>
                <w:color w:val="auto"/>
                <w:sz w:val="24"/>
                <w:highlight w:val="none"/>
                <w:lang w:val="en-US" w:eastAsia="zh-CN"/>
              </w:rPr>
              <w:t>180</w:t>
            </w:r>
            <w:r>
              <w:rPr>
                <w:rFonts w:hint="eastAsia" w:ascii="仿宋" w:hAnsi="仿宋" w:eastAsia="仿宋" w:cs="仿宋"/>
                <w:color w:val="auto"/>
                <w:sz w:val="24"/>
                <w:highlight w:val="none"/>
                <w:lang w:eastAsia="zh-CN"/>
              </w:rPr>
              <w:t>万元，</w:t>
            </w:r>
            <w:r>
              <w:rPr>
                <w:rFonts w:hint="eastAsia" w:ascii="仿宋" w:hAnsi="仿宋" w:eastAsia="仿宋" w:cs="仿宋"/>
                <w:b w:val="0"/>
                <w:bCs/>
                <w:color w:val="auto"/>
                <w:sz w:val="24"/>
                <w:highlight w:val="none"/>
                <w:lang w:eastAsia="zh-CN"/>
              </w:rPr>
              <w:t>最高限价</w:t>
            </w:r>
            <w:r>
              <w:rPr>
                <w:rFonts w:hint="eastAsia" w:ascii="仿宋" w:hAnsi="仿宋" w:eastAsia="仿宋" w:cs="仿宋"/>
                <w:color w:val="auto"/>
                <w:sz w:val="24"/>
                <w:szCs w:val="24"/>
                <w:highlight w:val="none"/>
                <w:vertAlign w:val="baseline"/>
                <w:lang w:val="en-US" w:eastAsia="zh-CN"/>
              </w:rPr>
              <w:t>180万元</w:t>
            </w:r>
            <w:r>
              <w:rPr>
                <w:rFonts w:hint="eastAsia" w:ascii="仿宋" w:hAnsi="仿宋" w:eastAsia="仿宋" w:cs="仿宋"/>
                <w:color w:val="auto"/>
                <w:sz w:val="24"/>
                <w:highlight w:val="none"/>
                <w:lang w:eastAsia="zh-CN"/>
              </w:rPr>
              <w:t>。工期</w:t>
            </w:r>
            <w:r>
              <w:rPr>
                <w:rFonts w:hint="eastAsia" w:ascii="仿宋" w:hAnsi="仿宋" w:eastAsia="仿宋" w:cs="仿宋"/>
                <w:color w:val="auto"/>
                <w:sz w:val="24"/>
                <w:highlight w:val="none"/>
              </w:rPr>
              <w:t>：</w:t>
            </w:r>
            <w:r>
              <w:rPr>
                <w:rFonts w:hint="eastAsia" w:ascii="仿宋" w:hAnsi="仿宋" w:eastAsia="仿宋" w:cs="仿宋"/>
                <w:b/>
                <w:bCs/>
                <w:color w:val="auto"/>
                <w:sz w:val="24"/>
                <w:szCs w:val="24"/>
                <w:highlight w:val="none"/>
                <w:lang w:val="en-US" w:eastAsia="zh-CN"/>
              </w:rPr>
              <w:t>合同签订之日起设计费用累计达到180万元或合同签订之日起两年后止</w:t>
            </w:r>
            <w:r>
              <w:rPr>
                <w:rFonts w:hint="eastAsia" w:ascii="仿宋" w:hAnsi="仿宋" w:eastAsia="仿宋" w:cs="仿宋"/>
                <w:color w:val="auto"/>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40" w:hRule="exac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备份投标文件组成：备份投标文件（U盘）应包含《资格文件》、《技术、商务、资信及其他文件》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《首次报价文件》，供应商应将备份投标文件（U盘）的《资格文件》、《技术、商务、资信及其他文件》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《首次报价文件》密封</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包装，其中《技术、商务、资信及其他文件》和《首次报价文件》允许制作成一个U盘。备份投标文件的内容应按政采云平台项目采购-电子招投标操作指南中上传的电子投标文件格式，因供应商自身问题导致备份投标文件无法读取，责任由供应商自行承担。</w:t>
            </w:r>
          </w:p>
          <w:p>
            <w:pPr>
              <w:snapToGrid w:val="0"/>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成交供应商在成交结果公告结束后，提供两份纸质响应文件（与电子竞标文件内容必需一致）交于代理公司，以便采购单位和代理公司存档。【纸质的《资格文件》、《技术、商务、资信及其他文件》、《报价文件》可装订成一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7" w:hRule="atLeas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磋商截止时间：</w:t>
            </w:r>
            <w:r>
              <w:rPr>
                <w:rFonts w:hint="eastAsia" w:ascii="仿宋" w:hAnsi="仿宋" w:eastAsia="仿宋" w:cs="仿宋"/>
                <w:b/>
                <w:bCs/>
                <w:color w:val="auto"/>
                <w:sz w:val="24"/>
                <w:highlight w:val="none"/>
              </w:rPr>
              <w:t>202</w:t>
            </w:r>
            <w:r>
              <w:rPr>
                <w:rFonts w:hint="eastAsia" w:ascii="仿宋" w:hAnsi="仿宋" w:eastAsia="仿宋" w:cs="仿宋"/>
                <w:b/>
                <w:bCs/>
                <w:color w:val="auto"/>
                <w:sz w:val="24"/>
                <w:highlight w:val="none"/>
                <w:lang w:val="en-US" w:eastAsia="zh-CN"/>
              </w:rPr>
              <w:t>2</w:t>
            </w:r>
            <w:r>
              <w:rPr>
                <w:rFonts w:hint="eastAsia" w:ascii="仿宋" w:hAnsi="仿宋" w:eastAsia="仿宋" w:cs="仿宋"/>
                <w:b/>
                <w:bCs/>
                <w:color w:val="auto"/>
                <w:sz w:val="24"/>
                <w:highlight w:val="none"/>
              </w:rPr>
              <w:t>年</w:t>
            </w:r>
            <w:r>
              <w:rPr>
                <w:rFonts w:hint="eastAsia" w:ascii="仿宋" w:hAnsi="仿宋" w:eastAsia="仿宋" w:cs="仿宋"/>
                <w:b/>
                <w:bCs/>
                <w:color w:val="auto"/>
                <w:sz w:val="24"/>
                <w:highlight w:val="none"/>
                <w:lang w:val="en-US" w:eastAsia="zh-CN"/>
              </w:rPr>
              <w:t>11</w:t>
            </w:r>
            <w:r>
              <w:rPr>
                <w:rFonts w:hint="eastAsia" w:ascii="仿宋" w:hAnsi="仿宋" w:eastAsia="仿宋" w:cs="仿宋"/>
                <w:b/>
                <w:bCs/>
                <w:color w:val="auto"/>
                <w:sz w:val="24"/>
                <w:highlight w:val="none"/>
              </w:rPr>
              <w:t>月</w:t>
            </w:r>
            <w:r>
              <w:rPr>
                <w:rFonts w:hint="eastAsia" w:ascii="仿宋" w:hAnsi="仿宋" w:eastAsia="仿宋" w:cs="仿宋"/>
                <w:b/>
                <w:bCs/>
                <w:color w:val="auto"/>
                <w:sz w:val="24"/>
                <w:highlight w:val="none"/>
                <w:lang w:val="en-US" w:eastAsia="zh-CN"/>
              </w:rPr>
              <w:t>16</w:t>
            </w:r>
            <w:r>
              <w:rPr>
                <w:rFonts w:hint="eastAsia" w:ascii="仿宋" w:hAnsi="仿宋" w:eastAsia="仿宋" w:cs="仿宋"/>
                <w:b/>
                <w:bCs/>
                <w:color w:val="auto"/>
                <w:sz w:val="24"/>
                <w:highlight w:val="none"/>
              </w:rPr>
              <w:t>日</w:t>
            </w:r>
            <w:r>
              <w:rPr>
                <w:rFonts w:hint="eastAsia" w:ascii="仿宋" w:hAnsi="仿宋" w:eastAsia="仿宋" w:cs="仿宋"/>
                <w:b/>
                <w:bCs/>
                <w:color w:val="auto"/>
                <w:sz w:val="24"/>
                <w:highlight w:val="none"/>
                <w:lang w:val="en-US" w:eastAsia="zh-CN"/>
              </w:rPr>
              <w:t>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rPr>
              <w:t>0时</w:t>
            </w:r>
          </w:p>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1、供应商应当在磋商截止时间前完成电子响应文件的传输递交，磋商截止时间前可以补充、修改或者撤回电子响应文件。补充或者修改电子响应文件的， 应当先行撤回原文件，补充、修改后重新传输递交。磋商截止时间止未完成传输的，视为放弃投标资格，作无效标处理。</w:t>
            </w:r>
          </w:p>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2、供应商递交响应文件时，如出现下列情况之一的将被拒收，作无效标处理：</w:t>
            </w:r>
          </w:p>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 xml:space="preserve"> 电子响应文件未按规定时间上传的或数据电子备份响应文件（U 盘）超过投标截止时间送达的；</w:t>
            </w:r>
          </w:p>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 xml:space="preserve"> 整个磋商过程中若因供应商问题造成电子响应文件无法正常解密的，均认定为未提交电子响应文件，作无效标处理。若因网络或者其他非供应商问题造成电子响应文件无法正常解密的，启用备份投标文件（U盘）。若正常解密成功， 则备份投标文件（U盘）不予开启。在下一顺位的响应文件启用时，前一顺位的响应文件自动失效。</w:t>
            </w:r>
          </w:p>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供应商仅提供其中一种形式的备份响应文件。造成项目开评标活动无法进行下去的，相关风险由供应商自行承担。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磋商时间：</w:t>
            </w:r>
            <w:r>
              <w:rPr>
                <w:rFonts w:hint="eastAsia" w:ascii="仿宋" w:hAnsi="仿宋" w:eastAsia="仿宋" w:cs="仿宋"/>
                <w:b/>
                <w:bCs/>
                <w:color w:val="auto"/>
                <w:sz w:val="24"/>
                <w:highlight w:val="none"/>
              </w:rPr>
              <w:t>202</w:t>
            </w:r>
            <w:r>
              <w:rPr>
                <w:rFonts w:hint="eastAsia" w:ascii="仿宋" w:hAnsi="仿宋" w:eastAsia="仿宋" w:cs="仿宋"/>
                <w:b/>
                <w:bCs/>
                <w:color w:val="auto"/>
                <w:sz w:val="24"/>
                <w:highlight w:val="none"/>
                <w:lang w:val="en-US" w:eastAsia="zh-CN"/>
              </w:rPr>
              <w:t>2</w:t>
            </w:r>
            <w:r>
              <w:rPr>
                <w:rFonts w:hint="eastAsia" w:ascii="仿宋" w:hAnsi="仿宋" w:eastAsia="仿宋" w:cs="仿宋"/>
                <w:b/>
                <w:bCs/>
                <w:color w:val="auto"/>
                <w:sz w:val="24"/>
                <w:highlight w:val="none"/>
              </w:rPr>
              <w:t>年</w:t>
            </w:r>
            <w:r>
              <w:rPr>
                <w:rFonts w:hint="eastAsia" w:ascii="仿宋" w:hAnsi="仿宋" w:eastAsia="仿宋" w:cs="仿宋"/>
                <w:b/>
                <w:bCs/>
                <w:color w:val="auto"/>
                <w:sz w:val="24"/>
                <w:highlight w:val="none"/>
                <w:lang w:val="en-US" w:eastAsia="zh-CN"/>
              </w:rPr>
              <w:t>11</w:t>
            </w:r>
            <w:r>
              <w:rPr>
                <w:rFonts w:hint="eastAsia" w:ascii="仿宋" w:hAnsi="仿宋" w:eastAsia="仿宋" w:cs="仿宋"/>
                <w:b/>
                <w:bCs/>
                <w:color w:val="auto"/>
                <w:sz w:val="24"/>
                <w:highlight w:val="none"/>
              </w:rPr>
              <w:t>月</w:t>
            </w:r>
            <w:r>
              <w:rPr>
                <w:rFonts w:hint="eastAsia" w:ascii="仿宋" w:hAnsi="仿宋" w:eastAsia="仿宋" w:cs="仿宋"/>
                <w:b/>
                <w:bCs/>
                <w:color w:val="auto"/>
                <w:sz w:val="24"/>
                <w:highlight w:val="none"/>
                <w:lang w:val="en-US" w:eastAsia="zh-CN"/>
              </w:rPr>
              <w:t>16</w:t>
            </w:r>
            <w:r>
              <w:rPr>
                <w:rFonts w:hint="eastAsia" w:ascii="仿宋" w:hAnsi="仿宋" w:eastAsia="仿宋" w:cs="仿宋"/>
                <w:b/>
                <w:bCs/>
                <w:color w:val="auto"/>
                <w:sz w:val="24"/>
                <w:highlight w:val="none"/>
              </w:rPr>
              <w:t>日</w:t>
            </w:r>
            <w:r>
              <w:rPr>
                <w:rFonts w:hint="eastAsia" w:ascii="仿宋" w:hAnsi="仿宋" w:eastAsia="仿宋" w:cs="仿宋"/>
                <w:b/>
                <w:bCs/>
                <w:color w:val="auto"/>
                <w:sz w:val="24"/>
                <w:highlight w:val="none"/>
                <w:lang w:val="en-US" w:eastAsia="zh-CN"/>
              </w:rPr>
              <w:t>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rPr>
              <w:t>0时</w:t>
            </w:r>
          </w:p>
          <w:p>
            <w:pPr>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磋商地点：</w:t>
            </w:r>
            <w:r>
              <w:rPr>
                <w:rFonts w:hint="eastAsia" w:ascii="仿宋" w:hAnsi="仿宋" w:eastAsia="仿宋" w:cs="仿宋"/>
                <w:b w:val="0"/>
                <w:bCs/>
                <w:color w:val="auto"/>
                <w:kern w:val="0"/>
                <w:sz w:val="24"/>
                <w:szCs w:val="24"/>
                <w:highlight w:val="none"/>
                <w:lang w:eastAsia="zh-CN"/>
              </w:rPr>
              <w:t>温州市鹿城区黎明西路236号国际贸易中心29楼（浙江恒杰工程管理有限公司评审室）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7" w:hRule="atLeas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成交办法：本次竞争性磋商采用符合要求和服务，综合得分最高的确定成交人。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2" w:hRule="atLeas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jc w:val="left"/>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成交公示：评标结束后2天内，成交公示发布于</w:t>
            </w:r>
          </w:p>
          <w:p>
            <w:pPr>
              <w:autoSpaceDE w:val="0"/>
              <w:autoSpaceDN w:val="0"/>
              <w:snapToGrid w:val="0"/>
              <w:jc w:val="left"/>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“浙江省政府采购网”（https://zfcg.czt.zj.gov.cn/）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 w:hRule="atLeas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磋商保证金退还：无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exac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签订合同时间：中标通知书发出后</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exac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textAlignment w:val="bottom"/>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履约保证金的收取与退还：</w:t>
            </w:r>
            <w:r>
              <w:rPr>
                <w:rFonts w:hint="eastAsia" w:ascii="仿宋" w:hAnsi="仿宋" w:eastAsia="仿宋" w:cs="仿宋"/>
                <w:color w:val="auto"/>
                <w:sz w:val="24"/>
                <w:highlight w:val="none"/>
                <w:lang w:val="en-US" w:eastAsia="zh-CN"/>
              </w:rPr>
              <w:t>无需缴纳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exac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竞争性磋商响应文件有效期：</w:t>
            </w:r>
            <w:r>
              <w:rPr>
                <w:rFonts w:hint="eastAsia" w:ascii="仿宋" w:hAnsi="仿宋" w:eastAsia="仿宋" w:cs="仿宋"/>
                <w:color w:val="auto"/>
                <w:sz w:val="24"/>
                <w:highlight w:val="none"/>
                <w:u w:val="single"/>
              </w:rPr>
              <w:t xml:space="preserve"> 60 </w:t>
            </w:r>
            <w:r>
              <w:rPr>
                <w:rFonts w:hint="eastAsia" w:ascii="仿宋" w:hAnsi="仿宋" w:eastAsia="仿宋" w:cs="仿宋"/>
                <w:color w:val="auto"/>
                <w:sz w:val="24"/>
                <w:highlight w:val="none"/>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9" w:hRule="exact"/>
          <w:jc w:val="center"/>
        </w:trPr>
        <w:tc>
          <w:tcPr>
            <w:tcW w:w="101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8223"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解释：本竞争性磋商文件的解释权属于招标采购单位。</w:t>
            </w:r>
          </w:p>
        </w:tc>
      </w:tr>
    </w:tbl>
    <w:p>
      <w:pPr>
        <w:rPr>
          <w:rFonts w:hint="eastAsia" w:ascii="仿宋" w:hAnsi="仿宋" w:eastAsia="仿宋" w:cs="仿宋"/>
          <w:color w:val="auto"/>
          <w:highlight w:val="none"/>
        </w:rPr>
      </w:pPr>
    </w:p>
    <w:p>
      <w:pPr>
        <w:pageBreakBefore w:val="0"/>
        <w:kinsoku/>
        <w:wordWrap/>
        <w:overflowPunct/>
        <w:topLinePunct w:val="0"/>
        <w:autoSpaceDE/>
        <w:autoSpaceDN/>
        <w:bidi w:val="0"/>
        <w:adjustRightInd/>
        <w:snapToGrid w:val="0"/>
        <w:spacing w:line="440" w:lineRule="exact"/>
        <w:ind w:firstLine="472" w:firstLineChars="196"/>
        <w:jc w:val="left"/>
        <w:textAlignment w:val="auto"/>
        <w:outlineLvl w:val="1"/>
        <w:rPr>
          <w:rFonts w:hint="eastAsia" w:ascii="仿宋" w:hAnsi="仿宋" w:eastAsia="仿宋" w:cs="仿宋"/>
          <w:b/>
          <w:color w:val="auto"/>
          <w:sz w:val="24"/>
          <w:highlight w:val="none"/>
        </w:rPr>
      </w:pPr>
      <w:bookmarkStart w:id="4" w:name="_Toc27293"/>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bookmarkStart w:id="5" w:name="_Toc3078"/>
      <w:bookmarkStart w:id="6" w:name="_Toc32467"/>
      <w:bookmarkStart w:id="7" w:name="_Toc26586"/>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jc w:val="left"/>
        <w:textAlignment w:val="auto"/>
        <w:outlineLvl w:val="1"/>
        <w:rPr>
          <w:rFonts w:hint="eastAsia" w:ascii="仿宋" w:hAnsi="仿宋" w:eastAsia="仿宋" w:cs="仿宋"/>
          <w:b/>
          <w:color w:val="auto"/>
          <w:sz w:val="24"/>
          <w:highlight w:val="none"/>
          <w:lang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p>
    <w:p>
      <w:pP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br w:type="page"/>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196"/>
        <w:jc w:val="left"/>
        <w:textAlignment w:val="auto"/>
        <w:outlineLvl w:val="1"/>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一、说明</w:t>
      </w:r>
      <w:bookmarkEnd w:id="5"/>
      <w:bookmarkEnd w:id="6"/>
      <w:bookmarkEnd w:id="7"/>
    </w:p>
    <w:bookmarkEnd w:id="4"/>
    <w:p>
      <w:pPr>
        <w:keepNext w:val="0"/>
        <w:keepLines w:val="0"/>
        <w:pageBreakBefore w:val="0"/>
        <w:widowControl w:val="0"/>
        <w:kinsoku/>
        <w:wordWrap/>
        <w:overflowPunct/>
        <w:topLinePunct w:val="0"/>
        <w:autoSpaceDE w:val="0"/>
        <w:autoSpaceDN w:val="0"/>
        <w:bidi w:val="0"/>
        <w:adjustRightInd w:val="0"/>
        <w:spacing w:line="460" w:lineRule="exact"/>
        <w:ind w:firstLine="360" w:firstLineChars="15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（一）总则</w:t>
      </w:r>
    </w:p>
    <w:p>
      <w:pPr>
        <w:keepNext w:val="0"/>
        <w:keepLines w:val="0"/>
        <w:pageBreakBefore w:val="0"/>
        <w:widowControl w:val="0"/>
        <w:kinsoku/>
        <w:wordWrap/>
        <w:overflowPunct/>
        <w:topLinePunct w:val="0"/>
        <w:autoSpaceDE w:val="0"/>
        <w:autoSpaceDN w:val="0"/>
        <w:bidi w:val="0"/>
        <w:adjustRightInd w:val="0"/>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zh-CN"/>
        </w:rPr>
        <w:t>1、</w:t>
      </w:r>
      <w:r>
        <w:rPr>
          <w:rFonts w:hint="eastAsia" w:ascii="仿宋" w:hAnsi="仿宋" w:eastAsia="仿宋" w:cs="仿宋"/>
          <w:color w:val="auto"/>
          <w:sz w:val="24"/>
          <w:highlight w:val="none"/>
        </w:rPr>
        <w:t>磋商采购项目名称：</w:t>
      </w:r>
      <w:r>
        <w:rPr>
          <w:rFonts w:hint="eastAsia" w:ascii="仿宋" w:hAnsi="仿宋" w:eastAsia="仿宋" w:cs="仿宋"/>
          <w:color w:val="auto"/>
          <w:sz w:val="24"/>
          <w:highlight w:val="none"/>
          <w:lang w:eastAsia="zh-CN"/>
        </w:rPr>
        <w:t>温州医科大学附属第二医院所有院区小额工程设计服务</w:t>
      </w:r>
    </w:p>
    <w:p>
      <w:pPr>
        <w:keepNext w:val="0"/>
        <w:keepLines w:val="0"/>
        <w:pageBreakBefore w:val="0"/>
        <w:widowControl w:val="0"/>
        <w:kinsoku/>
        <w:wordWrap/>
        <w:overflowPunct/>
        <w:topLinePunct w:val="0"/>
        <w:autoSpaceDE w:val="0"/>
        <w:autoSpaceDN w:val="0"/>
        <w:bidi w:val="0"/>
        <w:adjustRightInd w:val="0"/>
        <w:spacing w:line="46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2、本次磋商工作是按照《中华人民共和国政府采购法》等相关规定组织和实施。</w:t>
      </w:r>
    </w:p>
    <w:p>
      <w:pPr>
        <w:keepNext w:val="0"/>
        <w:keepLines w:val="0"/>
        <w:pageBreakBefore w:val="0"/>
        <w:widowControl w:val="0"/>
        <w:kinsoku/>
        <w:wordWrap/>
        <w:overflowPunct/>
        <w:topLinePunct w:val="0"/>
        <w:autoSpaceDE w:val="0"/>
        <w:autoSpaceDN w:val="0"/>
        <w:bidi w:val="0"/>
        <w:adjustRightInd w:val="0"/>
        <w:spacing w:line="46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3、无论磋商过程中的做法和结果如何，供应商自行承担磋商活动中所发生的全部费用。</w:t>
      </w:r>
    </w:p>
    <w:p>
      <w:pPr>
        <w:keepNext w:val="0"/>
        <w:keepLines w:val="0"/>
        <w:pageBreakBefore w:val="0"/>
        <w:widowControl w:val="0"/>
        <w:kinsoku/>
        <w:wordWrap/>
        <w:overflowPunct/>
        <w:topLinePunct w:val="0"/>
        <w:autoSpaceDE w:val="0"/>
        <w:autoSpaceDN w:val="0"/>
        <w:bidi w:val="0"/>
        <w:adjustRightInd w:val="0"/>
        <w:spacing w:line="46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（二）合格供应商</w:t>
      </w:r>
    </w:p>
    <w:p>
      <w:pPr>
        <w:keepNext w:val="0"/>
        <w:keepLines w:val="0"/>
        <w:pageBreakBefore w:val="0"/>
        <w:widowControl w:val="0"/>
        <w:kinsoku/>
        <w:wordWrap/>
        <w:overflowPunct/>
        <w:topLinePunct w:val="0"/>
        <w:autoSpaceDE w:val="0"/>
        <w:autoSpaceDN w:val="0"/>
        <w:bidi w:val="0"/>
        <w:adjustRightInd w:val="0"/>
        <w:spacing w:line="46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1、符合《中华人民共和国政府采购法》第二十二条规定，具有独立法人资格，能完成本项目施工。</w:t>
      </w:r>
    </w:p>
    <w:p>
      <w:pPr>
        <w:keepNext w:val="0"/>
        <w:keepLines w:val="0"/>
        <w:pageBreakBefore w:val="0"/>
        <w:widowControl w:val="0"/>
        <w:kinsoku/>
        <w:wordWrap/>
        <w:overflowPunct/>
        <w:topLinePunct w:val="0"/>
        <w:autoSpaceDE w:val="0"/>
        <w:autoSpaceDN w:val="0"/>
        <w:bidi w:val="0"/>
        <w:adjustRightInd w:val="0"/>
        <w:spacing w:line="46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▲供应商的特定条件：</w:t>
      </w:r>
    </w:p>
    <w:p>
      <w:pPr>
        <w:keepNext w:val="0"/>
        <w:keepLines w:val="0"/>
        <w:pageBreakBefore w:val="0"/>
        <w:widowControl/>
        <w:numPr>
          <w:ilvl w:val="0"/>
          <w:numId w:val="0"/>
        </w:numPr>
        <w:kinsoku/>
        <w:wordWrap/>
        <w:overflowPunct/>
        <w:topLinePunct w:val="0"/>
        <w:autoSpaceDE/>
        <w:autoSpaceDN/>
        <w:bidi w:val="0"/>
        <w:adjustRightInd/>
        <w:spacing w:line="520" w:lineRule="exact"/>
        <w:ind w:right="6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sz w:val="24"/>
          <w:highlight w:val="none"/>
          <w:lang w:val="en-US" w:eastAsia="zh-CN"/>
        </w:rPr>
        <w:t>（1）建筑行业（建筑工程）设计甲级或工程设计综合甲级资质；（2）项目负责人资格：一级注册建筑师或高级工程师</w:t>
      </w:r>
      <w:r>
        <w:rPr>
          <w:rFonts w:hint="eastAsia" w:ascii="仿宋" w:hAnsi="仿宋" w:eastAsia="仿宋" w:cs="仿宋"/>
          <w:color w:val="auto"/>
          <w:sz w:val="24"/>
          <w:highlight w:val="none"/>
        </w:rPr>
        <w:t>；</w:t>
      </w:r>
    </w:p>
    <w:p>
      <w:pPr>
        <w:keepNext w:val="0"/>
        <w:keepLines w:val="0"/>
        <w:pageBreakBefore w:val="0"/>
        <w:widowControl/>
        <w:kinsoku/>
        <w:wordWrap/>
        <w:overflowPunct/>
        <w:topLinePunct w:val="0"/>
        <w:autoSpaceDE/>
        <w:autoSpaceDN/>
        <w:bidi w:val="0"/>
        <w:adjustRightInd/>
        <w:spacing w:before="75" w:after="75" w:line="520" w:lineRule="exact"/>
        <w:ind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2、供应商未被列入失信被执行人名单、重大税收违法案件当事人名单、政府采购严重违法失信行为记录名单，信用信息以信用中国网站（www.creditchina.gov.cn）、中国政府采购网（www.ccgp.gov.cn）公布为准；</w:t>
      </w:r>
    </w:p>
    <w:p>
      <w:pPr>
        <w:keepNext w:val="0"/>
        <w:keepLines w:val="0"/>
        <w:pageBreakBefore w:val="0"/>
        <w:widowControl/>
        <w:kinsoku/>
        <w:wordWrap/>
        <w:overflowPunct/>
        <w:topLinePunct w:val="0"/>
        <w:autoSpaceDE/>
        <w:autoSpaceDN/>
        <w:bidi w:val="0"/>
        <w:adjustRightInd/>
        <w:spacing w:before="75" w:after="75" w:line="520" w:lineRule="exact"/>
        <w:ind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3、</w:t>
      </w:r>
      <w:r>
        <w:rPr>
          <w:rFonts w:hint="eastAsia" w:ascii="仿宋" w:hAnsi="仿宋" w:eastAsia="仿宋" w:cs="仿宋"/>
          <w:b w:val="0"/>
          <w:color w:val="auto"/>
          <w:kern w:val="2"/>
          <w:sz w:val="24"/>
          <w:szCs w:val="24"/>
          <w:highlight w:val="none"/>
          <w:lang w:val="en-US" w:eastAsia="zh-CN" w:bidi="ar-SA"/>
        </w:rPr>
        <w:t>本项目专门面向中小企业采购，供应商需提供符合《政府采购促进中小企业发展管理办法》（财库【2020】46号）和本采购文件规定的《中小企业声明函》。</w:t>
      </w:r>
    </w:p>
    <w:p>
      <w:pPr>
        <w:keepNext w:val="0"/>
        <w:keepLines w:val="0"/>
        <w:pageBreakBefore w:val="0"/>
        <w:widowControl w:val="0"/>
        <w:kinsoku/>
        <w:wordWrap/>
        <w:overflowPunct/>
        <w:topLinePunct w:val="0"/>
        <w:autoSpaceDE w:val="0"/>
        <w:autoSpaceDN w:val="0"/>
        <w:bidi w:val="0"/>
        <w:adjustRightIn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b w:val="0"/>
          <w:color w:val="auto"/>
          <w:kern w:val="2"/>
          <w:sz w:val="24"/>
          <w:szCs w:val="24"/>
          <w:highlight w:val="none"/>
          <w:lang w:val="en-US" w:eastAsia="zh-CN" w:bidi="ar-SA"/>
        </w:rPr>
        <w:t>4、</w:t>
      </w:r>
      <w:r>
        <w:rPr>
          <w:rFonts w:hint="eastAsia" w:ascii="仿宋" w:hAnsi="仿宋" w:eastAsia="仿宋" w:cs="仿宋"/>
          <w:color w:val="auto"/>
          <w:sz w:val="24"/>
          <w:highlight w:val="none"/>
        </w:rPr>
        <w:t>本项目不接受联合体投标。</w:t>
      </w:r>
    </w:p>
    <w:p>
      <w:pPr>
        <w:keepNext w:val="0"/>
        <w:keepLines w:val="0"/>
        <w:pageBreakBefore w:val="0"/>
        <w:widowControl w:val="0"/>
        <w:kinsoku/>
        <w:wordWrap/>
        <w:overflowPunct/>
        <w:topLinePunct w:val="0"/>
        <w:autoSpaceDE w:val="0"/>
        <w:autoSpaceDN w:val="0"/>
        <w:bidi w:val="0"/>
        <w:adjustRightInd w:val="0"/>
        <w:spacing w:line="46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（三）定义</w:t>
      </w:r>
    </w:p>
    <w:p>
      <w:pPr>
        <w:keepNext w:val="0"/>
        <w:keepLines w:val="0"/>
        <w:pageBreakBefore w:val="0"/>
        <w:widowControl w:val="0"/>
        <w:kinsoku/>
        <w:wordWrap/>
        <w:overflowPunct/>
        <w:topLinePunct w:val="0"/>
        <w:autoSpaceDE w:val="0"/>
        <w:autoSpaceDN w:val="0"/>
        <w:bidi w:val="0"/>
        <w:adjustRightInd w:val="0"/>
        <w:spacing w:line="460" w:lineRule="exact"/>
        <w:ind w:firstLine="480"/>
        <w:textAlignment w:val="auto"/>
        <w:rPr>
          <w:rFonts w:hint="eastAsia" w:ascii="仿宋" w:hAnsi="仿宋" w:eastAsia="仿宋" w:cs="仿宋"/>
          <w:color w:val="auto"/>
          <w:sz w:val="24"/>
          <w:highlight w:val="none"/>
          <w:u w:val="single"/>
          <w:lang w:val="zh-CN"/>
        </w:rPr>
      </w:pPr>
      <w:r>
        <w:rPr>
          <w:rFonts w:hint="eastAsia" w:ascii="仿宋" w:hAnsi="仿宋" w:eastAsia="仿宋" w:cs="仿宋"/>
          <w:color w:val="auto"/>
          <w:sz w:val="24"/>
          <w:highlight w:val="none"/>
          <w:lang w:val="zh-CN"/>
        </w:rPr>
        <w:t>1、“采购单位”系指</w:t>
      </w:r>
      <w:r>
        <w:rPr>
          <w:rFonts w:hint="eastAsia" w:ascii="仿宋" w:hAnsi="仿宋" w:eastAsia="仿宋" w:cs="仿宋"/>
          <w:color w:val="auto"/>
          <w:sz w:val="24"/>
          <w:highlight w:val="none"/>
          <w:lang w:eastAsia="zh-CN"/>
        </w:rPr>
        <w:t>温州医科大学附属第二医院</w:t>
      </w:r>
      <w:r>
        <w:rPr>
          <w:rFonts w:hint="eastAsia" w:ascii="仿宋" w:hAnsi="仿宋" w:eastAsia="仿宋" w:cs="仿宋"/>
          <w:color w:val="auto"/>
          <w:sz w:val="24"/>
          <w:highlight w:val="none"/>
          <w:lang w:val="zh-CN"/>
        </w:rPr>
        <w:t>。</w:t>
      </w:r>
    </w:p>
    <w:p>
      <w:pPr>
        <w:keepNext w:val="0"/>
        <w:keepLines w:val="0"/>
        <w:pageBreakBefore w:val="0"/>
        <w:widowControl w:val="0"/>
        <w:kinsoku/>
        <w:wordWrap/>
        <w:overflowPunct/>
        <w:topLinePunct w:val="0"/>
        <w:autoSpaceDE w:val="0"/>
        <w:autoSpaceDN w:val="0"/>
        <w:bidi w:val="0"/>
        <w:adjustRightInd w:val="0"/>
        <w:spacing w:line="460" w:lineRule="exact"/>
        <w:ind w:firstLine="48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2、“招标代理机构”系指受采购单位委托组织磋商的浙江恒杰工程管理有限公司。</w:t>
      </w:r>
    </w:p>
    <w:p>
      <w:pPr>
        <w:keepNext w:val="0"/>
        <w:keepLines w:val="0"/>
        <w:pageBreakBefore w:val="0"/>
        <w:widowControl w:val="0"/>
        <w:kinsoku/>
        <w:wordWrap/>
        <w:overflowPunct/>
        <w:topLinePunct w:val="0"/>
        <w:autoSpaceDE w:val="0"/>
        <w:autoSpaceDN w:val="0"/>
        <w:bidi w:val="0"/>
        <w:adjustRightInd w:val="0"/>
        <w:spacing w:line="460" w:lineRule="exact"/>
        <w:ind w:firstLine="48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“招标采购单位”系指组织本次磋商的分散委托代理机构和采购单位。</w:t>
      </w:r>
    </w:p>
    <w:p>
      <w:pPr>
        <w:keepNext w:val="0"/>
        <w:keepLines w:val="0"/>
        <w:pageBreakBefore w:val="0"/>
        <w:kinsoku/>
        <w:wordWrap/>
        <w:overflowPunct/>
        <w:topLinePunct w:val="0"/>
        <w:autoSpaceDE/>
        <w:autoSpaceDN/>
        <w:bidi w:val="0"/>
        <w:snapToGrid w:val="0"/>
        <w:spacing w:before="120" w:beforeLines="50" w:line="460" w:lineRule="exact"/>
        <w:ind w:left="488" w:leftChars="228" w:hanging="9" w:hangingChars="4"/>
        <w:jc w:val="left"/>
        <w:textAlignment w:val="auto"/>
        <w:outlineLvl w:val="1"/>
        <w:rPr>
          <w:rFonts w:hint="eastAsia" w:ascii="仿宋" w:hAnsi="仿宋" w:eastAsia="仿宋" w:cs="仿宋"/>
          <w:color w:val="auto"/>
          <w:sz w:val="24"/>
          <w:highlight w:val="none"/>
          <w:lang w:val="zh-CN"/>
        </w:rPr>
      </w:pPr>
      <w:bookmarkStart w:id="8" w:name="_Toc17135"/>
      <w:bookmarkStart w:id="9" w:name="_Toc5657"/>
      <w:r>
        <w:rPr>
          <w:rFonts w:hint="eastAsia" w:ascii="仿宋" w:hAnsi="仿宋" w:eastAsia="仿宋" w:cs="仿宋"/>
          <w:color w:val="auto"/>
          <w:sz w:val="24"/>
          <w:highlight w:val="none"/>
          <w:lang w:val="zh-CN"/>
        </w:rPr>
        <w:t>4、“供应商”是指向采购单位提供竞争性磋商响应文件所叙述的合格竞标单位。</w:t>
      </w:r>
      <w:bookmarkEnd w:id="8"/>
      <w:bookmarkEnd w:id="9"/>
      <w:bookmarkStart w:id="10" w:name="_Toc11353"/>
    </w:p>
    <w:bookmarkEnd w:id="10"/>
    <w:p>
      <w:pPr>
        <w:keepNext w:val="0"/>
        <w:keepLines w:val="0"/>
        <w:pageBreakBefore w:val="0"/>
        <w:kinsoku/>
        <w:wordWrap/>
        <w:overflowPunct/>
        <w:topLinePunct w:val="0"/>
        <w:autoSpaceDE/>
        <w:autoSpaceDN/>
        <w:bidi w:val="0"/>
        <w:snapToGrid w:val="0"/>
        <w:spacing w:before="120" w:beforeLines="50" w:line="460" w:lineRule="exact"/>
        <w:ind w:firstLine="472" w:firstLineChars="196"/>
        <w:jc w:val="left"/>
        <w:textAlignment w:val="auto"/>
        <w:outlineLvl w:val="1"/>
        <w:rPr>
          <w:rFonts w:hint="eastAsia" w:ascii="仿宋" w:hAnsi="仿宋" w:eastAsia="仿宋" w:cs="仿宋"/>
          <w:b/>
          <w:color w:val="auto"/>
          <w:sz w:val="24"/>
          <w:szCs w:val="20"/>
          <w:highlight w:val="none"/>
        </w:rPr>
      </w:pPr>
      <w:bookmarkStart w:id="11" w:name="_Toc30767"/>
      <w:bookmarkStart w:id="12" w:name="_Toc22000"/>
      <w:bookmarkStart w:id="13" w:name="_Toc31245"/>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eastAsia="zh-CN"/>
        </w:rPr>
        <w:t>四</w:t>
      </w:r>
      <w:r>
        <w:rPr>
          <w:rFonts w:hint="eastAsia" w:ascii="仿宋" w:hAnsi="仿宋" w:eastAsia="仿宋" w:cs="仿宋"/>
          <w:b/>
          <w:color w:val="auto"/>
          <w:sz w:val="24"/>
          <w:highlight w:val="none"/>
        </w:rPr>
        <w:t>）投标费用</w:t>
      </w:r>
      <w:bookmarkEnd w:id="11"/>
      <w:bookmarkEnd w:id="12"/>
      <w:bookmarkEnd w:id="13"/>
    </w:p>
    <w:p>
      <w:pPr>
        <w:keepNext w:val="0"/>
        <w:keepLines w:val="0"/>
        <w:pageBreakBefore w:val="0"/>
        <w:kinsoku/>
        <w:wordWrap/>
        <w:overflowPunct/>
        <w:topLinePunct w:val="0"/>
        <w:autoSpaceDE/>
        <w:autoSpaceDN/>
        <w:bidi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1.不论投标结果如何，投标人均应自行承担所有与投标有关的全部费用（招标文件有相反规定除外）。</w:t>
      </w:r>
    </w:p>
    <w:p>
      <w:pPr>
        <w:keepNext w:val="0"/>
        <w:keepLines w:val="0"/>
        <w:pageBreakBefore w:val="0"/>
        <w:tabs>
          <w:tab w:val="left" w:pos="2520"/>
        </w:tabs>
        <w:kinsoku/>
        <w:wordWrap/>
        <w:overflowPunct/>
        <w:topLinePunct w:val="0"/>
        <w:autoSpaceDE/>
        <w:autoSpaceDN/>
        <w:bidi w:val="0"/>
        <w:snapToGrid w:val="0"/>
        <w:spacing w:line="460" w:lineRule="exact"/>
        <w:ind w:firstLine="480" w:firstLineChars="200"/>
        <w:jc w:val="lef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2．本项目招标代理服务费向中标人收取。</w:t>
      </w:r>
    </w:p>
    <w:p>
      <w:pPr>
        <w:keepNext w:val="0"/>
        <w:keepLines w:val="0"/>
        <w:pageBreakBefore w:val="0"/>
        <w:kinsoku/>
        <w:wordWrap/>
        <w:overflowPunct/>
        <w:topLinePunct w:val="0"/>
        <w:autoSpaceDE/>
        <w:autoSpaceDN/>
        <w:bidi w:val="0"/>
        <w:snapToGrid w:val="0"/>
        <w:spacing w:before="120" w:beforeLines="50" w:line="460" w:lineRule="exact"/>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eastAsia="zh-CN"/>
        </w:rPr>
        <w:t>五</w:t>
      </w:r>
      <w:r>
        <w:rPr>
          <w:rFonts w:hint="eastAsia" w:ascii="仿宋" w:hAnsi="仿宋" w:eastAsia="仿宋" w:cs="仿宋"/>
          <w:b/>
          <w:color w:val="auto"/>
          <w:sz w:val="24"/>
          <w:highlight w:val="none"/>
        </w:rPr>
        <w:t>）联合体投标</w:t>
      </w:r>
    </w:p>
    <w:p>
      <w:pPr>
        <w:keepNext w:val="0"/>
        <w:keepLines w:val="0"/>
        <w:pageBreakBefore w:val="0"/>
        <w:kinsoku/>
        <w:wordWrap/>
        <w:overflowPunct/>
        <w:topLinePunct w:val="0"/>
        <w:autoSpaceDE/>
        <w:autoSpaceDN/>
        <w:bidi w:val="0"/>
        <w:snapToGrid w:val="0"/>
        <w:spacing w:line="46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本项目不接受联合体投标。</w:t>
      </w:r>
    </w:p>
    <w:p>
      <w:pPr>
        <w:keepNext w:val="0"/>
        <w:keepLines w:val="0"/>
        <w:pageBreakBefore w:val="0"/>
        <w:kinsoku/>
        <w:wordWrap/>
        <w:overflowPunct/>
        <w:topLinePunct w:val="0"/>
        <w:autoSpaceDE/>
        <w:autoSpaceDN/>
        <w:bidi w:val="0"/>
        <w:snapToGrid w:val="0"/>
        <w:spacing w:before="120" w:beforeLines="50" w:line="460" w:lineRule="exact"/>
        <w:ind w:firstLine="472" w:firstLineChars="196"/>
        <w:textAlignment w:val="auto"/>
        <w:rPr>
          <w:rFonts w:hint="eastAsia" w:ascii="仿宋" w:hAnsi="仿宋" w:eastAsia="仿宋" w:cs="仿宋"/>
          <w:b/>
          <w:color w:val="auto"/>
          <w:kern w:val="0"/>
          <w:sz w:val="24"/>
          <w:szCs w:val="20"/>
          <w:highlight w:val="none"/>
        </w:rPr>
      </w:pP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eastAsia="zh-CN"/>
        </w:rPr>
        <w:t>六</w:t>
      </w:r>
      <w:r>
        <w:rPr>
          <w:rFonts w:hint="eastAsia" w:ascii="仿宋" w:hAnsi="仿宋" w:eastAsia="仿宋" w:cs="仿宋"/>
          <w:b/>
          <w:color w:val="auto"/>
          <w:sz w:val="24"/>
          <w:highlight w:val="none"/>
        </w:rPr>
        <w:t>）</w:t>
      </w:r>
      <w:r>
        <w:rPr>
          <w:rFonts w:hint="eastAsia" w:ascii="仿宋" w:hAnsi="仿宋" w:eastAsia="仿宋" w:cs="仿宋"/>
          <w:b/>
          <w:color w:val="auto"/>
          <w:kern w:val="0"/>
          <w:sz w:val="24"/>
          <w:highlight w:val="none"/>
        </w:rPr>
        <w:t>转包与分包</w:t>
      </w:r>
    </w:p>
    <w:p>
      <w:pPr>
        <w:keepNext w:val="0"/>
        <w:keepLines w:val="0"/>
        <w:pageBreakBefore w:val="0"/>
        <w:kinsoku/>
        <w:wordWrap/>
        <w:overflowPunct/>
        <w:topLinePunct w:val="0"/>
        <w:autoSpaceDE/>
        <w:autoSpaceDN/>
        <w:bidi w:val="0"/>
        <w:snapToGrid w:val="0"/>
        <w:spacing w:line="460" w:lineRule="exact"/>
        <w:ind w:firstLine="480" w:firstLineChars="200"/>
        <w:textAlignment w:val="auto"/>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highlight w:val="none"/>
        </w:rPr>
        <w:t>1.本项目标段不允许转包。</w:t>
      </w:r>
    </w:p>
    <w:p>
      <w:pPr>
        <w:keepNext w:val="0"/>
        <w:keepLines w:val="0"/>
        <w:pageBreakBefore w:val="0"/>
        <w:kinsoku/>
        <w:wordWrap/>
        <w:overflowPunct/>
        <w:topLinePunct w:val="0"/>
        <w:autoSpaceDE/>
        <w:autoSpaceDN/>
        <w:bidi w:val="0"/>
        <w:snapToGrid w:val="0"/>
        <w:spacing w:line="460" w:lineRule="exact"/>
        <w:ind w:firstLine="480" w:firstLineChars="200"/>
        <w:textAlignment w:val="auto"/>
        <w:rPr>
          <w:rFonts w:hint="eastAsia" w:ascii="仿宋" w:hAnsi="仿宋" w:eastAsia="仿宋" w:cs="仿宋"/>
          <w:color w:val="auto"/>
          <w:sz w:val="24"/>
          <w:szCs w:val="20"/>
          <w:highlight w:val="none"/>
        </w:rPr>
      </w:pPr>
      <w:r>
        <w:rPr>
          <w:rFonts w:hint="eastAsia" w:ascii="仿宋" w:hAnsi="仿宋" w:eastAsia="仿宋" w:cs="仿宋"/>
          <w:color w:val="auto"/>
          <w:kern w:val="0"/>
          <w:sz w:val="24"/>
          <w:highlight w:val="none"/>
        </w:rPr>
        <w:t>2.本项目标段不可以分包。</w:t>
      </w:r>
    </w:p>
    <w:p>
      <w:pPr>
        <w:keepNext w:val="0"/>
        <w:keepLines w:val="0"/>
        <w:pageBreakBefore w:val="0"/>
        <w:kinsoku/>
        <w:wordWrap/>
        <w:overflowPunct/>
        <w:topLinePunct w:val="0"/>
        <w:autoSpaceDE/>
        <w:autoSpaceDN/>
        <w:bidi w:val="0"/>
        <w:snapToGrid w:val="0"/>
        <w:spacing w:before="120" w:beforeLines="50" w:line="460" w:lineRule="exact"/>
        <w:ind w:firstLine="472" w:firstLineChars="196"/>
        <w:jc w:val="left"/>
        <w:textAlignment w:val="auto"/>
        <w:outlineLvl w:val="1"/>
        <w:rPr>
          <w:rFonts w:hint="eastAsia" w:ascii="仿宋" w:hAnsi="仿宋" w:eastAsia="仿宋" w:cs="仿宋"/>
          <w:b/>
          <w:color w:val="auto"/>
          <w:sz w:val="24"/>
          <w:highlight w:val="none"/>
        </w:rPr>
      </w:pPr>
      <w:bookmarkStart w:id="14" w:name="_Toc23538"/>
      <w:bookmarkStart w:id="15" w:name="_Toc10155"/>
      <w:bookmarkStart w:id="16" w:name="_Toc31685"/>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eastAsia="zh-CN"/>
        </w:rPr>
        <w:t>七</w:t>
      </w:r>
      <w:r>
        <w:rPr>
          <w:rFonts w:hint="eastAsia" w:ascii="仿宋" w:hAnsi="仿宋" w:eastAsia="仿宋" w:cs="仿宋"/>
          <w:b/>
          <w:color w:val="auto"/>
          <w:sz w:val="24"/>
          <w:highlight w:val="none"/>
        </w:rPr>
        <w:t>）特别说明：</w:t>
      </w:r>
      <w:bookmarkEnd w:id="14"/>
      <w:bookmarkEnd w:id="15"/>
      <w:bookmarkEnd w:id="16"/>
    </w:p>
    <w:p>
      <w:pPr>
        <w:keepNext w:val="0"/>
        <w:keepLines w:val="0"/>
        <w:pageBreakBefore w:val="0"/>
        <w:widowControl/>
        <w:kinsoku/>
        <w:wordWrap/>
        <w:overflowPunct/>
        <w:topLinePunct w:val="0"/>
        <w:autoSpaceDE/>
        <w:autoSpaceDN/>
        <w:bidi w:val="0"/>
        <w:spacing w:line="460" w:lineRule="exact"/>
        <w:ind w:firstLine="482"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b/>
          <w:bCs/>
          <w:color w:val="auto"/>
          <w:kern w:val="2"/>
          <w:sz w:val="24"/>
          <w:szCs w:val="24"/>
          <w:highlight w:val="none"/>
          <w:lang w:val="en-US" w:eastAsia="zh-CN" w:bidi="ar-SA"/>
        </w:rPr>
        <w:t>▲1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多家投标人参加投标，如其中两家或两家以上投标人的法定代表人为同一人或相互之间存在投资关系且达到控股的，同时提供的是同一品牌产品的，应当按一个投标人认定。评审时，取其中通过资格审查后的报价最低一家为有效投标人；当报价相同时，则以技术标最优一家为有效投标人；均相同时，由评标委员会集体决定。</w:t>
      </w:r>
    </w:p>
    <w:p>
      <w:pPr>
        <w:keepNext w:val="0"/>
        <w:keepLines w:val="0"/>
        <w:pageBreakBefore w:val="0"/>
        <w:widowControl/>
        <w:kinsoku/>
        <w:wordWrap/>
        <w:overflowPunct/>
        <w:topLinePunct w:val="0"/>
        <w:autoSpaceDE/>
        <w:autoSpaceDN/>
        <w:bidi w:val="0"/>
        <w:spacing w:line="460" w:lineRule="exact"/>
        <w:ind w:firstLine="240" w:firstLineChars="1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多家代理商或经销商参加投标，如其中两家或两家以上投标人存在分级代理或代销关系，且提供的是其所代理品牌产品的，评审时，按上述规定确定其中一家为有效投标人。</w:t>
      </w:r>
    </w:p>
    <w:p>
      <w:pPr>
        <w:pStyle w:val="17"/>
        <w:keepNext w:val="0"/>
        <w:keepLines w:val="0"/>
        <w:pageBreakBefore w:val="0"/>
        <w:kinsoku/>
        <w:wordWrap/>
        <w:overflowPunct/>
        <w:topLinePunct w:val="0"/>
        <w:autoSpaceDE/>
        <w:autoSpaceDN/>
        <w:bidi w:val="0"/>
        <w:snapToGrid w:val="0"/>
        <w:spacing w:before="120" w:after="120" w:line="460" w:lineRule="exact"/>
        <w:ind w:left="2" w:leftChars="1"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▲2.投标人投标所使用的资格、信誉、荣誉、业绩与企业认证必</w:t>
      </w:r>
      <w:r>
        <w:rPr>
          <w:rFonts w:hint="eastAsia" w:ascii="仿宋" w:hAnsi="仿宋" w:eastAsia="仿宋" w:cs="仿宋"/>
          <w:color w:val="auto"/>
          <w:highlight w:val="none"/>
          <w:lang w:val="en-US" w:eastAsia="zh-CN"/>
        </w:rPr>
        <w:t>需</w:t>
      </w:r>
      <w:r>
        <w:rPr>
          <w:rFonts w:hint="eastAsia" w:ascii="仿宋" w:hAnsi="仿宋" w:eastAsia="仿宋" w:cs="仿宋"/>
          <w:color w:val="auto"/>
          <w:highlight w:val="none"/>
        </w:rPr>
        <w:t>为本法人所拥有。投标人投标所使用的采购项目实施人员必</w:t>
      </w:r>
      <w:r>
        <w:rPr>
          <w:rFonts w:hint="eastAsia" w:ascii="仿宋" w:hAnsi="仿宋" w:eastAsia="仿宋" w:cs="仿宋"/>
          <w:color w:val="auto"/>
          <w:highlight w:val="none"/>
          <w:lang w:val="en-US" w:eastAsia="zh-CN"/>
        </w:rPr>
        <w:t>需</w:t>
      </w:r>
      <w:r>
        <w:rPr>
          <w:rFonts w:hint="eastAsia" w:ascii="仿宋" w:hAnsi="仿宋" w:eastAsia="仿宋" w:cs="仿宋"/>
          <w:color w:val="auto"/>
          <w:highlight w:val="none"/>
        </w:rPr>
        <w:t>为本法人员工（或必</w:t>
      </w:r>
      <w:r>
        <w:rPr>
          <w:rFonts w:hint="eastAsia" w:ascii="仿宋" w:hAnsi="仿宋" w:eastAsia="仿宋" w:cs="仿宋"/>
          <w:color w:val="auto"/>
          <w:highlight w:val="none"/>
          <w:lang w:val="en-US" w:eastAsia="zh-CN"/>
        </w:rPr>
        <w:t>需</w:t>
      </w:r>
      <w:r>
        <w:rPr>
          <w:rFonts w:hint="eastAsia" w:ascii="仿宋" w:hAnsi="仿宋" w:eastAsia="仿宋" w:cs="仿宋"/>
          <w:color w:val="auto"/>
          <w:highlight w:val="none"/>
        </w:rPr>
        <w:t>为本法人或控股公司正式员工）。</w:t>
      </w:r>
    </w:p>
    <w:p>
      <w:pPr>
        <w:pStyle w:val="17"/>
        <w:keepNext w:val="0"/>
        <w:keepLines w:val="0"/>
        <w:pageBreakBefore w:val="0"/>
        <w:kinsoku/>
        <w:wordWrap/>
        <w:overflowPunct/>
        <w:topLinePunct w:val="0"/>
        <w:autoSpaceDE/>
        <w:autoSpaceDN/>
        <w:bidi w:val="0"/>
        <w:snapToGrid w:val="0"/>
        <w:spacing w:before="120" w:after="120" w:line="460" w:lineRule="exact"/>
        <w:ind w:left="2" w:leftChars="1"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▲3.投标人应仔细阅读招标文件的所有内容，按照招标文件的要求提交投标文件，并对所提供的全部资料的真实性承担法律责任。</w:t>
      </w:r>
    </w:p>
    <w:p>
      <w:pPr>
        <w:pStyle w:val="17"/>
        <w:keepNext w:val="0"/>
        <w:keepLines w:val="0"/>
        <w:pageBreakBefore w:val="0"/>
        <w:kinsoku/>
        <w:wordWrap/>
        <w:overflowPunct/>
        <w:topLinePunct w:val="0"/>
        <w:autoSpaceDE/>
        <w:autoSpaceDN/>
        <w:bidi w:val="0"/>
        <w:snapToGrid w:val="0"/>
        <w:spacing w:before="120" w:after="120" w:line="460" w:lineRule="exact"/>
        <w:ind w:left="2" w:leftChars="1" w:firstLine="482" w:firstLineChars="200"/>
        <w:textAlignment w:val="auto"/>
        <w:rPr>
          <w:rFonts w:hint="eastAsia" w:ascii="仿宋" w:hAnsi="仿宋" w:eastAsia="仿宋" w:cs="仿宋"/>
          <w:b w:val="0"/>
          <w:color w:val="auto"/>
          <w:highlight w:val="none"/>
        </w:rPr>
      </w:pPr>
      <w:r>
        <w:rPr>
          <w:rFonts w:hint="eastAsia" w:ascii="仿宋" w:hAnsi="仿宋" w:eastAsia="仿宋" w:cs="仿宋"/>
          <w:color w:val="auto"/>
          <w:highlight w:val="none"/>
        </w:rPr>
        <w:t>▲4.投标人在投标活动中提供任何虚假材料,其投标无效，并报监管部门查处；中标后发现的,中标人须依照《中华人民共和国消费者权益保护法》第49条之规定双倍赔偿招标人，且民事赔偿并不免除违法投标人的行政与刑事责任。</w:t>
      </w:r>
    </w:p>
    <w:p>
      <w:pPr>
        <w:pStyle w:val="37"/>
        <w:keepNext w:val="0"/>
        <w:keepLines w:val="0"/>
        <w:pageBreakBefore w:val="0"/>
        <w:numPr>
          <w:ilvl w:val="0"/>
          <w:numId w:val="0"/>
        </w:numPr>
        <w:kinsoku/>
        <w:wordWrap/>
        <w:overflowPunct/>
        <w:topLinePunct w:val="0"/>
        <w:autoSpaceDE/>
        <w:autoSpaceDN/>
        <w:bidi w:val="0"/>
        <w:snapToGrid w:val="0"/>
        <w:spacing w:line="460" w:lineRule="exact"/>
        <w:ind w:firstLine="482" w:firstLineChars="200"/>
        <w:textAlignment w:val="auto"/>
        <w:rPr>
          <w:rFonts w:hint="eastAsia" w:ascii="仿宋" w:hAnsi="仿宋" w:eastAsia="仿宋" w:cs="仿宋"/>
          <w:b/>
          <w:color w:val="auto"/>
          <w:highlight w:val="none"/>
        </w:rPr>
      </w:pPr>
      <w:r>
        <w:rPr>
          <w:rFonts w:hint="eastAsia" w:ascii="仿宋" w:hAnsi="仿宋" w:eastAsia="仿宋" w:cs="仿宋"/>
          <w:b/>
          <w:bCs/>
          <w:color w:val="auto"/>
          <w:highlight w:val="none"/>
          <w:lang w:val="en-US" w:eastAsia="zh-CN"/>
        </w:rPr>
        <w:t>(八）</w:t>
      </w:r>
      <w:r>
        <w:rPr>
          <w:rFonts w:hint="eastAsia" w:ascii="仿宋" w:hAnsi="仿宋" w:eastAsia="仿宋" w:cs="仿宋"/>
          <w:b/>
          <w:bCs/>
          <w:color w:val="auto"/>
          <w:highlight w:val="none"/>
        </w:rPr>
        <w:t>质疑和投诉</w:t>
      </w:r>
    </w:p>
    <w:p>
      <w:pPr>
        <w:pStyle w:val="37"/>
        <w:keepNext w:val="0"/>
        <w:keepLines w:val="0"/>
        <w:pageBreakBefore w:val="0"/>
        <w:kinsoku/>
        <w:wordWrap/>
        <w:overflowPunct/>
        <w:topLinePunct w:val="0"/>
        <w:autoSpaceDE/>
        <w:autoSpaceDN/>
        <w:bidi w:val="0"/>
        <w:snapToGrid w:val="0"/>
        <w:spacing w:line="460" w:lineRule="exact"/>
        <w:ind w:firstLine="480" w:firstLineChars="200"/>
        <w:textAlignment w:val="auto"/>
        <w:rPr>
          <w:rFonts w:hint="eastAsia" w:ascii="仿宋" w:hAnsi="仿宋" w:eastAsia="仿宋" w:cs="仿宋"/>
          <w:bCs/>
          <w:color w:val="auto"/>
          <w:highlight w:val="none"/>
        </w:rPr>
      </w:pPr>
      <w:r>
        <w:rPr>
          <w:rFonts w:hint="eastAsia" w:ascii="仿宋" w:hAnsi="仿宋" w:eastAsia="仿宋" w:cs="仿宋"/>
          <w:bCs/>
          <w:color w:val="auto"/>
          <w:highlight w:val="none"/>
        </w:rPr>
        <w:t>1.投标供应商认为采购文件、采购过程、中标或者成交结果使自己的合法权益受到损害的，可以在</w:t>
      </w:r>
      <w:r>
        <w:rPr>
          <w:rFonts w:hint="eastAsia" w:ascii="仿宋" w:hAnsi="仿宋" w:eastAsia="仿宋" w:cs="仿宋"/>
          <w:bCs/>
          <w:color w:val="auto"/>
          <w:highlight w:val="none"/>
          <w:lang w:eastAsia="zh-CN"/>
        </w:rPr>
        <w:t>招标文件规定</w:t>
      </w:r>
      <w:r>
        <w:rPr>
          <w:rFonts w:hint="eastAsia" w:ascii="仿宋" w:hAnsi="仿宋" w:eastAsia="仿宋" w:cs="仿宋"/>
          <w:bCs/>
          <w:color w:val="auto"/>
          <w:highlight w:val="none"/>
        </w:rPr>
        <w:t>质疑期内，以书面形式向采购人、采购代理机构</w:t>
      </w:r>
      <w:r>
        <w:rPr>
          <w:rFonts w:hint="eastAsia" w:ascii="仿宋" w:hAnsi="仿宋" w:eastAsia="仿宋" w:cs="仿宋"/>
          <w:b/>
          <w:color w:val="auto"/>
          <w:highlight w:val="none"/>
        </w:rPr>
        <w:t>一次性提出</w:t>
      </w:r>
      <w:r>
        <w:rPr>
          <w:rFonts w:hint="eastAsia" w:ascii="仿宋" w:hAnsi="仿宋" w:eastAsia="仿宋" w:cs="仿宋"/>
          <w:bCs/>
          <w:color w:val="auto"/>
          <w:highlight w:val="none"/>
        </w:rPr>
        <w:t>针对同一采购程序环节的质疑。质疑供应商对采购人、采购代理机构的答复不满意，或者采购人、采购代理机构未在规定时间内</w:t>
      </w:r>
      <w:r>
        <w:rPr>
          <w:rFonts w:hint="eastAsia" w:ascii="仿宋" w:hAnsi="仿宋" w:eastAsia="仿宋" w:cs="仿宋"/>
          <w:bCs/>
          <w:color w:val="auto"/>
          <w:highlight w:val="none"/>
          <w:lang w:val="en-US" w:eastAsia="zh-CN"/>
        </w:rPr>
        <w:t>做</w:t>
      </w:r>
      <w:r>
        <w:rPr>
          <w:rFonts w:hint="eastAsia" w:ascii="仿宋" w:hAnsi="仿宋" w:eastAsia="仿宋" w:cs="仿宋"/>
          <w:bCs/>
          <w:color w:val="auto"/>
          <w:highlight w:val="none"/>
        </w:rPr>
        <w:t>出答复的，可以在答复期满后15个工作日内向本级财政部门（按照采购人所属预算级次）提起投诉。</w:t>
      </w:r>
    </w:p>
    <w:p>
      <w:pPr>
        <w:pStyle w:val="37"/>
        <w:keepNext w:val="0"/>
        <w:keepLines w:val="0"/>
        <w:pageBreakBefore w:val="0"/>
        <w:widowControl w:val="0"/>
        <w:kinsoku/>
        <w:wordWrap/>
        <w:overflowPunct/>
        <w:topLinePunct w:val="0"/>
        <w:autoSpaceDE/>
        <w:autoSpaceDN/>
        <w:bidi w:val="0"/>
        <w:snapToGrid w:val="0"/>
        <w:spacing w:line="460" w:lineRule="exact"/>
        <w:ind w:firstLine="480" w:firstLineChars="200"/>
        <w:textAlignment w:val="auto"/>
        <w:rPr>
          <w:rFonts w:hint="eastAsia" w:ascii="仿宋" w:hAnsi="仿宋" w:eastAsia="仿宋" w:cs="仿宋"/>
          <w:b/>
          <w:bCs/>
          <w:color w:val="auto"/>
          <w:szCs w:val="24"/>
          <w:highlight w:val="none"/>
          <w:shd w:val="clear" w:color="auto" w:fill="FFFFFF"/>
        </w:rPr>
      </w:pPr>
      <w:r>
        <w:rPr>
          <w:rFonts w:hint="eastAsia" w:ascii="仿宋" w:hAnsi="仿宋" w:eastAsia="仿宋" w:cs="仿宋"/>
          <w:bCs/>
          <w:color w:val="auto"/>
          <w:highlight w:val="none"/>
        </w:rPr>
        <w:t>2.</w:t>
      </w:r>
      <w:r>
        <w:rPr>
          <w:rFonts w:hint="eastAsia" w:ascii="仿宋" w:hAnsi="仿宋" w:eastAsia="仿宋" w:cs="仿宋"/>
          <w:b/>
          <w:color w:val="auto"/>
          <w:highlight w:val="none"/>
        </w:rPr>
        <w:t xml:space="preserve"> </w:t>
      </w:r>
      <w:r>
        <w:rPr>
          <w:rFonts w:hint="eastAsia" w:ascii="仿宋" w:hAnsi="仿宋" w:eastAsia="仿宋" w:cs="仿宋"/>
          <w:bCs/>
          <w:color w:val="auto"/>
          <w:highlight w:val="none"/>
        </w:rPr>
        <w:t>供应商可以委托代理人进行质疑和投诉。</w:t>
      </w:r>
      <w:r>
        <w:rPr>
          <w:rFonts w:hint="eastAsia" w:ascii="仿宋" w:hAnsi="仿宋" w:eastAsia="仿宋" w:cs="仿宋"/>
          <w:color w:val="auto"/>
          <w:szCs w:val="24"/>
          <w:highlight w:val="none"/>
          <w:shd w:val="clear" w:color="auto" w:fill="FFFFFF"/>
        </w:rPr>
        <w:t>代理人提出质疑和投诉，应当提交供应商签署的</w:t>
      </w:r>
      <w:r>
        <w:rPr>
          <w:rFonts w:hint="eastAsia" w:ascii="仿宋" w:hAnsi="仿宋" w:eastAsia="仿宋" w:cs="仿宋"/>
          <w:b/>
          <w:bCs/>
          <w:color w:val="auto"/>
          <w:szCs w:val="24"/>
          <w:highlight w:val="none"/>
          <w:shd w:val="clear" w:color="auto" w:fill="FFFFFF"/>
        </w:rPr>
        <w:t>授权委托书</w:t>
      </w:r>
      <w:r>
        <w:rPr>
          <w:rFonts w:hint="eastAsia" w:ascii="仿宋" w:hAnsi="仿宋" w:eastAsia="仿宋" w:cs="仿宋"/>
          <w:color w:val="auto"/>
          <w:szCs w:val="24"/>
          <w:highlight w:val="none"/>
          <w:shd w:val="clear" w:color="auto" w:fill="FFFFFF"/>
        </w:rPr>
        <w:t>。其授权委托书应当载明代理人的姓名或者名称、代理事项、具体权限、期限和相关事项。供应商为自然人的，应当由本人签字；供应商为法人或者其他组织的，应当由</w:t>
      </w:r>
      <w:r>
        <w:rPr>
          <w:rFonts w:hint="eastAsia" w:ascii="仿宋" w:hAnsi="仿宋" w:eastAsia="仿宋" w:cs="仿宋"/>
          <w:b/>
          <w:bCs/>
          <w:color w:val="auto"/>
          <w:szCs w:val="24"/>
          <w:highlight w:val="none"/>
          <w:shd w:val="clear" w:color="auto" w:fill="FFFFFF"/>
        </w:rPr>
        <w:t>法定代表人、主要负责人，或者其授权代表签字或者盖章，并加盖公章。</w:t>
      </w:r>
    </w:p>
    <w:p>
      <w:pPr>
        <w:pStyle w:val="37"/>
        <w:keepNext w:val="0"/>
        <w:keepLines w:val="0"/>
        <w:pageBreakBefore w:val="0"/>
        <w:widowControl w:val="0"/>
        <w:kinsoku/>
        <w:wordWrap/>
        <w:overflowPunct/>
        <w:topLinePunct w:val="0"/>
        <w:autoSpaceDE/>
        <w:autoSpaceDN/>
        <w:bidi w:val="0"/>
        <w:snapToGrid w:val="0"/>
        <w:spacing w:line="460" w:lineRule="exact"/>
        <w:ind w:firstLine="482" w:firstLineChars="200"/>
        <w:textAlignment w:val="auto"/>
        <w:rPr>
          <w:rFonts w:hint="eastAsia" w:ascii="仿宋" w:hAnsi="仿宋" w:eastAsia="仿宋" w:cs="仿宋"/>
          <w:color w:val="auto"/>
          <w:szCs w:val="24"/>
          <w:highlight w:val="none"/>
          <w:shd w:val="clear" w:color="auto" w:fill="FFFFFF"/>
        </w:rPr>
      </w:pPr>
      <w:r>
        <w:rPr>
          <w:rFonts w:hint="eastAsia" w:ascii="仿宋" w:hAnsi="仿宋" w:eastAsia="仿宋" w:cs="仿宋"/>
          <w:b/>
          <w:color w:val="auto"/>
          <w:highlight w:val="none"/>
        </w:rPr>
        <w:t>供应商提出质疑时，应提交质疑函和必要的证明材料。</w:t>
      </w:r>
      <w:r>
        <w:rPr>
          <w:rFonts w:hint="eastAsia" w:ascii="仿宋" w:hAnsi="仿宋" w:eastAsia="仿宋" w:cs="仿宋"/>
          <w:color w:val="auto"/>
          <w:szCs w:val="24"/>
          <w:highlight w:val="none"/>
          <w:shd w:val="clear" w:color="auto" w:fill="FFFFFF"/>
        </w:rPr>
        <w:t>质疑函的质疑请求应与质疑事项相关。质疑函的质疑事项应具体、明确，并有必要的事实依据和法律依据。</w:t>
      </w:r>
      <w:r>
        <w:rPr>
          <w:rFonts w:hint="eastAsia" w:ascii="仿宋" w:hAnsi="仿宋" w:eastAsia="仿宋" w:cs="仿宋"/>
          <w:b/>
          <w:bCs/>
          <w:color w:val="auto"/>
          <w:szCs w:val="24"/>
          <w:highlight w:val="none"/>
          <w:shd w:val="clear" w:color="auto" w:fill="FFFFFF"/>
        </w:rPr>
        <w:t>否则，招标方将不予受理</w:t>
      </w:r>
      <w:r>
        <w:rPr>
          <w:rFonts w:hint="eastAsia" w:ascii="仿宋" w:hAnsi="仿宋" w:eastAsia="仿宋" w:cs="仿宋"/>
          <w:color w:val="auto"/>
          <w:szCs w:val="24"/>
          <w:highlight w:val="none"/>
          <w:shd w:val="clear" w:color="auto" w:fill="FFFFFF"/>
        </w:rPr>
        <w:t>。</w:t>
      </w:r>
    </w:p>
    <w:p>
      <w:pPr>
        <w:pStyle w:val="37"/>
        <w:keepNext w:val="0"/>
        <w:keepLines w:val="0"/>
        <w:pageBreakBefore w:val="0"/>
        <w:widowControl w:val="0"/>
        <w:kinsoku/>
        <w:wordWrap/>
        <w:overflowPunct/>
        <w:topLinePunct w:val="0"/>
        <w:autoSpaceDE/>
        <w:autoSpaceDN/>
        <w:bidi w:val="0"/>
        <w:snapToGrid w:val="0"/>
        <w:spacing w:line="460" w:lineRule="exact"/>
        <w:ind w:firstLine="241" w:firstLineChars="100"/>
        <w:textAlignment w:val="auto"/>
        <w:rPr>
          <w:rFonts w:hint="eastAsia" w:ascii="仿宋" w:hAnsi="仿宋" w:eastAsia="仿宋" w:cs="仿宋"/>
          <w:color w:val="auto"/>
          <w:szCs w:val="24"/>
          <w:highlight w:val="none"/>
          <w:shd w:val="clear" w:color="auto" w:fill="FFFFFF"/>
        </w:rPr>
      </w:pPr>
      <w:r>
        <w:rPr>
          <w:rFonts w:hint="eastAsia" w:ascii="仿宋" w:hAnsi="仿宋" w:eastAsia="仿宋" w:cs="仿宋"/>
          <w:b/>
          <w:bCs/>
          <w:color w:val="auto"/>
          <w:szCs w:val="24"/>
          <w:highlight w:val="none"/>
          <w:shd w:val="clear" w:color="auto" w:fill="FFFFFF"/>
        </w:rPr>
        <w:t>质疑函</w:t>
      </w:r>
      <w:r>
        <w:rPr>
          <w:rFonts w:hint="eastAsia" w:ascii="仿宋" w:hAnsi="仿宋" w:eastAsia="仿宋" w:cs="仿宋"/>
          <w:color w:val="auto"/>
          <w:szCs w:val="24"/>
          <w:highlight w:val="none"/>
          <w:shd w:val="clear" w:color="auto" w:fill="FFFFFF"/>
        </w:rPr>
        <w:t>应当包括下列内容：</w:t>
      </w:r>
    </w:p>
    <w:p>
      <w:pPr>
        <w:pStyle w:val="37"/>
        <w:keepNext w:val="0"/>
        <w:keepLines w:val="0"/>
        <w:pageBreakBefore w:val="0"/>
        <w:widowControl w:val="0"/>
        <w:kinsoku/>
        <w:wordWrap/>
        <w:overflowPunct/>
        <w:topLinePunct w:val="0"/>
        <w:autoSpaceDE/>
        <w:autoSpaceDN/>
        <w:bidi w:val="0"/>
        <w:snapToGrid w:val="0"/>
        <w:spacing w:line="460" w:lineRule="exact"/>
        <w:ind w:firstLine="480" w:firstLineChars="200"/>
        <w:textAlignment w:val="auto"/>
        <w:rPr>
          <w:rFonts w:hint="eastAsia" w:ascii="仿宋" w:hAnsi="仿宋" w:eastAsia="仿宋" w:cs="仿宋"/>
          <w:color w:val="auto"/>
          <w:szCs w:val="24"/>
          <w:highlight w:val="none"/>
          <w:shd w:val="clear" w:color="auto" w:fill="FFFFFF"/>
        </w:rPr>
      </w:pPr>
      <w:r>
        <w:rPr>
          <w:rFonts w:hint="eastAsia" w:ascii="仿宋" w:hAnsi="仿宋" w:eastAsia="仿宋" w:cs="仿宋"/>
          <w:color w:val="auto"/>
          <w:szCs w:val="24"/>
          <w:highlight w:val="none"/>
          <w:shd w:val="clear" w:color="auto" w:fill="FFFFFF"/>
        </w:rPr>
        <w:t>a.供应商的姓名或者名称、地址、邮编、联系人及联系电话；</w:t>
      </w:r>
    </w:p>
    <w:p>
      <w:pPr>
        <w:pStyle w:val="37"/>
        <w:keepNext w:val="0"/>
        <w:keepLines w:val="0"/>
        <w:pageBreakBefore w:val="0"/>
        <w:widowControl w:val="0"/>
        <w:kinsoku/>
        <w:wordWrap/>
        <w:overflowPunct/>
        <w:topLinePunct w:val="0"/>
        <w:autoSpaceDE/>
        <w:autoSpaceDN/>
        <w:bidi w:val="0"/>
        <w:snapToGrid w:val="0"/>
        <w:spacing w:line="460" w:lineRule="exact"/>
        <w:ind w:firstLine="480" w:firstLineChars="200"/>
        <w:textAlignment w:val="auto"/>
        <w:rPr>
          <w:rFonts w:hint="eastAsia" w:ascii="仿宋" w:hAnsi="仿宋" w:eastAsia="仿宋" w:cs="仿宋"/>
          <w:color w:val="auto"/>
          <w:szCs w:val="24"/>
          <w:highlight w:val="none"/>
          <w:shd w:val="clear" w:color="auto" w:fill="FFFFFF"/>
        </w:rPr>
      </w:pPr>
      <w:r>
        <w:rPr>
          <w:rFonts w:hint="eastAsia" w:ascii="仿宋" w:hAnsi="仿宋" w:eastAsia="仿宋" w:cs="仿宋"/>
          <w:color w:val="auto"/>
          <w:szCs w:val="24"/>
          <w:highlight w:val="none"/>
          <w:shd w:val="clear" w:color="auto" w:fill="FFFFFF"/>
        </w:rPr>
        <w:t>b.质疑项目的名称、编号；</w:t>
      </w:r>
    </w:p>
    <w:p>
      <w:pPr>
        <w:pStyle w:val="37"/>
        <w:keepNext w:val="0"/>
        <w:keepLines w:val="0"/>
        <w:pageBreakBefore w:val="0"/>
        <w:widowControl w:val="0"/>
        <w:kinsoku/>
        <w:wordWrap/>
        <w:overflowPunct/>
        <w:topLinePunct w:val="0"/>
        <w:autoSpaceDE/>
        <w:autoSpaceDN/>
        <w:bidi w:val="0"/>
        <w:snapToGrid w:val="0"/>
        <w:spacing w:line="460" w:lineRule="exact"/>
        <w:ind w:firstLine="480" w:firstLineChars="200"/>
        <w:textAlignment w:val="auto"/>
        <w:rPr>
          <w:rFonts w:hint="eastAsia" w:ascii="仿宋" w:hAnsi="仿宋" w:eastAsia="仿宋" w:cs="仿宋"/>
          <w:color w:val="auto"/>
          <w:szCs w:val="24"/>
          <w:highlight w:val="none"/>
          <w:shd w:val="clear" w:color="auto" w:fill="FFFFFF"/>
        </w:rPr>
      </w:pPr>
      <w:r>
        <w:rPr>
          <w:rFonts w:hint="eastAsia" w:ascii="仿宋" w:hAnsi="仿宋" w:eastAsia="仿宋" w:cs="仿宋"/>
          <w:color w:val="auto"/>
          <w:szCs w:val="24"/>
          <w:highlight w:val="none"/>
          <w:shd w:val="clear" w:color="auto" w:fill="FFFFFF"/>
        </w:rPr>
        <w:t>c.具体、明确的质疑事项和与质疑事项相关的请求；</w:t>
      </w:r>
    </w:p>
    <w:p>
      <w:pPr>
        <w:pStyle w:val="37"/>
        <w:keepNext w:val="0"/>
        <w:keepLines w:val="0"/>
        <w:pageBreakBefore w:val="0"/>
        <w:widowControl w:val="0"/>
        <w:kinsoku/>
        <w:wordWrap/>
        <w:overflowPunct/>
        <w:topLinePunct w:val="0"/>
        <w:autoSpaceDE/>
        <w:autoSpaceDN/>
        <w:bidi w:val="0"/>
        <w:snapToGrid w:val="0"/>
        <w:spacing w:line="460" w:lineRule="exact"/>
        <w:ind w:firstLine="480" w:firstLineChars="200"/>
        <w:textAlignment w:val="auto"/>
        <w:rPr>
          <w:rFonts w:hint="eastAsia" w:ascii="仿宋" w:hAnsi="仿宋" w:eastAsia="仿宋" w:cs="仿宋"/>
          <w:color w:val="auto"/>
          <w:szCs w:val="24"/>
          <w:highlight w:val="none"/>
          <w:shd w:val="clear" w:color="auto" w:fill="FFFFFF"/>
        </w:rPr>
      </w:pPr>
      <w:r>
        <w:rPr>
          <w:rFonts w:hint="eastAsia" w:ascii="仿宋" w:hAnsi="仿宋" w:eastAsia="仿宋" w:cs="仿宋"/>
          <w:color w:val="auto"/>
          <w:szCs w:val="24"/>
          <w:highlight w:val="none"/>
          <w:shd w:val="clear" w:color="auto" w:fill="FFFFFF"/>
        </w:rPr>
        <w:t>d.事实依据；</w:t>
      </w:r>
    </w:p>
    <w:p>
      <w:pPr>
        <w:pStyle w:val="37"/>
        <w:keepNext w:val="0"/>
        <w:keepLines w:val="0"/>
        <w:pageBreakBefore w:val="0"/>
        <w:widowControl w:val="0"/>
        <w:kinsoku/>
        <w:wordWrap/>
        <w:overflowPunct/>
        <w:topLinePunct w:val="0"/>
        <w:autoSpaceDE/>
        <w:autoSpaceDN/>
        <w:bidi w:val="0"/>
        <w:snapToGrid w:val="0"/>
        <w:spacing w:line="460" w:lineRule="exact"/>
        <w:ind w:firstLine="480" w:firstLineChars="200"/>
        <w:textAlignment w:val="auto"/>
        <w:rPr>
          <w:rFonts w:hint="eastAsia" w:ascii="仿宋" w:hAnsi="仿宋" w:eastAsia="仿宋" w:cs="仿宋"/>
          <w:color w:val="auto"/>
          <w:szCs w:val="24"/>
          <w:highlight w:val="none"/>
          <w:shd w:val="clear" w:color="auto" w:fill="FFFFFF"/>
        </w:rPr>
      </w:pPr>
      <w:r>
        <w:rPr>
          <w:rFonts w:hint="eastAsia" w:ascii="仿宋" w:hAnsi="仿宋" w:eastAsia="仿宋" w:cs="仿宋"/>
          <w:color w:val="auto"/>
          <w:szCs w:val="24"/>
          <w:highlight w:val="none"/>
          <w:shd w:val="clear" w:color="auto" w:fill="FFFFFF"/>
        </w:rPr>
        <w:t>e.必要的法律依据；</w:t>
      </w:r>
    </w:p>
    <w:p>
      <w:pPr>
        <w:pStyle w:val="37"/>
        <w:keepNext w:val="0"/>
        <w:keepLines w:val="0"/>
        <w:pageBreakBefore w:val="0"/>
        <w:widowControl w:val="0"/>
        <w:kinsoku/>
        <w:wordWrap/>
        <w:overflowPunct/>
        <w:topLinePunct w:val="0"/>
        <w:autoSpaceDE/>
        <w:autoSpaceDN/>
        <w:bidi w:val="0"/>
        <w:snapToGrid w:val="0"/>
        <w:spacing w:line="460" w:lineRule="exact"/>
        <w:ind w:firstLine="480" w:firstLineChars="200"/>
        <w:textAlignment w:val="auto"/>
        <w:rPr>
          <w:rFonts w:hint="eastAsia" w:ascii="仿宋" w:hAnsi="仿宋" w:eastAsia="仿宋" w:cs="仿宋"/>
          <w:color w:val="auto"/>
          <w:szCs w:val="24"/>
          <w:highlight w:val="none"/>
          <w:shd w:val="clear" w:color="auto" w:fill="FFFFFF"/>
        </w:rPr>
      </w:pPr>
      <w:r>
        <w:rPr>
          <w:rFonts w:hint="eastAsia" w:ascii="仿宋" w:hAnsi="仿宋" w:eastAsia="仿宋" w:cs="仿宋"/>
          <w:color w:val="auto"/>
          <w:szCs w:val="24"/>
          <w:highlight w:val="none"/>
          <w:shd w:val="clear" w:color="auto" w:fill="FFFFFF"/>
        </w:rPr>
        <w:t>f.提出质疑的日期。</w:t>
      </w:r>
    </w:p>
    <w:p>
      <w:pPr>
        <w:pStyle w:val="37"/>
        <w:keepNext w:val="0"/>
        <w:keepLines w:val="0"/>
        <w:pageBreakBefore w:val="0"/>
        <w:widowControl w:val="0"/>
        <w:kinsoku/>
        <w:wordWrap/>
        <w:overflowPunct/>
        <w:topLinePunct w:val="0"/>
        <w:autoSpaceDE/>
        <w:autoSpaceDN/>
        <w:bidi w:val="0"/>
        <w:snapToGrid w:val="0"/>
        <w:spacing w:line="460" w:lineRule="exact"/>
        <w:textAlignment w:val="auto"/>
        <w:rPr>
          <w:rFonts w:hint="eastAsia" w:ascii="仿宋" w:hAnsi="仿宋" w:eastAsia="仿宋" w:cs="仿宋"/>
          <w:color w:val="auto"/>
          <w:sz w:val="24"/>
          <w:highlight w:val="none"/>
          <w:lang w:val="zh-CN"/>
        </w:rPr>
      </w:pPr>
      <w:r>
        <w:rPr>
          <w:rFonts w:hint="eastAsia" w:ascii="仿宋" w:hAnsi="仿宋" w:eastAsia="仿宋" w:cs="仿宋"/>
          <w:b/>
          <w:bCs/>
          <w:color w:val="auto"/>
          <w:szCs w:val="24"/>
          <w:highlight w:val="none"/>
          <w:shd w:val="clear" w:color="auto" w:fill="FFFFFF"/>
        </w:rPr>
        <w:t>注：政府采购供应商质疑函和政府采购供应商投诉书范本可在财政部门户网站和中国政府采购网下载。未按规定格式、内容提出的，招标方将不予受理。</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b/>
          <w:bCs/>
          <w:color w:val="auto"/>
          <w:sz w:val="24"/>
          <w:szCs w:val="24"/>
          <w:highlight w:val="none"/>
          <w:lang w:eastAsia="zh-CN"/>
        </w:rPr>
        <w:t>二、竞争性磋商文件</w:t>
      </w:r>
    </w:p>
    <w:p>
      <w:pPr>
        <w:keepNext w:val="0"/>
        <w:keepLines w:val="0"/>
        <w:pageBreakBefore w:val="0"/>
        <w:widowControl w:val="0"/>
        <w:kinsoku/>
        <w:wordWrap/>
        <w:overflowPunct/>
        <w:topLinePunct w:val="0"/>
        <w:bidi w:val="0"/>
        <w:spacing w:line="460" w:lineRule="exact"/>
        <w:ind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w:t>
      </w:r>
      <w:r>
        <w:rPr>
          <w:rFonts w:hint="eastAsia" w:ascii="仿宋" w:hAnsi="仿宋" w:eastAsia="仿宋" w:cs="仿宋"/>
          <w:color w:val="auto"/>
          <w:sz w:val="24"/>
          <w:highlight w:val="none"/>
          <w:lang w:val="zh-CN"/>
        </w:rPr>
        <w:t>竞争性磋商</w:t>
      </w:r>
      <w:r>
        <w:rPr>
          <w:rFonts w:hint="eastAsia" w:ascii="仿宋" w:hAnsi="仿宋" w:eastAsia="仿宋" w:cs="仿宋"/>
          <w:color w:val="auto"/>
          <w:sz w:val="24"/>
          <w:highlight w:val="none"/>
        </w:rPr>
        <w:t>文件组成</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竞争性磋商</w:t>
      </w:r>
      <w:r>
        <w:rPr>
          <w:rFonts w:hint="eastAsia" w:ascii="仿宋" w:hAnsi="仿宋" w:eastAsia="仿宋" w:cs="仿宋"/>
          <w:color w:val="auto"/>
          <w:sz w:val="24"/>
          <w:highlight w:val="none"/>
        </w:rPr>
        <w:t>文件由</w:t>
      </w:r>
      <w:r>
        <w:rPr>
          <w:rFonts w:hint="eastAsia" w:ascii="仿宋" w:hAnsi="仿宋" w:eastAsia="仿宋" w:cs="仿宋"/>
          <w:color w:val="auto"/>
          <w:sz w:val="24"/>
          <w:highlight w:val="none"/>
          <w:lang w:val="zh-CN"/>
        </w:rPr>
        <w:t>总目录所列内容组成。</w:t>
      </w:r>
    </w:p>
    <w:p>
      <w:pPr>
        <w:keepNext w:val="0"/>
        <w:keepLines w:val="0"/>
        <w:pageBreakBefore w:val="0"/>
        <w:widowControl w:val="0"/>
        <w:kinsoku/>
        <w:wordWrap/>
        <w:overflowPunct/>
        <w:topLinePunct w:val="0"/>
        <w:bidi w:val="0"/>
        <w:spacing w:line="460" w:lineRule="exact"/>
        <w:ind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w:t>
      </w:r>
      <w:r>
        <w:rPr>
          <w:rFonts w:hint="eastAsia" w:ascii="仿宋" w:hAnsi="仿宋" w:eastAsia="仿宋" w:cs="仿宋"/>
          <w:color w:val="auto"/>
          <w:sz w:val="24"/>
          <w:highlight w:val="none"/>
          <w:lang w:val="zh-CN"/>
        </w:rPr>
        <w:t>竞争性磋商</w:t>
      </w:r>
      <w:r>
        <w:rPr>
          <w:rFonts w:hint="eastAsia" w:ascii="仿宋" w:hAnsi="仿宋" w:eastAsia="仿宋" w:cs="仿宋"/>
          <w:color w:val="auto"/>
          <w:sz w:val="24"/>
          <w:highlight w:val="none"/>
        </w:rPr>
        <w:t>文件的澄清</w:t>
      </w:r>
    </w:p>
    <w:p>
      <w:pPr>
        <w:keepNext w:val="0"/>
        <w:keepLines w:val="0"/>
        <w:pageBreakBefore w:val="0"/>
        <w:widowControl w:val="0"/>
        <w:kinsoku/>
        <w:wordWrap/>
        <w:overflowPunct/>
        <w:topLinePunct w:val="0"/>
        <w:autoSpaceDE w:val="0"/>
        <w:autoSpaceDN w:val="0"/>
        <w:bidi w:val="0"/>
        <w:adjustRightInd w:val="0"/>
        <w:spacing w:line="46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供应商如发现竞争性磋商文件中内容存在含糊不清、相互矛盾、多种含义以及歧视性不公正条款或违法、违规等有疑点要求澄清的，</w:t>
      </w:r>
      <w:r>
        <w:rPr>
          <w:rFonts w:hint="eastAsia" w:ascii="仿宋" w:hAnsi="仿宋" w:eastAsia="仿宋" w:cs="仿宋"/>
          <w:bCs/>
          <w:color w:val="auto"/>
          <w:sz w:val="24"/>
          <w:highlight w:val="none"/>
          <w:lang w:val="zh-CN"/>
        </w:rPr>
        <w:t>请在</w:t>
      </w:r>
      <w:r>
        <w:rPr>
          <w:rFonts w:hint="eastAsia" w:ascii="仿宋" w:hAnsi="仿宋" w:eastAsia="仿宋" w:cs="仿宋"/>
          <w:bCs/>
          <w:color w:val="auto"/>
          <w:sz w:val="24"/>
          <w:highlight w:val="none"/>
        </w:rPr>
        <w:t>“磋商须知”规定的时间内</w:t>
      </w:r>
      <w:r>
        <w:rPr>
          <w:rFonts w:hint="eastAsia" w:ascii="仿宋" w:hAnsi="仿宋" w:eastAsia="仿宋" w:cs="仿宋"/>
          <w:bCs/>
          <w:color w:val="auto"/>
          <w:sz w:val="24"/>
          <w:highlight w:val="none"/>
          <w:lang w:val="zh-CN"/>
        </w:rPr>
        <w:t>把所需答疑的问题以书面形式（盖单位公章）提交至招标代理机构，逾期不得再对竞争性磋商文件的条款提出疑问，由</w:t>
      </w:r>
      <w:r>
        <w:rPr>
          <w:rFonts w:hint="eastAsia" w:ascii="仿宋" w:hAnsi="仿宋" w:eastAsia="仿宋" w:cs="仿宋"/>
          <w:color w:val="auto"/>
          <w:sz w:val="24"/>
          <w:highlight w:val="none"/>
          <w:lang w:val="zh-CN"/>
        </w:rPr>
        <w:t>此而导致供应商不成交或成交后产生不利因素的，责任由供应商自负。</w:t>
      </w:r>
    </w:p>
    <w:p>
      <w:pPr>
        <w:keepNext w:val="0"/>
        <w:keepLines w:val="0"/>
        <w:pageBreakBefore w:val="0"/>
        <w:widowControl w:val="0"/>
        <w:kinsoku/>
        <w:wordWrap/>
        <w:overflowPunct/>
        <w:topLinePunct w:val="0"/>
        <w:autoSpaceDE w:val="0"/>
        <w:autoSpaceDN w:val="0"/>
        <w:bidi w:val="0"/>
        <w:adjustRightInd w:val="0"/>
        <w:spacing w:line="460" w:lineRule="exact"/>
        <w:ind w:left="0" w:leftChars="0" w:firstLine="420" w:firstLineChars="175"/>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（三）竞争性磋商文件的修改</w:t>
      </w:r>
    </w:p>
    <w:p>
      <w:pPr>
        <w:keepNext w:val="0"/>
        <w:keepLines w:val="0"/>
        <w:pageBreakBefore w:val="0"/>
        <w:widowControl w:val="0"/>
        <w:kinsoku/>
        <w:wordWrap/>
        <w:overflowPunct/>
        <w:topLinePunct w:val="0"/>
        <w:autoSpaceDE w:val="0"/>
        <w:autoSpaceDN w:val="0"/>
        <w:bidi w:val="0"/>
        <w:adjustRightInd w:val="0"/>
        <w:spacing w:line="46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1、在竞争性磋商文件提交截止时间前，招标采购单位有权修改竞争性磋商文件，并以书面形式通知所有参加磋商的供应商。修改文件作为竞争性磋商文件的补充和组成部分，对所有供应商均有约束力。</w:t>
      </w:r>
    </w:p>
    <w:p>
      <w:pPr>
        <w:keepNext w:val="0"/>
        <w:keepLines w:val="0"/>
        <w:pageBreakBefore w:val="0"/>
        <w:widowControl w:val="0"/>
        <w:kinsoku/>
        <w:wordWrap/>
        <w:overflowPunct/>
        <w:topLinePunct w:val="0"/>
        <w:autoSpaceDE w:val="0"/>
        <w:autoSpaceDN w:val="0"/>
        <w:bidi w:val="0"/>
        <w:adjustRightInd w:val="0"/>
        <w:spacing w:line="460" w:lineRule="exact"/>
        <w:ind w:firstLine="48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2、为使供应商有足够的时间按修改文件要求修正供应商竞争性磋商响应文件，招标采购单位可视情推迟供应商竞争性磋商文件提交截止时间和磋商时间，并将此变更通知各供应商。</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3、竞争性磋商</w:t>
      </w:r>
      <w:r>
        <w:rPr>
          <w:rFonts w:hint="eastAsia" w:ascii="仿宋" w:hAnsi="仿宋" w:eastAsia="仿宋" w:cs="仿宋"/>
          <w:color w:val="auto"/>
          <w:sz w:val="24"/>
          <w:highlight w:val="none"/>
        </w:rPr>
        <w:t>文件的澄清、修改、补充等内容均以书面明确的内容为准。当</w:t>
      </w:r>
      <w:r>
        <w:rPr>
          <w:rFonts w:hint="eastAsia" w:ascii="仿宋" w:hAnsi="仿宋" w:eastAsia="仿宋" w:cs="仿宋"/>
          <w:color w:val="auto"/>
          <w:sz w:val="24"/>
          <w:highlight w:val="none"/>
          <w:lang w:val="zh-CN"/>
        </w:rPr>
        <w:t>竞争性磋商</w:t>
      </w:r>
      <w:r>
        <w:rPr>
          <w:rFonts w:hint="eastAsia" w:ascii="仿宋" w:hAnsi="仿宋" w:eastAsia="仿宋" w:cs="仿宋"/>
          <w:color w:val="auto"/>
          <w:sz w:val="24"/>
          <w:highlight w:val="none"/>
        </w:rPr>
        <w:t>文件与</w:t>
      </w:r>
      <w:r>
        <w:rPr>
          <w:rFonts w:hint="eastAsia" w:ascii="仿宋" w:hAnsi="仿宋" w:eastAsia="仿宋" w:cs="仿宋"/>
          <w:color w:val="auto"/>
          <w:sz w:val="24"/>
          <w:highlight w:val="none"/>
          <w:lang w:val="zh-CN"/>
        </w:rPr>
        <w:t>竞争性磋商</w:t>
      </w:r>
      <w:r>
        <w:rPr>
          <w:rFonts w:hint="eastAsia" w:ascii="仿宋" w:hAnsi="仿宋" w:eastAsia="仿宋" w:cs="仿宋"/>
          <w:color w:val="auto"/>
          <w:sz w:val="24"/>
          <w:highlight w:val="none"/>
        </w:rPr>
        <w:t>文件的澄清、修改、补充等在同一内容的表述上不一致时，以最后发出的书面文件为准。</w:t>
      </w:r>
    </w:p>
    <w:p>
      <w:pPr>
        <w:keepNext w:val="0"/>
        <w:keepLines w:val="0"/>
        <w:pageBreakBefore w:val="0"/>
        <w:widowControl w:val="0"/>
        <w:tabs>
          <w:tab w:val="left" w:pos="1219"/>
        </w:tabs>
        <w:kinsoku/>
        <w:wordWrap/>
        <w:overflowPunct/>
        <w:topLinePunct w:val="0"/>
        <w:bidi w:val="0"/>
        <w:spacing w:line="46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三、供应商竞争性磋商响应文件的编制</w:t>
      </w:r>
    </w:p>
    <w:p>
      <w:pPr>
        <w:keepNext w:val="0"/>
        <w:keepLines w:val="0"/>
        <w:pageBreakBefore w:val="0"/>
        <w:widowControl w:val="0"/>
        <w:kinsoku/>
        <w:wordWrap/>
        <w:overflowPunct/>
        <w:topLinePunct w:val="0"/>
        <w:bidi w:val="0"/>
        <w:spacing w:line="4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（一）供应商竞争性磋商响应文件格式</w:t>
      </w:r>
    </w:p>
    <w:p>
      <w:pPr>
        <w:keepNext w:val="0"/>
        <w:keepLines w:val="0"/>
        <w:pageBreakBefore w:val="0"/>
        <w:widowControl w:val="0"/>
        <w:kinsoku/>
        <w:wordWrap/>
        <w:overflowPunct/>
        <w:topLinePunct w:val="0"/>
        <w:bidi w:val="0"/>
        <w:spacing w:line="4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1、供应商应按竞争性磋商文件中所提出的格式要求编制。</w:t>
      </w:r>
    </w:p>
    <w:p>
      <w:pPr>
        <w:keepNext w:val="0"/>
        <w:keepLines w:val="0"/>
        <w:pageBreakBefore w:val="0"/>
        <w:widowControl w:val="0"/>
        <w:kinsoku/>
        <w:wordWrap/>
        <w:overflowPunct/>
        <w:topLinePunct w:val="0"/>
        <w:bidi w:val="0"/>
        <w:spacing w:line="4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2、供应商竞争性磋商响应文件使用的度量衡单位，均采用中华人民共和国法定计量单位（除规范另有规定外）。</w:t>
      </w:r>
    </w:p>
    <w:p>
      <w:pPr>
        <w:keepNext w:val="0"/>
        <w:keepLines w:val="0"/>
        <w:pageBreakBefore w:val="0"/>
        <w:widowControl w:val="0"/>
        <w:kinsoku/>
        <w:wordWrap/>
        <w:overflowPunct/>
        <w:topLinePunct w:val="0"/>
        <w:bidi w:val="0"/>
        <w:spacing w:line="4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3、供应商应仔细阅读竞争性磋商文件中的所有内容，按竞争性磋商文件要求详细编制供应商竞争性磋商响应文件，并保证供应商竞争性磋商响应文件的正确性和真实性，所有文件资料必需是针对本次磋商。</w:t>
      </w:r>
    </w:p>
    <w:p>
      <w:pPr>
        <w:keepNext w:val="0"/>
        <w:keepLines w:val="0"/>
        <w:pageBreakBefore w:val="0"/>
        <w:widowControl w:val="0"/>
        <w:kinsoku/>
        <w:wordWrap/>
        <w:overflowPunct/>
        <w:topLinePunct w:val="0"/>
        <w:bidi w:val="0"/>
        <w:spacing w:line="4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5、供应商竞争性磋商响应文件如有错漏必需修改，修改处须加盖单位公章或校正章。</w:t>
      </w:r>
    </w:p>
    <w:p>
      <w:pPr>
        <w:keepNext w:val="0"/>
        <w:keepLines w:val="0"/>
        <w:pageBreakBefore w:val="0"/>
        <w:widowControl w:val="0"/>
        <w:kinsoku/>
        <w:wordWrap/>
        <w:overflowPunct/>
        <w:topLinePunct w:val="0"/>
        <w:bidi w:val="0"/>
        <w:spacing w:line="4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6、由于字迹模糊或表达不清所引起的后果由供应商自负。</w:t>
      </w:r>
    </w:p>
    <w:p>
      <w:pPr>
        <w:keepNext w:val="0"/>
        <w:keepLines w:val="0"/>
        <w:pageBreakBefore w:val="0"/>
        <w:widowControl w:val="0"/>
        <w:kinsoku/>
        <w:wordWrap/>
        <w:overflowPunct/>
        <w:topLinePunct w:val="0"/>
        <w:bidi w:val="0"/>
        <w:spacing w:line="4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7、不按竞争性磋商文件要求密封的供应商竞争性磋商响应文件将被拒绝。</w:t>
      </w:r>
    </w:p>
    <w:p>
      <w:pPr>
        <w:keepNext w:val="0"/>
        <w:keepLines w:val="0"/>
        <w:pageBreakBefore w:val="0"/>
        <w:widowControl w:val="0"/>
        <w:kinsoku/>
        <w:wordWrap/>
        <w:overflowPunct/>
        <w:topLinePunct w:val="0"/>
        <w:bidi w:val="0"/>
        <w:spacing w:line="46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四、响应文件的形式和效力</w:t>
      </w:r>
    </w:p>
    <w:p>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1.响应文件分为电子响应文件及备份投标文件（U 盘）</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具体内容如下：电子响应文件：按政采云平台项目采购-电子交易操作指南及本磋商文件要求制 作 、 加 密 并 递 交 ， 供 应 商 电 子 交 易 操 作 指 南 详 见 网 址 ：https://help.zcygov.cn/web/site_2/2018/12-28/2573.html）</w:t>
      </w:r>
    </w:p>
    <w:p>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2.备份投标文件（U 盘）：以 U 盘形式提供的备份投标文件格式及内容须与政采云平台项目采购-电子交易操作指南中制作、加密并递交的电子响应文件格式及内容一致。备份投标文件（U盘）应包含《资格文件》、《技术、商务、资信及其他文件》、《首次报价文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供应商应将备份投标文件（U盘） 的《资格文件》、 《技术、商务、资信及其他文件》、《首次报价文件》密封、包装，《技术、商务、资信及其他文件》和《首次报价文件》允许制作成一个 U 盘。</w:t>
      </w:r>
    </w:p>
    <w:p>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五、响应文件的效力</w:t>
      </w:r>
    </w:p>
    <w:p>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响应文件的启用：按先后顺位分别为电子响应文件、备份投标文件（U盘）。整个开标过程中若因供应商问题造成电子响应文件无法正常解密的，均认定为未提交电子响应文件，作无效标处理。若因网络或者其他非供应商问题造成电子响应文件无法正常解密的，启用备份投标文件（U盘）。若正常解密成功，则备份投标文件（U盘）不予开启。在下一顺位的响应文件启用时，前一顺位的响应文件自动失效。</w:t>
      </w:r>
    </w:p>
    <w:p>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若供应商未在规定时间内（30分钟）在线响应并解密投标文件或者进行最终报价的，代理机构不会自动启用备份投标文件（U盘）除了上述情况（若因网络或者其他非供应商问题造成电子响应文件无法正常解密的）</w:t>
      </w:r>
    </w:p>
    <w:p>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六、响应文件的组成</w:t>
      </w:r>
    </w:p>
    <w:p>
      <w:pPr>
        <w:keepNext w:val="0"/>
        <w:keepLines w:val="0"/>
        <w:pageBreakBefore w:val="0"/>
        <w:widowControl w:val="0"/>
        <w:kinsoku/>
        <w:wordWrap/>
        <w:overflowPunct/>
        <w:topLinePunct w:val="0"/>
        <w:autoSpaceDE/>
        <w:autoSpaceDN/>
        <w:bidi w:val="0"/>
        <w:adjustRightInd/>
        <w:spacing w:line="460" w:lineRule="exact"/>
        <w:ind w:firstLine="480" w:firstLineChars="200"/>
        <w:jc w:val="left"/>
        <w:textAlignment w:val="auto"/>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响应文件（包括电子响应文件及备份投标文件（U盘））由《资格文件》、《技术、商务、资信及其他文件》和《首次报价文件》组成，其中电子响应文件中所须加盖公章部分均采用 CA 签章。</w:t>
      </w:r>
      <w:r>
        <w:rPr>
          <w:rFonts w:hint="eastAsia" w:ascii="仿宋" w:hAnsi="仿宋" w:eastAsia="仿宋" w:cs="仿宋"/>
          <w:color w:val="auto"/>
          <w:kern w:val="2"/>
          <w:sz w:val="21"/>
          <w:szCs w:val="24"/>
          <w:highlight w:val="none"/>
          <w:lang w:val="en-US" w:eastAsia="zh-CN" w:bidi="ar-SA"/>
        </w:rPr>
        <w:t xml:space="preserve"> </w:t>
      </w:r>
    </w:p>
    <w:p>
      <w:pPr>
        <w:keepNext w:val="0"/>
        <w:keepLines w:val="0"/>
        <w:pageBreakBefore w:val="0"/>
        <w:widowControl w:val="0"/>
        <w:numPr>
          <w:ilvl w:val="0"/>
          <w:numId w:val="3"/>
        </w:numPr>
        <w:tabs>
          <w:tab w:val="left" w:pos="665"/>
        </w:tabs>
        <w:kinsoku/>
        <w:wordWrap/>
        <w:overflowPunct/>
        <w:topLinePunct w:val="0"/>
        <w:autoSpaceDE/>
        <w:autoSpaceDN/>
        <w:bidi w:val="0"/>
        <w:adjustRightInd/>
        <w:spacing w:line="46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供应商竞争性磋商响应文件的组成，电子响应文件中所须加盖公章部分均采用 CA 签章：</w:t>
      </w:r>
    </w:p>
    <w:p>
      <w:pPr>
        <w:keepNext w:val="0"/>
        <w:keepLines w:val="0"/>
        <w:pageBreakBefore w:val="0"/>
        <w:widowControl w:val="0"/>
        <w:numPr>
          <w:ilvl w:val="0"/>
          <w:numId w:val="0"/>
        </w:numPr>
        <w:kinsoku/>
        <w:wordWrap/>
        <w:overflowPunct/>
        <w:topLinePunct w:val="0"/>
        <w:autoSpaceDE/>
        <w:autoSpaceDN/>
        <w:bidi w:val="0"/>
        <w:adjustRightInd/>
        <w:snapToGrid w:val="0"/>
        <w:spacing w:line="460" w:lineRule="exact"/>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（一）组成</w:t>
      </w:r>
    </w:p>
    <w:p>
      <w:pPr>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1、资格文件：</w:t>
      </w:r>
    </w:p>
    <w:p>
      <w:pPr>
        <w:spacing w:line="360" w:lineRule="auto"/>
        <w:ind w:firstLine="240" w:firstLineChars="1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磋商声明书</w:t>
      </w:r>
      <w:r>
        <w:rPr>
          <w:rFonts w:hint="eastAsia" w:ascii="仿宋" w:hAnsi="仿宋" w:eastAsia="仿宋" w:cs="仿宋"/>
          <w:color w:val="auto"/>
          <w:sz w:val="24"/>
          <w:highlight w:val="none"/>
          <w:lang w:eastAsia="zh-CN"/>
        </w:rPr>
        <w:t>；</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）提供有效的营业执照、税务登记证、组织机构代码证或提供“三证合一”的营业执照或提供“五证合一”的营业执照；</w:t>
      </w:r>
    </w:p>
    <w:p>
      <w:pPr>
        <w:spacing w:line="360" w:lineRule="auto"/>
        <w:ind w:firstLine="240" w:firstLineChars="1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3）企业资质证书；</w:t>
      </w:r>
    </w:p>
    <w:p>
      <w:pPr>
        <w:spacing w:line="360" w:lineRule="auto"/>
        <w:ind w:firstLine="240" w:firstLineChars="100"/>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4）企业安全生产许可证；</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）提供法定代表人有效身份证明书及身份证或提供法定代表人授权书与授权人身份证及其最近</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个月</w:t>
      </w:r>
      <w:r>
        <w:rPr>
          <w:rFonts w:hint="eastAsia" w:ascii="仿宋" w:hAnsi="仿宋" w:eastAsia="仿宋" w:cs="仿宋"/>
          <w:color w:val="auto"/>
          <w:sz w:val="24"/>
          <w:highlight w:val="none"/>
          <w:lang w:val="en-US" w:eastAsia="zh-CN"/>
        </w:rPr>
        <w:t>中任意一个月</w:t>
      </w:r>
      <w:r>
        <w:rPr>
          <w:rFonts w:hint="eastAsia" w:ascii="仿宋" w:hAnsi="仿宋" w:eastAsia="仿宋" w:cs="仿宋"/>
          <w:color w:val="auto"/>
          <w:sz w:val="24"/>
          <w:highlight w:val="none"/>
        </w:rPr>
        <w:t>个人社保缴纳证明文件；</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）提供最近三个月</w:t>
      </w:r>
      <w:r>
        <w:rPr>
          <w:rFonts w:hint="eastAsia" w:ascii="仿宋" w:hAnsi="仿宋" w:eastAsia="仿宋" w:cs="仿宋"/>
          <w:color w:val="auto"/>
          <w:sz w:val="24"/>
          <w:highlight w:val="none"/>
          <w:lang w:val="en-US" w:eastAsia="zh-CN"/>
        </w:rPr>
        <w:t>中任意一个月</w:t>
      </w:r>
      <w:r>
        <w:rPr>
          <w:rFonts w:hint="eastAsia" w:ascii="仿宋" w:hAnsi="仿宋" w:eastAsia="仿宋" w:cs="仿宋"/>
          <w:color w:val="auto"/>
          <w:sz w:val="24"/>
          <w:highlight w:val="none"/>
        </w:rPr>
        <w:t>企业纳税情况和社保基金缴纳情况证明文书；</w:t>
      </w:r>
    </w:p>
    <w:p>
      <w:pPr>
        <w:spacing w:line="360" w:lineRule="auto"/>
        <w:ind w:firstLine="240" w:firstLineChars="1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lang w:eastAsia="zh-CN"/>
        </w:rPr>
        <w:t>）自磋商公告发布之后任意时间的“信用中国”（www.creditchina.gov.cn） 、中国政府采购（www.ccgp.gov.cn）供应商信用查询网页截图（二者缺一不可）；</w:t>
      </w:r>
    </w:p>
    <w:p>
      <w:pPr>
        <w:pStyle w:val="2"/>
        <w:numPr>
          <w:ilvl w:val="0"/>
          <w:numId w:val="0"/>
        </w:numPr>
        <w:spacing w:line="360" w:lineRule="exact"/>
        <w:ind w:firstLine="240" w:firstLineChars="1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中小企业声明函（本项目行业属于</w:t>
      </w:r>
      <w:r>
        <w:rPr>
          <w:rFonts w:hint="eastAsia" w:ascii="仿宋" w:hAnsi="仿宋" w:eastAsia="仿宋" w:cs="仿宋"/>
          <w:color w:val="auto"/>
          <w:sz w:val="24"/>
          <w:highlight w:val="none"/>
          <w:lang w:eastAsia="zh-CN"/>
        </w:rPr>
        <w:t>建筑</w:t>
      </w:r>
      <w:r>
        <w:rPr>
          <w:rFonts w:hint="eastAsia" w:ascii="仿宋" w:hAnsi="仿宋" w:eastAsia="仿宋" w:cs="仿宋"/>
          <w:color w:val="auto"/>
          <w:sz w:val="24"/>
          <w:highlight w:val="none"/>
        </w:rPr>
        <w:t>行业，格式见第六章）；</w:t>
      </w:r>
    </w:p>
    <w:p>
      <w:pPr>
        <w:pStyle w:val="2"/>
        <w:numPr>
          <w:ilvl w:val="0"/>
          <w:numId w:val="0"/>
        </w:numPr>
        <w:spacing w:line="360" w:lineRule="exact"/>
        <w:ind w:firstLine="240" w:firstLineChars="1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监狱企业声明函（如有，格式见第六章）；</w:t>
      </w:r>
    </w:p>
    <w:p>
      <w:pPr>
        <w:pStyle w:val="2"/>
        <w:numPr>
          <w:ilvl w:val="0"/>
          <w:numId w:val="0"/>
        </w:numPr>
        <w:spacing w:line="360" w:lineRule="exact"/>
        <w:ind w:firstLine="240" w:firstLineChars="10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残疾人福利性单位声明函（如有，格式见第六章）；</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投标人认为需要提供的文件和资料。</w:t>
      </w:r>
    </w:p>
    <w:p>
      <w:pPr>
        <w:ind w:firstLine="241" w:firstLineChars="100"/>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注：</w:t>
      </w:r>
      <w:r>
        <w:rPr>
          <w:rFonts w:hint="eastAsia" w:ascii="仿宋" w:hAnsi="仿宋" w:eastAsia="仿宋" w:cs="仿宋"/>
          <w:b/>
          <w:bCs/>
          <w:color w:val="auto"/>
          <w:sz w:val="24"/>
          <w:highlight w:val="none"/>
          <w:lang w:eastAsia="zh-CN"/>
        </w:rPr>
        <w:t>以上资料提供扫描件加盖公章</w:t>
      </w:r>
      <w:r>
        <w:rPr>
          <w:rFonts w:hint="eastAsia" w:ascii="仿宋" w:hAnsi="仿宋" w:eastAsia="仿宋" w:cs="仿宋"/>
          <w:b/>
          <w:bCs/>
          <w:color w:val="auto"/>
          <w:sz w:val="24"/>
          <w:highlight w:val="none"/>
        </w:rPr>
        <w:t>。</w:t>
      </w:r>
    </w:p>
    <w:p>
      <w:pPr>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2、技术</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商务、资信及其他</w:t>
      </w:r>
      <w:r>
        <w:rPr>
          <w:rFonts w:hint="eastAsia" w:ascii="仿宋" w:hAnsi="仿宋" w:eastAsia="仿宋" w:cs="仿宋"/>
          <w:b/>
          <w:color w:val="auto"/>
          <w:sz w:val="24"/>
          <w:highlight w:val="none"/>
        </w:rPr>
        <w:t>文件：</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1）对本项目背景、概况的研究；</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2）设计理念；</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3）工作计划及进度安排；</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4）合理化建议；</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5）后续服务保证措施；</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eastAsia="zh-CN"/>
        </w:rPr>
        <w:t>采购需求响应满足性</w:t>
      </w:r>
      <w:r>
        <w:rPr>
          <w:rFonts w:hint="eastAsia" w:ascii="仿宋" w:hAnsi="仿宋" w:eastAsia="仿宋" w:cs="仿宋"/>
          <w:color w:val="auto"/>
          <w:sz w:val="24"/>
          <w:highlight w:val="none"/>
        </w:rPr>
        <w:t>；</w:t>
      </w:r>
    </w:p>
    <w:p>
      <w:pPr>
        <w:spacing w:line="360" w:lineRule="auto"/>
        <w:ind w:firstLine="240" w:firstLineChars="1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7）企业综合能力及人员</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企业业绩</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企业权威认证</w:t>
      </w:r>
    </w:p>
    <w:p>
      <w:pPr>
        <w:spacing w:line="360" w:lineRule="auto"/>
        <w:ind w:firstLine="240" w:firstLineChars="100"/>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eastAsia="zh-CN"/>
        </w:rPr>
        <w:t>企业荣誉</w:t>
      </w:r>
    </w:p>
    <w:p>
      <w:pPr>
        <w:spacing w:line="360" w:lineRule="auto"/>
        <w:ind w:firstLine="240" w:firstLineChars="100"/>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商务响应表</w:t>
      </w:r>
      <w:r>
        <w:rPr>
          <w:rFonts w:hint="eastAsia" w:ascii="仿宋" w:hAnsi="仿宋" w:eastAsia="仿宋" w:cs="仿宋"/>
          <w:color w:val="auto"/>
          <w:sz w:val="24"/>
          <w:highlight w:val="none"/>
        </w:rPr>
        <w:t>（格式见附件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w:t>
      </w:r>
    </w:p>
    <w:p>
      <w:pPr>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）投标人针对商务需要说明的其他材料。</w:t>
      </w:r>
    </w:p>
    <w:p>
      <w:pPr>
        <w:spacing w:line="360" w:lineRule="auto"/>
        <w:ind w:firstLine="241" w:firstLineChars="10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rPr>
        <w:t>、报价文件</w:t>
      </w:r>
      <w:r>
        <w:rPr>
          <w:rFonts w:hint="eastAsia" w:ascii="仿宋" w:hAnsi="仿宋" w:eastAsia="仿宋" w:cs="仿宋"/>
          <w:b/>
          <w:color w:val="auto"/>
          <w:sz w:val="24"/>
          <w:highlight w:val="none"/>
        </w:rPr>
        <w:t>：</w:t>
      </w:r>
    </w:p>
    <w:p>
      <w:pPr>
        <w:spacing w:line="360" w:lineRule="auto"/>
        <w:ind w:firstLine="240" w:firstLineChars="100"/>
        <w:jc w:val="left"/>
        <w:rPr>
          <w:rFonts w:hint="eastAsia" w:ascii="仿宋" w:hAnsi="仿宋" w:eastAsia="仿宋" w:cs="仿宋"/>
          <w:bCs/>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bCs/>
          <w:color w:val="auto"/>
          <w:sz w:val="24"/>
          <w:highlight w:val="none"/>
          <w:lang w:val="en-US" w:eastAsia="zh-CN"/>
        </w:rPr>
        <w:t>磋商</w:t>
      </w:r>
      <w:r>
        <w:rPr>
          <w:rFonts w:hint="eastAsia" w:ascii="仿宋" w:hAnsi="仿宋" w:eastAsia="仿宋" w:cs="仿宋"/>
          <w:bCs/>
          <w:color w:val="auto"/>
          <w:sz w:val="24"/>
          <w:highlight w:val="none"/>
        </w:rPr>
        <w:t>函</w:t>
      </w:r>
      <w:r>
        <w:rPr>
          <w:rFonts w:hint="eastAsia" w:ascii="仿宋" w:hAnsi="仿宋" w:eastAsia="仿宋" w:cs="仿宋"/>
          <w:color w:val="auto"/>
          <w:sz w:val="24"/>
          <w:highlight w:val="none"/>
        </w:rPr>
        <w:t>（格式见附件</w:t>
      </w:r>
      <w:r>
        <w:rPr>
          <w:rFonts w:hint="eastAsia" w:ascii="仿宋" w:hAnsi="仿宋" w:eastAsia="仿宋" w:cs="仿宋"/>
          <w:color w:val="auto"/>
          <w:sz w:val="24"/>
          <w:highlight w:val="none"/>
          <w:lang w:eastAsia="zh-CN"/>
        </w:rPr>
        <w:t>）</w:t>
      </w:r>
      <w:r>
        <w:rPr>
          <w:rFonts w:hint="eastAsia" w:ascii="仿宋" w:hAnsi="仿宋" w:eastAsia="仿宋" w:cs="仿宋"/>
          <w:bCs/>
          <w:color w:val="auto"/>
          <w:sz w:val="24"/>
          <w:highlight w:val="none"/>
        </w:rPr>
        <w:t>；</w:t>
      </w:r>
    </w:p>
    <w:p>
      <w:pPr>
        <w:spacing w:line="360" w:lineRule="auto"/>
        <w:ind w:firstLine="240" w:firstLineChars="100"/>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磋商报价一览表</w:t>
      </w:r>
      <w:r>
        <w:rPr>
          <w:rFonts w:hint="eastAsia" w:ascii="仿宋" w:hAnsi="仿宋" w:eastAsia="仿宋" w:cs="仿宋"/>
          <w:color w:val="auto"/>
          <w:sz w:val="24"/>
          <w:highlight w:val="none"/>
        </w:rPr>
        <w:t>（格式见附件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w:t>
      </w:r>
    </w:p>
    <w:p>
      <w:pPr>
        <w:spacing w:line="360" w:lineRule="auto"/>
        <w:ind w:firstLine="240" w:firstLineChars="1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）投标报价明细表（</w:t>
      </w:r>
      <w:r>
        <w:rPr>
          <w:rFonts w:hint="eastAsia" w:ascii="仿宋" w:hAnsi="仿宋" w:eastAsia="仿宋" w:cs="仿宋"/>
          <w:color w:val="auto"/>
          <w:sz w:val="24"/>
          <w:highlight w:val="none"/>
          <w:lang w:val="en-US" w:eastAsia="zh-CN"/>
        </w:rPr>
        <w:t>格式自拟</w:t>
      </w:r>
      <w:r>
        <w:rPr>
          <w:rFonts w:hint="eastAsia" w:ascii="仿宋" w:hAnsi="仿宋" w:eastAsia="仿宋" w:cs="仿宋"/>
          <w:color w:val="auto"/>
          <w:sz w:val="24"/>
          <w:highlight w:val="none"/>
          <w:lang w:eastAsia="zh-CN"/>
        </w:rPr>
        <w:t>）；</w:t>
      </w:r>
    </w:p>
    <w:p>
      <w:pPr>
        <w:spacing w:line="360" w:lineRule="auto"/>
        <w:ind w:firstLine="240" w:firstLineChars="100"/>
        <w:jc w:val="left"/>
        <w:rPr>
          <w:rFonts w:hint="eastAsia" w:ascii="仿宋" w:hAnsi="仿宋" w:eastAsia="仿宋" w:cs="仿宋"/>
          <w:bCs/>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bCs/>
          <w:color w:val="auto"/>
          <w:sz w:val="24"/>
          <w:highlight w:val="none"/>
        </w:rPr>
        <w:t>招标代理服务费承诺函</w:t>
      </w:r>
      <w:r>
        <w:rPr>
          <w:rFonts w:hint="eastAsia" w:ascii="仿宋" w:hAnsi="仿宋" w:eastAsia="仿宋" w:cs="仿宋"/>
          <w:color w:val="auto"/>
          <w:sz w:val="24"/>
          <w:highlight w:val="none"/>
        </w:rPr>
        <w:t>（格式见附件</w:t>
      </w:r>
      <w:r>
        <w:rPr>
          <w:rFonts w:hint="eastAsia" w:ascii="仿宋" w:hAnsi="仿宋" w:eastAsia="仿宋" w:cs="仿宋"/>
          <w:color w:val="auto"/>
          <w:sz w:val="24"/>
          <w:highlight w:val="none"/>
          <w:lang w:eastAsia="zh-CN"/>
        </w:rPr>
        <w:t>）</w:t>
      </w:r>
      <w:r>
        <w:rPr>
          <w:rFonts w:hint="eastAsia" w:ascii="仿宋" w:hAnsi="仿宋" w:eastAsia="仿宋" w:cs="仿宋"/>
          <w:bCs/>
          <w:color w:val="auto"/>
          <w:sz w:val="24"/>
          <w:highlight w:val="none"/>
        </w:rPr>
        <w:t>；</w:t>
      </w:r>
    </w:p>
    <w:p>
      <w:pPr>
        <w:tabs>
          <w:tab w:val="left" w:pos="3870"/>
          <w:tab w:val="left" w:pos="4085"/>
        </w:tabs>
        <w:spacing w:line="360" w:lineRule="auto"/>
        <w:ind w:firstLine="240" w:firstLineChars="1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）投标人针对报价需要说明的其他文件和说明。</w:t>
      </w:r>
    </w:p>
    <w:p>
      <w:pPr>
        <w:keepNext w:val="0"/>
        <w:keepLines w:val="0"/>
        <w:pageBreakBefore w:val="0"/>
        <w:widowControl w:val="0"/>
        <w:kinsoku/>
        <w:wordWrap/>
        <w:overflowPunct/>
        <w:topLinePunct w:val="0"/>
        <w:autoSpaceDE/>
        <w:autoSpaceDN/>
        <w:bidi w:val="0"/>
        <w:adjustRightInd/>
        <w:snapToGrid w:val="0"/>
        <w:spacing w:line="460" w:lineRule="exact"/>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▲注：法定代表人授权委托书、投标声明书、开标一览表必</w:t>
      </w:r>
      <w:r>
        <w:rPr>
          <w:rFonts w:hint="eastAsia" w:ascii="仿宋" w:hAnsi="仿宋" w:eastAsia="仿宋" w:cs="仿宋"/>
          <w:b/>
          <w:bCs/>
          <w:color w:val="auto"/>
          <w:sz w:val="24"/>
          <w:highlight w:val="none"/>
          <w:lang w:val="en-US" w:eastAsia="zh-CN"/>
        </w:rPr>
        <w:t>需</w:t>
      </w:r>
      <w:r>
        <w:rPr>
          <w:rFonts w:hint="eastAsia" w:ascii="仿宋" w:hAnsi="仿宋" w:eastAsia="仿宋" w:cs="仿宋"/>
          <w:b/>
          <w:bCs/>
          <w:color w:val="auto"/>
          <w:sz w:val="24"/>
          <w:highlight w:val="none"/>
        </w:rPr>
        <w:t>由法定代表人签名并加盖单位公章。</w:t>
      </w:r>
    </w:p>
    <w:p>
      <w:pPr>
        <w:keepNext w:val="0"/>
        <w:keepLines w:val="0"/>
        <w:pageBreakBefore w:val="0"/>
        <w:widowControl w:val="0"/>
        <w:kinsoku/>
        <w:wordWrap/>
        <w:overflowPunct/>
        <w:topLinePunct w:val="0"/>
        <w:autoSpaceDE w:val="0"/>
        <w:autoSpaceDN w:val="0"/>
        <w:bidi w:val="0"/>
        <w:adjustRightInd w:val="0"/>
        <w:snapToGrid/>
        <w:spacing w:line="46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szCs w:val="24"/>
          <w:highlight w:val="none"/>
          <w:lang w:val="en-US" w:eastAsia="zh-CN"/>
        </w:rPr>
        <w:t>（二）</w:t>
      </w:r>
      <w:r>
        <w:rPr>
          <w:rFonts w:hint="eastAsia" w:ascii="仿宋" w:hAnsi="仿宋" w:eastAsia="仿宋" w:cs="仿宋"/>
          <w:b/>
          <w:bCs/>
          <w:color w:val="auto"/>
          <w:sz w:val="24"/>
          <w:highlight w:val="none"/>
        </w:rPr>
        <w:t>供应商磋商响应文件内容填写说明</w:t>
      </w:r>
    </w:p>
    <w:p>
      <w:pPr>
        <w:keepNext w:val="0"/>
        <w:keepLines w:val="0"/>
        <w:pageBreakBefore w:val="0"/>
        <w:widowControl w:val="0"/>
        <w:kinsoku/>
        <w:wordWrap/>
        <w:overflowPunct/>
        <w:topLinePunct w:val="0"/>
        <w:bidi w:val="0"/>
        <w:snapToGrid/>
        <w:spacing w:line="460" w:lineRule="exact"/>
        <w:ind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1、所有报价均应使用人民币（元）表示；</w:t>
      </w:r>
    </w:p>
    <w:p>
      <w:pPr>
        <w:keepNext w:val="0"/>
        <w:keepLines w:val="0"/>
        <w:pageBreakBefore w:val="0"/>
        <w:widowControl w:val="0"/>
        <w:kinsoku/>
        <w:wordWrap/>
        <w:overflowPunct/>
        <w:topLinePunct w:val="0"/>
        <w:bidi w:val="0"/>
        <w:snapToGrid/>
        <w:spacing w:line="460" w:lineRule="exact"/>
        <w:ind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应按本次磋商项目进行报价，不得缺项和漏项；</w:t>
      </w:r>
    </w:p>
    <w:p>
      <w:pPr>
        <w:keepNext w:val="0"/>
        <w:keepLines w:val="0"/>
        <w:pageBreakBefore w:val="0"/>
        <w:widowControl w:val="0"/>
        <w:kinsoku/>
        <w:wordWrap/>
        <w:overflowPunct/>
        <w:topLinePunct w:val="0"/>
        <w:bidi w:val="0"/>
        <w:snapToGrid/>
        <w:spacing w:line="460" w:lineRule="exact"/>
        <w:ind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应按竞争性磋商文件规定的，只允许有一个报价，任何有选择性的报价，将不予接受；</w:t>
      </w:r>
    </w:p>
    <w:p>
      <w:pPr>
        <w:keepNext w:val="0"/>
        <w:keepLines w:val="0"/>
        <w:pageBreakBefore w:val="0"/>
        <w:widowControl w:val="0"/>
        <w:kinsoku/>
        <w:wordWrap/>
        <w:overflowPunct/>
        <w:topLinePunct w:val="0"/>
        <w:bidi w:val="0"/>
        <w:snapToGrid/>
        <w:spacing w:line="460" w:lineRule="exact"/>
        <w:ind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的最终报价由</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自担全部风险责任；</w:t>
      </w:r>
    </w:p>
    <w:p>
      <w:pPr>
        <w:keepNext w:val="0"/>
        <w:keepLines w:val="0"/>
        <w:pageBreakBefore w:val="0"/>
        <w:widowControl w:val="0"/>
        <w:tabs>
          <w:tab w:val="left" w:pos="720"/>
        </w:tabs>
        <w:kinsoku/>
        <w:wordWrap/>
        <w:overflowPunct/>
        <w:topLinePunct w:val="0"/>
        <w:bidi w:val="0"/>
        <w:snapToGrid/>
        <w:spacing w:line="460" w:lineRule="exact"/>
        <w:ind w:left="36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5、各</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拟采取的竞争措施和提供给采购人的优惠条件应在磋商响应文件中列明；</w:t>
      </w:r>
    </w:p>
    <w:p>
      <w:pPr>
        <w:keepNext w:val="0"/>
        <w:keepLines w:val="0"/>
        <w:pageBreakBefore w:val="0"/>
        <w:widowControl w:val="0"/>
        <w:tabs>
          <w:tab w:val="left" w:pos="720"/>
        </w:tabs>
        <w:kinsoku/>
        <w:wordWrap/>
        <w:overflowPunct/>
        <w:topLinePunct w:val="0"/>
        <w:bidi w:val="0"/>
        <w:snapToGrid/>
        <w:spacing w:line="460" w:lineRule="exact"/>
        <w:ind w:left="36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所有优惠条件和优惠费用不得降低和影响本项目质量；</w:t>
      </w:r>
    </w:p>
    <w:p>
      <w:pPr>
        <w:keepNext w:val="0"/>
        <w:keepLines w:val="0"/>
        <w:pageBreakBefore w:val="0"/>
        <w:widowControl w:val="0"/>
        <w:tabs>
          <w:tab w:val="left" w:pos="720"/>
        </w:tabs>
        <w:kinsoku/>
        <w:wordWrap/>
        <w:overflowPunct/>
        <w:topLinePunct w:val="0"/>
        <w:bidi w:val="0"/>
        <w:snapToGrid/>
        <w:spacing w:line="460" w:lineRule="exact"/>
        <w:ind w:left="36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7、报价大写与小写不符时以大写为准；</w:t>
      </w:r>
    </w:p>
    <w:p>
      <w:pPr>
        <w:keepNext w:val="0"/>
        <w:keepLines w:val="0"/>
        <w:pageBreakBefore w:val="0"/>
        <w:widowControl w:val="0"/>
        <w:tabs>
          <w:tab w:val="left" w:pos="720"/>
        </w:tabs>
        <w:kinsoku/>
        <w:wordWrap/>
        <w:overflowPunct/>
        <w:topLinePunct w:val="0"/>
        <w:bidi w:val="0"/>
        <w:snapToGrid/>
        <w:spacing w:line="460" w:lineRule="exact"/>
        <w:ind w:left="36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对竞争性磋商文件里有关磋商报价的全部内容应仔细确认，若有个别异议，应在开标前提出修改意见，否则视同全部确认。</w:t>
      </w:r>
    </w:p>
    <w:p>
      <w:pPr>
        <w:keepNext w:val="0"/>
        <w:keepLines w:val="0"/>
        <w:pageBreakBefore w:val="0"/>
        <w:widowControl w:val="0"/>
        <w:kinsoku/>
        <w:wordWrap/>
        <w:overflowPunct/>
        <w:topLinePunct w:val="0"/>
        <w:bidi w:val="0"/>
        <w:snapToGrid w:val="0"/>
        <w:spacing w:before="120" w:beforeLines="50" w:line="460" w:lineRule="exact"/>
        <w:jc w:val="left"/>
        <w:textAlignment w:val="auto"/>
        <w:outlineLvl w:val="0"/>
        <w:rPr>
          <w:rFonts w:hint="eastAsia" w:ascii="仿宋" w:hAnsi="仿宋" w:eastAsia="仿宋" w:cs="仿宋"/>
          <w:b/>
          <w:color w:val="auto"/>
          <w:sz w:val="24"/>
          <w:szCs w:val="20"/>
          <w:highlight w:val="none"/>
        </w:rPr>
      </w:pPr>
      <w:bookmarkStart w:id="17" w:name="_Toc25601"/>
      <w:bookmarkStart w:id="18" w:name="_Toc25784"/>
      <w:r>
        <w:rPr>
          <w:rFonts w:hint="eastAsia" w:ascii="仿宋" w:hAnsi="仿宋" w:eastAsia="仿宋" w:cs="仿宋"/>
          <w:b/>
          <w:color w:val="auto"/>
          <w:sz w:val="24"/>
          <w:highlight w:val="none"/>
        </w:rPr>
        <w:t>（三）</w:t>
      </w:r>
      <w:r>
        <w:rPr>
          <w:rFonts w:hint="eastAsia" w:ascii="仿宋" w:hAnsi="仿宋" w:eastAsia="仿宋" w:cs="仿宋"/>
          <w:b/>
          <w:color w:val="auto"/>
          <w:sz w:val="24"/>
          <w:highlight w:val="none"/>
          <w:lang w:eastAsia="zh-CN"/>
        </w:rPr>
        <w:t>磋商</w:t>
      </w:r>
      <w:r>
        <w:rPr>
          <w:rFonts w:hint="eastAsia" w:ascii="仿宋" w:hAnsi="仿宋" w:eastAsia="仿宋" w:cs="仿宋"/>
          <w:b/>
          <w:color w:val="auto"/>
          <w:sz w:val="24"/>
          <w:highlight w:val="none"/>
        </w:rPr>
        <w:t>报价</w:t>
      </w:r>
      <w:bookmarkEnd w:id="17"/>
      <w:bookmarkEnd w:id="18"/>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highlight w:val="none"/>
        </w:rPr>
        <w:t>报价应按招标文件中相关附表格式填写。</w:t>
      </w: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highlight w:val="none"/>
        </w:rPr>
        <w:t>报价为本招标项目全部工作内容的报价。</w:t>
      </w:r>
    </w:p>
    <w:p>
      <w:pPr>
        <w:pStyle w:val="35"/>
        <w:rPr>
          <w:rFonts w:hint="eastAsia" w:ascii="仿宋" w:hAnsi="仿宋" w:eastAsia="仿宋" w:cs="仿宋"/>
          <w:b/>
          <w:bCs/>
          <w:color w:val="auto"/>
          <w:highlight w:val="none"/>
          <w:lang w:val="en-US" w:eastAsia="zh-CN"/>
        </w:rPr>
      </w:pPr>
      <w:r>
        <w:rPr>
          <w:rFonts w:hint="eastAsia" w:ascii="仿宋" w:hAnsi="仿宋" w:eastAsia="仿宋" w:cs="仿宋"/>
          <w:color w:val="auto"/>
          <w:highlight w:val="none"/>
          <w:lang w:val="en-US" w:eastAsia="zh-CN"/>
        </w:rPr>
        <w:t xml:space="preserve">   </w:t>
      </w:r>
      <w:r>
        <w:rPr>
          <w:rFonts w:hint="eastAsia" w:ascii="仿宋" w:hAnsi="仿宋" w:eastAsia="仿宋" w:cs="仿宋"/>
          <w:b/>
          <w:bCs/>
          <w:color w:val="auto"/>
          <w:kern w:val="2"/>
          <w:sz w:val="24"/>
          <w:szCs w:val="24"/>
          <w:highlight w:val="none"/>
          <w:lang w:val="en-US" w:eastAsia="zh-CN" w:bidi="ar-SA"/>
        </w:rPr>
        <w:t xml:space="preserve">  2、</w:t>
      </w:r>
      <w:r>
        <w:rPr>
          <w:rFonts w:hint="eastAsia" w:ascii="仿宋" w:hAnsi="仿宋" w:eastAsia="仿宋" w:cs="仿宋"/>
          <w:b/>
          <w:bCs/>
          <w:color w:val="auto"/>
          <w:kern w:val="2"/>
          <w:sz w:val="24"/>
          <w:szCs w:val="24"/>
          <w:highlight w:val="none"/>
          <w:u w:val="single"/>
          <w:lang w:val="en-US" w:eastAsia="zh-CN" w:bidi="ar-SA"/>
        </w:rPr>
        <w:t>最高限价：180万元</w:t>
      </w:r>
      <w:r>
        <w:rPr>
          <w:rFonts w:hint="eastAsia" w:ascii="仿宋" w:hAnsi="仿宋" w:eastAsia="仿宋" w:cs="仿宋"/>
          <w:b/>
          <w:bCs/>
          <w:color w:val="auto"/>
          <w:kern w:val="2"/>
          <w:sz w:val="24"/>
          <w:szCs w:val="24"/>
          <w:highlight w:val="none"/>
          <w:lang w:val="en-US" w:eastAsia="zh-CN" w:bidi="ar-SA"/>
        </w:rPr>
        <w:t>，超过最高限价的作无效标处理。</w:t>
      </w:r>
    </w:p>
    <w:p>
      <w:pPr>
        <w:pStyle w:val="2"/>
        <w:keepNext w:val="0"/>
        <w:keepLines w:val="0"/>
        <w:pageBreakBefore w:val="0"/>
        <w:widowControl w:val="0"/>
        <w:kinsoku/>
        <w:wordWrap/>
        <w:overflowPunct/>
        <w:topLinePunct w:val="0"/>
        <w:bidi w:val="0"/>
        <w:snapToGrid/>
        <w:spacing w:line="460" w:lineRule="exact"/>
        <w:ind w:left="0" w:leftChars="0" w:firstLine="0" w:firstLine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（四）磋商有限期</w:t>
      </w:r>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1、磋商响应文件的有效期为磋商截止之日后的60日历天。</w:t>
      </w:r>
    </w:p>
    <w:p>
      <w:pPr>
        <w:keepNext w:val="0"/>
        <w:keepLines w:val="0"/>
        <w:pageBreakBefore w:val="0"/>
        <w:widowControl w:val="0"/>
        <w:kinsoku/>
        <w:wordWrap/>
        <w:overflowPunct/>
        <w:topLinePunct w:val="0"/>
        <w:bidi w:val="0"/>
        <w:snapToGrid/>
        <w:spacing w:line="4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2、特殊情况下，在磋商有效期满之前，采购单位可以书面形式要求供应商同意延长磋商有效期。供应商可以以书面形式拒绝或接受上述要求。对于接受该要求的供应商，采购单位既不要求也不允许其修改磋商响应文件，但将要求其相应延长磋商有效期，有关退还的规定在磋商有效期的延长期内继续有效。</w:t>
      </w:r>
    </w:p>
    <w:p>
      <w:pPr>
        <w:keepNext w:val="0"/>
        <w:keepLines w:val="0"/>
        <w:pageBreakBefore w:val="0"/>
        <w:widowControl w:val="0"/>
        <w:tabs>
          <w:tab w:val="left" w:pos="975"/>
        </w:tabs>
        <w:kinsoku/>
        <w:wordWrap/>
        <w:overflowPunct/>
        <w:topLinePunct w:val="0"/>
        <w:bidi w:val="0"/>
        <w:snapToGrid/>
        <w:spacing w:line="460" w:lineRule="exact"/>
        <w:jc w:val="left"/>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（五）磋商响应文件的签署及规定</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1、磋商响应文件字迹清晰，易于辨认。</w:t>
      </w:r>
    </w:p>
    <w:p>
      <w:pPr>
        <w:keepNext w:val="0"/>
        <w:keepLines w:val="0"/>
        <w:pageBreakBefore w:val="0"/>
        <w:widowControl w:val="0"/>
        <w:tabs>
          <w:tab w:val="left" w:pos="900"/>
        </w:tabs>
        <w:kinsoku/>
        <w:wordWrap/>
        <w:overflowPunct/>
        <w:topLinePunct w:val="0"/>
        <w:bidi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2、除</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对错处作必要修改外，磋商响应文件中不许加行涂抹或改写。任何行间插字、涂改和增删，必</w:t>
      </w:r>
      <w:r>
        <w:rPr>
          <w:rFonts w:hint="eastAsia" w:ascii="仿宋" w:hAnsi="仿宋" w:eastAsia="仿宋" w:cs="仿宋"/>
          <w:color w:val="auto"/>
          <w:sz w:val="24"/>
          <w:highlight w:val="none"/>
          <w:lang w:val="en-US" w:eastAsia="zh-CN"/>
        </w:rPr>
        <w:t>需</w:t>
      </w:r>
      <w:r>
        <w:rPr>
          <w:rFonts w:hint="eastAsia" w:ascii="仿宋" w:hAnsi="仿宋" w:eastAsia="仿宋" w:cs="仿宋"/>
          <w:color w:val="auto"/>
          <w:sz w:val="24"/>
          <w:highlight w:val="none"/>
        </w:rPr>
        <w:t>由法定代表人或其授权代表人在旁边签字盖章才有效。否则，作无效标处理。</w:t>
      </w:r>
    </w:p>
    <w:p>
      <w:pPr>
        <w:keepNext w:val="0"/>
        <w:keepLines w:val="0"/>
        <w:pageBreakBefore w:val="0"/>
        <w:widowControl w:val="0"/>
        <w:kinsoku/>
        <w:wordWrap/>
        <w:overflowPunct/>
        <w:topLinePunct w:val="0"/>
        <w:bidi w:val="0"/>
        <w:snapToGrid w:val="0"/>
        <w:spacing w:before="120" w:beforeLines="50"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3、电报、电话、传真形式的竞标概不接受。</w:t>
      </w:r>
    </w:p>
    <w:p>
      <w:pPr>
        <w:keepNext w:val="0"/>
        <w:keepLines w:val="0"/>
        <w:pageBreakBefore w:val="0"/>
        <w:widowControl w:val="0"/>
        <w:kinsoku/>
        <w:wordWrap/>
        <w:overflowPunct/>
        <w:topLinePunct w:val="0"/>
        <w:bidi w:val="0"/>
        <w:snapToGrid w:val="0"/>
        <w:spacing w:before="120" w:beforeLines="50" w:line="460" w:lineRule="exact"/>
        <w:jc w:val="left"/>
        <w:textAlignment w:val="auto"/>
        <w:rPr>
          <w:rFonts w:hint="eastAsia" w:ascii="仿宋" w:hAnsi="仿宋" w:eastAsia="仿宋" w:cs="仿宋"/>
          <w:b/>
          <w:color w:val="auto"/>
          <w:sz w:val="24"/>
          <w:szCs w:val="20"/>
          <w:highlight w:val="none"/>
        </w:rPr>
      </w:pPr>
      <w:r>
        <w:rPr>
          <w:rFonts w:hint="eastAsia" w:ascii="仿宋" w:hAnsi="仿宋" w:eastAsia="仿宋" w:cs="仿宋"/>
          <w:b/>
          <w:color w:val="auto"/>
          <w:sz w:val="24"/>
          <w:highlight w:val="none"/>
        </w:rPr>
        <w:t>（六）投标文件的包装、递交、修改和撤回</w:t>
      </w:r>
    </w:p>
    <w:p>
      <w:pPr>
        <w:keepNext w:val="0"/>
        <w:keepLines w:val="0"/>
        <w:pageBreakBefore w:val="0"/>
        <w:widowControl w:val="0"/>
        <w:kinsoku/>
        <w:wordWrap/>
        <w:overflowPunct/>
        <w:topLinePunct w:val="0"/>
        <w:bidi w:val="0"/>
        <w:snapToGrid w:val="0"/>
        <w:spacing w:line="460" w:lineRule="exact"/>
        <w:ind w:firstLine="240" w:firstLineChars="100"/>
        <w:textAlignment w:val="auto"/>
        <w:outlineLvl w:val="2"/>
        <w:rPr>
          <w:rFonts w:hint="eastAsia" w:ascii="仿宋" w:hAnsi="仿宋" w:eastAsia="仿宋" w:cs="仿宋"/>
          <w:color w:val="auto"/>
          <w:sz w:val="24"/>
          <w:highlight w:val="none"/>
        </w:rPr>
      </w:pPr>
      <w:bookmarkStart w:id="19" w:name="_Toc1616"/>
      <w:bookmarkStart w:id="20" w:name="_Toc22774"/>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投标人应当在投标截止时间前完成电子响应文件的传输递交，并可以补充、修</w:t>
      </w:r>
      <w:bookmarkEnd w:id="19"/>
      <w:bookmarkEnd w:id="20"/>
      <w:bookmarkStart w:id="21" w:name="_Toc29629"/>
      <w:bookmarkStart w:id="22" w:name="_Toc12896"/>
      <w:r>
        <w:rPr>
          <w:rFonts w:hint="eastAsia" w:ascii="仿宋" w:hAnsi="仿宋" w:eastAsia="仿宋" w:cs="仿宋"/>
          <w:color w:val="auto"/>
          <w:sz w:val="24"/>
          <w:highlight w:val="none"/>
        </w:rPr>
        <w:t>改或者撤回电子响应文件。补充或者修改电子响应文件的，应当先行撤回原文件，补充、修改后重新传输递交，投标截止时间止未完成传输的，视为撤回响应文件。投标、响应截止时间后送达的投标、响应文件，将被政采云平台拒收，作无效标处理；</w:t>
      </w:r>
      <w:bookmarkEnd w:id="21"/>
      <w:bookmarkEnd w:id="22"/>
    </w:p>
    <w:p>
      <w:pPr>
        <w:keepNext w:val="0"/>
        <w:keepLines w:val="0"/>
        <w:pageBreakBefore w:val="0"/>
        <w:widowControl w:val="0"/>
        <w:kinsoku/>
        <w:wordWrap/>
        <w:overflowPunct/>
        <w:topLinePunct w:val="0"/>
        <w:bidi w:val="0"/>
        <w:snapToGrid w:val="0"/>
        <w:spacing w:line="460" w:lineRule="exact"/>
        <w:ind w:firstLine="240" w:firstLineChars="100"/>
        <w:textAlignment w:val="auto"/>
        <w:outlineLvl w:val="2"/>
        <w:rPr>
          <w:rFonts w:hint="eastAsia" w:ascii="仿宋" w:hAnsi="仿宋" w:eastAsia="仿宋" w:cs="仿宋"/>
          <w:color w:val="auto"/>
          <w:sz w:val="24"/>
          <w:highlight w:val="none"/>
        </w:rPr>
      </w:pPr>
      <w:bookmarkStart w:id="23" w:name="_Toc4946"/>
      <w:bookmarkStart w:id="24" w:name="_Toc27245"/>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数据电子备份投标文件（U 盘）：采用信封等形式单独密封、包装，密封、包装封面上应注明投标人名称、投标人地址、响应文件名称、项目名称、项目编号及“开标时启封”字样，并加盖投标人公章；</w:t>
      </w:r>
      <w:bookmarkEnd w:id="23"/>
      <w:bookmarkEnd w:id="24"/>
    </w:p>
    <w:p>
      <w:pPr>
        <w:keepNext w:val="0"/>
        <w:keepLines w:val="0"/>
        <w:pageBreakBefore w:val="0"/>
        <w:widowControl w:val="0"/>
        <w:kinsoku/>
        <w:wordWrap/>
        <w:overflowPunct/>
        <w:topLinePunct w:val="0"/>
        <w:bidi w:val="0"/>
        <w:snapToGrid w:val="0"/>
        <w:spacing w:line="460" w:lineRule="exact"/>
        <w:ind w:firstLine="241" w:firstLineChars="100"/>
        <w:textAlignment w:val="auto"/>
        <w:outlineLvl w:val="2"/>
        <w:rPr>
          <w:rFonts w:hint="eastAsia" w:ascii="仿宋" w:hAnsi="仿宋" w:eastAsia="仿宋" w:cs="仿宋"/>
          <w:b/>
          <w:bCs/>
          <w:color w:val="auto"/>
          <w:sz w:val="24"/>
          <w:highlight w:val="none"/>
        </w:rPr>
      </w:pPr>
      <w:bookmarkStart w:id="25" w:name="_Toc8588"/>
      <w:bookmarkStart w:id="26" w:name="_Toc28156"/>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投标人应当在投标截止时间前将数据电子备份响应文件（U 盘）密封、包装并邮寄</w:t>
      </w:r>
      <w:r>
        <w:rPr>
          <w:rFonts w:hint="eastAsia" w:ascii="仿宋" w:hAnsi="仿宋" w:eastAsia="仿宋" w:cs="仿宋"/>
          <w:b/>
          <w:bCs/>
          <w:color w:val="auto"/>
          <w:sz w:val="24"/>
          <w:highlight w:val="none"/>
          <w:lang w:eastAsia="zh-CN"/>
        </w:rPr>
        <w:t>至指定地点</w:t>
      </w:r>
      <w:r>
        <w:rPr>
          <w:rFonts w:hint="eastAsia" w:ascii="仿宋" w:hAnsi="仿宋" w:eastAsia="仿宋" w:cs="仿宋"/>
          <w:b/>
          <w:bCs/>
          <w:color w:val="auto"/>
          <w:sz w:val="24"/>
          <w:highlight w:val="none"/>
        </w:rPr>
        <w:t>，逾期送达或未密封、包装的将被拒收。</w:t>
      </w:r>
      <w:bookmarkEnd w:id="25"/>
      <w:bookmarkEnd w:id="26"/>
    </w:p>
    <w:p>
      <w:pPr>
        <w:keepNext w:val="0"/>
        <w:keepLines w:val="0"/>
        <w:pageBreakBefore w:val="0"/>
        <w:widowControl w:val="0"/>
        <w:kinsoku/>
        <w:wordWrap/>
        <w:overflowPunct/>
        <w:topLinePunct w:val="0"/>
        <w:bidi w:val="0"/>
        <w:snapToGrid w:val="0"/>
        <w:spacing w:line="460" w:lineRule="exact"/>
        <w:ind w:firstLine="240" w:firstLineChars="100"/>
        <w:textAlignment w:val="auto"/>
        <w:outlineLvl w:val="2"/>
        <w:rPr>
          <w:rFonts w:hint="eastAsia" w:ascii="仿宋" w:hAnsi="仿宋" w:eastAsia="仿宋" w:cs="仿宋"/>
          <w:color w:val="auto"/>
          <w:sz w:val="24"/>
          <w:highlight w:val="none"/>
        </w:rPr>
      </w:pPr>
      <w:bookmarkStart w:id="27" w:name="_Toc14816"/>
      <w:bookmarkStart w:id="28" w:name="_Toc32473"/>
      <w:r>
        <w:rPr>
          <w:rFonts w:hint="eastAsia" w:ascii="仿宋" w:hAnsi="仿宋" w:eastAsia="仿宋" w:cs="仿宋"/>
          <w:color w:val="auto"/>
          <w:sz w:val="24"/>
          <w:highlight w:val="none"/>
        </w:rPr>
        <w:t>4.投标人递交投标文件时，如出现下列情况之一的，将被拒收：</w:t>
      </w:r>
      <w:bookmarkEnd w:id="27"/>
      <w:bookmarkEnd w:id="28"/>
    </w:p>
    <w:p>
      <w:pPr>
        <w:keepNext w:val="0"/>
        <w:keepLines w:val="0"/>
        <w:pageBreakBefore w:val="0"/>
        <w:widowControl w:val="0"/>
        <w:kinsoku/>
        <w:wordWrap/>
        <w:overflowPunct/>
        <w:topLinePunct w:val="0"/>
        <w:bidi w:val="0"/>
        <w:snapToGrid w:val="0"/>
        <w:spacing w:line="460" w:lineRule="exact"/>
        <w:textAlignment w:val="auto"/>
        <w:outlineLvl w:val="2"/>
        <w:rPr>
          <w:rFonts w:hint="eastAsia" w:ascii="仿宋" w:hAnsi="仿宋" w:eastAsia="仿宋" w:cs="仿宋"/>
          <w:color w:val="auto"/>
          <w:sz w:val="24"/>
          <w:highlight w:val="none"/>
        </w:rPr>
      </w:pPr>
      <w:bookmarkStart w:id="29" w:name="_Toc23961"/>
      <w:bookmarkStart w:id="30" w:name="_Toc18957"/>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 xml:space="preserve"> 投标人未成功办理政采云报名手续的；</w:t>
      </w:r>
      <w:bookmarkEnd w:id="29"/>
      <w:bookmarkEnd w:id="30"/>
    </w:p>
    <w:p>
      <w:pPr>
        <w:keepNext w:val="0"/>
        <w:keepLines w:val="0"/>
        <w:pageBreakBefore w:val="0"/>
        <w:widowControl w:val="0"/>
        <w:kinsoku/>
        <w:wordWrap/>
        <w:overflowPunct/>
        <w:topLinePunct w:val="0"/>
        <w:bidi w:val="0"/>
        <w:snapToGrid w:val="0"/>
        <w:spacing w:line="460" w:lineRule="exact"/>
        <w:textAlignment w:val="auto"/>
        <w:outlineLvl w:val="2"/>
        <w:rPr>
          <w:rFonts w:hint="eastAsia" w:ascii="仿宋" w:hAnsi="仿宋" w:eastAsia="仿宋" w:cs="仿宋"/>
          <w:color w:val="auto"/>
          <w:sz w:val="24"/>
          <w:highlight w:val="none"/>
        </w:rPr>
      </w:pPr>
      <w:bookmarkStart w:id="31" w:name="_Toc8578"/>
      <w:bookmarkStart w:id="32" w:name="_Toc26495"/>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电子响应文件未按规定时间上传的或数据电子备份投标文件（U 盘）超过投标</w:t>
      </w:r>
      <w:bookmarkEnd w:id="31"/>
      <w:bookmarkEnd w:id="32"/>
    </w:p>
    <w:p>
      <w:pPr>
        <w:keepNext w:val="0"/>
        <w:keepLines w:val="0"/>
        <w:pageBreakBefore w:val="0"/>
        <w:widowControl w:val="0"/>
        <w:kinsoku/>
        <w:wordWrap/>
        <w:overflowPunct/>
        <w:topLinePunct w:val="0"/>
        <w:bidi w:val="0"/>
        <w:snapToGrid w:val="0"/>
        <w:spacing w:line="460" w:lineRule="exact"/>
        <w:textAlignment w:val="auto"/>
        <w:outlineLvl w:val="2"/>
        <w:rPr>
          <w:rFonts w:hint="eastAsia" w:ascii="仿宋" w:hAnsi="仿宋" w:eastAsia="仿宋" w:cs="仿宋"/>
          <w:color w:val="auto"/>
          <w:sz w:val="24"/>
          <w:highlight w:val="none"/>
        </w:rPr>
      </w:pPr>
      <w:bookmarkStart w:id="33" w:name="_Toc22764"/>
      <w:bookmarkStart w:id="34" w:name="_Toc14521"/>
      <w:r>
        <w:rPr>
          <w:rFonts w:hint="eastAsia" w:ascii="仿宋" w:hAnsi="仿宋" w:eastAsia="仿宋" w:cs="仿宋"/>
          <w:color w:val="auto"/>
          <w:sz w:val="24"/>
          <w:highlight w:val="none"/>
        </w:rPr>
        <w:t>截止时间送达、递交的；</w:t>
      </w:r>
      <w:bookmarkEnd w:id="33"/>
      <w:bookmarkEnd w:id="34"/>
    </w:p>
    <w:p>
      <w:pPr>
        <w:keepNext w:val="0"/>
        <w:keepLines w:val="0"/>
        <w:pageBreakBefore w:val="0"/>
        <w:widowControl w:val="0"/>
        <w:kinsoku/>
        <w:wordWrap/>
        <w:overflowPunct/>
        <w:topLinePunct w:val="0"/>
        <w:bidi w:val="0"/>
        <w:snapToGrid w:val="0"/>
        <w:spacing w:line="460" w:lineRule="exact"/>
        <w:textAlignment w:val="auto"/>
        <w:outlineLvl w:val="2"/>
        <w:rPr>
          <w:rFonts w:hint="eastAsia" w:ascii="仿宋" w:hAnsi="仿宋" w:eastAsia="仿宋" w:cs="仿宋"/>
          <w:color w:val="auto"/>
          <w:sz w:val="24"/>
          <w:highlight w:val="none"/>
        </w:rPr>
      </w:pPr>
      <w:bookmarkStart w:id="35" w:name="_Toc32751"/>
      <w:bookmarkStart w:id="36" w:name="_Toc19526"/>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整个开标过程中若因投标人问题造成电子响应文件无法正常解密的，均认定为</w:t>
      </w:r>
      <w:bookmarkEnd w:id="35"/>
      <w:bookmarkEnd w:id="36"/>
      <w:bookmarkStart w:id="37" w:name="_Toc8877"/>
      <w:bookmarkStart w:id="38" w:name="_Toc27777"/>
      <w:r>
        <w:rPr>
          <w:rFonts w:hint="eastAsia" w:ascii="仿宋" w:hAnsi="仿宋" w:eastAsia="仿宋" w:cs="仿宋"/>
          <w:color w:val="auto"/>
          <w:sz w:val="24"/>
          <w:highlight w:val="none"/>
        </w:rPr>
        <w:t>未提交电子响应文件，作无效标处理。若因网络或者其他非投标人问题造成电子响应文件无法正常解密的，启用数据电子备份响应文件（U 盘）。若正常解密成功，则数据电子备份响应文件（U盘）不予开启。在下一顺位的响应文件启用时，前一顺位的响应文件自动失效。</w:t>
      </w:r>
      <w:bookmarkEnd w:id="37"/>
      <w:bookmarkEnd w:id="38"/>
    </w:p>
    <w:p>
      <w:pPr>
        <w:keepNext w:val="0"/>
        <w:keepLines w:val="0"/>
        <w:pageBreakBefore w:val="0"/>
        <w:widowControl w:val="0"/>
        <w:kinsoku/>
        <w:wordWrap/>
        <w:overflowPunct/>
        <w:topLinePunct w:val="0"/>
        <w:autoSpaceDE/>
        <w:autoSpaceDN/>
        <w:bidi w:val="0"/>
        <w:adjustRightInd/>
        <w:snapToGrid w:val="0"/>
        <w:spacing w:line="460" w:lineRule="exact"/>
        <w:textAlignment w:val="auto"/>
        <w:outlineLvl w:val="2"/>
        <w:rPr>
          <w:rFonts w:hint="eastAsia" w:ascii="仿宋" w:hAnsi="仿宋" w:eastAsia="仿宋" w:cs="仿宋"/>
          <w:b/>
          <w:color w:val="auto"/>
          <w:sz w:val="24"/>
          <w:szCs w:val="20"/>
          <w:highlight w:val="none"/>
        </w:rPr>
      </w:pPr>
      <w:bookmarkStart w:id="39" w:name="_Toc10037"/>
      <w:bookmarkStart w:id="40" w:name="_Toc13471"/>
      <w:r>
        <w:rPr>
          <w:rFonts w:hint="eastAsia" w:ascii="仿宋" w:hAnsi="仿宋" w:eastAsia="仿宋" w:cs="仿宋"/>
          <w:b/>
          <w:color w:val="auto"/>
          <w:sz w:val="24"/>
          <w:highlight w:val="none"/>
        </w:rPr>
        <w:t>（七）投标无效的情形</w:t>
      </w:r>
      <w:bookmarkEnd w:id="39"/>
      <w:bookmarkEnd w:id="40"/>
    </w:p>
    <w:p>
      <w:pPr>
        <w:pStyle w:val="13"/>
        <w:keepNext w:val="0"/>
        <w:keepLines w:val="0"/>
        <w:pageBreakBefore w:val="0"/>
        <w:widowControl w:val="0"/>
        <w:kinsoku/>
        <w:wordWrap/>
        <w:overflowPunct/>
        <w:topLinePunct w:val="0"/>
        <w:autoSpaceDE/>
        <w:autoSpaceDN/>
        <w:bidi w:val="0"/>
        <w:adjustRightInd/>
        <w:snapToGrid w:val="0"/>
        <w:spacing w:line="460" w:lineRule="exact"/>
        <w:ind w:firstLine="233" w:firstLineChars="100"/>
        <w:textAlignment w:val="auto"/>
        <w:outlineLvl w:val="1"/>
        <w:rPr>
          <w:rFonts w:hint="eastAsia" w:ascii="仿宋" w:hAnsi="仿宋" w:eastAsia="仿宋" w:cs="仿宋"/>
          <w:color w:val="auto"/>
          <w:sz w:val="24"/>
          <w:highlight w:val="none"/>
        </w:rPr>
      </w:pPr>
      <w:bookmarkStart w:id="41" w:name="_Toc15656"/>
      <w:bookmarkStart w:id="42" w:name="_Toc21295"/>
      <w:r>
        <w:rPr>
          <w:rFonts w:hint="eastAsia" w:ascii="仿宋" w:hAnsi="仿宋" w:eastAsia="仿宋" w:cs="仿宋"/>
          <w:color w:val="auto"/>
          <w:sz w:val="24"/>
          <w:highlight w:val="none"/>
        </w:rPr>
        <w:t>实质上没有响应招标文件要求的投标将被视为无效投标。在评审时，如发现下列情形之一的，投标文件将被视为无效：</w:t>
      </w:r>
      <w:bookmarkEnd w:id="41"/>
      <w:bookmarkEnd w:id="42"/>
    </w:p>
    <w:p>
      <w:pPr>
        <w:pStyle w:val="13"/>
        <w:keepNext w:val="0"/>
        <w:keepLines w:val="0"/>
        <w:pageBreakBefore w:val="0"/>
        <w:widowControl w:val="0"/>
        <w:kinsoku/>
        <w:wordWrap/>
        <w:overflowPunct/>
        <w:topLinePunct w:val="0"/>
        <w:autoSpaceDE/>
        <w:autoSpaceDN/>
        <w:bidi w:val="0"/>
        <w:adjustRightInd/>
        <w:snapToGrid w:val="0"/>
        <w:spacing w:line="460" w:lineRule="exact"/>
        <w:ind w:firstLine="233" w:firstLineChars="100"/>
        <w:textAlignment w:val="auto"/>
        <w:outlineLvl w:val="1"/>
        <w:rPr>
          <w:rFonts w:hint="eastAsia" w:ascii="仿宋" w:hAnsi="仿宋" w:eastAsia="仿宋" w:cs="仿宋"/>
          <w:color w:val="auto"/>
          <w:sz w:val="24"/>
          <w:highlight w:val="none"/>
        </w:rPr>
      </w:pPr>
      <w:bookmarkStart w:id="43" w:name="_Toc3346"/>
      <w:bookmarkStart w:id="44" w:name="_Toc5427"/>
      <w:r>
        <w:rPr>
          <w:rFonts w:hint="eastAsia" w:ascii="仿宋" w:hAnsi="仿宋" w:eastAsia="仿宋" w:cs="仿宋"/>
          <w:color w:val="auto"/>
          <w:sz w:val="24"/>
          <w:highlight w:val="none"/>
        </w:rPr>
        <w:t>1、在资格审查时，如发现下列情形之一的，投标文件将被视为无效：</w:t>
      </w:r>
      <w:bookmarkEnd w:id="43"/>
      <w:bookmarkEnd w:id="44"/>
    </w:p>
    <w:p>
      <w:pPr>
        <w:widowControl/>
        <w:tabs>
          <w:tab w:val="left" w:pos="801"/>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（1）未提供有效的营业执照、税务登记证、组织机构代码证或“三证合一”的营业执照或“五证合一”的营业执照的；</w:t>
      </w:r>
    </w:p>
    <w:p>
      <w:pPr>
        <w:widowControl/>
        <w:tabs>
          <w:tab w:val="left" w:pos="801"/>
        </w:tabs>
        <w:spacing w:line="360" w:lineRule="auto"/>
        <w:jc w:val="left"/>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（2）未提供法定代表人身份证明书或其授权代理人的授权委托书及身份证明的；</w:t>
      </w:r>
    </w:p>
    <w:p>
      <w:pPr>
        <w:widowControl/>
        <w:tabs>
          <w:tab w:val="left" w:pos="801"/>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（3）未提供授权代理人提供近三个月中任意一个月的社保证明得；</w:t>
      </w:r>
    </w:p>
    <w:p>
      <w:pPr>
        <w:widowControl/>
        <w:tabs>
          <w:tab w:val="left" w:pos="801"/>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（4）未提供供应商近三个月中任意一个月依法缴纳税收和社保费的证明的；</w:t>
      </w:r>
    </w:p>
    <w:p>
      <w:pPr>
        <w:widowControl/>
        <w:tabs>
          <w:tab w:val="left" w:pos="801"/>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（5）未提供自磋商公告发布之日起至磋商截止日前任意时间的“信用中国”网站（www.creditchina.gov.cn）、中国政府采购网（www.ccgp.gov.cn） 磋商供应商信用查询网页截图的；</w:t>
      </w:r>
    </w:p>
    <w:p>
      <w:pPr>
        <w:widowControl/>
        <w:tabs>
          <w:tab w:val="left" w:pos="801"/>
        </w:tabs>
        <w:spacing w:line="360" w:lineRule="auto"/>
        <w:jc w:val="left"/>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（6）被“信用中国”（www.creditchina.gov.cn）、中国政府采购网（www.ccgp.gov.cn）列入失信被执行人、重大税收违法案件当事人名单、政府采购严重违法失信行为记录名单的</w:t>
      </w:r>
      <w:r>
        <w:rPr>
          <w:rFonts w:hint="eastAsia" w:ascii="仿宋" w:hAnsi="仿宋" w:eastAsia="仿宋" w:cs="仿宋"/>
          <w:color w:val="auto"/>
          <w:sz w:val="24"/>
          <w:highlight w:val="none"/>
          <w:lang w:eastAsia="zh-CN"/>
        </w:rPr>
        <w:t>；</w:t>
      </w:r>
    </w:p>
    <w:p>
      <w:pPr>
        <w:pStyle w:val="13"/>
        <w:snapToGrid w:val="0"/>
        <w:spacing w:line="400" w:lineRule="exact"/>
        <w:ind w:left="0" w:leftChars="0" w:firstLine="0" w:firstLineChars="0"/>
        <w:outlineLvl w:val="1"/>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7</w:t>
      </w:r>
      <w:r>
        <w:rPr>
          <w:rFonts w:hint="eastAsia" w:ascii="仿宋" w:hAnsi="仿宋" w:eastAsia="仿宋" w:cs="仿宋"/>
          <w:b w:val="0"/>
          <w:bCs w:val="0"/>
          <w:color w:val="auto"/>
          <w:sz w:val="24"/>
          <w:highlight w:val="none"/>
        </w:rPr>
        <w:t>）未</w:t>
      </w:r>
      <w:bookmarkStart w:id="45" w:name="_Toc26513"/>
      <w:bookmarkStart w:id="46" w:name="_Toc2083"/>
      <w:r>
        <w:rPr>
          <w:rFonts w:hint="eastAsia" w:ascii="仿宋" w:hAnsi="仿宋" w:eastAsia="仿宋" w:cs="仿宋"/>
          <w:b w:val="0"/>
          <w:bCs w:val="0"/>
          <w:color w:val="auto"/>
          <w:sz w:val="24"/>
          <w:highlight w:val="none"/>
          <w:lang w:val="en-US" w:eastAsia="zh-CN"/>
        </w:rPr>
        <w:t>按资格文件要求提供相应证明文件的</w:t>
      </w:r>
      <w:r>
        <w:rPr>
          <w:rFonts w:hint="eastAsia" w:ascii="仿宋" w:hAnsi="仿宋" w:eastAsia="仿宋" w:cs="仿宋"/>
          <w:b w:val="0"/>
          <w:bCs w:val="0"/>
          <w:color w:val="auto"/>
          <w:sz w:val="24"/>
          <w:highlight w:val="none"/>
          <w:lang w:eastAsia="zh-CN"/>
        </w:rPr>
        <w:t>；</w:t>
      </w:r>
      <w:bookmarkEnd w:id="45"/>
      <w:bookmarkEnd w:id="46"/>
    </w:p>
    <w:p>
      <w:pPr>
        <w:pStyle w:val="13"/>
        <w:keepNext w:val="0"/>
        <w:keepLines w:val="0"/>
        <w:pageBreakBefore w:val="0"/>
        <w:widowControl w:val="0"/>
        <w:kinsoku/>
        <w:wordWrap/>
        <w:overflowPunct/>
        <w:topLinePunct w:val="0"/>
        <w:autoSpaceDE/>
        <w:autoSpaceDN/>
        <w:bidi w:val="0"/>
        <w:adjustRightInd/>
        <w:snapToGrid w:val="0"/>
        <w:spacing w:line="460" w:lineRule="exact"/>
        <w:ind w:firstLine="233" w:firstLineChars="100"/>
        <w:textAlignment w:val="auto"/>
        <w:outlineLvl w:val="1"/>
        <w:rPr>
          <w:rFonts w:hint="eastAsia" w:ascii="仿宋" w:hAnsi="仿宋" w:eastAsia="仿宋" w:cs="仿宋"/>
          <w:color w:val="auto"/>
          <w:sz w:val="24"/>
          <w:highlight w:val="none"/>
        </w:rPr>
      </w:pPr>
      <w:bookmarkStart w:id="47" w:name="_Toc4772"/>
      <w:bookmarkStart w:id="48" w:name="_Toc13881"/>
      <w:r>
        <w:rPr>
          <w:rFonts w:hint="eastAsia" w:ascii="仿宋" w:hAnsi="仿宋" w:eastAsia="仿宋" w:cs="仿宋"/>
          <w:color w:val="auto"/>
          <w:sz w:val="24"/>
          <w:highlight w:val="none"/>
        </w:rPr>
        <w:t>3、在技术评审时，如发现下列情形之一的，投标文件将被视为无效：</w:t>
      </w:r>
      <w:bookmarkEnd w:id="47"/>
      <w:bookmarkEnd w:id="48"/>
    </w:p>
    <w:p>
      <w:pPr>
        <w:pStyle w:val="13"/>
        <w:keepNext w:val="0"/>
        <w:keepLines w:val="0"/>
        <w:pageBreakBefore w:val="0"/>
        <w:widowControl w:val="0"/>
        <w:kinsoku/>
        <w:wordWrap/>
        <w:overflowPunct/>
        <w:topLinePunct w:val="0"/>
        <w:autoSpaceDE/>
        <w:autoSpaceDN/>
        <w:bidi w:val="0"/>
        <w:adjustRightInd/>
        <w:snapToGrid w:val="0"/>
        <w:spacing w:line="460" w:lineRule="exact"/>
        <w:ind w:firstLine="0"/>
        <w:textAlignment w:val="auto"/>
        <w:outlineLvl w:val="1"/>
        <w:rPr>
          <w:rFonts w:hint="eastAsia" w:ascii="仿宋" w:hAnsi="仿宋" w:eastAsia="仿宋" w:cs="仿宋"/>
          <w:b w:val="0"/>
          <w:bCs w:val="0"/>
          <w:color w:val="auto"/>
          <w:sz w:val="24"/>
          <w:highlight w:val="none"/>
        </w:rPr>
      </w:pPr>
      <w:bookmarkStart w:id="49" w:name="_Toc21970"/>
      <w:bookmarkStart w:id="50" w:name="_Toc16843"/>
      <w:r>
        <w:rPr>
          <w:rFonts w:hint="eastAsia" w:ascii="仿宋" w:hAnsi="仿宋" w:eastAsia="仿宋" w:cs="仿宋"/>
          <w:b w:val="0"/>
          <w:bCs w:val="0"/>
          <w:color w:val="auto"/>
          <w:sz w:val="24"/>
          <w:highlight w:val="none"/>
        </w:rPr>
        <w:t>（1）与招标文件中标“▲”的服务指标、主要服务要求发生实质性偏离的；</w:t>
      </w:r>
      <w:bookmarkEnd w:id="49"/>
      <w:bookmarkEnd w:id="50"/>
    </w:p>
    <w:p>
      <w:pPr>
        <w:pStyle w:val="13"/>
        <w:keepNext w:val="0"/>
        <w:keepLines w:val="0"/>
        <w:pageBreakBefore w:val="0"/>
        <w:widowControl w:val="0"/>
        <w:kinsoku/>
        <w:wordWrap/>
        <w:overflowPunct/>
        <w:topLinePunct w:val="0"/>
        <w:autoSpaceDE/>
        <w:autoSpaceDN/>
        <w:bidi w:val="0"/>
        <w:adjustRightInd/>
        <w:snapToGrid w:val="0"/>
        <w:spacing w:line="460" w:lineRule="exact"/>
        <w:ind w:firstLine="0"/>
        <w:textAlignment w:val="auto"/>
        <w:outlineLvl w:val="1"/>
        <w:rPr>
          <w:rFonts w:hint="eastAsia" w:ascii="仿宋" w:hAnsi="仿宋" w:eastAsia="仿宋" w:cs="仿宋"/>
          <w:b w:val="0"/>
          <w:bCs w:val="0"/>
          <w:color w:val="auto"/>
          <w:sz w:val="24"/>
          <w:highlight w:val="none"/>
        </w:rPr>
      </w:pPr>
      <w:bookmarkStart w:id="51" w:name="_Toc17031"/>
      <w:bookmarkStart w:id="52" w:name="_Toc32328"/>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2</w:t>
      </w:r>
      <w:r>
        <w:rPr>
          <w:rFonts w:hint="eastAsia" w:ascii="仿宋" w:hAnsi="仿宋" w:eastAsia="仿宋" w:cs="仿宋"/>
          <w:b w:val="0"/>
          <w:bCs w:val="0"/>
          <w:color w:val="auto"/>
          <w:sz w:val="24"/>
          <w:highlight w:val="none"/>
        </w:rPr>
        <w:t>）投标项目方案不明确，存在一个或一个以上备选（替代）投标方案且未注明哪个有效的；</w:t>
      </w:r>
      <w:bookmarkEnd w:id="51"/>
      <w:bookmarkEnd w:id="52"/>
    </w:p>
    <w:p>
      <w:pPr>
        <w:pStyle w:val="13"/>
        <w:keepNext w:val="0"/>
        <w:keepLines w:val="0"/>
        <w:pageBreakBefore w:val="0"/>
        <w:widowControl w:val="0"/>
        <w:kinsoku/>
        <w:wordWrap/>
        <w:overflowPunct/>
        <w:topLinePunct w:val="0"/>
        <w:autoSpaceDE/>
        <w:autoSpaceDN/>
        <w:bidi w:val="0"/>
        <w:adjustRightInd/>
        <w:snapToGrid w:val="0"/>
        <w:spacing w:line="460" w:lineRule="exact"/>
        <w:ind w:firstLine="0"/>
        <w:textAlignment w:val="auto"/>
        <w:outlineLvl w:val="1"/>
        <w:rPr>
          <w:rFonts w:hint="eastAsia" w:ascii="仿宋" w:hAnsi="仿宋" w:eastAsia="仿宋" w:cs="仿宋"/>
          <w:b w:val="0"/>
          <w:bCs w:val="0"/>
          <w:color w:val="auto"/>
          <w:sz w:val="24"/>
          <w:highlight w:val="none"/>
        </w:rPr>
      </w:pPr>
      <w:bookmarkStart w:id="53" w:name="_Toc12636"/>
      <w:bookmarkStart w:id="54" w:name="_Toc26412"/>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3</w:t>
      </w:r>
      <w:r>
        <w:rPr>
          <w:rFonts w:hint="eastAsia" w:ascii="仿宋" w:hAnsi="仿宋" w:eastAsia="仿宋" w:cs="仿宋"/>
          <w:b w:val="0"/>
          <w:bCs w:val="0"/>
          <w:color w:val="auto"/>
          <w:sz w:val="24"/>
          <w:highlight w:val="none"/>
        </w:rPr>
        <w:t>）项目方案不符合项目需求或不具有操作性的。</w:t>
      </w:r>
      <w:bookmarkEnd w:id="53"/>
      <w:bookmarkEnd w:id="54"/>
    </w:p>
    <w:p>
      <w:pPr>
        <w:pStyle w:val="13"/>
        <w:keepNext w:val="0"/>
        <w:keepLines w:val="0"/>
        <w:pageBreakBefore w:val="0"/>
        <w:widowControl w:val="0"/>
        <w:kinsoku/>
        <w:wordWrap/>
        <w:overflowPunct/>
        <w:topLinePunct w:val="0"/>
        <w:autoSpaceDE/>
        <w:autoSpaceDN/>
        <w:bidi w:val="0"/>
        <w:adjustRightInd/>
        <w:snapToGrid w:val="0"/>
        <w:spacing w:line="460" w:lineRule="exact"/>
        <w:ind w:firstLine="0"/>
        <w:textAlignment w:val="auto"/>
        <w:outlineLvl w:val="1"/>
        <w:rPr>
          <w:rFonts w:hint="eastAsia" w:ascii="仿宋" w:hAnsi="仿宋" w:eastAsia="仿宋" w:cs="仿宋"/>
          <w:color w:val="auto"/>
          <w:sz w:val="24"/>
          <w:highlight w:val="none"/>
        </w:rPr>
      </w:pPr>
      <w:bookmarkStart w:id="55" w:name="_Toc4388"/>
      <w:bookmarkStart w:id="56" w:name="_Toc19307"/>
      <w:r>
        <w:rPr>
          <w:rFonts w:hint="eastAsia" w:ascii="仿宋" w:hAnsi="仿宋" w:eastAsia="仿宋" w:cs="仿宋"/>
          <w:color w:val="auto"/>
          <w:sz w:val="24"/>
          <w:highlight w:val="none"/>
        </w:rPr>
        <w:t>4、在价格评审时，如发现下列情形之一的，投标文件将被视为无效：</w:t>
      </w:r>
      <w:bookmarkEnd w:id="55"/>
      <w:bookmarkEnd w:id="56"/>
    </w:p>
    <w:p>
      <w:pPr>
        <w:pStyle w:val="13"/>
        <w:keepNext w:val="0"/>
        <w:keepLines w:val="0"/>
        <w:pageBreakBefore w:val="0"/>
        <w:widowControl w:val="0"/>
        <w:kinsoku/>
        <w:wordWrap/>
        <w:overflowPunct/>
        <w:topLinePunct w:val="0"/>
        <w:autoSpaceDE/>
        <w:autoSpaceDN/>
        <w:bidi w:val="0"/>
        <w:adjustRightInd/>
        <w:snapToGrid w:val="0"/>
        <w:spacing w:line="460" w:lineRule="exact"/>
        <w:ind w:firstLine="0"/>
        <w:textAlignment w:val="auto"/>
        <w:outlineLvl w:val="1"/>
        <w:rPr>
          <w:rFonts w:hint="eastAsia" w:ascii="仿宋" w:hAnsi="仿宋" w:eastAsia="仿宋" w:cs="仿宋"/>
          <w:b w:val="0"/>
          <w:bCs w:val="0"/>
          <w:color w:val="auto"/>
          <w:sz w:val="24"/>
          <w:highlight w:val="none"/>
        </w:rPr>
      </w:pPr>
      <w:bookmarkStart w:id="57" w:name="_Toc31048"/>
      <w:bookmarkStart w:id="58" w:name="_Toc26168"/>
      <w:r>
        <w:rPr>
          <w:rFonts w:hint="eastAsia" w:ascii="仿宋" w:hAnsi="仿宋" w:eastAsia="仿宋" w:cs="仿宋"/>
          <w:b w:val="0"/>
          <w:bCs w:val="0"/>
          <w:color w:val="auto"/>
          <w:sz w:val="24"/>
          <w:highlight w:val="none"/>
        </w:rPr>
        <w:t>（1）未采用人民币报价或者未按照招标文件标明的币种报价的；</w:t>
      </w:r>
      <w:bookmarkEnd w:id="57"/>
      <w:bookmarkEnd w:id="58"/>
    </w:p>
    <w:p>
      <w:pPr>
        <w:pStyle w:val="13"/>
        <w:keepNext w:val="0"/>
        <w:keepLines w:val="0"/>
        <w:pageBreakBefore w:val="0"/>
        <w:widowControl w:val="0"/>
        <w:kinsoku/>
        <w:wordWrap/>
        <w:overflowPunct/>
        <w:topLinePunct w:val="0"/>
        <w:autoSpaceDE/>
        <w:autoSpaceDN/>
        <w:bidi w:val="0"/>
        <w:adjustRightInd/>
        <w:snapToGrid w:val="0"/>
        <w:spacing w:line="460" w:lineRule="exact"/>
        <w:ind w:firstLine="0"/>
        <w:textAlignment w:val="auto"/>
        <w:outlineLvl w:val="1"/>
        <w:rPr>
          <w:rFonts w:hint="eastAsia" w:ascii="仿宋" w:hAnsi="仿宋" w:eastAsia="仿宋" w:cs="仿宋"/>
          <w:b w:val="0"/>
          <w:bCs w:val="0"/>
          <w:color w:val="auto"/>
          <w:sz w:val="24"/>
          <w:highlight w:val="none"/>
        </w:rPr>
      </w:pPr>
      <w:bookmarkStart w:id="59" w:name="_Toc24057"/>
      <w:bookmarkStart w:id="60" w:name="_Toc31172"/>
      <w:r>
        <w:rPr>
          <w:rFonts w:hint="eastAsia" w:ascii="仿宋" w:hAnsi="仿宋" w:eastAsia="仿宋" w:cs="仿宋"/>
          <w:b w:val="0"/>
          <w:bCs w:val="0"/>
          <w:color w:val="auto"/>
          <w:sz w:val="24"/>
          <w:highlight w:val="none"/>
        </w:rPr>
        <w:t>（2）报价超出最高限价(自主创新产品除外)的；</w:t>
      </w:r>
      <w:bookmarkEnd w:id="59"/>
      <w:bookmarkEnd w:id="60"/>
    </w:p>
    <w:p>
      <w:pPr>
        <w:pStyle w:val="13"/>
        <w:keepNext w:val="0"/>
        <w:keepLines w:val="0"/>
        <w:pageBreakBefore w:val="0"/>
        <w:widowControl w:val="0"/>
        <w:kinsoku/>
        <w:wordWrap/>
        <w:overflowPunct/>
        <w:topLinePunct w:val="0"/>
        <w:autoSpaceDE/>
        <w:autoSpaceDN/>
        <w:bidi w:val="0"/>
        <w:adjustRightInd/>
        <w:snapToGrid w:val="0"/>
        <w:spacing w:line="460" w:lineRule="exact"/>
        <w:ind w:firstLine="0"/>
        <w:textAlignment w:val="auto"/>
        <w:outlineLvl w:val="1"/>
        <w:rPr>
          <w:rFonts w:hint="eastAsia" w:ascii="仿宋" w:hAnsi="仿宋" w:eastAsia="仿宋" w:cs="仿宋"/>
          <w:b w:val="0"/>
          <w:bCs w:val="0"/>
          <w:color w:val="auto"/>
          <w:sz w:val="24"/>
          <w:highlight w:val="none"/>
        </w:rPr>
      </w:pPr>
      <w:bookmarkStart w:id="61" w:name="_Toc489"/>
      <w:bookmarkStart w:id="62" w:name="_Toc8072"/>
      <w:r>
        <w:rPr>
          <w:rFonts w:hint="eastAsia" w:ascii="仿宋" w:hAnsi="仿宋" w:eastAsia="仿宋" w:cs="仿宋"/>
          <w:b w:val="0"/>
          <w:bCs w:val="0"/>
          <w:color w:val="auto"/>
          <w:sz w:val="24"/>
          <w:highlight w:val="none"/>
        </w:rPr>
        <w:t>（3）投标报价具有选择性，且未注明哪个有效的；</w:t>
      </w:r>
      <w:bookmarkEnd w:id="61"/>
      <w:bookmarkEnd w:id="62"/>
    </w:p>
    <w:p>
      <w:pPr>
        <w:pStyle w:val="13"/>
        <w:keepNext w:val="0"/>
        <w:keepLines w:val="0"/>
        <w:pageBreakBefore w:val="0"/>
        <w:widowControl w:val="0"/>
        <w:kinsoku/>
        <w:wordWrap/>
        <w:overflowPunct/>
        <w:topLinePunct w:val="0"/>
        <w:autoSpaceDE/>
        <w:autoSpaceDN/>
        <w:bidi w:val="0"/>
        <w:adjustRightInd/>
        <w:snapToGrid w:val="0"/>
        <w:spacing w:line="460" w:lineRule="exact"/>
        <w:ind w:firstLine="0"/>
        <w:textAlignment w:val="auto"/>
        <w:outlineLvl w:val="1"/>
        <w:rPr>
          <w:rFonts w:hint="eastAsia" w:ascii="仿宋" w:hAnsi="仿宋" w:eastAsia="仿宋" w:cs="仿宋"/>
          <w:b w:val="0"/>
          <w:bCs w:val="0"/>
          <w:color w:val="auto"/>
          <w:sz w:val="24"/>
          <w:highlight w:val="none"/>
        </w:rPr>
      </w:pPr>
      <w:bookmarkStart w:id="63" w:name="_Toc10309"/>
      <w:bookmarkStart w:id="64" w:name="_Toc25578"/>
      <w:r>
        <w:rPr>
          <w:rFonts w:hint="eastAsia" w:ascii="仿宋" w:hAnsi="仿宋" w:eastAsia="仿宋" w:cs="仿宋"/>
          <w:b w:val="0"/>
          <w:bCs w:val="0"/>
          <w:color w:val="auto"/>
          <w:sz w:val="24"/>
          <w:highlight w:val="none"/>
        </w:rPr>
        <w:t>（4）投标报价出现前后不一致且不同意按照招标文件规定的方法进行修正的；</w:t>
      </w:r>
      <w:bookmarkEnd w:id="63"/>
      <w:bookmarkEnd w:id="64"/>
    </w:p>
    <w:p>
      <w:pPr>
        <w:pStyle w:val="13"/>
        <w:keepNext w:val="0"/>
        <w:keepLines w:val="0"/>
        <w:pageBreakBefore w:val="0"/>
        <w:widowControl w:val="0"/>
        <w:kinsoku/>
        <w:wordWrap/>
        <w:overflowPunct/>
        <w:topLinePunct w:val="0"/>
        <w:autoSpaceDE/>
        <w:autoSpaceDN/>
        <w:bidi w:val="0"/>
        <w:adjustRightInd/>
        <w:snapToGrid w:val="0"/>
        <w:spacing w:line="460" w:lineRule="exact"/>
        <w:ind w:firstLine="0"/>
        <w:textAlignment w:val="auto"/>
        <w:outlineLvl w:val="1"/>
        <w:rPr>
          <w:rFonts w:hint="eastAsia" w:ascii="仿宋" w:hAnsi="仿宋" w:eastAsia="仿宋" w:cs="仿宋"/>
          <w:b w:val="0"/>
          <w:bCs w:val="0"/>
          <w:color w:val="auto"/>
          <w:sz w:val="24"/>
          <w:highlight w:val="none"/>
        </w:rPr>
      </w:pPr>
      <w:bookmarkStart w:id="65" w:name="_Toc4327"/>
      <w:bookmarkStart w:id="66" w:name="_Toc17958"/>
      <w:r>
        <w:rPr>
          <w:rFonts w:hint="eastAsia" w:ascii="仿宋" w:hAnsi="仿宋" w:eastAsia="仿宋" w:cs="仿宋"/>
          <w:b w:val="0"/>
          <w:bCs w:val="0"/>
          <w:color w:val="auto"/>
          <w:sz w:val="24"/>
          <w:highlight w:val="none"/>
        </w:rPr>
        <w:t>（5）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可以当将其作为无效投标处理。</w:t>
      </w:r>
      <w:bookmarkEnd w:id="65"/>
      <w:bookmarkEnd w:id="66"/>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color w:val="auto"/>
          <w:sz w:val="24"/>
          <w:highlight w:val="none"/>
        </w:rPr>
      </w:pPr>
      <w:bookmarkStart w:id="67" w:name="_Toc29096"/>
      <w:bookmarkStart w:id="68" w:name="_Toc15266"/>
      <w:r>
        <w:rPr>
          <w:rFonts w:hint="eastAsia" w:ascii="仿宋" w:hAnsi="仿宋" w:eastAsia="仿宋" w:cs="仿宋"/>
          <w:color w:val="auto"/>
          <w:sz w:val="24"/>
          <w:highlight w:val="none"/>
        </w:rPr>
        <w:t>5、投标人串通投标的，投标无效。</w:t>
      </w:r>
      <w:bookmarkEnd w:id="67"/>
      <w:bookmarkEnd w:id="68"/>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color w:val="auto"/>
          <w:sz w:val="24"/>
          <w:highlight w:val="none"/>
        </w:rPr>
      </w:pPr>
      <w:bookmarkStart w:id="69" w:name="_Toc1527"/>
      <w:bookmarkStart w:id="70" w:name="_Toc30641"/>
      <w:r>
        <w:rPr>
          <w:rFonts w:hint="eastAsia" w:ascii="仿宋" w:hAnsi="仿宋" w:eastAsia="仿宋" w:cs="仿宋"/>
          <w:color w:val="auto"/>
          <w:sz w:val="24"/>
          <w:highlight w:val="none"/>
        </w:rPr>
        <w:t>投标人有以下情形之一的，视为投标人串通投标：</w:t>
      </w:r>
      <w:bookmarkEnd w:id="69"/>
      <w:bookmarkEnd w:id="70"/>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b w:val="0"/>
          <w:bCs w:val="0"/>
          <w:color w:val="auto"/>
          <w:sz w:val="24"/>
          <w:highlight w:val="none"/>
        </w:rPr>
      </w:pPr>
      <w:bookmarkStart w:id="71" w:name="_Toc3677"/>
      <w:bookmarkStart w:id="72" w:name="_Toc7704"/>
      <w:r>
        <w:rPr>
          <w:rFonts w:hint="eastAsia" w:ascii="仿宋" w:hAnsi="仿宋" w:eastAsia="仿宋" w:cs="仿宋"/>
          <w:b w:val="0"/>
          <w:bCs w:val="0"/>
          <w:color w:val="auto"/>
          <w:sz w:val="24"/>
          <w:highlight w:val="none"/>
        </w:rPr>
        <w:t>（1）不同投标人的投标文件由同一单位或者个人编制；</w:t>
      </w:r>
      <w:bookmarkEnd w:id="71"/>
      <w:bookmarkEnd w:id="72"/>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b w:val="0"/>
          <w:bCs w:val="0"/>
          <w:color w:val="auto"/>
          <w:sz w:val="24"/>
          <w:highlight w:val="none"/>
        </w:rPr>
      </w:pPr>
      <w:bookmarkStart w:id="73" w:name="_Toc18613"/>
      <w:bookmarkStart w:id="74" w:name="_Toc11338"/>
      <w:r>
        <w:rPr>
          <w:rFonts w:hint="eastAsia" w:ascii="仿宋" w:hAnsi="仿宋" w:eastAsia="仿宋" w:cs="仿宋"/>
          <w:b w:val="0"/>
          <w:bCs w:val="0"/>
          <w:color w:val="auto"/>
          <w:sz w:val="24"/>
          <w:highlight w:val="none"/>
        </w:rPr>
        <w:t>（2）不同投标人委托同一单位或者个人办理投标事宜；</w:t>
      </w:r>
      <w:bookmarkEnd w:id="73"/>
      <w:bookmarkEnd w:id="74"/>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b w:val="0"/>
          <w:bCs w:val="0"/>
          <w:color w:val="auto"/>
          <w:sz w:val="24"/>
          <w:highlight w:val="none"/>
        </w:rPr>
      </w:pPr>
      <w:bookmarkStart w:id="75" w:name="_Toc2597"/>
      <w:bookmarkStart w:id="76" w:name="_Toc29830"/>
      <w:r>
        <w:rPr>
          <w:rFonts w:hint="eastAsia" w:ascii="仿宋" w:hAnsi="仿宋" w:eastAsia="仿宋" w:cs="仿宋"/>
          <w:b w:val="0"/>
          <w:bCs w:val="0"/>
          <w:color w:val="auto"/>
          <w:sz w:val="24"/>
          <w:highlight w:val="none"/>
        </w:rPr>
        <w:t>（3）不同投标人的投标文件载明的项目管理成员或者联系人员为同一人；</w:t>
      </w:r>
      <w:bookmarkEnd w:id="75"/>
      <w:bookmarkEnd w:id="76"/>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b w:val="0"/>
          <w:bCs w:val="0"/>
          <w:color w:val="auto"/>
          <w:sz w:val="24"/>
          <w:highlight w:val="none"/>
        </w:rPr>
      </w:pPr>
      <w:bookmarkStart w:id="77" w:name="_Toc7863"/>
      <w:bookmarkStart w:id="78" w:name="_Toc29364"/>
      <w:r>
        <w:rPr>
          <w:rFonts w:hint="eastAsia" w:ascii="仿宋" w:hAnsi="仿宋" w:eastAsia="仿宋" w:cs="仿宋"/>
          <w:b w:val="0"/>
          <w:bCs w:val="0"/>
          <w:color w:val="auto"/>
          <w:sz w:val="24"/>
          <w:highlight w:val="none"/>
        </w:rPr>
        <w:t>（4）不同投标人的投标文件异常一致或者投标报价呈规律性差异；</w:t>
      </w:r>
      <w:bookmarkEnd w:id="77"/>
      <w:bookmarkEnd w:id="78"/>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b w:val="0"/>
          <w:bCs w:val="0"/>
          <w:color w:val="auto"/>
          <w:sz w:val="24"/>
          <w:highlight w:val="none"/>
        </w:rPr>
      </w:pPr>
      <w:bookmarkStart w:id="79" w:name="_Toc8279"/>
      <w:bookmarkStart w:id="80" w:name="_Toc7339"/>
      <w:r>
        <w:rPr>
          <w:rFonts w:hint="eastAsia" w:ascii="仿宋" w:hAnsi="仿宋" w:eastAsia="仿宋" w:cs="仿宋"/>
          <w:b w:val="0"/>
          <w:bCs w:val="0"/>
          <w:color w:val="auto"/>
          <w:sz w:val="24"/>
          <w:highlight w:val="none"/>
        </w:rPr>
        <w:t>（5）不同投标人的投标文件相互混装；</w:t>
      </w:r>
      <w:bookmarkEnd w:id="79"/>
      <w:bookmarkEnd w:id="80"/>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color w:val="auto"/>
          <w:sz w:val="24"/>
          <w:highlight w:val="none"/>
        </w:rPr>
      </w:pPr>
      <w:bookmarkStart w:id="81" w:name="_Toc23782"/>
      <w:bookmarkStart w:id="82" w:name="_Toc22635"/>
      <w:r>
        <w:rPr>
          <w:rFonts w:hint="eastAsia" w:ascii="仿宋" w:hAnsi="仿宋" w:eastAsia="仿宋" w:cs="仿宋"/>
          <w:color w:val="auto"/>
          <w:sz w:val="24"/>
          <w:highlight w:val="none"/>
        </w:rPr>
        <w:t>6、法律、法规和招标文件规定的其他无效标情形。</w:t>
      </w:r>
      <w:bookmarkEnd w:id="81"/>
      <w:bookmarkEnd w:id="82"/>
    </w:p>
    <w:p>
      <w:pPr>
        <w:keepNext w:val="0"/>
        <w:keepLines w:val="0"/>
        <w:pageBreakBefore w:val="0"/>
        <w:widowControl w:val="0"/>
        <w:kinsoku/>
        <w:wordWrap/>
        <w:overflowPunct/>
        <w:topLinePunct w:val="0"/>
        <w:autoSpaceDE/>
        <w:autoSpaceDN/>
        <w:bidi w:val="0"/>
        <w:adjustRightInd/>
        <w:snapToGrid w:val="0"/>
        <w:spacing w:line="440" w:lineRule="exact"/>
        <w:textAlignment w:val="auto"/>
        <w:outlineLvl w:val="2"/>
        <w:rPr>
          <w:rFonts w:hint="eastAsia" w:ascii="仿宋" w:hAnsi="仿宋" w:eastAsia="仿宋" w:cs="仿宋"/>
          <w:b/>
          <w:color w:val="auto"/>
          <w:sz w:val="24"/>
          <w:highlight w:val="none"/>
        </w:rPr>
      </w:pPr>
      <w:bookmarkStart w:id="83" w:name="_Toc7903"/>
      <w:bookmarkStart w:id="84" w:name="_Toc18537"/>
      <w:r>
        <w:rPr>
          <w:rFonts w:hint="eastAsia" w:ascii="仿宋" w:hAnsi="仿宋" w:eastAsia="仿宋" w:cs="仿宋"/>
          <w:b/>
          <w:color w:val="auto"/>
          <w:sz w:val="24"/>
          <w:highlight w:val="none"/>
        </w:rPr>
        <w:t>（八）废标的情形</w:t>
      </w:r>
      <w:bookmarkEnd w:id="83"/>
      <w:bookmarkEnd w:id="84"/>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color w:val="auto"/>
          <w:sz w:val="24"/>
          <w:highlight w:val="none"/>
        </w:rPr>
      </w:pPr>
      <w:bookmarkStart w:id="85" w:name="_Toc32294"/>
      <w:bookmarkStart w:id="86" w:name="_Toc24116"/>
      <w:r>
        <w:rPr>
          <w:rFonts w:hint="eastAsia" w:ascii="仿宋" w:hAnsi="仿宋" w:eastAsia="仿宋" w:cs="仿宋"/>
          <w:color w:val="auto"/>
          <w:sz w:val="24"/>
          <w:highlight w:val="none"/>
        </w:rPr>
        <w:t>在招标采购中，出现下列情形之一的，应予废标：</w:t>
      </w:r>
      <w:bookmarkEnd w:id="85"/>
      <w:bookmarkEnd w:id="86"/>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color w:val="auto"/>
          <w:sz w:val="24"/>
          <w:highlight w:val="none"/>
        </w:rPr>
      </w:pPr>
      <w:bookmarkStart w:id="87" w:name="_Toc10536"/>
      <w:bookmarkStart w:id="88" w:name="_Toc8241"/>
      <w:r>
        <w:rPr>
          <w:rFonts w:hint="eastAsia" w:ascii="仿宋" w:hAnsi="仿宋" w:eastAsia="仿宋" w:cs="仿宋"/>
          <w:color w:val="auto"/>
          <w:sz w:val="24"/>
          <w:highlight w:val="none"/>
        </w:rPr>
        <w:t>（1）符合专业条件的</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或者对招标文件作实质性响应的</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不足三家的；</w:t>
      </w:r>
      <w:bookmarkEnd w:id="87"/>
      <w:bookmarkEnd w:id="88"/>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color w:val="auto"/>
          <w:sz w:val="24"/>
          <w:highlight w:val="none"/>
        </w:rPr>
      </w:pPr>
      <w:bookmarkStart w:id="89" w:name="_Toc29194"/>
      <w:bookmarkStart w:id="90" w:name="_Toc25679"/>
      <w:r>
        <w:rPr>
          <w:rFonts w:hint="eastAsia" w:ascii="仿宋" w:hAnsi="仿宋" w:eastAsia="仿宋" w:cs="仿宋"/>
          <w:color w:val="auto"/>
          <w:sz w:val="24"/>
          <w:highlight w:val="none"/>
        </w:rPr>
        <w:t>（2）出现影响采购公正的违法、违规行为的；</w:t>
      </w:r>
      <w:bookmarkEnd w:id="89"/>
      <w:bookmarkEnd w:id="90"/>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color w:val="auto"/>
          <w:sz w:val="24"/>
          <w:highlight w:val="none"/>
        </w:rPr>
      </w:pPr>
      <w:bookmarkStart w:id="91" w:name="_Toc31295"/>
      <w:bookmarkStart w:id="92" w:name="_Toc3901"/>
      <w:r>
        <w:rPr>
          <w:rFonts w:hint="eastAsia" w:ascii="仿宋" w:hAnsi="仿宋" w:eastAsia="仿宋" w:cs="仿宋"/>
          <w:color w:val="auto"/>
          <w:sz w:val="24"/>
          <w:highlight w:val="none"/>
        </w:rPr>
        <w:t>（3）投标人的报价均超过了采购预算，采购人不能支付的；</w:t>
      </w:r>
      <w:bookmarkEnd w:id="91"/>
      <w:bookmarkEnd w:id="92"/>
    </w:p>
    <w:p>
      <w:pPr>
        <w:pStyle w:val="13"/>
        <w:keepNext w:val="0"/>
        <w:keepLines w:val="0"/>
        <w:pageBreakBefore w:val="0"/>
        <w:widowControl w:val="0"/>
        <w:kinsoku/>
        <w:wordWrap/>
        <w:overflowPunct/>
        <w:topLinePunct w:val="0"/>
        <w:autoSpaceDE/>
        <w:autoSpaceDN/>
        <w:bidi w:val="0"/>
        <w:adjustRightInd/>
        <w:snapToGrid w:val="0"/>
        <w:spacing w:line="440" w:lineRule="exact"/>
        <w:ind w:firstLine="0"/>
        <w:textAlignment w:val="auto"/>
        <w:outlineLvl w:val="1"/>
        <w:rPr>
          <w:rFonts w:hint="eastAsia" w:ascii="仿宋" w:hAnsi="仿宋" w:eastAsia="仿宋" w:cs="仿宋"/>
          <w:color w:val="auto"/>
          <w:sz w:val="24"/>
          <w:highlight w:val="none"/>
        </w:rPr>
      </w:pPr>
      <w:bookmarkStart w:id="93" w:name="_Toc11888"/>
      <w:bookmarkStart w:id="94" w:name="_Toc12508"/>
      <w:r>
        <w:rPr>
          <w:rFonts w:hint="eastAsia" w:ascii="仿宋" w:hAnsi="仿宋" w:eastAsia="仿宋" w:cs="仿宋"/>
          <w:color w:val="auto"/>
          <w:sz w:val="24"/>
          <w:highlight w:val="none"/>
        </w:rPr>
        <w:t>（4）因重大变故，采购任务取消的。</w:t>
      </w:r>
      <w:bookmarkEnd w:id="93"/>
      <w:bookmarkEnd w:id="94"/>
      <w:r>
        <w:rPr>
          <w:rFonts w:hint="eastAsia" w:ascii="仿宋" w:hAnsi="仿宋" w:eastAsia="仿宋" w:cs="仿宋"/>
          <w:color w:val="auto"/>
          <w:sz w:val="24"/>
          <w:highlight w:val="none"/>
        </w:rPr>
        <w:t xml:space="preserve"> </w:t>
      </w:r>
    </w:p>
    <w:p>
      <w:pPr>
        <w:keepNext w:val="0"/>
        <w:keepLines w:val="0"/>
        <w:pageBreakBefore w:val="0"/>
        <w:widowControl w:val="0"/>
        <w:kinsoku/>
        <w:wordWrap/>
        <w:overflowPunct/>
        <w:topLinePunct w:val="0"/>
        <w:autoSpaceDE/>
        <w:autoSpaceDN/>
        <w:bidi w:val="0"/>
        <w:adjustRightInd/>
        <w:snapToGrid w:val="0"/>
        <w:spacing w:line="440" w:lineRule="exact"/>
        <w:textAlignment w:val="auto"/>
        <w:outlineLvl w:val="2"/>
        <w:rPr>
          <w:rFonts w:hint="eastAsia" w:ascii="仿宋" w:hAnsi="仿宋" w:eastAsia="仿宋" w:cs="仿宋"/>
          <w:b/>
          <w:color w:val="auto"/>
          <w:sz w:val="24"/>
          <w:highlight w:val="none"/>
        </w:rPr>
      </w:pPr>
      <w:bookmarkStart w:id="95" w:name="_Toc2894"/>
      <w:bookmarkStart w:id="96" w:name="_Toc3081"/>
      <w:r>
        <w:rPr>
          <w:rFonts w:hint="eastAsia" w:ascii="仿宋" w:hAnsi="仿宋" w:eastAsia="仿宋" w:cs="仿宋"/>
          <w:b/>
          <w:color w:val="auto"/>
          <w:sz w:val="24"/>
          <w:highlight w:val="none"/>
        </w:rPr>
        <w:t>（九）出现以下情形，导致电子交易平台无法正常运行，或者无法保证电子交易的公平、公正和安全时，中止电子交易活动：</w:t>
      </w:r>
      <w:bookmarkEnd w:id="95"/>
      <w:bookmarkEnd w:id="96"/>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（1）电子交易平台发生故障而无法登录访问的；</w:t>
      </w: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（2）电子交易平台应用或数据库出现错误，不能进行正常操作的；</w:t>
      </w: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（3）电子交易平台发现严重安全漏洞，有潜在泄密危险的；</w:t>
      </w: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（4）病毒发作导致不能进行正常操作的；</w:t>
      </w: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（5）其他无法保证电子交易的公平、公正和安全的情况。</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bCs/>
          <w:color w:val="auto"/>
          <w:sz w:val="24"/>
          <w:highlight w:val="none"/>
        </w:rPr>
        <w:t>出现前款规定情形，不影响采购公平、公正性的，采购组织机构可以待上述情形消除后继续组织电子交易活动，也可以决定某些环节以纸质形式进行；影响或可能影响采购公平、公正性的，重新采购。</w:t>
      </w:r>
    </w:p>
    <w:p>
      <w:pPr>
        <w:keepNext w:val="0"/>
        <w:keepLines w:val="0"/>
        <w:pageBreakBefore w:val="0"/>
        <w:widowControl w:val="0"/>
        <w:tabs>
          <w:tab w:val="left" w:pos="616"/>
        </w:tabs>
        <w:kinsoku/>
        <w:wordWrap/>
        <w:overflowPunct/>
        <w:topLinePunct w:val="0"/>
        <w:autoSpaceDE/>
        <w:autoSpaceDN/>
        <w:bidi w:val="0"/>
        <w:adjustRightInd/>
        <w:spacing w:line="440" w:lineRule="exact"/>
        <w:jc w:val="left"/>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八、磋商规则、程序</w:t>
      </w: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（一）磋商规则</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1、代理机构将于磋商须知前附表规定的时间和地点召开磋商会，所有</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均应准时参加磋商会。供应商未在规定时间（自线上响应开始或最终报价开始30分钟）内进行线上响应或者最终报价的，事后不得对采购相关人员、开标过程和开标结果提出异议；</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2、磋商会由招标代理机构主持。</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3、对</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的磋商响应文件出现下列情况之一的，按照无效竞标处理：</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3.1磋商响应文件未在磋商截止时间前上传的；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3.2未按照磋商文件规定的要求签署、盖章的；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3.3不具备磋商文件中规定的资格条件要求的；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提交两份或两份以上内容不同的磋商响应文件，或在一份磋商响应文件中对同一采购项目有两个或两个以上报价的；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3.5磋商响应文件载明的采购项目完成期限超过磋商文件规定的期限，采购人不能接受的；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3.6磋商响应文件载明的采购项目磋商有效期、服务质保期少于磋商文件规定期限的；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3.7磋商响应文件未响应磋商文件规定的付款方式的；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3.8磋商响应文件的货物或服务技术规范、技术标准明显不符合国家强制性要求的；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3.9磋商响应文件字迹模糊辨认不清的（磋商小组一致认为难以确认）；</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3.10</w:t>
      </w:r>
      <w:r>
        <w:rPr>
          <w:rFonts w:hint="eastAsia" w:ascii="仿宋" w:hAnsi="仿宋" w:eastAsia="仿宋" w:cs="仿宋"/>
          <w:color w:val="auto"/>
          <w:sz w:val="24"/>
          <w:highlight w:val="none"/>
          <w:lang w:val="zh-CN"/>
        </w:rPr>
        <w:t>供应商未在规定时间内进行在线响应（线解密电子投标文件时间为开标时间起半个小时内）</w:t>
      </w:r>
      <w:r>
        <w:rPr>
          <w:rFonts w:hint="eastAsia" w:ascii="仿宋" w:hAnsi="仿宋" w:eastAsia="仿宋" w:cs="仿宋"/>
          <w:color w:val="auto"/>
          <w:sz w:val="24"/>
          <w:highlight w:val="none"/>
        </w:rPr>
        <w:t>；</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3.12超出经营范围竞标的；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3.13提供不真实资料的；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3.14不符合法律、法规和磋商文件规定的其他实质性要求（磋商小组一致认定）的；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3.15竞标服务的服务指标、参数等存在实质性偏离（磋商小组一致认定）的；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3.16二分之一以上的评委认为供应商报价明显高于市场平均价的；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3.17投标报价超过</w:t>
      </w:r>
      <w:r>
        <w:rPr>
          <w:rFonts w:hint="eastAsia" w:ascii="仿宋" w:hAnsi="仿宋" w:eastAsia="仿宋" w:cs="仿宋"/>
          <w:color w:val="auto"/>
          <w:sz w:val="24"/>
          <w:highlight w:val="none"/>
          <w:lang w:eastAsia="zh-CN"/>
        </w:rPr>
        <w:t>最高限价</w:t>
      </w:r>
      <w:r>
        <w:rPr>
          <w:rFonts w:hint="eastAsia" w:ascii="仿宋" w:hAnsi="仿宋" w:eastAsia="仿宋" w:cs="仿宋"/>
          <w:color w:val="auto"/>
          <w:sz w:val="24"/>
          <w:highlight w:val="none"/>
        </w:rPr>
        <w:t>的；</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3.18法律、法规、规章及省级以上规范性文件等规定的其他情形。 </w:t>
      </w: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（二） 磋商小组与磋商原则</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磋商小组由招标采购单位依法组建，负责磋商活动。磋商小组遵循公开、公平、公正、科学合理，竞争择优的原则。</w:t>
      </w: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（三）磋商过程的保密</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1、磋商会开始后，直至授予成交供应商合同为止，凡属于对磋商响应文件的审查、澄清、评判和比较的有关资料、成交候选供应商的推荐情况及与磋商有关的其他任何情况均依法严格保密。</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2、在磋商响应文件的评判和比较、成交候选供应商推荐以及授予合同的过程中，</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向招标采购单位和磋商小组施加影响的任何行为，都将会导致其磋商被拒绝。</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3、磋商小组分别与各</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进行商务、技术及价格磋商、在磋商过程中，磋商小组成员不得透露其他</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的磋商信息，严守商业秘密。</w:t>
      </w: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（四）磋商响应文件的澄清</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为有助于磋商响应文件的审查、评判和比较，磋商小组可以书面形式要求</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对磋商响应文件含义不明确的内容作必要的澄清或说明，</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应采用书面形式进行澄清、说明或承诺。</w:t>
      </w:r>
    </w:p>
    <w:p>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（五）磋商程序与方法</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1、资格性审查</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磋商小组依据法律、法规和磋商文件规定，对磋商响应文件中的资格证明等进行审查，以确定</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是否具备磋商资格。</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2、初步审查</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磋商小组对通过资格性检查的</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进行符合性检查。依据磋商文件的规定，从磋商响应文件的有效性、完整性和对磋商响应文件的响应程度进行初步审查，以确定是否对磋商文件的实质性要求</w:t>
      </w:r>
      <w:r>
        <w:rPr>
          <w:rFonts w:hint="eastAsia" w:ascii="仿宋" w:hAnsi="仿宋" w:eastAsia="仿宋" w:cs="仿宋"/>
          <w:color w:val="auto"/>
          <w:sz w:val="24"/>
          <w:highlight w:val="none"/>
          <w:lang w:val="en-US" w:eastAsia="zh-CN"/>
        </w:rPr>
        <w:t>做</w:t>
      </w:r>
      <w:r>
        <w:rPr>
          <w:rFonts w:hint="eastAsia" w:ascii="仿宋" w:hAnsi="仿宋" w:eastAsia="仿宋" w:cs="仿宋"/>
          <w:color w:val="auto"/>
          <w:sz w:val="24"/>
          <w:highlight w:val="none"/>
        </w:rPr>
        <w:t>出响应。</w:t>
      </w:r>
    </w:p>
    <w:p>
      <w:pPr>
        <w:keepNext w:val="0"/>
        <w:keepLines w:val="0"/>
        <w:pageBreakBefore w:val="0"/>
        <w:widowControl w:val="0"/>
        <w:kinsoku/>
        <w:wordWrap/>
        <w:overflowPunct/>
        <w:topLinePunct w:val="0"/>
        <w:autoSpaceDE/>
        <w:autoSpaceDN/>
        <w:bidi w:val="0"/>
        <w:adjustRightInd/>
        <w:spacing w:line="440" w:lineRule="exact"/>
        <w:ind w:left="48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3、磋商分二轮或多轮（本项目分二轮报价，即首次报价和最终报价）进行，首次报价在竞标文件中体现；最终报价在磋商结束后由所有参加磋商的竞标人在规定的时间内线上进行报价（时限为30分钟），如该</w:t>
      </w:r>
      <w:r>
        <w:rPr>
          <w:rFonts w:hint="eastAsia" w:ascii="仿宋" w:hAnsi="仿宋" w:eastAsia="仿宋" w:cs="仿宋"/>
          <w:b/>
          <w:color w:val="auto"/>
          <w:sz w:val="24"/>
          <w:highlight w:val="none"/>
          <w:lang w:val="zh-CN"/>
        </w:rPr>
        <w:t>供应商</w:t>
      </w:r>
      <w:r>
        <w:rPr>
          <w:rFonts w:hint="eastAsia" w:ascii="仿宋" w:hAnsi="仿宋" w:eastAsia="仿宋" w:cs="仿宋"/>
          <w:b/>
          <w:color w:val="auto"/>
          <w:sz w:val="24"/>
          <w:highlight w:val="none"/>
        </w:rPr>
        <w:t>成为成交供应商，则该</w:t>
      </w:r>
      <w:r>
        <w:rPr>
          <w:rFonts w:hint="eastAsia" w:ascii="仿宋" w:hAnsi="仿宋" w:eastAsia="仿宋" w:cs="仿宋"/>
          <w:b/>
          <w:color w:val="auto"/>
          <w:sz w:val="24"/>
          <w:highlight w:val="none"/>
          <w:lang w:val="zh-CN"/>
        </w:rPr>
        <w:t>供应商</w:t>
      </w:r>
      <w:r>
        <w:rPr>
          <w:rFonts w:hint="eastAsia" w:ascii="仿宋" w:hAnsi="仿宋" w:eastAsia="仿宋" w:cs="仿宋"/>
          <w:b/>
          <w:color w:val="auto"/>
          <w:sz w:val="24"/>
          <w:highlight w:val="none"/>
        </w:rPr>
        <w:t>的磋商响应文件（含所有补充资料）将作为合同的组成部分。（投标供应商首次报价和最终报价均不得超过</w:t>
      </w:r>
      <w:r>
        <w:rPr>
          <w:rFonts w:hint="eastAsia" w:ascii="仿宋" w:hAnsi="仿宋" w:eastAsia="仿宋" w:cs="仿宋"/>
          <w:b/>
          <w:color w:val="auto"/>
          <w:sz w:val="24"/>
          <w:highlight w:val="none"/>
          <w:lang w:eastAsia="zh-CN"/>
        </w:rPr>
        <w:t>最高限价</w:t>
      </w:r>
      <w:r>
        <w:rPr>
          <w:rFonts w:hint="eastAsia" w:ascii="仿宋" w:hAnsi="仿宋" w:eastAsia="仿宋" w:cs="仿宋"/>
          <w:b/>
          <w:color w:val="auto"/>
          <w:sz w:val="24"/>
          <w:highlight w:val="none"/>
        </w:rPr>
        <w:t>）</w:t>
      </w:r>
      <w:r>
        <w:rPr>
          <w:rFonts w:hint="eastAsia" w:ascii="仿宋" w:hAnsi="仿宋" w:eastAsia="仿宋" w:cs="仿宋"/>
          <w:b/>
          <w:bCs w:val="0"/>
          <w:color w:val="auto"/>
          <w:sz w:val="24"/>
          <w:highlight w:val="none"/>
          <w:lang w:eastAsia="zh-CN"/>
        </w:rPr>
        <w:t>（</w:t>
      </w:r>
      <w:r>
        <w:rPr>
          <w:rFonts w:hint="eastAsia" w:ascii="仿宋" w:hAnsi="仿宋" w:eastAsia="仿宋" w:cs="仿宋"/>
          <w:b/>
          <w:bCs w:val="0"/>
          <w:color w:val="auto"/>
          <w:sz w:val="24"/>
          <w:szCs w:val="24"/>
          <w:highlight w:val="none"/>
        </w:rPr>
        <w:t>公示结束后，中标人必</w:t>
      </w:r>
      <w:r>
        <w:rPr>
          <w:rFonts w:hint="eastAsia" w:ascii="仿宋" w:hAnsi="仿宋" w:eastAsia="仿宋" w:cs="仿宋"/>
          <w:b/>
          <w:bCs w:val="0"/>
          <w:color w:val="auto"/>
          <w:sz w:val="24"/>
          <w:szCs w:val="24"/>
          <w:highlight w:val="none"/>
          <w:lang w:val="en-US" w:eastAsia="zh-CN"/>
        </w:rPr>
        <w:t>需</w:t>
      </w:r>
      <w:r>
        <w:rPr>
          <w:rFonts w:hint="eastAsia" w:ascii="仿宋" w:hAnsi="仿宋" w:eastAsia="仿宋" w:cs="仿宋"/>
          <w:b/>
          <w:bCs w:val="0"/>
          <w:color w:val="auto"/>
          <w:sz w:val="24"/>
          <w:szCs w:val="24"/>
          <w:highlight w:val="none"/>
        </w:rPr>
        <w:t>提供（综合单价根据最终报价在首次报价的基础上同比例调整）的书面文本一正</w:t>
      </w:r>
      <w:r>
        <w:rPr>
          <w:rFonts w:hint="eastAsia" w:ascii="仿宋" w:hAnsi="仿宋" w:eastAsia="仿宋" w:cs="仿宋"/>
          <w:b/>
          <w:bCs w:val="0"/>
          <w:color w:val="auto"/>
          <w:sz w:val="24"/>
          <w:szCs w:val="24"/>
          <w:highlight w:val="none"/>
          <w:lang w:eastAsia="zh-CN"/>
        </w:rPr>
        <w:t>二</w:t>
      </w:r>
      <w:r>
        <w:rPr>
          <w:rFonts w:hint="eastAsia" w:ascii="仿宋" w:hAnsi="仿宋" w:eastAsia="仿宋" w:cs="仿宋"/>
          <w:b/>
          <w:bCs w:val="0"/>
          <w:color w:val="auto"/>
          <w:sz w:val="24"/>
          <w:szCs w:val="24"/>
          <w:highlight w:val="none"/>
        </w:rPr>
        <w:t>副给招标人用于审计及存档。</w:t>
      </w:r>
      <w:r>
        <w:rPr>
          <w:rFonts w:hint="eastAsia" w:ascii="仿宋" w:hAnsi="仿宋" w:eastAsia="仿宋" w:cs="仿宋"/>
          <w:b/>
          <w:bCs w:val="0"/>
          <w:color w:val="auto"/>
          <w:sz w:val="24"/>
          <w:highlight w:val="none"/>
          <w:lang w:eastAsia="zh-CN"/>
        </w:rPr>
        <w:t>）</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4、磋商响应文件计算错误的修正</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4.1  磋商响应文件中磋商报价一览表内容与磋商响应文件中磋商分项报价表内容不一致的，以磋商报价一览表为准；</w:t>
      </w:r>
    </w:p>
    <w:p>
      <w:pPr>
        <w:keepNext w:val="0"/>
        <w:keepLines w:val="0"/>
        <w:pageBreakBefore w:val="0"/>
        <w:widowControl w:val="0"/>
        <w:tabs>
          <w:tab w:val="left" w:pos="720"/>
        </w:tabs>
        <w:kinsoku/>
        <w:wordWrap/>
        <w:overflowPunct/>
        <w:topLinePunct w:val="0"/>
        <w:autoSpaceDE/>
        <w:autoSpaceDN/>
        <w:bidi w:val="0"/>
        <w:adjustRightIn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4.2  磋商响应文件的大写金额和小写金额不一致的，以大写金额为准；</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4.3  总价金额与按单价汇总金额不一致的，以单价金额计算结果为准;</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4.4  单价金额小数点有明显错位的，应以总价为准，并修改单价；</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4.5  对不同文字文本磋商响应文件的解释发生异议的，以中文文本为准。</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5、商务、技术及其他部分磋商结束后，所有</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须按磋商小组要求，在规定时间内将最终报价以在线报价的形式提交。</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6、确定成交供应商</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6.1  在全部满足磋商文件实质性要求的前提下，按综合得分高低确定成交供应商。</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6.2分散采购机构应当在磋商结束后二个工作日内将磋商评审报告送采购人确认。</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6.3采购人应当在收到磋商评审报告后五个工作日内，按照磋商评审报告中推荐的排列顺序依法确定成交供应商。</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6.4替补候选人的设定与使用：第一中标候选人放弃中标或者因不可抗力提出不能履行合同，采购人可以确定第二中标候选人为中标供应商，排名第二的中标候选人因前款同样的原因不能签订合同，采购人可以确定排名第三的中标候选人为中标供应商。</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7、成交公告</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招标代理机构应当在收到采购人书面确定的成交供应商通知后将成交结果在原发布磋商公告的媒体上予以公告。公告期按有关规定执行。</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8、成交通知</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8.1在成交公示期满后，由采购人向成交人发出成交通知书并同时通知落标人；</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8.2成交通知书为双方签订合同的依据；</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8.3成交供应商应根据成交通知书中规定的时间内，由法定代表人或其授权代理人与采购人签订合同。</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9、废标</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在磋商中，出现下列情形之一的，应予废标：</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9.1出现影响采购公正的违法、违规行为的；</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9.2因重大变故，采购任务取消的;</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9.3</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的报价均超</w:t>
      </w:r>
      <w:r>
        <w:rPr>
          <w:rFonts w:hint="eastAsia" w:ascii="仿宋" w:hAnsi="仿宋" w:eastAsia="仿宋" w:cs="仿宋"/>
          <w:color w:val="auto"/>
          <w:sz w:val="24"/>
          <w:highlight w:val="none"/>
          <w:lang w:eastAsia="zh-CN"/>
        </w:rPr>
        <w:t>最高限价</w:t>
      </w:r>
      <w:r>
        <w:rPr>
          <w:rFonts w:hint="eastAsia" w:ascii="仿宋" w:hAnsi="仿宋" w:eastAsia="仿宋" w:cs="仿宋"/>
          <w:color w:val="auto"/>
          <w:sz w:val="24"/>
          <w:highlight w:val="none"/>
        </w:rPr>
        <w:t>的，采购人不能支付的;</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9.4法律、法规、规章等规定的其他情形除外。</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废标后，招标采购单位将废标理由通知所有</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rPr>
        <w:t>。</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本磋商规则及程序只适用于“</w:t>
      </w:r>
      <w:r>
        <w:rPr>
          <w:rFonts w:hint="eastAsia" w:ascii="仿宋" w:hAnsi="仿宋" w:eastAsia="仿宋" w:cs="仿宋"/>
          <w:color w:val="auto"/>
          <w:sz w:val="24"/>
          <w:highlight w:val="none"/>
          <w:lang w:eastAsia="zh-CN"/>
        </w:rPr>
        <w:t xml:space="preserve"> 温州医科大学附属第二医院所有院区小额工程设计服务</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
          <w:bCs/>
          <w:color w:val="auto"/>
          <w:sz w:val="24"/>
          <w:highlight w:val="none"/>
        </w:rPr>
      </w:pPr>
      <w:bookmarkStart w:id="97" w:name="_Toc410379357"/>
      <w:r>
        <w:rPr>
          <w:rFonts w:hint="eastAsia" w:ascii="仿宋" w:hAnsi="仿宋" w:eastAsia="仿宋" w:cs="仿宋"/>
          <w:b/>
          <w:bCs/>
          <w:color w:val="auto"/>
          <w:sz w:val="24"/>
          <w:highlight w:val="none"/>
        </w:rPr>
        <w:t>（六）授予合同</w:t>
      </w:r>
      <w:bookmarkEnd w:id="97"/>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 授予合同的依据</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招标采购单位签发的成交通知书；</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磋商文件、磋商文件的修改及补充通知（函）；</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磋商文件和磋商时</w:t>
      </w:r>
      <w:r>
        <w:rPr>
          <w:rFonts w:hint="eastAsia" w:ascii="仿宋" w:hAnsi="仿宋" w:eastAsia="仿宋" w:cs="仿宋"/>
          <w:color w:val="auto"/>
          <w:sz w:val="24"/>
          <w:highlight w:val="none"/>
          <w:lang w:val="zh-CN"/>
        </w:rPr>
        <w:t>供应商</w:t>
      </w:r>
      <w:r>
        <w:rPr>
          <w:rFonts w:hint="eastAsia" w:ascii="仿宋" w:hAnsi="仿宋" w:eastAsia="仿宋" w:cs="仿宋"/>
          <w:color w:val="auto"/>
          <w:sz w:val="24"/>
          <w:highlight w:val="none"/>
          <w:lang w:val="en-US" w:eastAsia="zh-CN"/>
        </w:rPr>
        <w:t>做</w:t>
      </w:r>
      <w:r>
        <w:rPr>
          <w:rFonts w:hint="eastAsia" w:ascii="仿宋" w:hAnsi="仿宋" w:eastAsia="仿宋" w:cs="仿宋"/>
          <w:color w:val="auto"/>
          <w:sz w:val="24"/>
          <w:highlight w:val="none"/>
        </w:rPr>
        <w:t>出的书面澄清、说明、纠正、承诺等；</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2、合同签订</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成交供应商与采购人应按成交通知书中规定的时间、地点签订合同，否则应承担相应的法律责任。</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磋商文件、成交供应商的磋商响应文件及磋商过程中有关澄清文件和承诺均为合同附件。</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2.3采购人与成交供应商将根据《中华人民共和国</w:t>
      </w:r>
      <w:r>
        <w:rPr>
          <w:rFonts w:hint="eastAsia" w:ascii="仿宋" w:hAnsi="仿宋" w:eastAsia="仿宋" w:cs="仿宋"/>
          <w:color w:val="auto"/>
          <w:sz w:val="24"/>
          <w:highlight w:val="none"/>
          <w:lang w:eastAsia="zh-CN"/>
        </w:rPr>
        <w:t>民法典</w:t>
      </w:r>
      <w:r>
        <w:rPr>
          <w:rFonts w:hint="eastAsia" w:ascii="仿宋" w:hAnsi="仿宋" w:eastAsia="仿宋" w:cs="仿宋"/>
          <w:color w:val="auto"/>
          <w:sz w:val="24"/>
          <w:highlight w:val="none"/>
        </w:rPr>
        <w:t>》的规定，依据磋商文件和成交供应商的磋商响应文件签订书面合同。</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2.4 采购人如不与成交供应商订立合同，或者采购人、成交供应商订立背离合同实质性内容的协议，由政府有关部门责令改正，同时依法承担相应法律责任；</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2.5 成交供应商如不按规定与采购人订立合同，则招标采购单位将废除授标，给招标采购单位造成的损失超过竞标担保数额的，还应当对超过部分予以赔偿，同时依法承担相应法律责任。</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2.6 成交供应商应当按照合同约定履行义务，完成成交项目各项工作，不得将成交项目违法转让（转包）给他人；</w:t>
      </w:r>
    </w:p>
    <w:p>
      <w:pPr>
        <w:keepNext w:val="0"/>
        <w:keepLines w:val="0"/>
        <w:pageBreakBefore w:val="0"/>
        <w:widowControl w:val="0"/>
        <w:tabs>
          <w:tab w:val="left" w:pos="720"/>
        </w:tabs>
        <w:kinsoku/>
        <w:wordWrap/>
        <w:overflowPunct/>
        <w:topLinePunct w:val="0"/>
        <w:autoSpaceDE/>
        <w:autoSpaceDN/>
        <w:bidi w:val="0"/>
        <w:adjustRightInd/>
        <w:snapToGrid/>
        <w:spacing w:line="44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2.7如果成交供应商未能遵守上述2.5条的规定，则可取消其成交资格。在此情况下，可将合同授予排序在成交供应商之后的第一位成交候选供应商。</w:t>
      </w:r>
    </w:p>
    <w:p>
      <w:pPr>
        <w:keepNext w:val="0"/>
        <w:keepLines w:val="0"/>
        <w:pageBreakBefore w:val="0"/>
        <w:widowControl w:val="0"/>
        <w:tabs>
          <w:tab w:val="left" w:pos="720"/>
        </w:tabs>
        <w:kinsoku/>
        <w:wordWrap/>
        <w:overflowPunct/>
        <w:topLinePunct w:val="0"/>
        <w:autoSpaceDE/>
        <w:autoSpaceDN/>
        <w:bidi w:val="0"/>
        <w:adjustRightInd/>
        <w:snapToGrid/>
        <w:spacing w:line="40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 履约保证金</w:t>
      </w:r>
    </w:p>
    <w:p>
      <w:pPr>
        <w:keepNext w:val="0"/>
        <w:keepLines w:val="0"/>
        <w:pageBreakBefore w:val="0"/>
        <w:widowControl w:val="0"/>
        <w:tabs>
          <w:tab w:val="left" w:pos="720"/>
        </w:tabs>
        <w:kinsoku/>
        <w:wordWrap/>
        <w:overflowPunct/>
        <w:topLinePunct w:val="0"/>
        <w:autoSpaceDE/>
        <w:autoSpaceDN/>
        <w:bidi w:val="0"/>
        <w:adjustRightInd/>
        <w:snapToGrid/>
        <w:spacing w:line="40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3.1.成交人应按招标文件确定的履约保证金的金额，向采购单位交纳履约保证金。</w:t>
      </w:r>
    </w:p>
    <w:p>
      <w:pPr>
        <w:keepNext w:val="0"/>
        <w:keepLines w:val="0"/>
        <w:pageBreakBefore w:val="0"/>
        <w:widowControl w:val="0"/>
        <w:tabs>
          <w:tab w:val="left" w:pos="720"/>
        </w:tabs>
        <w:kinsoku/>
        <w:wordWrap/>
        <w:overflowPunct/>
        <w:topLinePunct w:val="0"/>
        <w:autoSpaceDE/>
        <w:autoSpaceDN/>
        <w:bidi w:val="0"/>
        <w:adjustRightInd/>
        <w:snapToGrid/>
        <w:spacing w:line="400" w:lineRule="exact"/>
        <w:ind w:firstLine="616" w:firstLineChars="25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3.2.签订合同后，如成交人不按双方合同约定履约，则没收其全部履约保证金，履约保证金不足以赔偿损失的，按实际损失赔偿。</w:t>
      </w:r>
    </w:p>
    <w:p>
      <w:pPr>
        <w:keepNext w:val="0"/>
        <w:keepLines w:val="0"/>
        <w:pageBreakBefore w:val="0"/>
        <w:widowControl w:val="0"/>
        <w:tabs>
          <w:tab w:val="left" w:pos="720"/>
        </w:tabs>
        <w:kinsoku/>
        <w:wordWrap/>
        <w:overflowPunct/>
        <w:topLinePunct w:val="0"/>
        <w:autoSpaceDE/>
        <w:autoSpaceDN/>
        <w:bidi w:val="0"/>
        <w:adjustRightInd/>
        <w:snapToGrid/>
        <w:spacing w:line="400" w:lineRule="exact"/>
        <w:ind w:firstLine="616" w:firstLineChars="257"/>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3.3.履约保证金在成交人按合同约定交货验收合格后无息退还</w:t>
      </w:r>
      <w:r>
        <w:rPr>
          <w:rFonts w:hint="eastAsia" w:ascii="仿宋" w:hAnsi="仿宋" w:eastAsia="仿宋" w:cs="仿宋"/>
          <w:color w:val="auto"/>
          <w:sz w:val="24"/>
          <w:highlight w:val="none"/>
          <w:lang w:eastAsia="zh-CN"/>
        </w:rPr>
        <w:t>。</w:t>
      </w:r>
    </w:p>
    <w:p>
      <w:pPr>
        <w:pStyle w:val="35"/>
        <w:rPr>
          <w:rFonts w:hint="eastAsia" w:ascii="仿宋" w:hAnsi="仿宋" w:eastAsia="仿宋" w:cs="仿宋"/>
          <w:color w:val="auto"/>
          <w:highlight w:val="none"/>
          <w:lang w:val="en-US" w:eastAsia="zh-CN"/>
        </w:rPr>
      </w:pPr>
    </w:p>
    <w:p>
      <w:pPr>
        <w:pStyle w:val="35"/>
        <w:rPr>
          <w:rFonts w:hint="eastAsia" w:ascii="仿宋" w:hAnsi="仿宋" w:eastAsia="仿宋" w:cs="仿宋"/>
          <w:color w:val="auto"/>
          <w:highlight w:val="none"/>
          <w:lang w:val="en-US" w:eastAsia="zh-CN"/>
        </w:rPr>
      </w:pPr>
    </w:p>
    <w:p>
      <w:pPr>
        <w:pStyle w:val="35"/>
        <w:rPr>
          <w:rFonts w:hint="eastAsia" w:ascii="仿宋" w:hAnsi="仿宋" w:eastAsia="仿宋" w:cs="仿宋"/>
          <w:color w:val="auto"/>
          <w:highlight w:val="none"/>
          <w:lang w:val="en-US" w:eastAsia="zh-CN"/>
        </w:rPr>
      </w:pPr>
    </w:p>
    <w:p>
      <w:pPr>
        <w:pStyle w:val="4"/>
        <w:bidi w:val="0"/>
        <w:jc w:val="both"/>
        <w:rPr>
          <w:rFonts w:hint="eastAsia" w:ascii="仿宋" w:hAnsi="仿宋" w:eastAsia="仿宋" w:cs="仿宋"/>
          <w:color w:val="auto"/>
          <w:highlight w:val="none"/>
          <w:lang w:val="en-US" w:eastAsia="zh-CN"/>
        </w:rPr>
      </w:pPr>
      <w:bookmarkStart w:id="98" w:name="_Toc30547"/>
    </w:p>
    <w:p>
      <w:pPr>
        <w:rPr>
          <w:rFonts w:hint="eastAsia"/>
          <w:color w:val="auto"/>
          <w:highlight w:val="none"/>
          <w:lang w:val="en-US" w:eastAsia="zh-CN"/>
        </w:rPr>
      </w:pPr>
    </w:p>
    <w:p>
      <w:pPr>
        <w:pStyle w:val="3"/>
        <w:rPr>
          <w:rFonts w:hint="eastAsia"/>
          <w:color w:val="auto"/>
          <w:highlight w:val="none"/>
          <w:lang w:val="en-US" w:eastAsia="zh-CN"/>
        </w:rPr>
      </w:pPr>
    </w:p>
    <w:p>
      <w:pPr>
        <w:pStyle w:val="2"/>
        <w:rPr>
          <w:rFonts w:hint="eastAsia"/>
          <w:color w:val="auto"/>
          <w:highlight w:val="none"/>
          <w:lang w:val="en-US" w:eastAsia="zh-CN"/>
        </w:rPr>
      </w:pPr>
    </w:p>
    <w:p>
      <w:pPr>
        <w:pStyle w:val="24"/>
        <w:rPr>
          <w:rFonts w:hint="eastAsia"/>
          <w:color w:val="auto"/>
          <w:highlight w:val="none"/>
          <w:lang w:val="en-US" w:eastAsia="zh-CN"/>
        </w:rPr>
      </w:pPr>
    </w:p>
    <w:p>
      <w:pPr>
        <w:rPr>
          <w:rFonts w:hint="eastAsia"/>
          <w:color w:val="auto"/>
          <w:highlight w:val="none"/>
          <w:lang w:val="en-US" w:eastAsia="zh-CN"/>
        </w:rPr>
      </w:pPr>
    </w:p>
    <w:p>
      <w:pPr>
        <w:pStyle w:val="3"/>
        <w:rPr>
          <w:rFonts w:hint="eastAsia"/>
          <w:color w:val="auto"/>
          <w:highlight w:val="none"/>
          <w:lang w:val="en-US" w:eastAsia="zh-CN"/>
        </w:rPr>
      </w:pPr>
    </w:p>
    <w:p>
      <w:pPr>
        <w:rPr>
          <w:rFonts w:hint="eastAsia"/>
          <w:color w:val="auto"/>
          <w:highlight w:val="none"/>
          <w:lang w:val="en-US" w:eastAsia="zh-CN"/>
        </w:rPr>
      </w:pPr>
    </w:p>
    <w:p>
      <w:pPr>
        <w:pStyle w:val="34"/>
        <w:rPr>
          <w:rFonts w:hint="eastAsia"/>
          <w:color w:val="auto"/>
          <w:highlight w:val="none"/>
          <w:lang w:val="en-US" w:eastAsia="zh-CN"/>
        </w:rPr>
      </w:pPr>
    </w:p>
    <w:p>
      <w:pPr>
        <w:pStyle w:val="4"/>
        <w:bidi w:val="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第四章 评分办法及评分标准</w:t>
      </w:r>
      <w:bookmarkEnd w:id="98"/>
    </w:p>
    <w:p>
      <w:pPr>
        <w:pageBreakBefore w:val="0"/>
        <w:widowControl w:val="0"/>
        <w:kinsoku/>
        <w:wordWrap/>
        <w:overflowPunct/>
        <w:topLinePunct w:val="0"/>
        <w:autoSpaceDE/>
        <w:autoSpaceDN/>
        <w:bidi w:val="0"/>
        <w:adjustRightInd/>
        <w:snapToGrid/>
        <w:spacing w:before="120" w:beforeLines="50" w:after="120" w:afterLines="50" w:line="24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为公正、公平、科学地选择成交人，根据《中华人民共和国政府采购法》等有关法律法规的规定，并结合本项目的实际，制定本办法。</w:t>
      </w:r>
    </w:p>
    <w:p>
      <w:pPr>
        <w:pStyle w:val="2"/>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本办法适用于</w:t>
      </w:r>
      <w:r>
        <w:rPr>
          <w:rFonts w:hint="eastAsia" w:ascii="仿宋" w:hAnsi="仿宋" w:eastAsia="仿宋" w:cs="仿宋"/>
          <w:color w:val="auto"/>
          <w:sz w:val="24"/>
          <w:highlight w:val="none"/>
          <w:u w:val="single"/>
          <w:lang w:eastAsia="zh-CN"/>
        </w:rPr>
        <w:t xml:space="preserve"> 温州医科大学附属第二医院所有院区小额工程设计服务</w:t>
      </w:r>
      <w:r>
        <w:rPr>
          <w:rFonts w:hint="eastAsia" w:ascii="仿宋" w:hAnsi="仿宋" w:eastAsia="仿宋" w:cs="仿宋"/>
          <w:color w:val="auto"/>
          <w:sz w:val="24"/>
          <w:highlight w:val="none"/>
        </w:rPr>
        <w:t>的评标。</w:t>
      </w:r>
    </w:p>
    <w:p>
      <w:pPr>
        <w:pageBreakBefore w:val="0"/>
        <w:widowControl w:val="0"/>
        <w:kinsoku/>
        <w:wordWrap/>
        <w:overflowPunct/>
        <w:topLinePunct w:val="0"/>
        <w:autoSpaceDE/>
        <w:autoSpaceDN/>
        <w:bidi w:val="0"/>
        <w:adjustRightInd/>
        <w:snapToGrid/>
        <w:spacing w:before="156" w:beforeLines="50" w:after="156" w:afterLines="50" w:line="240" w:lineRule="auto"/>
        <w:ind w:firstLine="472" w:firstLineChars="196"/>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一、总则</w:t>
      </w:r>
    </w:p>
    <w:p>
      <w:pPr>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color w:val="auto"/>
          <w:sz w:val="24"/>
          <w:highlight w:val="none"/>
        </w:rPr>
        <w:t>本次评标采用综合评分法，</w:t>
      </w:r>
      <w:r>
        <w:rPr>
          <w:rFonts w:hint="eastAsia" w:ascii="仿宋" w:hAnsi="仿宋" w:eastAsia="仿宋" w:cs="仿宋"/>
          <w:b/>
          <w:color w:val="auto"/>
          <w:sz w:val="24"/>
          <w:highlight w:val="none"/>
        </w:rPr>
        <w:t>总分为100分，其中价格分</w:t>
      </w: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0分、技术、商务</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资信及其他部分</w:t>
      </w:r>
      <w:r>
        <w:rPr>
          <w:rFonts w:hint="eastAsia" w:ascii="仿宋" w:hAnsi="仿宋" w:eastAsia="仿宋" w:cs="仿宋"/>
          <w:b/>
          <w:color w:val="auto"/>
          <w:sz w:val="24"/>
          <w:highlight w:val="none"/>
          <w:lang w:val="en-US" w:eastAsia="zh-CN"/>
        </w:rPr>
        <w:t>80</w:t>
      </w:r>
      <w:r>
        <w:rPr>
          <w:rFonts w:hint="eastAsia" w:ascii="仿宋" w:hAnsi="仿宋" w:eastAsia="仿宋" w:cs="仿宋"/>
          <w:b/>
          <w:color w:val="auto"/>
          <w:sz w:val="24"/>
          <w:highlight w:val="none"/>
        </w:rPr>
        <w:t>分</w:t>
      </w:r>
      <w:r>
        <w:rPr>
          <w:rFonts w:hint="eastAsia" w:ascii="仿宋" w:hAnsi="仿宋" w:eastAsia="仿宋" w:cs="仿宋"/>
          <w:color w:val="auto"/>
          <w:sz w:val="24"/>
          <w:highlight w:val="none"/>
        </w:rPr>
        <w:t>。合格投标人的评标得分为各项目汇总得分。本项目由采购人授权的评标委员会直接确定中标人。</w:t>
      </w:r>
      <w:r>
        <w:rPr>
          <w:rFonts w:hint="eastAsia" w:ascii="仿宋" w:hAnsi="仿宋" w:eastAsia="仿宋" w:cs="仿宋"/>
          <w:bCs/>
          <w:color w:val="auto"/>
          <w:sz w:val="24"/>
          <w:highlight w:val="none"/>
        </w:rPr>
        <w:t>评分过程中采用四舍五入法，并保留小数2位。</w:t>
      </w:r>
    </w:p>
    <w:p>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bCs/>
          <w:color w:val="auto"/>
          <w:sz w:val="24"/>
          <w:highlight w:val="none"/>
        </w:rPr>
        <w:t>各投标人最终得分=技术分、商务分和资信及其他分得分+价格分得分。</w:t>
      </w:r>
    </w:p>
    <w:p>
      <w:pPr>
        <w:keepNext w:val="0"/>
        <w:keepLines w:val="0"/>
        <w:pageBreakBefore w:val="0"/>
        <w:widowControl w:val="0"/>
        <w:kinsoku/>
        <w:wordWrap/>
        <w:overflowPunct/>
        <w:topLinePunct w:val="0"/>
        <w:autoSpaceDE/>
        <w:autoSpaceDN/>
        <w:bidi w:val="0"/>
        <w:adjustRightInd/>
        <w:snapToGrid/>
        <w:spacing w:before="156" w:beforeLines="50" w:after="156" w:afterLines="50" w:line="240"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二、评标内容及标准</w:t>
      </w:r>
    </w:p>
    <w:p>
      <w:pPr>
        <w:keepNext w:val="0"/>
        <w:keepLines w:val="0"/>
        <w:pageBreakBefore w:val="0"/>
        <w:widowControl w:val="0"/>
        <w:kinsoku/>
        <w:wordWrap/>
        <w:overflowPunct/>
        <w:topLinePunct w:val="0"/>
        <w:autoSpaceDE/>
        <w:autoSpaceDN/>
        <w:bidi w:val="0"/>
        <w:adjustRightInd/>
        <w:snapToGrid/>
        <w:spacing w:line="240" w:lineRule="auto"/>
        <w:ind w:firstLine="472" w:firstLineChars="196"/>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（一）</w:t>
      </w:r>
      <w:r>
        <w:rPr>
          <w:rFonts w:hint="eastAsia" w:ascii="仿宋" w:hAnsi="仿宋" w:eastAsia="仿宋" w:cs="仿宋"/>
          <w:b/>
          <w:color w:val="auto"/>
          <w:sz w:val="24"/>
          <w:highlight w:val="none"/>
        </w:rPr>
        <w:t>价格分</w:t>
      </w: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0分</w:t>
      </w:r>
    </w:p>
    <w:p>
      <w:pPr>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价格分采用低价优先法计算，即满足招标文件要求且投标价格最低的投标报价为评标基准价，其他投标人的价格分按照下列公式计算：</w:t>
      </w:r>
    </w:p>
    <w:p>
      <w:pPr>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报价得分=（评标基准价/投标报价）×</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rPr>
        <w:t>0%×100</w:t>
      </w:r>
    </w:p>
    <w:p>
      <w:pPr>
        <w:spacing w:before="156" w:beforeLines="50" w:after="156" w:afterLines="50" w:line="240" w:lineRule="auto"/>
        <w:ind w:firstLine="482" w:firstLineChars="200"/>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eastAsia="zh-CN"/>
        </w:rPr>
        <w:t>二</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val="en-US" w:eastAsia="zh-CN"/>
        </w:rPr>
        <w:t>技术、</w:t>
      </w:r>
      <w:r>
        <w:rPr>
          <w:rFonts w:hint="eastAsia" w:ascii="仿宋" w:hAnsi="仿宋" w:eastAsia="仿宋" w:cs="仿宋"/>
          <w:b/>
          <w:bCs w:val="0"/>
          <w:color w:val="auto"/>
          <w:sz w:val="24"/>
          <w:highlight w:val="none"/>
        </w:rPr>
        <w:t>商务、资信及其他分</w:t>
      </w:r>
      <w:r>
        <w:rPr>
          <w:rFonts w:hint="eastAsia" w:ascii="仿宋" w:hAnsi="仿宋" w:eastAsia="仿宋" w:cs="仿宋"/>
          <w:b/>
          <w:bCs w:val="0"/>
          <w:color w:val="auto"/>
          <w:sz w:val="24"/>
          <w:highlight w:val="none"/>
          <w:lang w:val="en-US" w:eastAsia="zh-CN"/>
        </w:rPr>
        <w:t>80</w:t>
      </w:r>
      <w:r>
        <w:rPr>
          <w:rFonts w:hint="eastAsia" w:ascii="仿宋" w:hAnsi="仿宋" w:eastAsia="仿宋" w:cs="仿宋"/>
          <w:b/>
          <w:bCs w:val="0"/>
          <w:color w:val="auto"/>
          <w:sz w:val="24"/>
          <w:highlight w:val="none"/>
        </w:rPr>
        <w:t>分</w:t>
      </w:r>
    </w:p>
    <w:tbl>
      <w:tblPr>
        <w:tblStyle w:val="30"/>
        <w:tblpPr w:leftFromText="180" w:rightFromText="180" w:vertAnchor="text" w:horzAnchor="page" w:tblpXSpec="center" w:tblpY="648"/>
        <w:tblOverlap w:val="never"/>
        <w:tblW w:w="969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5"/>
        <w:gridCol w:w="1381"/>
        <w:gridCol w:w="6275"/>
        <w:gridCol w:w="13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2" w:hRule="atLeast"/>
        </w:trPr>
        <w:tc>
          <w:tcPr>
            <w:tcW w:w="675"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1381"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评审内容</w:t>
            </w:r>
          </w:p>
        </w:tc>
        <w:tc>
          <w:tcPr>
            <w:tcW w:w="6275"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评分标准</w:t>
            </w:r>
          </w:p>
        </w:tc>
        <w:tc>
          <w:tcPr>
            <w:tcW w:w="1368"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2" w:hRule="atLeast"/>
        </w:trPr>
        <w:tc>
          <w:tcPr>
            <w:tcW w:w="675"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w:t>
            </w:r>
          </w:p>
        </w:tc>
        <w:tc>
          <w:tcPr>
            <w:tcW w:w="1381" w:type="dxa"/>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对本项目背景、概况的研究</w:t>
            </w:r>
          </w:p>
        </w:tc>
        <w:tc>
          <w:tcPr>
            <w:tcW w:w="6275" w:type="dxa"/>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对本项目背景和基本概况的理解程度进行打分.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内容完整、理解程度较高的2-4分；</w:t>
            </w:r>
          </w:p>
          <w:p>
            <w:pPr>
              <w:jc w:val="lef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内容不完整、理解程度一般的0-2分。</w:t>
            </w:r>
          </w:p>
        </w:tc>
        <w:tc>
          <w:tcPr>
            <w:tcW w:w="1368" w:type="dxa"/>
            <w:noWrap w:val="0"/>
            <w:tcMar>
              <w:top w:w="0" w:type="dxa"/>
              <w:left w:w="108" w:type="dxa"/>
              <w:bottom w:w="0" w:type="dxa"/>
              <w:right w:w="108" w:type="dxa"/>
            </w:tcMar>
            <w:vAlign w:val="center"/>
          </w:tcPr>
          <w:p>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0-4分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2" w:hRule="atLeast"/>
        </w:trPr>
        <w:tc>
          <w:tcPr>
            <w:tcW w:w="675" w:type="dxa"/>
            <w:vMerge w:val="restart"/>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2</w:t>
            </w:r>
          </w:p>
        </w:tc>
        <w:tc>
          <w:tcPr>
            <w:tcW w:w="1381" w:type="dxa"/>
            <w:vMerge w:val="restart"/>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设计理念</w:t>
            </w:r>
          </w:p>
        </w:tc>
        <w:tc>
          <w:tcPr>
            <w:tcW w:w="6275" w:type="dxa"/>
            <w:tcBorders>
              <w:bottom w:val="single" w:color="auto" w:sz="4" w:space="0"/>
            </w:tcBorders>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与医疗设备配合方面的设计是否具有先进性、科学性、合理性，满足医院使用需求。以上方案缺项提供的该项不得分。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方案的先进性0-2分；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方案的科学性0-2分；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方案的合理性0-2分；</w:t>
            </w:r>
          </w:p>
          <w:p>
            <w:pPr>
              <w:jc w:val="lef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方案满足医院使用需求0-2分。</w:t>
            </w:r>
          </w:p>
        </w:tc>
        <w:tc>
          <w:tcPr>
            <w:tcW w:w="1368" w:type="dxa"/>
            <w:tcBorders>
              <w:bottom w:val="single" w:color="auto" w:sz="4" w:space="0"/>
            </w:tcBorders>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0-8</w:t>
            </w:r>
            <w:r>
              <w:rPr>
                <w:rFonts w:hint="eastAsia" w:ascii="仿宋" w:hAnsi="仿宋" w:eastAsia="仿宋" w:cs="仿宋"/>
                <w:color w:val="auto"/>
                <w:szCs w:val="21"/>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2" w:hRule="atLeast"/>
        </w:trPr>
        <w:tc>
          <w:tcPr>
            <w:tcW w:w="675" w:type="dxa"/>
            <w:vMerge w:val="continue"/>
            <w:tcBorders>
              <w:bottom w:val="single" w:color="auto" w:sz="4" w:space="0"/>
            </w:tcBorders>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p>
        </w:tc>
        <w:tc>
          <w:tcPr>
            <w:tcW w:w="1381" w:type="dxa"/>
            <w:vMerge w:val="continue"/>
            <w:tcBorders>
              <w:bottom w:val="single" w:color="auto" w:sz="4" w:space="0"/>
            </w:tcBorders>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p>
        </w:tc>
        <w:tc>
          <w:tcPr>
            <w:tcW w:w="6275" w:type="dxa"/>
            <w:tcBorders>
              <w:bottom w:val="single" w:color="auto" w:sz="4" w:space="0"/>
            </w:tcBorders>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针对医院医疗流程的方面的设计是否具有先进性、科学性、合理性，满足医院使用需求。以上方案缺项提供的该项不得分。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方案的先进性0-2分；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方案的科学性0-2分；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方案的合理性0-2分；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方案满足医院使用需求0-2分。</w:t>
            </w:r>
          </w:p>
        </w:tc>
        <w:tc>
          <w:tcPr>
            <w:tcW w:w="1368" w:type="dxa"/>
            <w:tcBorders>
              <w:bottom w:val="single" w:color="auto" w:sz="4" w:space="0"/>
            </w:tcBorders>
            <w:noWrap w:val="0"/>
            <w:tcMar>
              <w:top w:w="0" w:type="dxa"/>
              <w:left w:w="108" w:type="dxa"/>
              <w:bottom w:w="0" w:type="dxa"/>
              <w:right w:w="108" w:type="dxa"/>
            </w:tcMar>
            <w:vAlign w:val="center"/>
          </w:tcPr>
          <w:p>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61" w:hRule="atLeast"/>
        </w:trPr>
        <w:tc>
          <w:tcPr>
            <w:tcW w:w="675" w:type="dxa"/>
            <w:tcBorders>
              <w:top w:val="single" w:color="auto" w:sz="4" w:space="0"/>
            </w:tcBorders>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w:t>
            </w:r>
          </w:p>
        </w:tc>
        <w:tc>
          <w:tcPr>
            <w:tcW w:w="1381" w:type="dxa"/>
            <w:tcBorders>
              <w:top w:val="single" w:color="auto" w:sz="4" w:space="0"/>
            </w:tcBorders>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工作计划及 </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进度安排 </w:t>
            </w:r>
          </w:p>
        </w:tc>
        <w:tc>
          <w:tcPr>
            <w:tcW w:w="6275" w:type="dxa"/>
            <w:tcBorders>
              <w:top w:val="single" w:color="auto" w:sz="4" w:space="0"/>
            </w:tcBorders>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根据提供的需求内容，制定的工作计划及进度安排是否详实、合理。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设计工作计划、设计质量保证措施合理的，得4-6分；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设计工作计划、设计质量保证措施基本合理的，得2-4分；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设计工作计划、设计质量保证措施一般的，得0-2分。</w:t>
            </w:r>
          </w:p>
        </w:tc>
        <w:tc>
          <w:tcPr>
            <w:tcW w:w="1368" w:type="dxa"/>
            <w:tcBorders>
              <w:top w:val="single" w:color="auto" w:sz="4" w:space="0"/>
            </w:tcBorders>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0-6</w:t>
            </w:r>
            <w:r>
              <w:rPr>
                <w:rFonts w:hint="eastAsia" w:ascii="仿宋" w:hAnsi="仿宋" w:eastAsia="仿宋" w:cs="仿宋"/>
                <w:color w:val="auto"/>
                <w:szCs w:val="21"/>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5" w:hRule="atLeast"/>
        </w:trPr>
        <w:tc>
          <w:tcPr>
            <w:tcW w:w="675"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4</w:t>
            </w:r>
          </w:p>
        </w:tc>
        <w:tc>
          <w:tcPr>
            <w:tcW w:w="1381" w:type="dxa"/>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合理化建议</w:t>
            </w:r>
          </w:p>
        </w:tc>
        <w:tc>
          <w:tcPr>
            <w:tcW w:w="6275" w:type="dxa"/>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对工程涉及重点难点、存在主要问题及建议的合理性和科学性。 </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方案科学、合理的，分析到位的得6-8分；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方案较为科学、合理的，分析基本到位的得4-6分；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方案较简单的，得2-4分。</w:t>
            </w:r>
          </w:p>
          <w:p>
            <w:pPr>
              <w:jc w:val="lef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方案内容不完整，无法打到要求的得0-2分。</w:t>
            </w:r>
          </w:p>
        </w:tc>
        <w:tc>
          <w:tcPr>
            <w:tcW w:w="1368"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0-8</w:t>
            </w:r>
            <w:r>
              <w:rPr>
                <w:rFonts w:hint="eastAsia" w:ascii="仿宋" w:hAnsi="仿宋" w:eastAsia="仿宋" w:cs="仿宋"/>
                <w:color w:val="auto"/>
                <w:szCs w:val="21"/>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5" w:hRule="atLeast"/>
        </w:trPr>
        <w:tc>
          <w:tcPr>
            <w:tcW w:w="675"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w:t>
            </w:r>
          </w:p>
        </w:tc>
        <w:tc>
          <w:tcPr>
            <w:tcW w:w="1381" w:type="dxa"/>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后续服务保 </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证措施 </w:t>
            </w:r>
          </w:p>
        </w:tc>
        <w:tc>
          <w:tcPr>
            <w:tcW w:w="6275" w:type="dxa"/>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供应商为做好本项目服务的措施是否全面、合理。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方案科学、合理的，全面到位的得4-6分；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方案较为科学、合理的，基本全面到位的得2-4分；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方案较简单的，得0-2分。 </w:t>
            </w:r>
          </w:p>
        </w:tc>
        <w:tc>
          <w:tcPr>
            <w:tcW w:w="1368" w:type="dxa"/>
            <w:noWrap w:val="0"/>
            <w:tcMar>
              <w:top w:w="0" w:type="dxa"/>
              <w:left w:w="108" w:type="dxa"/>
              <w:bottom w:w="0" w:type="dxa"/>
              <w:right w:w="108" w:type="dxa"/>
            </w:tcMar>
            <w:vAlign w:val="center"/>
          </w:tcPr>
          <w:p>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5" w:hRule="atLeast"/>
        </w:trPr>
        <w:tc>
          <w:tcPr>
            <w:tcW w:w="675" w:type="dxa"/>
            <w:noWrap w:val="0"/>
            <w:tcMar>
              <w:top w:w="0" w:type="dxa"/>
              <w:left w:w="108" w:type="dxa"/>
              <w:bottom w:w="0" w:type="dxa"/>
              <w:right w:w="108" w:type="dxa"/>
            </w:tcMar>
            <w:vAlign w:val="center"/>
          </w:tcPr>
          <w:p>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c>
          <w:tcPr>
            <w:tcW w:w="1381" w:type="dxa"/>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采购需求响应满足性</w:t>
            </w:r>
          </w:p>
        </w:tc>
        <w:tc>
          <w:tcPr>
            <w:tcW w:w="6275" w:type="dxa"/>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1.承诺在接到单个设计任务后，每个设计完成时间不超过20天得8分；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2.承诺以下内容得5分。服务至设计范围内的工程竣工验收合格且结算审核、审计完成，并承担工程缺陷责任期内设计服务责任与义务。包括：施工图设计、现场服务、竣工验收等全过程提供规范服务。</w:t>
            </w:r>
          </w:p>
        </w:tc>
        <w:tc>
          <w:tcPr>
            <w:tcW w:w="1368" w:type="dxa"/>
            <w:noWrap w:val="0"/>
            <w:tcMar>
              <w:top w:w="0" w:type="dxa"/>
              <w:left w:w="108" w:type="dxa"/>
              <w:bottom w:w="0" w:type="dxa"/>
              <w:right w:w="108" w:type="dxa"/>
            </w:tcMar>
            <w:vAlign w:val="center"/>
          </w:tcPr>
          <w:p>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0-13分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90" w:hRule="atLeast"/>
        </w:trPr>
        <w:tc>
          <w:tcPr>
            <w:tcW w:w="675" w:type="dxa"/>
            <w:noWrap w:val="0"/>
            <w:tcMar>
              <w:top w:w="0" w:type="dxa"/>
              <w:left w:w="108" w:type="dxa"/>
              <w:bottom w:w="0" w:type="dxa"/>
              <w:right w:w="108" w:type="dxa"/>
            </w:tcMar>
            <w:vAlign w:val="center"/>
          </w:tcPr>
          <w:p>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tc>
        <w:tc>
          <w:tcPr>
            <w:tcW w:w="1381" w:type="dxa"/>
            <w:noWrap w:val="0"/>
            <w:tcMar>
              <w:top w:w="0" w:type="dxa"/>
              <w:left w:w="108" w:type="dxa"/>
              <w:bottom w:w="0" w:type="dxa"/>
              <w:right w:w="108" w:type="dxa"/>
            </w:tcMar>
            <w:vAlign w:val="center"/>
          </w:tcPr>
          <w:p>
            <w:pPr>
              <w:jc w:val="lef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企业综合能力及人员</w:t>
            </w:r>
          </w:p>
        </w:tc>
        <w:tc>
          <w:tcPr>
            <w:tcW w:w="6275" w:type="dxa"/>
            <w:noWrap w:val="0"/>
            <w:tcMar>
              <w:top w:w="0" w:type="dxa"/>
              <w:left w:w="108" w:type="dxa"/>
              <w:bottom w:w="0" w:type="dxa"/>
              <w:right w:w="108" w:type="dxa"/>
            </w:tcMar>
            <w:vAlign w:val="center"/>
          </w:tcPr>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根据企业综合能力、针对本项目的人员配备（固定项目负责人）等情况进行评分。</w:t>
            </w:r>
          </w:p>
          <w:p>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企业综合能力0-2分；</w:t>
            </w:r>
          </w:p>
          <w:p>
            <w:pPr>
              <w:jc w:val="lef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人员配备情况0-4分。</w:t>
            </w:r>
          </w:p>
        </w:tc>
        <w:tc>
          <w:tcPr>
            <w:tcW w:w="1368" w:type="dxa"/>
            <w:noWrap w:val="0"/>
            <w:tcMar>
              <w:top w:w="0" w:type="dxa"/>
              <w:left w:w="108" w:type="dxa"/>
              <w:bottom w:w="0" w:type="dxa"/>
              <w:right w:w="108" w:type="dxa"/>
            </w:tcMar>
            <w:vAlign w:val="center"/>
          </w:tcPr>
          <w:p>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7" w:hRule="atLeast"/>
        </w:trPr>
        <w:tc>
          <w:tcPr>
            <w:tcW w:w="675"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8</w:t>
            </w:r>
          </w:p>
        </w:tc>
        <w:tc>
          <w:tcPr>
            <w:tcW w:w="1381"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企业业绩</w:t>
            </w:r>
          </w:p>
        </w:tc>
        <w:tc>
          <w:tcPr>
            <w:tcW w:w="6275" w:type="dxa"/>
            <w:noWrap w:val="0"/>
            <w:tcMar>
              <w:top w:w="0" w:type="dxa"/>
              <w:left w:w="108" w:type="dxa"/>
              <w:bottom w:w="0" w:type="dxa"/>
              <w:right w:w="108" w:type="dxa"/>
            </w:tcMar>
            <w:vAlign w:val="center"/>
          </w:tcPr>
          <w:p>
            <w:pPr>
              <w:jc w:val="lef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要求2017年1月1日至今承担过医院类建筑、装修、改造工程设计（项目负责人相关医疗专业及医疗流程设计业绩），每提供一个得1分，最高得3分。</w:t>
            </w:r>
          </w:p>
          <w:p>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注：提供合同或中标通知书复印件并加盖公章。</w:t>
            </w:r>
          </w:p>
        </w:tc>
        <w:tc>
          <w:tcPr>
            <w:tcW w:w="1368"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1" w:hRule="atLeast"/>
        </w:trPr>
        <w:tc>
          <w:tcPr>
            <w:tcW w:w="675" w:type="dxa"/>
            <w:noWrap w:val="0"/>
            <w:tcMar>
              <w:top w:w="0" w:type="dxa"/>
              <w:left w:w="108" w:type="dxa"/>
              <w:bottom w:w="0" w:type="dxa"/>
              <w:right w:w="108" w:type="dxa"/>
            </w:tcMar>
            <w:vAlign w:val="center"/>
          </w:tcPr>
          <w:p>
            <w:pPr>
              <w:jc w:val="center"/>
              <w:rPr>
                <w:rFonts w:hint="eastAsia" w:ascii="仿宋" w:hAnsi="仿宋" w:eastAsia="仿宋" w:cs="仿宋"/>
                <w:strike/>
                <w:color w:val="auto"/>
                <w:szCs w:val="21"/>
                <w:highlight w:val="none"/>
                <w:lang w:eastAsia="zh-CN"/>
              </w:rPr>
            </w:pPr>
            <w:r>
              <w:rPr>
                <w:rFonts w:hint="eastAsia" w:ascii="仿宋" w:hAnsi="仿宋" w:eastAsia="仿宋" w:cs="仿宋"/>
                <w:color w:val="auto"/>
                <w:szCs w:val="21"/>
                <w:highlight w:val="none"/>
                <w:lang w:val="en-US" w:eastAsia="zh-CN"/>
              </w:rPr>
              <w:t>9</w:t>
            </w:r>
          </w:p>
        </w:tc>
        <w:tc>
          <w:tcPr>
            <w:tcW w:w="1381" w:type="dxa"/>
            <w:noWrap w:val="0"/>
            <w:tcMar>
              <w:top w:w="0" w:type="dxa"/>
              <w:left w:w="108" w:type="dxa"/>
              <w:bottom w:w="0" w:type="dxa"/>
              <w:right w:w="108" w:type="dxa"/>
            </w:tcMar>
            <w:vAlign w:val="center"/>
          </w:tcPr>
          <w:p>
            <w:pPr>
              <w:spacing w:line="460" w:lineRule="exact"/>
              <w:jc w:val="center"/>
              <w:rPr>
                <w:rFonts w:hint="eastAsia" w:ascii="仿宋" w:hAnsi="仿宋" w:eastAsia="仿宋" w:cs="仿宋"/>
                <w:strike/>
                <w:color w:val="auto"/>
                <w:szCs w:val="21"/>
                <w:highlight w:val="none"/>
              </w:rPr>
            </w:pPr>
            <w:r>
              <w:rPr>
                <w:rFonts w:hint="eastAsia" w:ascii="仿宋" w:hAnsi="仿宋" w:eastAsia="仿宋" w:cs="仿宋"/>
                <w:color w:val="auto"/>
                <w:szCs w:val="21"/>
                <w:highlight w:val="none"/>
              </w:rPr>
              <w:t>企业权威认证</w:t>
            </w:r>
          </w:p>
        </w:tc>
        <w:tc>
          <w:tcPr>
            <w:tcW w:w="6275" w:type="dxa"/>
            <w:noWrap w:val="0"/>
            <w:tcMar>
              <w:top w:w="0" w:type="dxa"/>
              <w:left w:w="108" w:type="dxa"/>
              <w:bottom w:w="0" w:type="dxa"/>
              <w:right w:w="108" w:type="dxa"/>
            </w:tcMar>
            <w:vAlign w:val="center"/>
          </w:tcPr>
          <w:p>
            <w:pPr>
              <w:rPr>
                <w:rFonts w:hint="eastAsia" w:ascii="仿宋" w:hAnsi="仿宋" w:eastAsia="仿宋" w:cs="仿宋"/>
                <w:strike/>
                <w:color w:val="auto"/>
                <w:szCs w:val="21"/>
                <w:highlight w:val="none"/>
              </w:rPr>
            </w:pPr>
            <w:r>
              <w:rPr>
                <w:rFonts w:hint="eastAsia" w:ascii="仿宋" w:hAnsi="仿宋" w:eastAsia="仿宋" w:cs="仿宋"/>
                <w:bCs/>
                <w:color w:val="auto"/>
                <w:sz w:val="21"/>
                <w:szCs w:val="21"/>
                <w:highlight w:val="none"/>
              </w:rPr>
              <w:t>供应商</w:t>
            </w:r>
            <w:r>
              <w:rPr>
                <w:rFonts w:hint="eastAsia" w:ascii="仿宋" w:hAnsi="仿宋" w:eastAsia="仿宋" w:cs="仿宋"/>
                <w:color w:val="auto"/>
                <w:szCs w:val="21"/>
                <w:highlight w:val="none"/>
              </w:rPr>
              <w:t>通过质量管理体系、环境管理体系、职业健康管理体系认证的，凭相关证书复印件每项得1分，最高3分；</w:t>
            </w:r>
          </w:p>
        </w:tc>
        <w:tc>
          <w:tcPr>
            <w:tcW w:w="1368" w:type="dxa"/>
            <w:noWrap w:val="0"/>
            <w:tcMar>
              <w:top w:w="0" w:type="dxa"/>
              <w:left w:w="108" w:type="dxa"/>
              <w:bottom w:w="0" w:type="dxa"/>
              <w:right w:w="108" w:type="dxa"/>
            </w:tcMar>
            <w:vAlign w:val="center"/>
          </w:tcPr>
          <w:p>
            <w:pPr>
              <w:jc w:val="center"/>
              <w:rPr>
                <w:rFonts w:hint="eastAsia" w:ascii="仿宋" w:hAnsi="仿宋" w:eastAsia="仿宋" w:cs="仿宋"/>
                <w:strike/>
                <w:color w:val="auto"/>
                <w:szCs w:val="21"/>
                <w:highlight w:val="none"/>
              </w:rPr>
            </w:pPr>
            <w:r>
              <w:rPr>
                <w:rFonts w:hint="eastAsia" w:ascii="仿宋" w:hAnsi="仿宋" w:eastAsia="仿宋" w:cs="仿宋"/>
                <w:color w:val="auto"/>
                <w:szCs w:val="21"/>
                <w:highlight w:val="none"/>
              </w:rPr>
              <w:t>0-3分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28" w:hRule="atLeast"/>
        </w:trPr>
        <w:tc>
          <w:tcPr>
            <w:tcW w:w="675" w:type="dxa"/>
            <w:noWrap w:val="0"/>
            <w:tcMar>
              <w:top w:w="0" w:type="dxa"/>
              <w:left w:w="108" w:type="dxa"/>
              <w:bottom w:w="0" w:type="dxa"/>
              <w:right w:w="108" w:type="dxa"/>
            </w:tcMar>
            <w:vAlign w:val="center"/>
          </w:tcPr>
          <w:p>
            <w:pPr>
              <w:jc w:val="center"/>
              <w:rPr>
                <w:rFonts w:hint="default" w:ascii="仿宋" w:hAnsi="仿宋" w:eastAsia="仿宋" w:cs="仿宋"/>
                <w:color w:val="auto"/>
                <w:szCs w:val="21"/>
                <w:highlight w:val="none"/>
                <w:lang w:val="en-US"/>
              </w:rPr>
            </w:pPr>
            <w:r>
              <w:rPr>
                <w:rFonts w:hint="eastAsia" w:ascii="仿宋" w:hAnsi="仿宋" w:eastAsia="仿宋" w:cs="仿宋"/>
                <w:color w:val="auto"/>
                <w:szCs w:val="21"/>
                <w:highlight w:val="none"/>
                <w:lang w:val="en-US" w:eastAsia="zh-CN"/>
              </w:rPr>
              <w:t>10</w:t>
            </w:r>
          </w:p>
        </w:tc>
        <w:tc>
          <w:tcPr>
            <w:tcW w:w="1381"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企业荣誉</w:t>
            </w:r>
          </w:p>
        </w:tc>
        <w:tc>
          <w:tcPr>
            <w:tcW w:w="6275" w:type="dxa"/>
            <w:noWrap w:val="0"/>
            <w:tcMar>
              <w:top w:w="0" w:type="dxa"/>
              <w:left w:w="108" w:type="dxa"/>
              <w:bottom w:w="0" w:type="dxa"/>
              <w:right w:w="108" w:type="dxa"/>
            </w:tcMar>
            <w:vAlign w:val="center"/>
          </w:tcPr>
          <w:p>
            <w:pPr>
              <w:rPr>
                <w:rFonts w:hint="eastAsia" w:ascii="仿宋" w:hAnsi="仿宋" w:eastAsia="仿宋" w:cs="仿宋"/>
                <w:color w:val="auto"/>
                <w:szCs w:val="21"/>
                <w:highlight w:val="none"/>
              </w:rPr>
            </w:pPr>
            <w:bookmarkStart w:id="104" w:name="_GoBack"/>
            <w:r>
              <w:rPr>
                <w:rFonts w:hint="eastAsia" w:ascii="仿宋" w:hAnsi="仿宋" w:eastAsia="仿宋" w:cs="仿宋"/>
                <w:color w:val="auto"/>
                <w:szCs w:val="21"/>
                <w:highlight w:val="none"/>
              </w:rPr>
              <w:t>近</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年按政府行政职能部门或行业主管部门</w:t>
            </w:r>
            <w:r>
              <w:rPr>
                <w:rFonts w:hint="eastAsia" w:ascii="仿宋" w:hAnsi="仿宋" w:eastAsia="仿宋" w:cs="仿宋"/>
                <w:color w:val="auto"/>
                <w:szCs w:val="21"/>
                <w:highlight w:val="none"/>
                <w:lang w:eastAsia="zh-CN"/>
              </w:rPr>
              <w:t>或行业协会</w:t>
            </w:r>
            <w:r>
              <w:rPr>
                <w:rFonts w:hint="eastAsia" w:ascii="仿宋" w:hAnsi="仿宋" w:eastAsia="仿宋" w:cs="仿宋"/>
                <w:color w:val="auto"/>
                <w:szCs w:val="21"/>
                <w:highlight w:val="none"/>
              </w:rPr>
              <w:t>授予的有效的</w:t>
            </w:r>
            <w:r>
              <w:rPr>
                <w:rFonts w:hint="eastAsia" w:ascii="仿宋" w:hAnsi="仿宋" w:eastAsia="仿宋" w:cs="仿宋"/>
                <w:color w:val="auto"/>
                <w:szCs w:val="21"/>
                <w:highlight w:val="none"/>
                <w:lang w:eastAsia="zh-CN"/>
              </w:rPr>
              <w:t>工程质量类</w:t>
            </w:r>
            <w:r>
              <w:rPr>
                <w:rFonts w:hint="eastAsia" w:ascii="仿宋" w:hAnsi="仿宋" w:eastAsia="仿宋" w:cs="仿宋"/>
                <w:color w:val="auto"/>
                <w:szCs w:val="21"/>
                <w:highlight w:val="none"/>
              </w:rPr>
              <w:t>荣誉证书（复印件并加盖供应商公章）进行评分。</w:t>
            </w:r>
          </w:p>
          <w:p>
            <w:pP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国家级荣誉的，得</w:t>
            </w:r>
            <w:r>
              <w:rPr>
                <w:rFonts w:hint="eastAsia" w:ascii="仿宋" w:hAnsi="仿宋" w:eastAsia="仿宋" w:cs="仿宋"/>
                <w:color w:val="auto"/>
                <w:szCs w:val="21"/>
                <w:highlight w:val="none"/>
                <w:lang w:val="en-US" w:eastAsia="zh-CN"/>
              </w:rPr>
              <w:t>5分；</w:t>
            </w:r>
          </w:p>
          <w:p>
            <w:pP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省级荣誉的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得</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分；</w:t>
            </w:r>
          </w:p>
          <w:p>
            <w:pP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、市级荣誉的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得</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分。</w:t>
            </w:r>
          </w:p>
          <w:p>
            <w:pPr>
              <w:rPr>
                <w:rFonts w:hint="eastAsia" w:ascii="仿宋" w:hAnsi="仿宋" w:eastAsia="仿宋" w:cs="仿宋"/>
                <w:color w:val="auto"/>
                <w:highlight w:val="none"/>
                <w:lang w:val="en-US" w:eastAsia="zh-CN"/>
              </w:rPr>
            </w:pPr>
            <w:r>
              <w:rPr>
                <w:rFonts w:hint="eastAsia" w:ascii="仿宋" w:hAnsi="仿宋" w:eastAsia="仿宋" w:cs="仿宋"/>
                <w:b/>
                <w:bCs/>
                <w:color w:val="auto"/>
                <w:highlight w:val="none"/>
                <w:lang w:val="en-US" w:eastAsia="zh-CN"/>
              </w:rPr>
              <w:t>注：</w:t>
            </w:r>
            <w:r>
              <w:rPr>
                <w:rFonts w:hint="eastAsia" w:ascii="仿宋" w:hAnsi="仿宋" w:eastAsia="仿宋" w:cs="仿宋"/>
                <w:b/>
                <w:bCs/>
                <w:color w:val="auto"/>
                <w:kern w:val="2"/>
                <w:sz w:val="21"/>
                <w:szCs w:val="24"/>
                <w:highlight w:val="none"/>
                <w:lang w:val="en-US" w:eastAsia="zh-CN" w:bidi="ar-SA"/>
              </w:rPr>
              <w:t>本项最高得分5分，取最高项荣誉得分，不可叠加计算。未提供不得分。</w:t>
            </w:r>
            <w:bookmarkEnd w:id="104"/>
          </w:p>
        </w:tc>
        <w:tc>
          <w:tcPr>
            <w:tcW w:w="1368" w:type="dxa"/>
            <w:noWrap w:val="0"/>
            <w:tcMar>
              <w:top w:w="0" w:type="dxa"/>
              <w:left w:w="108" w:type="dxa"/>
              <w:bottom w:w="0" w:type="dxa"/>
              <w:right w:w="108" w:type="dxa"/>
            </w:tcMar>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分</w:t>
            </w:r>
          </w:p>
        </w:tc>
      </w:tr>
    </w:tbl>
    <w:p>
      <w:pPr>
        <w:tabs>
          <w:tab w:val="left" w:pos="1154"/>
        </w:tabs>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三</w:t>
      </w:r>
      <w:r>
        <w:rPr>
          <w:rFonts w:hint="eastAsia" w:ascii="仿宋" w:hAnsi="仿宋" w:eastAsia="仿宋" w:cs="仿宋"/>
          <w:b/>
          <w:bCs/>
          <w:color w:val="auto"/>
          <w:sz w:val="24"/>
          <w:highlight w:val="none"/>
        </w:rPr>
        <w:t>）技术分、商务资信及其他分的计算</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技术、商务、资信及其他分按照评标委员会成员的独立评分结果汇总数的算术平均分计算，计算公式为：</w:t>
      </w:r>
    </w:p>
    <w:p>
      <w:pPr>
        <w:spacing w:line="360" w:lineRule="auto"/>
        <w:ind w:firstLine="495"/>
        <w:rPr>
          <w:rFonts w:hint="eastAsia" w:ascii="仿宋" w:hAnsi="仿宋" w:eastAsia="仿宋" w:cs="仿宋"/>
          <w:color w:val="auto"/>
          <w:sz w:val="24"/>
          <w:highlight w:val="none"/>
        </w:rPr>
      </w:pPr>
      <w:r>
        <w:rPr>
          <w:rFonts w:hint="eastAsia" w:ascii="仿宋" w:hAnsi="仿宋" w:eastAsia="仿宋" w:cs="仿宋"/>
          <w:color w:val="auto"/>
          <w:sz w:val="24"/>
          <w:highlight w:val="none"/>
        </w:rPr>
        <w:t>技术、商务、资信及其他分=评标委员会所有成员评分合计数/评标委员会组成人员数</w:t>
      </w:r>
    </w:p>
    <w:p>
      <w:pPr>
        <w:pStyle w:val="13"/>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仿宋" w:hAnsi="仿宋" w:eastAsia="仿宋" w:cs="仿宋"/>
          <w:b/>
          <w:color w:val="auto"/>
          <w:sz w:val="40"/>
          <w:szCs w:val="40"/>
          <w:highlight w:val="none"/>
          <w:lang w:val="en-US" w:eastAsia="zh-CN"/>
        </w:rPr>
      </w:pPr>
      <w:r>
        <w:rPr>
          <w:rFonts w:hint="eastAsia" w:ascii="仿宋" w:hAnsi="仿宋" w:eastAsia="仿宋" w:cs="仿宋"/>
          <w:b w:val="0"/>
          <w:bCs w:val="0"/>
          <w:color w:val="auto"/>
          <w:spacing w:val="0"/>
          <w:kern w:val="2"/>
          <w:sz w:val="24"/>
          <w:szCs w:val="24"/>
          <w:highlight w:val="none"/>
          <w:lang w:val="en-US" w:eastAsia="zh-CN" w:bidi="ar-SA"/>
        </w:rPr>
        <w:t>评标委员会完成评标后，应当向招标人提出书面评标报告，并报采购监督管理部门备案。评标委员会推荐的中标候选人应当限定在1至3人，并按最终得分高低标明排列顺序。</w:t>
      </w:r>
      <w:r>
        <w:rPr>
          <w:rFonts w:hint="eastAsia" w:ascii="仿宋" w:hAnsi="仿宋" w:eastAsia="仿宋" w:cs="仿宋"/>
          <w:color w:val="auto"/>
          <w:sz w:val="24"/>
          <w:highlight w:val="none"/>
        </w:rPr>
        <w:t>　　</w:t>
      </w:r>
      <w:bookmarkStart w:id="99" w:name="_Toc18485"/>
    </w:p>
    <w:p>
      <w:pPr>
        <w:spacing w:line="400" w:lineRule="exact"/>
        <w:ind w:firstLine="402" w:firstLineChars="100"/>
        <w:jc w:val="center"/>
        <w:rPr>
          <w:rFonts w:hint="eastAsia" w:ascii="仿宋" w:hAnsi="仿宋" w:eastAsia="仿宋" w:cs="仿宋"/>
          <w:b/>
          <w:color w:val="auto"/>
          <w:sz w:val="40"/>
          <w:szCs w:val="40"/>
          <w:highlight w:val="none"/>
          <w:lang w:val="en-US" w:eastAsia="zh-CN"/>
        </w:rPr>
      </w:pPr>
    </w:p>
    <w:p>
      <w:pPr>
        <w:spacing w:line="400" w:lineRule="exact"/>
        <w:ind w:firstLine="402" w:firstLineChars="100"/>
        <w:jc w:val="center"/>
        <w:rPr>
          <w:rFonts w:hint="eastAsia" w:ascii="仿宋" w:hAnsi="仿宋" w:eastAsia="仿宋" w:cs="仿宋"/>
          <w:b/>
          <w:color w:val="auto"/>
          <w:sz w:val="40"/>
          <w:szCs w:val="40"/>
          <w:highlight w:val="none"/>
          <w:lang w:val="en-US" w:eastAsia="zh-CN"/>
        </w:rPr>
      </w:pPr>
    </w:p>
    <w:p>
      <w:pPr>
        <w:spacing w:line="400" w:lineRule="exact"/>
        <w:ind w:firstLine="402" w:firstLineChars="100"/>
        <w:jc w:val="center"/>
        <w:rPr>
          <w:rFonts w:hint="eastAsia" w:ascii="仿宋" w:hAnsi="仿宋" w:eastAsia="仿宋" w:cs="仿宋"/>
          <w:b/>
          <w:color w:val="auto"/>
          <w:sz w:val="40"/>
          <w:szCs w:val="40"/>
          <w:highlight w:val="none"/>
          <w:lang w:val="en-US" w:eastAsia="zh-CN"/>
        </w:rPr>
      </w:pPr>
    </w:p>
    <w:p>
      <w:pPr>
        <w:spacing w:line="400" w:lineRule="exact"/>
        <w:ind w:firstLine="402" w:firstLineChars="100"/>
        <w:jc w:val="center"/>
        <w:rPr>
          <w:rFonts w:hint="eastAsia" w:ascii="仿宋" w:hAnsi="仿宋" w:eastAsia="仿宋" w:cs="仿宋"/>
          <w:b/>
          <w:color w:val="auto"/>
          <w:sz w:val="40"/>
          <w:szCs w:val="40"/>
          <w:highlight w:val="none"/>
          <w:lang w:val="en-US" w:eastAsia="zh-CN"/>
        </w:rPr>
      </w:pPr>
    </w:p>
    <w:p>
      <w:pPr>
        <w:spacing w:line="400" w:lineRule="exact"/>
        <w:ind w:firstLine="402" w:firstLineChars="100"/>
        <w:jc w:val="center"/>
        <w:rPr>
          <w:rFonts w:hint="eastAsia" w:ascii="仿宋" w:hAnsi="仿宋" w:eastAsia="仿宋" w:cs="仿宋"/>
          <w:b/>
          <w:color w:val="auto"/>
          <w:sz w:val="40"/>
          <w:szCs w:val="40"/>
          <w:highlight w:val="none"/>
          <w:lang w:val="en-US" w:eastAsia="zh-CN"/>
        </w:rPr>
      </w:pPr>
    </w:p>
    <w:p>
      <w:pPr>
        <w:spacing w:line="400" w:lineRule="exact"/>
        <w:ind w:firstLine="402" w:firstLineChars="100"/>
        <w:jc w:val="center"/>
        <w:rPr>
          <w:rFonts w:hint="eastAsia" w:ascii="仿宋" w:hAnsi="仿宋" w:eastAsia="仿宋" w:cs="仿宋"/>
          <w:b/>
          <w:color w:val="auto"/>
          <w:sz w:val="40"/>
          <w:szCs w:val="40"/>
          <w:highlight w:val="none"/>
          <w:lang w:val="en-US" w:eastAsia="zh-CN"/>
        </w:rPr>
      </w:pPr>
    </w:p>
    <w:p>
      <w:pPr>
        <w:spacing w:line="400" w:lineRule="exact"/>
        <w:jc w:val="both"/>
        <w:rPr>
          <w:rFonts w:hint="eastAsia" w:ascii="仿宋" w:hAnsi="仿宋" w:eastAsia="仿宋" w:cs="仿宋"/>
          <w:b/>
          <w:color w:val="auto"/>
          <w:sz w:val="40"/>
          <w:szCs w:val="40"/>
          <w:highlight w:val="none"/>
          <w:lang w:val="en-US" w:eastAsia="zh-CN"/>
        </w:rPr>
      </w:pPr>
    </w:p>
    <w:p>
      <w:pPr>
        <w:spacing w:line="400" w:lineRule="exact"/>
        <w:jc w:val="both"/>
        <w:rPr>
          <w:rFonts w:hint="eastAsia" w:ascii="仿宋" w:hAnsi="仿宋" w:eastAsia="仿宋" w:cs="仿宋"/>
          <w:b/>
          <w:color w:val="auto"/>
          <w:sz w:val="40"/>
          <w:szCs w:val="40"/>
          <w:highlight w:val="none"/>
          <w:lang w:val="en-US" w:eastAsia="zh-CN"/>
        </w:rPr>
      </w:pPr>
    </w:p>
    <w:p>
      <w:pPr>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40"/>
          <w:szCs w:val="40"/>
          <w:highlight w:val="none"/>
          <w:lang w:val="en-US" w:eastAsia="zh-CN"/>
        </w:rPr>
        <w:br w:type="page"/>
      </w:r>
    </w:p>
    <w:p>
      <w:pPr>
        <w:spacing w:line="400" w:lineRule="exact"/>
        <w:ind w:firstLine="402" w:firstLineChars="100"/>
        <w:jc w:val="center"/>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40"/>
          <w:szCs w:val="40"/>
          <w:highlight w:val="none"/>
          <w:lang w:val="en-US" w:eastAsia="zh-CN"/>
        </w:rPr>
        <w:t>第五章 合同条款（参考）</w:t>
      </w:r>
      <w:bookmarkEnd w:id="99"/>
    </w:p>
    <w:p>
      <w:pPr>
        <w:spacing w:line="360" w:lineRule="auto"/>
        <w:jc w:val="center"/>
        <w:rPr>
          <w:rFonts w:hint="eastAsia" w:ascii="仿宋" w:hAnsi="仿宋" w:eastAsia="仿宋" w:cs="仿宋"/>
          <w:b/>
          <w:bCs/>
          <w:color w:val="auto"/>
          <w:spacing w:val="-6"/>
          <w:sz w:val="30"/>
          <w:szCs w:val="30"/>
          <w:highlight w:val="none"/>
          <w:lang w:eastAsia="zh-CN"/>
        </w:rPr>
      </w:pPr>
      <w:r>
        <w:rPr>
          <w:rFonts w:hint="eastAsia" w:ascii="仿宋" w:hAnsi="仿宋" w:eastAsia="仿宋" w:cs="仿宋"/>
          <w:b/>
          <w:bCs/>
          <w:color w:val="auto"/>
          <w:spacing w:val="-6"/>
          <w:sz w:val="30"/>
          <w:szCs w:val="30"/>
          <w:highlight w:val="none"/>
          <w:lang w:eastAsia="zh-CN"/>
        </w:rPr>
        <w:t>温州医科大学附属第二医院所有院区小额工程设计服务</w:t>
      </w:r>
    </w:p>
    <w:p>
      <w:pPr>
        <w:widowControl/>
        <w:snapToGrid w:val="0"/>
        <w:spacing w:before="100" w:beforeAutospacing="1" w:after="100" w:afterAutospacing="1" w:line="320" w:lineRule="atLeast"/>
        <w:jc w:val="center"/>
        <w:rPr>
          <w:rFonts w:ascii="宋体" w:hAnsi="宋体" w:cs="Arial"/>
          <w:color w:val="auto"/>
          <w:kern w:val="0"/>
          <w:sz w:val="48"/>
          <w:szCs w:val="48"/>
          <w:highlight w:val="none"/>
        </w:rPr>
      </w:pPr>
      <w:r>
        <w:rPr>
          <w:rFonts w:hint="eastAsia" w:ascii="宋体" w:hAnsi="宋体" w:cs="Arial"/>
          <w:color w:val="auto"/>
          <w:kern w:val="0"/>
          <w:sz w:val="48"/>
          <w:szCs w:val="48"/>
          <w:highlight w:val="none"/>
        </w:rPr>
        <w:t>建设工程设计合同（一）</w:t>
      </w:r>
    </w:p>
    <w:p>
      <w:pPr>
        <w:widowControl/>
        <w:snapToGrid w:val="0"/>
        <w:spacing w:before="100" w:beforeAutospacing="1" w:after="100" w:afterAutospacing="1" w:line="320" w:lineRule="atLeast"/>
        <w:ind w:firstLine="1318" w:firstLineChars="471"/>
        <w:jc w:val="left"/>
        <w:rPr>
          <w:rFonts w:hint="eastAsia" w:ascii="宋体" w:hAnsi="宋体" w:cs="Arial"/>
          <w:color w:val="auto"/>
          <w:kern w:val="0"/>
          <w:sz w:val="28"/>
          <w:szCs w:val="28"/>
          <w:highlight w:val="none"/>
        </w:rPr>
      </w:pPr>
    </w:p>
    <w:p>
      <w:pPr>
        <w:pStyle w:val="13"/>
        <w:rPr>
          <w:rFonts w:hint="eastAsia"/>
          <w:color w:val="auto"/>
          <w:highlight w:val="none"/>
        </w:rPr>
      </w:pPr>
    </w:p>
    <w:p>
      <w:pPr>
        <w:widowControl/>
        <w:snapToGrid w:val="0"/>
        <w:spacing w:before="100" w:beforeAutospacing="1" w:after="100" w:afterAutospacing="1" w:line="320" w:lineRule="atLeast"/>
        <w:ind w:firstLine="360" w:firstLineChars="150"/>
        <w:jc w:val="left"/>
        <w:rPr>
          <w:rFonts w:ascii="宋体" w:hAnsi="宋体" w:cs="Arial"/>
          <w:color w:val="auto"/>
          <w:kern w:val="0"/>
          <w:sz w:val="24"/>
          <w:szCs w:val="24"/>
          <w:highlight w:val="none"/>
        </w:rPr>
      </w:pPr>
      <w:r>
        <w:rPr>
          <w:rFonts w:hint="eastAsia" w:ascii="宋体" w:hAnsi="宋体" w:cs="Arial"/>
          <w:color w:val="auto"/>
          <w:kern w:val="0"/>
          <w:sz w:val="24"/>
          <w:szCs w:val="24"/>
          <w:highlight w:val="none"/>
        </w:rPr>
        <w:t>工</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程</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名</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称：</w:t>
      </w:r>
      <w:r>
        <w:rPr>
          <w:rFonts w:hint="eastAsia" w:ascii="宋体" w:hAnsi="宋体" w:cs="Arial"/>
          <w:color w:val="auto"/>
          <w:kern w:val="0"/>
          <w:sz w:val="24"/>
          <w:szCs w:val="24"/>
          <w:highlight w:val="none"/>
          <w:u w:val="single"/>
        </w:rPr>
        <w:t xml:space="preserve">                                 </w:t>
      </w:r>
    </w:p>
    <w:p>
      <w:pPr>
        <w:widowControl/>
        <w:tabs>
          <w:tab w:val="left" w:pos="1442"/>
        </w:tabs>
        <w:snapToGrid w:val="0"/>
        <w:spacing w:before="100" w:beforeAutospacing="1" w:after="100" w:afterAutospacing="1" w:line="320" w:lineRule="atLeast"/>
        <w:ind w:firstLine="360" w:firstLineChars="150"/>
        <w:jc w:val="left"/>
        <w:rPr>
          <w:rFonts w:hint="eastAsia" w:ascii="宋体" w:hAnsi="宋体" w:cs="Arial"/>
          <w:color w:val="auto"/>
          <w:kern w:val="0"/>
          <w:sz w:val="24"/>
          <w:szCs w:val="24"/>
          <w:highlight w:val="none"/>
        </w:rPr>
      </w:pPr>
      <w:r>
        <w:rPr>
          <w:rFonts w:hint="eastAsia" w:ascii="宋体" w:hAnsi="宋体" w:cs="Arial"/>
          <w:color w:val="auto"/>
          <w:kern w:val="0"/>
          <w:sz w:val="24"/>
          <w:szCs w:val="24"/>
          <w:highlight w:val="none"/>
        </w:rPr>
        <w:t>工</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程</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地</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点：</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u w:val="single"/>
        </w:rPr>
        <w:t xml:space="preserve">  </w:t>
      </w:r>
      <w:r>
        <w:rPr>
          <w:rFonts w:ascii="宋体" w:hAnsi="宋体" w:cs="Arial"/>
          <w:color w:val="auto"/>
          <w:kern w:val="0"/>
          <w:sz w:val="24"/>
          <w:szCs w:val="24"/>
          <w:highlight w:val="none"/>
          <w:u w:val="single"/>
        </w:rPr>
        <w:t xml:space="preserve">    </w:t>
      </w:r>
    </w:p>
    <w:p>
      <w:pPr>
        <w:widowControl/>
        <w:snapToGrid w:val="0"/>
        <w:spacing w:before="100" w:beforeAutospacing="1" w:after="100" w:afterAutospacing="1" w:line="320" w:lineRule="atLeast"/>
        <w:ind w:firstLine="360" w:firstLineChars="150"/>
        <w:jc w:val="left"/>
        <w:rPr>
          <w:rFonts w:hint="eastAsia" w:ascii="宋体" w:hAnsi="宋体" w:cs="Arial"/>
          <w:color w:val="auto"/>
          <w:kern w:val="0"/>
          <w:sz w:val="24"/>
          <w:szCs w:val="24"/>
          <w:highlight w:val="none"/>
        </w:rPr>
      </w:pPr>
      <w:r>
        <w:rPr>
          <w:rFonts w:hint="eastAsia" w:ascii="宋体" w:hAnsi="宋体" w:cs="Arial"/>
          <w:color w:val="auto"/>
          <w:kern w:val="0"/>
          <w:sz w:val="24"/>
          <w:szCs w:val="24"/>
          <w:highlight w:val="none"/>
        </w:rPr>
        <w:t>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同</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编</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号：</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（由设计人编填）</w:t>
      </w:r>
    </w:p>
    <w:p>
      <w:pPr>
        <w:widowControl/>
        <w:snapToGrid w:val="0"/>
        <w:spacing w:before="100" w:beforeAutospacing="1" w:after="100" w:afterAutospacing="1" w:line="320" w:lineRule="atLeast"/>
        <w:ind w:firstLine="360" w:firstLineChars="150"/>
        <w:jc w:val="left"/>
        <w:rPr>
          <w:rFonts w:hint="eastAsia" w:ascii="宋体" w:hAnsi="宋体" w:cs="Arial"/>
          <w:color w:val="auto"/>
          <w:kern w:val="0"/>
          <w:sz w:val="24"/>
          <w:szCs w:val="24"/>
          <w:highlight w:val="none"/>
        </w:rPr>
      </w:pPr>
      <w:r>
        <w:rPr>
          <w:rFonts w:hint="eastAsia" w:ascii="宋体" w:hAnsi="宋体" w:cs="Arial"/>
          <w:color w:val="auto"/>
          <w:kern w:val="0"/>
          <w:sz w:val="24"/>
          <w:szCs w:val="24"/>
          <w:highlight w:val="none"/>
        </w:rPr>
        <w:t>设计证书等级：</w:t>
      </w:r>
      <w:r>
        <w:rPr>
          <w:rFonts w:ascii="宋体" w:hAnsi="宋体" w:cs="Arial"/>
          <w:color w:val="auto"/>
          <w:kern w:val="0"/>
          <w:sz w:val="24"/>
          <w:szCs w:val="24"/>
          <w:highlight w:val="none"/>
          <w:u w:val="single"/>
        </w:rPr>
        <w:t xml:space="preserve">                                      </w:t>
      </w:r>
    </w:p>
    <w:p>
      <w:pPr>
        <w:widowControl/>
        <w:snapToGrid w:val="0"/>
        <w:spacing w:before="100" w:beforeAutospacing="1" w:after="100" w:afterAutospacing="1" w:line="320" w:lineRule="atLeast"/>
        <w:ind w:firstLine="360" w:firstLineChars="150"/>
        <w:jc w:val="left"/>
        <w:rPr>
          <w:rFonts w:ascii="宋体" w:hAnsi="宋体" w:cs="Arial"/>
          <w:color w:val="auto"/>
          <w:kern w:val="0"/>
          <w:sz w:val="24"/>
          <w:szCs w:val="24"/>
          <w:highlight w:val="none"/>
        </w:rPr>
      </w:pPr>
      <w:r>
        <w:rPr>
          <w:rFonts w:hint="eastAsia" w:ascii="宋体" w:hAnsi="宋体" w:cs="Arial"/>
          <w:color w:val="auto"/>
          <w:kern w:val="0"/>
          <w:sz w:val="24"/>
          <w:szCs w:val="24"/>
          <w:highlight w:val="none"/>
        </w:rPr>
        <w:t>发</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包</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人：</w:t>
      </w:r>
      <w:r>
        <w:rPr>
          <w:rFonts w:hint="eastAsia" w:ascii="宋体" w:hAnsi="宋体" w:cs="Arial"/>
          <w:color w:val="auto"/>
          <w:kern w:val="0"/>
          <w:sz w:val="24"/>
          <w:szCs w:val="24"/>
          <w:highlight w:val="none"/>
          <w:u w:val="single"/>
        </w:rPr>
        <w:t xml:space="preserve">                                        </w:t>
      </w:r>
    </w:p>
    <w:p>
      <w:pPr>
        <w:widowControl/>
        <w:snapToGrid w:val="0"/>
        <w:spacing w:before="100" w:beforeAutospacing="1" w:after="100" w:afterAutospacing="1" w:line="320" w:lineRule="atLeast"/>
        <w:ind w:firstLine="360" w:firstLineChars="150"/>
        <w:jc w:val="left"/>
        <w:rPr>
          <w:rFonts w:hint="eastAsia" w:ascii="宋体" w:hAnsi="宋体" w:cs="Arial"/>
          <w:color w:val="auto"/>
          <w:kern w:val="0"/>
          <w:sz w:val="24"/>
          <w:szCs w:val="24"/>
          <w:highlight w:val="none"/>
        </w:rPr>
      </w:pPr>
      <w:r>
        <w:rPr>
          <w:rFonts w:hint="eastAsia" w:ascii="宋体" w:hAnsi="宋体" w:cs="Arial"/>
          <w:color w:val="auto"/>
          <w:kern w:val="0"/>
          <w:sz w:val="24"/>
          <w:szCs w:val="24"/>
          <w:highlight w:val="none"/>
        </w:rPr>
        <w:t>设</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计</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人：</w:t>
      </w:r>
      <w:r>
        <w:rPr>
          <w:rFonts w:ascii="宋体" w:hAnsi="宋体" w:cs="Arial"/>
          <w:color w:val="auto"/>
          <w:kern w:val="0"/>
          <w:sz w:val="24"/>
          <w:szCs w:val="24"/>
          <w:highlight w:val="none"/>
          <w:u w:val="single"/>
        </w:rPr>
        <w:t xml:space="preserve">                                    </w:t>
      </w:r>
    </w:p>
    <w:p>
      <w:pPr>
        <w:widowControl/>
        <w:snapToGrid w:val="0"/>
        <w:spacing w:before="100" w:beforeAutospacing="1" w:after="100" w:afterAutospacing="1" w:line="320" w:lineRule="atLeast"/>
        <w:ind w:firstLine="360" w:firstLineChars="150"/>
        <w:jc w:val="left"/>
        <w:rPr>
          <w:rFonts w:hint="eastAsia" w:ascii="宋体" w:hAnsi="宋体" w:cs="Arial"/>
          <w:color w:val="auto"/>
          <w:kern w:val="0"/>
          <w:sz w:val="24"/>
          <w:szCs w:val="24"/>
          <w:highlight w:val="none"/>
        </w:rPr>
      </w:pPr>
      <w:r>
        <w:rPr>
          <w:rFonts w:hint="eastAsia" w:ascii="宋体" w:hAnsi="宋体" w:cs="Arial"/>
          <w:color w:val="auto"/>
          <w:kern w:val="0"/>
          <w:sz w:val="24"/>
          <w:szCs w:val="24"/>
          <w:highlight w:val="none"/>
        </w:rPr>
        <w:t>签</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订</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期：</w:t>
      </w:r>
      <w:r>
        <w:rPr>
          <w:rFonts w:ascii="宋体" w:hAnsi="宋体" w:cs="Arial"/>
          <w:color w:val="auto"/>
          <w:kern w:val="0"/>
          <w:sz w:val="24"/>
          <w:szCs w:val="24"/>
          <w:highlight w:val="none"/>
          <w:u w:val="single"/>
        </w:rPr>
        <w:t xml:space="preserve">                                    </w:t>
      </w:r>
    </w:p>
    <w:p>
      <w:pPr>
        <w:widowControl/>
        <w:snapToGrid w:val="0"/>
        <w:spacing w:before="100" w:beforeAutospacing="1" w:after="100" w:afterAutospacing="1" w:line="320" w:lineRule="atLeast"/>
        <w:ind w:left="5250" w:firstLine="480"/>
        <w:jc w:val="left"/>
        <w:rPr>
          <w:rFonts w:hint="eastAsia" w:ascii="宋体" w:hAnsi="宋体" w:cs="Arial"/>
          <w:color w:val="auto"/>
          <w:kern w:val="0"/>
          <w:sz w:val="28"/>
          <w:szCs w:val="28"/>
          <w:highlight w:val="none"/>
        </w:rPr>
      </w:pPr>
    </w:p>
    <w:p>
      <w:pPr>
        <w:pStyle w:val="13"/>
        <w:rPr>
          <w:rFonts w:hint="eastAsia"/>
          <w:color w:val="auto"/>
          <w:highlight w:val="none"/>
        </w:rPr>
      </w:pPr>
    </w:p>
    <w:p>
      <w:pPr>
        <w:widowControl/>
        <w:snapToGrid w:val="0"/>
        <w:spacing w:before="100" w:beforeAutospacing="1" w:after="100" w:afterAutospacing="1" w:line="320" w:lineRule="atLeast"/>
        <w:ind w:left="5250" w:firstLine="480"/>
        <w:jc w:val="left"/>
        <w:rPr>
          <w:rFonts w:hint="eastAsia" w:ascii="宋体" w:hAnsi="宋体" w:cs="Arial"/>
          <w:color w:val="auto"/>
          <w:kern w:val="0"/>
          <w:sz w:val="28"/>
          <w:szCs w:val="28"/>
          <w:highlight w:val="none"/>
        </w:rPr>
      </w:pPr>
    </w:p>
    <w:p>
      <w:pPr>
        <w:widowControl/>
        <w:snapToGrid w:val="0"/>
        <w:spacing w:before="100" w:beforeAutospacing="1" w:after="100" w:afterAutospacing="1" w:line="320" w:lineRule="atLeast"/>
        <w:ind w:left="5250" w:firstLine="480"/>
        <w:jc w:val="left"/>
        <w:rPr>
          <w:rFonts w:hint="eastAsia" w:ascii="宋体" w:hAnsi="宋体" w:cs="Arial"/>
          <w:color w:val="auto"/>
          <w:kern w:val="0"/>
          <w:sz w:val="28"/>
          <w:szCs w:val="28"/>
          <w:highlight w:val="none"/>
        </w:rPr>
      </w:pPr>
    </w:p>
    <w:p>
      <w:pPr>
        <w:widowControl/>
        <w:snapToGrid w:val="0"/>
        <w:spacing w:before="100" w:beforeAutospacing="1" w:after="100" w:afterAutospacing="1" w:line="320" w:lineRule="atLeast"/>
        <w:ind w:left="2232" w:leftChars="1063" w:firstLine="1540" w:firstLineChars="550"/>
        <w:jc w:val="left"/>
        <w:rPr>
          <w:rFonts w:ascii="宋体" w:hAnsi="宋体" w:cs="Arial"/>
          <w:color w:val="auto"/>
          <w:kern w:val="0"/>
          <w:sz w:val="28"/>
          <w:szCs w:val="28"/>
          <w:highlight w:val="none"/>
        </w:rPr>
      </w:pPr>
      <w:r>
        <w:rPr>
          <w:rFonts w:hint="eastAsia" w:ascii="宋体" w:hAnsi="宋体" w:cs="Arial"/>
          <w:color w:val="auto"/>
          <w:kern w:val="0"/>
          <w:sz w:val="28"/>
          <w:szCs w:val="28"/>
          <w:highlight w:val="none"/>
        </w:rPr>
        <w:t>年    月    日</w:t>
      </w:r>
    </w:p>
    <w:p>
      <w:pPr>
        <w:rPr>
          <w:rFonts w:hint="eastAsia"/>
          <w:color w:val="auto"/>
          <w:highlight w:val="none"/>
        </w:rPr>
      </w:pPr>
      <w:r>
        <w:rPr>
          <w:rFonts w:hint="eastAsia"/>
          <w:color w:val="auto"/>
          <w:highlight w:val="none"/>
        </w:rPr>
        <w:br w:type="page"/>
      </w:r>
    </w:p>
    <w:p>
      <w:pPr>
        <w:adjustRightInd w:val="0"/>
        <w:snapToGrid w:val="0"/>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w:t>
      </w:r>
      <w:r>
        <w:rPr>
          <w:rFonts w:hint="eastAsia" w:ascii="仿宋" w:hAnsi="仿宋" w:eastAsia="仿宋" w:cs="仿宋"/>
          <w:color w:val="auto"/>
          <w:sz w:val="24"/>
          <w:szCs w:val="24"/>
          <w:highlight w:val="none"/>
          <w:u w:val="single"/>
        </w:rPr>
        <w:t xml:space="preserve">                          ___</w:t>
      </w:r>
      <w:r>
        <w:rPr>
          <w:rFonts w:hint="eastAsia" w:ascii="仿宋" w:hAnsi="仿宋" w:eastAsia="仿宋" w:cs="仿宋"/>
          <w:color w:val="auto"/>
          <w:sz w:val="24"/>
          <w:szCs w:val="24"/>
          <w:highlight w:val="none"/>
        </w:rPr>
        <w:t>_</w:t>
      </w:r>
    </w:p>
    <w:p>
      <w:pPr>
        <w:adjustRightInd w:val="0"/>
        <w:snapToGrid w:val="0"/>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设计人：__</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___</w:t>
      </w:r>
    </w:p>
    <w:p>
      <w:pPr>
        <w:adjustRightInd w:val="0"/>
        <w:snapToGrid w:val="0"/>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发包人委托设计人承担</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，经双方协商一致，签订本合同。</w:t>
      </w:r>
    </w:p>
    <w:p>
      <w:pPr>
        <w:adjustRightInd w:val="0"/>
        <w:snapToGrid w:val="0"/>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项目服务期：</w:t>
      </w:r>
      <w:r>
        <w:rPr>
          <w:rFonts w:hint="eastAsia" w:ascii="仿宋" w:hAnsi="仿宋" w:eastAsia="仿宋" w:cs="仿宋"/>
          <w:color w:val="auto"/>
          <w:sz w:val="24"/>
          <w:szCs w:val="24"/>
          <w:highlight w:val="none"/>
          <w:u w:val="single"/>
          <w:lang w:val="en-US" w:eastAsia="zh-CN"/>
        </w:rPr>
        <w:t>项目服务期：合同签订之日起设计费用累计达到180万元或合同签订之日起两年后止。</w:t>
      </w:r>
    </w:p>
    <w:p>
      <w:pPr>
        <w:adjustRightInd w:val="0"/>
        <w:snapToGrid w:val="0"/>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第一条  本合同依据下列文件签订：</w:t>
      </w:r>
    </w:p>
    <w:p>
      <w:pPr>
        <w:adjustRightInd w:val="0"/>
        <w:snapToGrid w:val="0"/>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1.1《中华人民共和国民法典》、《中华人民共和国建筑法》、《建设工程勘察设计市场管理规定》。</w:t>
      </w:r>
    </w:p>
    <w:p>
      <w:pPr>
        <w:adjustRightInd w:val="0"/>
        <w:snapToGrid w:val="0"/>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1.2国家及地方有关建设工程设计管理法规和规章。</w:t>
      </w:r>
    </w:p>
    <w:p>
      <w:pPr>
        <w:adjustRightInd w:val="0"/>
        <w:snapToGrid w:val="0"/>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1.3建设工程批准文件。</w:t>
      </w:r>
    </w:p>
    <w:p>
      <w:pPr>
        <w:adjustRightInd w:val="0"/>
        <w:snapToGrid w:val="0"/>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第二条  本合同设计项目的内容：名称、规模、阶段、投资及合同价等见下表。</w:t>
      </w:r>
    </w:p>
    <w:tbl>
      <w:tblPr>
        <w:tblStyle w:val="30"/>
        <w:tblW w:w="9146"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88"/>
        <w:gridCol w:w="20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7088" w:type="dxa"/>
            <w:noWrap w:val="0"/>
            <w:vAlign w:val="center"/>
          </w:tcPr>
          <w:p>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承包内容</w:t>
            </w:r>
          </w:p>
        </w:tc>
        <w:tc>
          <w:tcPr>
            <w:tcW w:w="2058" w:type="dxa"/>
            <w:noWrap w:val="0"/>
            <w:vAlign w:val="center"/>
          </w:tcPr>
          <w:p>
            <w:pPr>
              <w:spacing w:line="360" w:lineRule="exact"/>
              <w:ind w:left="8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签约合同价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9" w:hRule="atLeast"/>
        </w:trPr>
        <w:tc>
          <w:tcPr>
            <w:tcW w:w="7088" w:type="dxa"/>
            <w:noWrap w:val="0"/>
            <w:vAlign w:val="top"/>
          </w:tcPr>
          <w:p>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建设内容：</w:t>
            </w:r>
            <w:r>
              <w:rPr>
                <w:rFonts w:hint="eastAsia" w:ascii="仿宋" w:hAnsi="仿宋" w:eastAsia="仿宋" w:cs="仿宋"/>
                <w:color w:val="auto"/>
                <w:sz w:val="24"/>
                <w:szCs w:val="24"/>
                <w:highlight w:val="none"/>
                <w:lang w:eastAsia="zh-CN"/>
              </w:rPr>
              <w:t>温州医科大学附属第二医院所有院区小额项目（＜400万）的规划选址论证、方案设计、初步设计、施工图设计及施工期间配合等直至工程竣工的全过程设计服务</w:t>
            </w:r>
            <w:r>
              <w:rPr>
                <w:rFonts w:hint="eastAsia" w:ascii="仿宋" w:hAnsi="仿宋" w:eastAsia="仿宋" w:cs="仿宋"/>
                <w:color w:val="auto"/>
                <w:sz w:val="24"/>
                <w:szCs w:val="24"/>
                <w:highlight w:val="none"/>
              </w:rPr>
              <w:t>。</w:t>
            </w:r>
          </w:p>
          <w:p>
            <w:pPr>
              <w:spacing w:line="400" w:lineRule="exact"/>
              <w:ind w:firstLine="470" w:firstLineChars="19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承包范围：</w:t>
            </w:r>
            <w:r>
              <w:rPr>
                <w:rFonts w:hint="eastAsia" w:ascii="仿宋" w:hAnsi="仿宋" w:eastAsia="仿宋" w:cs="仿宋"/>
                <w:color w:val="auto"/>
                <w:sz w:val="24"/>
                <w:szCs w:val="24"/>
                <w:highlight w:val="none"/>
                <w:lang w:eastAsia="zh-CN"/>
              </w:rPr>
              <w:t>温州医科大学附属第二医院所有院区小额项目的方案设计、初步设计、施工图设计及施工期间配合等直至工程竣工的全过程设计服务。</w:t>
            </w:r>
          </w:p>
        </w:tc>
        <w:tc>
          <w:tcPr>
            <w:tcW w:w="2058" w:type="dxa"/>
            <w:noWrap w:val="0"/>
            <w:vAlign w:val="top"/>
          </w:tcPr>
          <w:p>
            <w:pPr>
              <w:spacing w:line="400" w:lineRule="exact"/>
              <w:ind w:left="840"/>
              <w:rPr>
                <w:rFonts w:hint="eastAsia" w:ascii="仿宋" w:hAnsi="仿宋" w:eastAsia="仿宋" w:cs="仿宋"/>
                <w:color w:val="auto"/>
                <w:sz w:val="24"/>
                <w:szCs w:val="24"/>
                <w:highlight w:val="none"/>
              </w:rPr>
            </w:pPr>
          </w:p>
        </w:tc>
      </w:tr>
    </w:tbl>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第三条  发包人应向设计人提交的有关资料及文件</w:t>
      </w:r>
    </w:p>
    <w:tbl>
      <w:tblPr>
        <w:tblStyle w:val="30"/>
        <w:tblW w:w="91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3439"/>
        <w:gridCol w:w="851"/>
        <w:gridCol w:w="2126"/>
        <w:gridCol w:w="2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638" w:type="dxa"/>
            <w:noWrap w:val="0"/>
            <w:vAlign w:val="center"/>
          </w:tcPr>
          <w:p>
            <w:pPr>
              <w:snapToGrid w:val="0"/>
              <w:spacing w:line="276"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3439" w:type="dxa"/>
            <w:noWrap w:val="0"/>
            <w:vAlign w:val="center"/>
          </w:tcPr>
          <w:p>
            <w:pPr>
              <w:snapToGrid w:val="0"/>
              <w:spacing w:line="276"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资料及文件名称</w:t>
            </w:r>
          </w:p>
        </w:tc>
        <w:tc>
          <w:tcPr>
            <w:tcW w:w="851" w:type="dxa"/>
            <w:noWrap w:val="0"/>
            <w:vAlign w:val="center"/>
          </w:tcPr>
          <w:p>
            <w:pPr>
              <w:snapToGrid w:val="0"/>
              <w:spacing w:line="276"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份数</w:t>
            </w:r>
          </w:p>
        </w:tc>
        <w:tc>
          <w:tcPr>
            <w:tcW w:w="2126" w:type="dxa"/>
            <w:noWrap w:val="0"/>
            <w:vAlign w:val="center"/>
          </w:tcPr>
          <w:p>
            <w:pPr>
              <w:snapToGrid w:val="0"/>
              <w:spacing w:line="276"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提交日期</w:t>
            </w:r>
          </w:p>
        </w:tc>
        <w:tc>
          <w:tcPr>
            <w:tcW w:w="2071" w:type="dxa"/>
            <w:noWrap w:val="0"/>
            <w:vAlign w:val="center"/>
          </w:tcPr>
          <w:p>
            <w:pPr>
              <w:snapToGrid w:val="0"/>
              <w:spacing w:line="276"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有关事宜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pPr>
              <w:snapToGrid w:val="0"/>
              <w:spacing w:line="276"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439" w:type="dxa"/>
            <w:noWrap w:val="0"/>
            <w:vAlign w:val="center"/>
          </w:tcPr>
          <w:p>
            <w:pPr>
              <w:snapToGrid w:val="0"/>
              <w:spacing w:line="276"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其他需要的资料</w:t>
            </w:r>
          </w:p>
        </w:tc>
        <w:tc>
          <w:tcPr>
            <w:tcW w:w="851" w:type="dxa"/>
            <w:noWrap w:val="0"/>
            <w:vAlign w:val="center"/>
          </w:tcPr>
          <w:p>
            <w:pPr>
              <w:snapToGrid w:val="0"/>
              <w:spacing w:line="276"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126" w:type="dxa"/>
            <w:noWrap w:val="0"/>
            <w:vAlign w:val="center"/>
          </w:tcPr>
          <w:p>
            <w:pPr>
              <w:snapToGrid w:val="0"/>
              <w:spacing w:line="276"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及时提供</w:t>
            </w:r>
          </w:p>
        </w:tc>
        <w:tc>
          <w:tcPr>
            <w:tcW w:w="2071" w:type="dxa"/>
            <w:noWrap w:val="0"/>
            <w:vAlign w:val="center"/>
          </w:tcPr>
          <w:p>
            <w:pPr>
              <w:snapToGrid w:val="0"/>
              <w:spacing w:line="276" w:lineRule="auto"/>
              <w:jc w:val="center"/>
              <w:rPr>
                <w:rFonts w:hint="eastAsia" w:ascii="仿宋" w:hAnsi="仿宋" w:eastAsia="仿宋" w:cs="仿宋"/>
                <w:color w:val="auto"/>
                <w:sz w:val="24"/>
                <w:szCs w:val="24"/>
                <w:highlight w:val="none"/>
              </w:rPr>
            </w:pPr>
          </w:p>
        </w:tc>
      </w:tr>
    </w:tbl>
    <w:p>
      <w:pPr>
        <w:snapToGrid w:val="0"/>
        <w:spacing w:after="156" w:afterLines="50"/>
        <w:ind w:firstLine="480" w:firstLineChars="200"/>
        <w:rPr>
          <w:rFonts w:hint="eastAsia" w:ascii="仿宋" w:hAnsi="仿宋" w:eastAsia="仿宋" w:cs="仿宋"/>
          <w:color w:val="auto"/>
          <w:sz w:val="24"/>
          <w:szCs w:val="24"/>
          <w:highlight w:val="none"/>
        </w:rPr>
      </w:pPr>
    </w:p>
    <w:p>
      <w:pPr>
        <w:snapToGrid w:val="0"/>
        <w:spacing w:after="156" w:afterLines="50"/>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第四条  设计人应向发包人交付的设计资料及文件：</w:t>
      </w:r>
    </w:p>
    <w:tbl>
      <w:tblPr>
        <w:tblStyle w:val="30"/>
        <w:tblW w:w="939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12"/>
        <w:gridCol w:w="2392"/>
        <w:gridCol w:w="1450"/>
        <w:gridCol w:w="1271"/>
        <w:gridCol w:w="366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61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39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资料及文件名称</w:t>
            </w:r>
          </w:p>
        </w:tc>
        <w:tc>
          <w:tcPr>
            <w:tcW w:w="145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份数</w:t>
            </w:r>
          </w:p>
        </w:tc>
        <w:tc>
          <w:tcPr>
            <w:tcW w:w="127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提交日期</w:t>
            </w:r>
          </w:p>
        </w:tc>
        <w:tc>
          <w:tcPr>
            <w:tcW w:w="366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有关事宜</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54" w:hRule="atLeast"/>
          <w:jc w:val="center"/>
        </w:trPr>
        <w:tc>
          <w:tcPr>
            <w:tcW w:w="61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392" w:type="dxa"/>
            <w:tcBorders>
              <w:top w:val="single" w:color="auto" w:sz="4" w:space="0"/>
              <w:left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经深化方案的设计文本（含效果图不同功能区各一张）（PDF格式）</w:t>
            </w:r>
          </w:p>
        </w:tc>
        <w:tc>
          <w:tcPr>
            <w:tcW w:w="1450" w:type="dxa"/>
            <w:tcBorders>
              <w:top w:val="single" w:color="auto" w:sz="4" w:space="0"/>
              <w:left w:val="single" w:color="auto" w:sz="4" w:space="0"/>
              <w:right w:val="single" w:color="auto" w:sz="4" w:space="0"/>
            </w:tcBorders>
            <w:noWrap w:val="0"/>
            <w:vAlign w:val="center"/>
          </w:tcPr>
          <w:p>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满足发包人要求</w:t>
            </w:r>
          </w:p>
        </w:tc>
        <w:tc>
          <w:tcPr>
            <w:tcW w:w="1271" w:type="dxa"/>
            <w:tcBorders>
              <w:top w:val="single" w:color="auto" w:sz="4" w:space="0"/>
              <w:left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7天</w:t>
            </w:r>
          </w:p>
        </w:tc>
        <w:tc>
          <w:tcPr>
            <w:tcW w:w="3667" w:type="dxa"/>
            <w:vMerge w:val="restart"/>
            <w:tcBorders>
              <w:top w:val="single" w:color="auto" w:sz="4" w:space="0"/>
              <w:left w:val="single" w:color="auto" w:sz="4" w:space="0"/>
              <w:right w:val="single" w:color="auto" w:sz="4" w:space="0"/>
            </w:tcBorders>
            <w:noWrap w:val="0"/>
            <w:vAlign w:val="center"/>
          </w:tcPr>
          <w:p>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1、递交时间及份数根据发包人需求提供。</w:t>
            </w:r>
          </w:p>
          <w:p>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2、施工图设计文件份数是指最终图审合格后的图纸，所有送审图纸不含在内。</w:t>
            </w:r>
          </w:p>
          <w:p>
            <w:pPr>
              <w:pStyle w:val="3"/>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rPr>
              <w:t>3、施工图审查意见书需在两天内完成回复。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3" w:hRule="atLeast"/>
          <w:jc w:val="center"/>
        </w:trPr>
        <w:tc>
          <w:tcPr>
            <w:tcW w:w="61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39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初步设计（包括概算</w:t>
            </w:r>
            <w:r>
              <w:rPr>
                <w:rFonts w:hint="eastAsia" w:ascii="仿宋" w:hAnsi="仿宋" w:eastAsia="仿宋" w:cs="仿宋"/>
                <w:color w:val="auto"/>
                <w:sz w:val="24"/>
                <w:szCs w:val="24"/>
                <w:highlight w:val="none"/>
                <w:lang w:val="en-US" w:eastAsia="zh-CN"/>
              </w:rPr>
              <w:t>及</w:t>
            </w:r>
            <w:r>
              <w:rPr>
                <w:rFonts w:hint="eastAsia" w:ascii="仿宋" w:hAnsi="仿宋" w:eastAsia="仿宋" w:cs="仿宋"/>
                <w:color w:val="auto"/>
                <w:sz w:val="24"/>
                <w:szCs w:val="24"/>
                <w:highlight w:val="none"/>
              </w:rPr>
              <w:t>技术复核表）（PDF格式）</w:t>
            </w:r>
          </w:p>
        </w:tc>
        <w:tc>
          <w:tcPr>
            <w:tcW w:w="145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满足发包人要求</w:t>
            </w:r>
          </w:p>
        </w:tc>
        <w:tc>
          <w:tcPr>
            <w:tcW w:w="127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3天</w:t>
            </w:r>
          </w:p>
        </w:tc>
        <w:tc>
          <w:tcPr>
            <w:tcW w:w="3667" w:type="dxa"/>
            <w:vMerge w:val="continue"/>
            <w:tcBorders>
              <w:left w:val="single" w:color="auto" w:sz="4" w:space="0"/>
              <w:right w:val="single" w:color="auto" w:sz="4" w:space="0"/>
            </w:tcBorders>
            <w:noWrap w:val="0"/>
            <w:vAlign w:val="top"/>
          </w:tcPr>
          <w:p>
            <w:pPr>
              <w:spacing w:line="400" w:lineRule="exact"/>
              <w:ind w:firstLine="480" w:firstLineChars="200"/>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61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39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总平面图（PDF格式、CAD版本（采用DWG格式））</w:t>
            </w:r>
          </w:p>
        </w:tc>
        <w:tc>
          <w:tcPr>
            <w:tcW w:w="145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满足发包人要求</w:t>
            </w:r>
          </w:p>
        </w:tc>
        <w:tc>
          <w:tcPr>
            <w:tcW w:w="127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3667" w:type="dxa"/>
            <w:vMerge w:val="continue"/>
            <w:tcBorders>
              <w:left w:val="single" w:color="auto" w:sz="4" w:space="0"/>
              <w:right w:val="single" w:color="auto" w:sz="4" w:space="0"/>
            </w:tcBorders>
            <w:noWrap w:val="0"/>
            <w:vAlign w:val="center"/>
          </w:tcPr>
          <w:p>
            <w:pPr>
              <w:spacing w:line="400" w:lineRule="exact"/>
              <w:ind w:firstLine="480" w:firstLineChars="200"/>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1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239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施工图设计文件（包括各专业工程）</w:t>
            </w:r>
          </w:p>
        </w:tc>
        <w:tc>
          <w:tcPr>
            <w:tcW w:w="145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满足发包人要求</w:t>
            </w:r>
          </w:p>
        </w:tc>
        <w:tc>
          <w:tcPr>
            <w:tcW w:w="127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初设获批后20天</w:t>
            </w:r>
          </w:p>
        </w:tc>
        <w:tc>
          <w:tcPr>
            <w:tcW w:w="3667" w:type="dxa"/>
            <w:vMerge w:val="continue"/>
            <w:tcBorders>
              <w:left w:val="single" w:color="auto" w:sz="4" w:space="0"/>
              <w:right w:val="single" w:color="auto" w:sz="4" w:space="0"/>
            </w:tcBorders>
            <w:noWrap w:val="0"/>
            <w:vAlign w:val="center"/>
          </w:tcPr>
          <w:p>
            <w:pPr>
              <w:spacing w:line="400" w:lineRule="exact"/>
              <w:ind w:firstLine="480" w:firstLineChars="200"/>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3" w:hRule="atLeast"/>
          <w:jc w:val="center"/>
        </w:trPr>
        <w:tc>
          <w:tcPr>
            <w:tcW w:w="61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239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施工图电子文件（CAD版本,采用DWG格式，要求刻入光盘，递交时间与递交施工图时间同时）</w:t>
            </w:r>
          </w:p>
        </w:tc>
        <w:tc>
          <w:tcPr>
            <w:tcW w:w="145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满足发包人要求</w:t>
            </w:r>
          </w:p>
        </w:tc>
        <w:tc>
          <w:tcPr>
            <w:tcW w:w="127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3667" w:type="dxa"/>
            <w:vMerge w:val="continue"/>
            <w:tcBorders>
              <w:left w:val="single" w:color="auto" w:sz="4" w:space="0"/>
              <w:right w:val="single" w:color="auto" w:sz="4" w:space="0"/>
            </w:tcBorders>
            <w:noWrap w:val="0"/>
            <w:vAlign w:val="center"/>
          </w:tcPr>
          <w:p>
            <w:pPr>
              <w:spacing w:line="400" w:lineRule="exact"/>
              <w:ind w:firstLine="480" w:firstLineChars="200"/>
              <w:rPr>
                <w:rFonts w:hint="eastAsia" w:ascii="仿宋" w:hAnsi="仿宋" w:eastAsia="仿宋" w:cs="仿宋"/>
                <w:color w:val="auto"/>
                <w:sz w:val="24"/>
                <w:szCs w:val="24"/>
                <w:highlight w:val="none"/>
              </w:rPr>
            </w:pPr>
          </w:p>
        </w:tc>
      </w:tr>
    </w:tbl>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第五条 合同价及支付</w:t>
      </w:r>
    </w:p>
    <w:p>
      <w:pPr>
        <w:spacing w:line="400" w:lineRule="exact"/>
        <w:ind w:firstLine="470" w:firstLineChars="19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合同价包含的内容：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本项目费用包含</w:t>
      </w:r>
      <w:r>
        <w:rPr>
          <w:rFonts w:hint="eastAsia" w:ascii="仿宋" w:hAnsi="仿宋" w:eastAsia="仿宋" w:cs="仿宋"/>
          <w:color w:val="auto"/>
          <w:sz w:val="24"/>
          <w:szCs w:val="24"/>
          <w:highlight w:val="none"/>
          <w:lang w:val="zh-CN"/>
        </w:rPr>
        <w:t>设计以及成果各项内容、前期沟通、后续服务（含调研、踏勘、成果印刷、邮寄等费用）、各阶段成果评审、税金、管理费用等所有费用</w:t>
      </w:r>
      <w:r>
        <w:rPr>
          <w:rFonts w:hint="eastAsia" w:ascii="仿宋" w:hAnsi="仿宋" w:eastAsia="仿宋" w:cs="仿宋"/>
          <w:color w:val="auto"/>
          <w:sz w:val="24"/>
          <w:szCs w:val="24"/>
          <w:highlight w:val="none"/>
        </w:rPr>
        <w:t>。</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本费用包含设计人方案多次深化的费用；</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 本费用包含设计人所有施工图图纸因报批而发生局部变更所产生的费用；</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5.1.4本项目如涉及到招标范围内某区域功能的局部调整，设计人应无条件配合发包人的工作，并对施工图图纸作相应调整，其费用不再另行收取。</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5.2.1支付进度详见下表：</w:t>
      </w:r>
    </w:p>
    <w:p>
      <w:pPr>
        <w:pStyle w:val="3"/>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设计费付款进度：</w:t>
      </w:r>
    </w:p>
    <w:p>
      <w:pPr>
        <w:pStyle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可行性论证单独按项目估算金额大小付款，常规为3个地点进行论证，超过按比例支付。</w:t>
      </w:r>
    </w:p>
    <w:p>
      <w:pPr>
        <w:pStyle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方案设计、初步设计、施工图设计及施工期间配合等直至工程竣工的全过程设计服务按完成阶段付款 </w:t>
      </w:r>
    </w:p>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可行性论证付款</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trPr>
        <w:tc>
          <w:tcPr>
            <w:tcW w:w="8518" w:type="dxa"/>
            <w:noWrap w:val="0"/>
            <w:vAlign w:val="top"/>
          </w:tcPr>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1、方案金额=面积×单方造价（精装修810元/㎡，安装（含给排水、强电、暖通等）600元/㎡，弱电210元/㎡等，具体专业以龙湾院区新建工程单方造价为准）</w:t>
            </w:r>
          </w:p>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以最大的论证地点面积为准</w:t>
            </w:r>
          </w:p>
        </w:tc>
      </w:tr>
    </w:tbl>
    <w:p>
      <w:pPr>
        <w:pStyle w:val="9"/>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设计阶段付款</w:t>
      </w:r>
    </w:p>
    <w:p>
      <w:pPr>
        <w:pStyle w:val="9"/>
        <w:numPr>
          <w:ilvl w:val="0"/>
          <w:numId w:val="0"/>
        </w:numPr>
        <w:ind w:left="241" w:hanging="241" w:hangingChars="100"/>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设计费计取</w:t>
      </w:r>
      <w:r>
        <w:rPr>
          <w:rFonts w:hint="eastAsia" w:ascii="仿宋" w:hAnsi="仿宋" w:eastAsia="仿宋" w:cs="仿宋"/>
          <w:color w:val="auto"/>
          <w:sz w:val="24"/>
          <w:szCs w:val="24"/>
          <w:highlight w:val="none"/>
          <w:vertAlign w:val="baseline"/>
          <w:lang w:val="en-US" w:eastAsia="zh-CN"/>
        </w:rPr>
        <w:t>：</w:t>
      </w:r>
      <w:r>
        <w:rPr>
          <w:rFonts w:hint="eastAsia" w:ascii="仿宋" w:hAnsi="仿宋" w:eastAsia="仿宋" w:cs="仿宋"/>
          <w:color w:val="auto"/>
          <w:sz w:val="24"/>
          <w:szCs w:val="24"/>
          <w:highlight w:val="none"/>
        </w:rPr>
        <w:t>计费基数×专业调整系数×复杂系数×附加调整系数</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计费基数：投标价</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专业调整系数取 1；</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复杂系数 0.85；</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附加调整系数仅计取装修工程所需的 1.5。其他为未定系数按相应规定下限计取。</w:t>
      </w:r>
    </w:p>
    <w:p>
      <w:pPr>
        <w:rPr>
          <w:rFonts w:hint="eastAsia"/>
          <w:color w:val="auto"/>
          <w:highlight w:val="none"/>
          <w:lang w:val="en-US" w:eastAsia="zh-CN"/>
        </w:rPr>
      </w:pPr>
      <w:r>
        <w:rPr>
          <w:rFonts w:hint="eastAsia" w:ascii="仿宋" w:hAnsi="仿宋" w:eastAsia="仿宋" w:cs="仿宋"/>
          <w:color w:val="auto"/>
          <w:sz w:val="24"/>
          <w:szCs w:val="24"/>
          <w:highlight w:val="none"/>
          <w:vertAlign w:val="baseline"/>
          <w:lang w:val="en-US" w:eastAsia="zh-CN"/>
        </w:rPr>
        <w:t>2、若方案被采取，则按设计阶段付款，可行性论证不另外付款。</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方案设计</w:t>
            </w:r>
          </w:p>
        </w:tc>
        <w:tc>
          <w:tcPr>
            <w:tcW w:w="4261" w:type="dxa"/>
            <w:noWrap w:val="0"/>
            <w:vAlign w:val="top"/>
          </w:tcPr>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初步设计</w:t>
            </w:r>
          </w:p>
        </w:tc>
        <w:tc>
          <w:tcPr>
            <w:tcW w:w="4261" w:type="dxa"/>
            <w:noWrap w:val="0"/>
            <w:vAlign w:val="top"/>
          </w:tcPr>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施工图设计</w:t>
            </w:r>
          </w:p>
        </w:tc>
        <w:tc>
          <w:tcPr>
            <w:tcW w:w="4261" w:type="dxa"/>
            <w:noWrap w:val="0"/>
            <w:vAlign w:val="top"/>
          </w:tcPr>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noWrap w:val="0"/>
            <w:vAlign w:val="top"/>
          </w:tcPr>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竣工结算</w:t>
            </w:r>
          </w:p>
        </w:tc>
        <w:tc>
          <w:tcPr>
            <w:tcW w:w="4261" w:type="dxa"/>
            <w:noWrap w:val="0"/>
            <w:vAlign w:val="top"/>
          </w:tcPr>
          <w:p>
            <w:pPr>
              <w:pStyle w:val="9"/>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30%（尾款以结算金额为依据，按收费标准支付）</w:t>
            </w:r>
          </w:p>
        </w:tc>
      </w:tr>
    </w:tbl>
    <w:p>
      <w:pPr>
        <w:pStyle w:val="9"/>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设计人提供设计文件的标准份数，初步设计、总体设计分别为10 份，施工图设计、非标准设备设计、施工图预算、竣工图分别为8 份。</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第六条  双方责任</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6.1发包人责任：</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6.1.1发包人按本合同第三条规定的内容，在规定的时间内向设计人提交资料及文件，并对其完整性、正确性负责，发包人不得要求设计人违反国家有关标准进行设计。</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发包人提交上述资料及文件超过规定期限15天以内，设计人按合同第四条规定交付设计文件时间顺延。</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6.1.2发包人变更委托设计项目、规模、条件或因提交的资料错误，或所提交资料作较大修改，以致造成设计人设计需返工时，所产生的费用，双方另行协商，如本合同另有约定的除外。</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6.1.3发包人要求设计人比合同规定时间提前交付设计资料及文件时，如果设计人能够做到，发包人应根据设计人提前投入的工作量，向设计人支付赶工费。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6.1.4发包人应配合设计人派赴现场处理有关设计问题的工作人员的工作。</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6.1.5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6.2设计人责任：</w:t>
      </w:r>
    </w:p>
    <w:p>
      <w:pPr>
        <w:spacing w:line="360" w:lineRule="exact"/>
        <w:ind w:left="1" w:firstLine="444" w:firstLineChars="185"/>
        <w:jc w:val="left"/>
        <w:rPr>
          <w:rFonts w:hint="eastAsia" w:ascii="仿宋" w:hAnsi="仿宋" w:eastAsia="仿宋" w:cs="仿宋"/>
          <w:color w:val="auto"/>
          <w:spacing w:val="10"/>
          <w:sz w:val="24"/>
          <w:szCs w:val="24"/>
          <w:highlight w:val="none"/>
        </w:rPr>
      </w:pPr>
      <w:r>
        <w:rPr>
          <w:rFonts w:hint="eastAsia" w:ascii="仿宋" w:hAnsi="仿宋" w:eastAsia="仿宋" w:cs="仿宋"/>
          <w:color w:val="auto"/>
          <w:sz w:val="24"/>
          <w:szCs w:val="24"/>
          <w:highlight w:val="none"/>
        </w:rPr>
        <w:t>6.2.1</w:t>
      </w:r>
      <w:r>
        <w:rPr>
          <w:rFonts w:hint="eastAsia" w:ascii="仿宋" w:hAnsi="仿宋" w:eastAsia="仿宋" w:cs="仿宋"/>
          <w:color w:val="auto"/>
          <w:spacing w:val="10"/>
          <w:sz w:val="24"/>
          <w:szCs w:val="24"/>
          <w:highlight w:val="none"/>
        </w:rPr>
        <w:t xml:space="preserve">  设计人应按国家技术规范、标准、规程及发包人提出的设计要求进行工程设计，按合同规定的进度要求及时提交质量合格的设计资料，并对其负责。</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6.2.2  设计人采用的主要技术方案标准是：</w:t>
      </w:r>
      <w:r>
        <w:rPr>
          <w:rFonts w:hint="eastAsia" w:ascii="仿宋" w:hAnsi="仿宋" w:eastAsia="仿宋" w:cs="仿宋"/>
          <w:color w:val="auto"/>
          <w:sz w:val="24"/>
          <w:szCs w:val="24"/>
          <w:highlight w:val="none"/>
          <w:u w:val="single"/>
        </w:rPr>
        <w:t>现行国家标准、浙江省标准和温州市等规范、标准或政策性文件</w:t>
      </w:r>
      <w:r>
        <w:rPr>
          <w:rFonts w:hint="eastAsia" w:ascii="仿宋" w:hAnsi="仿宋" w:eastAsia="仿宋" w:cs="仿宋"/>
          <w:color w:val="auto"/>
          <w:sz w:val="24"/>
          <w:szCs w:val="24"/>
          <w:highlight w:val="none"/>
        </w:rPr>
        <w:t>。</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6.2.3  设计合理使用年限为</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年及以上。</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6.2.4  设计人按合同第二条和第四条规定的内容、进度及份数向发包人交付资料及文件。</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6.2.5  设计人交付设计资料及文件后，按规定参加有关设计审查，并根据审查结论负责对不超出原定范围的内容做必要调整补充。设计人不得以任何理由拒绝发包人提出对设计内容进行修改调整。设计人按合同规定时限交付设计资料及文件后，设计人负责向发包人和施工单位进行设计交底，并派主要设计人员处理施工中涉及到的有关设计问题和参加施工图纸会审以及施工分部验收和竣工验收。</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6.2.6  设计人应保护发包人的知识产权，不得向第三人泄露、转让发包人提交的产品图纸等技术经济资料。如发生以上情况并给发包人造成经济损失，发包人有权向设计人索赔。</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6.2.7 设计人不得擅自转让或以其他方式出让合同或合同的任何权益，设计人须视履行合同为本身的责任。</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6.2.8 设计方案确定后，设计人在七个工作日内向发包人提供地质勘察布孔图和基本准确的单桩荷载。</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6.2.9 视工程需要，发包人可能会以书面函件形式要求设计人派驻相关设计人员，设计人须按照发包人书面函件要求无条件满足，由此产生的相关费用（含差旅费、住宿费等）已包含在本次合同价内，设计人已综合考虑，不再另行计取。</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第七条  违约责任：</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7.1在合同履行期间，发包人有权终止或解除合同，设计人未开始测量设计工作的，不退还发包人已付的定金；已开始测量设计工作的，发包人应根据设计人已进行的实际工作量，不足一半时，按该阶段设计费的一半支付；超过一半时，按该阶段设计费的全部支付。</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发包人应按本合同第五条规定的金额和时间向设计人支付设计费，每逾期支付一天，应承担支付金额千分之二的逾期违约金。逾期超过30天以上时，设计人有权暂停履行下阶段工作，并书面通知发包人。发包人的上级或设计审批部门对设计文件不审批或本合同项目停缓建，发包人均按7.1条规定支付设计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设计人对设计资料及文件出现的遗漏或错误负责修改或补充。由于设计人员错误造成工程质量事故损失，设计人除负责采取补救措施外，应免收直接受损失部分的设计费（。损失严重的根据损失的程度和设计人责任大小向发包人支付赔偿金，赔偿金为实际损失的</w:t>
      </w:r>
      <w:r>
        <w:rPr>
          <w:rFonts w:hint="eastAsia" w:ascii="仿宋" w:hAnsi="仿宋" w:eastAsia="仿宋" w:cs="仿宋"/>
          <w:color w:val="auto"/>
          <w:sz w:val="24"/>
          <w:szCs w:val="24"/>
          <w:highlight w:val="none"/>
          <w:u w:val="single"/>
        </w:rPr>
        <w:t xml:space="preserve"> 5 </w:t>
      </w:r>
      <w:r>
        <w:rPr>
          <w:rFonts w:hint="eastAsia" w:ascii="仿宋" w:hAnsi="仿宋" w:eastAsia="仿宋" w:cs="仿宋"/>
          <w:color w:val="auto"/>
          <w:sz w:val="24"/>
          <w:szCs w:val="24"/>
          <w:highlight w:val="none"/>
        </w:rPr>
        <w:t>％。</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7.4由于设计人自身原因，延误了按本合同第四条规定的设计资料及设计文件的交付时间，每延误一天，应减收该项目应收设计费的千分之二。</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7.5合同生效后，设计人要求终止或解除合同，设计人应双倍返还定金，并退还已付款项。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第八条  限额设计</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8.1设计人在方案审批通过后三个工作日内，向发包人提交估算和详细的设计过程造价控制计划。没有提供估算和造价控制计划，或估算和计划得不到发包人的认可（在接到设计人提供的资料后五个工作日内完成）的，方案阶段的设计无效。设计人应无条件调整方案或造价控制计划，直至满足要求。由此产生的时间延误，由设计人按本合同第七条承担责任。</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8.3设计人应科学、合理编制初步设计概算，不能凑投资限额设计上限值。</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8.4设计人的概算（执行最新的浙江省工程概算定额）经相关部门审核后，如其概算超过估算时，发包人有权要求其在规定时间内将该初步设计、概算等无条件做相应调整（在批复的设计方案范围内），并直至满足发包人要求。</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8.5本项目</w:t>
      </w:r>
      <w:r>
        <w:rPr>
          <w:rFonts w:hint="eastAsia" w:ascii="仿宋" w:hAnsi="仿宋" w:eastAsia="仿宋" w:cs="仿宋"/>
          <w:color w:val="auto"/>
          <w:kern w:val="0"/>
          <w:sz w:val="24"/>
          <w:szCs w:val="24"/>
          <w:highlight w:val="none"/>
        </w:rPr>
        <w:t>施工图预算（执行最新的浙江省工程预算定额）经相关部门审核后，如其预算超过审批后的设计概算时，发包人有权要求设计人在规定时间内将该施工图设计无条件做相应调整（在批复的初步设计范围内），并直至满足发包人要求，</w:t>
      </w:r>
      <w:r>
        <w:rPr>
          <w:rFonts w:hint="eastAsia" w:ascii="仿宋" w:hAnsi="仿宋" w:eastAsia="仿宋" w:cs="仿宋"/>
          <w:color w:val="auto"/>
          <w:sz w:val="24"/>
          <w:szCs w:val="24"/>
          <w:highlight w:val="none"/>
        </w:rPr>
        <w:t>由此造成的相关增加的费用由设计人承担。</w:t>
      </w:r>
    </w:p>
    <w:p>
      <w:pPr>
        <w:spacing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8.6由设计人原因提出的设计变更引起的造价增加，应控制在初步设计概算额的5%以内，且调整后的施工图预算造价不能超过初步设计概算值。如超出范围的，设计人应按本合同第7.3条承担责任（同一事件按最大赔偿额计）。</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第九条  其他</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根据工程需要和发包人要求，发包人在工程施工时，设计人必须指派设计项目负责人或专业设计负责人（根据发包人需要确定）提供现场指导和配合服务。在工程施工中，对设计文件有疑问，发包人提前1个工作日通知，设计人在接到通知后，应及时派本项目设计负责人解决，否则每次扣设计费一万元。属于一般设计问题，若无特殊情况，应在1天内解决。在工程的图纸会审、中间验收、消防验收、竣工验收、工程质量处理等，设计人除指派专业人员外必须有一名领导（或分管领导）参加，否则每次扣设计费一万元。属于重大设计问题，可在5天内书面提出解决意见。对设计图纸与现场不符之处，应及时提出解决办法。设计人未按照发包人书面函件要求及时配合的，每发生一次扣设计费一万元。</w:t>
      </w:r>
    </w:p>
    <w:p>
      <w:pPr>
        <w:pStyle w:val="27"/>
        <w:adjustRightInd w:val="0"/>
        <w:snapToGrid w:val="0"/>
        <w:spacing w:before="0" w:beforeAutospacing="0" w:after="0" w:afterAutospacing="0" w:line="400" w:lineRule="exact"/>
        <w:ind w:firstLine="480" w:firstLineChars="20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9.2设计人为本合同项目所采用的国家或地方标准图，由设计人自费向有关出版部门购买。本合同第四条规定设计人交付的设计资料及文件份数超过本合同第四条款规定的份数，设计人另收工本费。</w:t>
      </w:r>
    </w:p>
    <w:p>
      <w:pPr>
        <w:adjustRightInd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9.3本工程设计资料及文件中，建筑材料、建筑构配件和设备，应当注明其规格、型号、性能等技术指标，设计人不得指定生产厂、供应商。发包人需要设计人的设计人员配合加工定货时，所需要费用由发包人承担。</w:t>
      </w:r>
    </w:p>
    <w:p>
      <w:pPr>
        <w:adjustRightInd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9.4发包人委托设计人承担本合同内容之外的工作服务，另行支付费用。</w:t>
      </w:r>
    </w:p>
    <w:p>
      <w:pPr>
        <w:adjustRightInd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9.5由于不可抗力因素致使合同无法履行时，双方应及时协商解决。</w:t>
      </w:r>
    </w:p>
    <w:p>
      <w:pPr>
        <w:spacing w:line="400" w:lineRule="exact"/>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9.6如设计人在本项目有违反廉政规定并被纪检部门或司法机关查处的，则设计人向发包人支付合同价10%的违约金。</w:t>
      </w:r>
    </w:p>
    <w:p>
      <w:pPr>
        <w:adjustRightInd w:val="0"/>
        <w:snapToGrid w:val="0"/>
        <w:spacing w:line="400" w:lineRule="exact"/>
        <w:ind w:left="105" w:leftChars="50"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9.7本合同在履行过程中发生的争议，由双方当事人协商解决，协商不成的，按下列第</w:t>
      </w:r>
      <w:r>
        <w:rPr>
          <w:rFonts w:hint="eastAsia" w:ascii="仿宋" w:hAnsi="仿宋" w:eastAsia="仿宋" w:cs="仿宋"/>
          <w:color w:val="auto"/>
          <w:sz w:val="24"/>
          <w:szCs w:val="24"/>
          <w:highlight w:val="none"/>
          <w:u w:val="single"/>
        </w:rPr>
        <w:t xml:space="preserve"> （二）</w:t>
      </w:r>
      <w:r>
        <w:rPr>
          <w:rFonts w:hint="eastAsia" w:ascii="仿宋" w:hAnsi="仿宋" w:eastAsia="仿宋" w:cs="仿宋"/>
          <w:color w:val="auto"/>
          <w:sz w:val="24"/>
          <w:szCs w:val="24"/>
          <w:highlight w:val="none"/>
        </w:rPr>
        <w:t>种方式解决：</w:t>
      </w:r>
    </w:p>
    <w:p>
      <w:pPr>
        <w:adjustRightInd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（一）提交</w:t>
      </w:r>
      <w:r>
        <w:rPr>
          <w:rFonts w:hint="eastAsia" w:ascii="仿宋" w:hAnsi="仿宋" w:eastAsia="仿宋" w:cs="仿宋"/>
          <w:color w:val="auto"/>
          <w:sz w:val="24"/>
          <w:szCs w:val="24"/>
          <w:highlight w:val="none"/>
          <w:u w:val="single"/>
        </w:rPr>
        <w:t>温州</w:t>
      </w:r>
      <w:r>
        <w:rPr>
          <w:rFonts w:hint="eastAsia" w:ascii="仿宋" w:hAnsi="仿宋" w:eastAsia="仿宋" w:cs="仿宋"/>
          <w:color w:val="auto"/>
          <w:sz w:val="24"/>
          <w:szCs w:val="24"/>
          <w:highlight w:val="none"/>
        </w:rPr>
        <w:t>仲裁委员会仲裁；</w:t>
      </w:r>
    </w:p>
    <w:p>
      <w:pPr>
        <w:adjustRightInd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（二）依法向工程所在地法院起诉。</w:t>
      </w:r>
    </w:p>
    <w:p>
      <w:pPr>
        <w:adjustRightInd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9.8本合同一式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份，发包人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份，设计人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p>
    <w:p>
      <w:pPr>
        <w:adjustRightInd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9.9本合同经 </w:t>
      </w:r>
      <w:r>
        <w:rPr>
          <w:rFonts w:hint="eastAsia" w:ascii="仿宋" w:hAnsi="仿宋" w:eastAsia="仿宋" w:cs="仿宋"/>
          <w:bCs/>
          <w:color w:val="auto"/>
          <w:sz w:val="24"/>
          <w:szCs w:val="24"/>
          <w:highlight w:val="none"/>
        </w:rPr>
        <w:t>双方法定代表人或委托代理人签字，并加盖公章</w:t>
      </w:r>
      <w:r>
        <w:rPr>
          <w:rFonts w:hint="eastAsia" w:ascii="仿宋" w:hAnsi="仿宋" w:eastAsia="仿宋" w:cs="仿宋"/>
          <w:color w:val="auto"/>
          <w:sz w:val="24"/>
          <w:szCs w:val="24"/>
          <w:highlight w:val="none"/>
        </w:rPr>
        <w:t>后生效。</w:t>
      </w:r>
    </w:p>
    <w:p>
      <w:pPr>
        <w:adjustRightInd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9.10本合同生效后，双方认为必要时，到项目所在地工商行政管理部门申请鉴证。双方履行完合同规定的义务后，本合同即行终止。</w:t>
      </w:r>
    </w:p>
    <w:p>
      <w:pPr>
        <w:adjustRightInd w:val="0"/>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9.11本合同未尽事宜，双方可签订补充协议，有关协议及双方认可的来往电报、传真、会议纪要等，均为本合同组成部分，与本合同具有同等法律效力。</w:t>
      </w:r>
    </w:p>
    <w:p>
      <w:pPr>
        <w:rPr>
          <w:rFonts w:hint="eastAsia" w:ascii="仿宋" w:hAnsi="仿宋" w:eastAsia="仿宋" w:cs="仿宋"/>
          <w:color w:val="auto"/>
          <w:kern w:val="0"/>
          <w:sz w:val="24"/>
          <w:szCs w:val="24"/>
          <w:highlight w:val="none"/>
        </w:rPr>
      </w:pPr>
    </w:p>
    <w:p>
      <w:pPr>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发包人名称：                  设计人名称：</w:t>
      </w:r>
    </w:p>
    <w:p>
      <w:pPr>
        <w:widowControl/>
        <w:adjustRightInd w:val="0"/>
        <w:snapToGrid w:val="0"/>
        <w:spacing w:before="100" w:beforeAutospacing="1" w:after="100" w:afterAutospacing="1"/>
        <w:ind w:firstLine="360" w:firstLineChars="15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（盖章）                      （盖章）</w:t>
      </w:r>
    </w:p>
    <w:p>
      <w:pPr>
        <w:widowControl/>
        <w:adjustRightInd w:val="0"/>
        <w:snapToGrid w:val="0"/>
        <w:spacing w:before="100" w:beforeAutospacing="1" w:after="100" w:afterAutospacing="1"/>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            法定代表人：（签字）</w:t>
      </w:r>
    </w:p>
    <w:p>
      <w:pPr>
        <w:widowControl/>
        <w:adjustRightInd w:val="0"/>
        <w:snapToGrid w:val="0"/>
        <w:spacing w:before="100" w:beforeAutospacing="1" w:after="100" w:afterAutospacing="1"/>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委托代理人：（签字）            委托代理人：（签字）</w:t>
      </w:r>
    </w:p>
    <w:p>
      <w:pPr>
        <w:widowControl/>
        <w:adjustRightInd w:val="0"/>
        <w:snapToGrid w:val="0"/>
        <w:spacing w:before="100" w:beforeAutospacing="1" w:after="100" w:afterAutospacing="1"/>
        <w:ind w:firstLine="720" w:firstLineChars="3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住    所：                    住    所：</w:t>
      </w:r>
    </w:p>
    <w:p>
      <w:pPr>
        <w:widowControl/>
        <w:adjustRightInd w:val="0"/>
        <w:snapToGrid w:val="0"/>
        <w:spacing w:before="100" w:beforeAutospacing="1" w:after="100" w:afterAutospacing="1"/>
        <w:ind w:firstLine="720" w:firstLineChars="3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邮政编码：                    邮政编码：</w:t>
      </w:r>
    </w:p>
    <w:p>
      <w:pPr>
        <w:widowControl/>
        <w:adjustRightInd w:val="0"/>
        <w:snapToGrid w:val="0"/>
        <w:spacing w:before="100" w:beforeAutospacing="1" w:after="100" w:afterAutospacing="1"/>
        <w:ind w:firstLine="720" w:firstLineChars="3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电    话：                    电    话：</w:t>
      </w:r>
    </w:p>
    <w:p>
      <w:pPr>
        <w:widowControl/>
        <w:adjustRightInd w:val="0"/>
        <w:snapToGrid w:val="0"/>
        <w:spacing w:before="100" w:beforeAutospacing="1" w:after="100" w:afterAutospacing="1"/>
        <w:ind w:firstLine="600" w:firstLineChars="25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传    真：                    传    真：</w:t>
      </w:r>
    </w:p>
    <w:p>
      <w:pPr>
        <w:widowControl/>
        <w:adjustRightInd w:val="0"/>
        <w:snapToGrid w:val="0"/>
        <w:spacing w:before="100" w:beforeAutospacing="1" w:after="100" w:afterAutospacing="1"/>
        <w:ind w:firstLine="600" w:firstLineChars="25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开户银行：                    开户银行：</w:t>
      </w:r>
    </w:p>
    <w:p>
      <w:pPr>
        <w:widowControl/>
        <w:adjustRightInd w:val="0"/>
        <w:snapToGrid w:val="0"/>
        <w:spacing w:before="100" w:beforeAutospacing="1" w:after="100" w:afterAutospacing="1"/>
        <w:ind w:firstLine="600" w:firstLineChars="25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银行帐号：                    银行帐号：</w:t>
      </w:r>
    </w:p>
    <w:p>
      <w:pPr>
        <w:pStyle w:val="4"/>
        <w:bidi w:val="0"/>
        <w:rPr>
          <w:rFonts w:hint="eastAsia" w:ascii="仿宋" w:hAnsi="仿宋" w:eastAsia="仿宋" w:cs="仿宋"/>
          <w:color w:val="auto"/>
          <w:highlight w:val="none"/>
          <w:lang w:val="en-US" w:eastAsia="zh-CN"/>
        </w:rPr>
      </w:pPr>
      <w:r>
        <w:rPr>
          <w:rFonts w:hint="eastAsia" w:ascii="仿宋" w:hAnsi="仿宋" w:eastAsia="仿宋" w:cs="仿宋"/>
          <w:b w:val="0"/>
          <w:bCs w:val="0"/>
          <w:color w:val="auto"/>
          <w:sz w:val="30"/>
          <w:szCs w:val="30"/>
          <w:highlight w:val="none"/>
        </w:rPr>
        <w:br w:type="page"/>
      </w:r>
      <w:bookmarkStart w:id="100" w:name="_Toc16836"/>
      <w:r>
        <w:rPr>
          <w:rFonts w:hint="eastAsia" w:ascii="仿宋" w:hAnsi="仿宋" w:eastAsia="仿宋" w:cs="仿宋"/>
          <w:color w:val="auto"/>
          <w:highlight w:val="none"/>
          <w:lang w:val="en-US" w:eastAsia="zh-CN"/>
        </w:rPr>
        <w:t>第六章 磋商响应文件格式</w:t>
      </w:r>
      <w:bookmarkEnd w:id="100"/>
    </w:p>
    <w:p>
      <w:pPr>
        <w:snapToGrid w:val="0"/>
        <w:spacing w:before="156" w:beforeLines="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磋商声明书</w:t>
      </w:r>
    </w:p>
    <w:p>
      <w:pPr>
        <w:snapToGrid w:val="0"/>
        <w:spacing w:before="156" w:beforeLines="50" w:after="50" w:line="5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致：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（采购单位名称）：</w:t>
      </w:r>
    </w:p>
    <w:p>
      <w:pPr>
        <w:snapToGrid w:val="0"/>
        <w:spacing w:before="156" w:beforeLines="50" w:after="50" w:line="56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（供应商名称）系中华人民共和国合法企业，经营地址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snapToGrid w:val="0"/>
        <w:spacing w:before="156" w:beforeLines="50" w:after="5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（姓名）系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（供应商名称）的法定代表人，我方愿意参加贵方组织的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项目的磋商，为便于贵方公正、择优地确定成交供应商及其磋商产品和服务，我方就本次磋商有关事项郑重声明如下：</w:t>
      </w:r>
    </w:p>
    <w:p>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1.我方向贵方提交的所有响应文件、资料都是准确的和真实的。</w:t>
      </w:r>
    </w:p>
    <w:p>
      <w:pPr>
        <w:snapToGrid w:val="0"/>
        <w:spacing w:before="156" w:beforeLines="5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2.我方不是采购单位的附属机构；在获知本项目采购信息后，与采购单位聘请的为此项目提供咨询服务的公司及其附属机构没有任何联系。</w:t>
      </w:r>
    </w:p>
    <w:p>
      <w:pPr>
        <w:snapToGrid w:val="0"/>
        <w:spacing w:before="156" w:beforeLines="5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我方及由本人担任法定代表人的其他机构最近三年内被通报或者被处罚的违法行为有：</w:t>
      </w:r>
    </w:p>
    <w:p>
      <w:pPr>
        <w:snapToGrid w:val="0"/>
        <w:spacing w:before="156" w:beforeLines="50" w:line="56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　　　　　　　　　　　　　　　　　　　　　　　　　　　</w:t>
      </w:r>
    </w:p>
    <w:p>
      <w:pPr>
        <w:snapToGrid w:val="0"/>
        <w:spacing w:before="156" w:beforeLines="5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w:t>
      </w:r>
    </w:p>
    <w:p>
      <w:pPr>
        <w:snapToGrid w:val="0"/>
        <w:spacing w:before="156" w:beforeLines="50" w:line="56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4.以上事项如有虚假或隐瞒，我方愿意承担一切后果，并不再寻求任何旨在减轻或免除法律责任的辩解。</w:t>
      </w:r>
    </w:p>
    <w:p>
      <w:pPr>
        <w:pStyle w:val="14"/>
        <w:tabs>
          <w:tab w:val="left" w:pos="939"/>
        </w:tabs>
        <w:snapToGrid w:val="0"/>
        <w:spacing w:line="560" w:lineRule="exact"/>
        <w:ind w:left="773" w:leftChars="150" w:hanging="458" w:hangingChars="191"/>
        <w:rPr>
          <w:rFonts w:hint="eastAsia" w:ascii="仿宋" w:hAnsi="仿宋" w:eastAsia="仿宋" w:cs="仿宋"/>
          <w:color w:val="auto"/>
          <w:sz w:val="24"/>
          <w:szCs w:val="24"/>
          <w:highlight w:val="none"/>
        </w:rPr>
      </w:pPr>
    </w:p>
    <w:p>
      <w:pPr>
        <w:snapToGrid w:val="0"/>
        <w:spacing w:before="156" w:beforeLines="50" w:line="560" w:lineRule="exact"/>
        <w:ind w:firstLine="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法定代表人签字：</w:t>
      </w:r>
      <w:r>
        <w:rPr>
          <w:rFonts w:hint="eastAsia" w:ascii="仿宋" w:hAnsi="仿宋" w:eastAsia="仿宋" w:cs="仿宋"/>
          <w:color w:val="auto"/>
          <w:sz w:val="24"/>
          <w:szCs w:val="24"/>
          <w:highlight w:val="none"/>
          <w:u w:val="single"/>
        </w:rPr>
        <w:t xml:space="preserve">             </w:t>
      </w:r>
    </w:p>
    <w:p>
      <w:pPr>
        <w:snapToGrid w:val="0"/>
        <w:spacing w:before="156" w:beforeLines="50" w:after="50" w:line="56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年    月    日</w:t>
      </w:r>
    </w:p>
    <w:p>
      <w:pPr>
        <w:snapToGrid w:val="0"/>
        <w:jc w:val="left"/>
        <w:rPr>
          <w:rFonts w:hint="eastAsia" w:ascii="仿宋" w:hAnsi="仿宋" w:eastAsia="仿宋" w:cs="仿宋"/>
          <w:color w:val="auto"/>
          <w:sz w:val="24"/>
          <w:highlight w:val="none"/>
        </w:rPr>
      </w:pPr>
    </w:p>
    <w:p>
      <w:pPr>
        <w:snapToGrid w:val="0"/>
        <w:ind w:firstLine="2719" w:firstLineChars="1133"/>
        <w:jc w:val="left"/>
        <w:rPr>
          <w:rFonts w:hint="eastAsia" w:ascii="仿宋" w:hAnsi="仿宋" w:eastAsia="仿宋" w:cs="仿宋"/>
          <w:b w:val="0"/>
          <w:bCs w:val="0"/>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val="0"/>
          <w:bCs w:val="0"/>
          <w:color w:val="auto"/>
          <w:sz w:val="24"/>
          <w:highlight w:val="none"/>
        </w:rPr>
        <w:t xml:space="preserve">   </w:t>
      </w:r>
      <w:r>
        <w:rPr>
          <w:rFonts w:hint="eastAsia" w:ascii="仿宋" w:hAnsi="仿宋" w:eastAsia="仿宋" w:cs="仿宋"/>
          <w:b/>
          <w:bCs/>
          <w:color w:val="auto"/>
          <w:sz w:val="24"/>
          <w:highlight w:val="none"/>
        </w:rPr>
        <w:t>法定代表人有效身份证明书</w:t>
      </w:r>
    </w:p>
    <w:p>
      <w:pPr>
        <w:pStyle w:val="9"/>
        <w:spacing w:line="400" w:lineRule="exact"/>
        <w:ind w:firstLine="511" w:firstLineChars="156"/>
        <w:jc w:val="center"/>
        <w:rPr>
          <w:rFonts w:hint="eastAsia" w:ascii="仿宋" w:hAnsi="仿宋" w:eastAsia="仿宋" w:cs="仿宋"/>
          <w:b w:val="0"/>
          <w:bCs w:val="0"/>
          <w:color w:val="auto"/>
          <w:spacing w:val="24"/>
          <w:sz w:val="28"/>
          <w:szCs w:val="28"/>
          <w:highlight w:val="none"/>
        </w:rPr>
      </w:pPr>
    </w:p>
    <w:p>
      <w:pPr>
        <w:pStyle w:val="9"/>
        <w:spacing w:line="400" w:lineRule="exact"/>
        <w:ind w:firstLine="449" w:firstLineChars="156"/>
        <w:jc w:val="center"/>
        <w:rPr>
          <w:rFonts w:hint="eastAsia" w:ascii="仿宋" w:hAnsi="仿宋" w:eastAsia="仿宋" w:cs="仿宋"/>
          <w:b w:val="0"/>
          <w:bCs w:val="0"/>
          <w:color w:val="auto"/>
          <w:spacing w:val="24"/>
          <w:sz w:val="24"/>
          <w:szCs w:val="24"/>
          <w:highlight w:val="none"/>
        </w:rPr>
      </w:pPr>
    </w:p>
    <w:p>
      <w:pPr>
        <w:pStyle w:val="9"/>
        <w:spacing w:line="400" w:lineRule="exact"/>
        <w:ind w:firstLine="840" w:firstLineChars="35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（姓名）是</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（单位全称）</w:t>
      </w:r>
    </w:p>
    <w:p>
      <w:pPr>
        <w:pStyle w:val="9"/>
        <w:spacing w:line="400" w:lineRule="exact"/>
        <w:ind w:firstLine="374" w:firstLineChars="156"/>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的法定代表人，身份证号码为</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w:t>
      </w:r>
    </w:p>
    <w:p>
      <w:pPr>
        <w:pStyle w:val="9"/>
        <w:spacing w:line="400" w:lineRule="exact"/>
        <w:ind w:firstLine="374" w:firstLineChars="156"/>
        <w:rPr>
          <w:rFonts w:hint="eastAsia" w:ascii="仿宋" w:hAnsi="仿宋" w:eastAsia="仿宋" w:cs="仿宋"/>
          <w:b w:val="0"/>
          <w:bCs w:val="0"/>
          <w:color w:val="auto"/>
          <w:sz w:val="24"/>
          <w:szCs w:val="24"/>
          <w:highlight w:val="none"/>
        </w:rPr>
      </w:pPr>
    </w:p>
    <w:p>
      <w:pPr>
        <w:pStyle w:val="9"/>
        <w:spacing w:line="400" w:lineRule="exact"/>
        <w:ind w:firstLine="374" w:firstLineChars="156"/>
        <w:rPr>
          <w:rFonts w:hint="eastAsia" w:ascii="仿宋" w:hAnsi="仿宋" w:eastAsia="仿宋" w:cs="仿宋"/>
          <w:b w:val="0"/>
          <w:bCs w:val="0"/>
          <w:color w:val="auto"/>
          <w:sz w:val="24"/>
          <w:szCs w:val="24"/>
          <w:highlight w:val="none"/>
        </w:rPr>
      </w:pPr>
    </w:p>
    <w:p>
      <w:pPr>
        <w:pStyle w:val="9"/>
        <w:spacing w:line="400" w:lineRule="exact"/>
        <w:ind w:firstLine="374" w:firstLineChars="156"/>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xml:space="preserve">    特此证明</w:t>
      </w:r>
    </w:p>
    <w:p>
      <w:pPr>
        <w:pStyle w:val="9"/>
        <w:spacing w:line="400" w:lineRule="exact"/>
        <w:ind w:firstLine="374" w:firstLineChars="156"/>
        <w:rPr>
          <w:rFonts w:hint="eastAsia" w:ascii="仿宋" w:hAnsi="仿宋" w:eastAsia="仿宋" w:cs="仿宋"/>
          <w:b w:val="0"/>
          <w:bCs w:val="0"/>
          <w:color w:val="auto"/>
          <w:sz w:val="24"/>
          <w:szCs w:val="24"/>
          <w:highlight w:val="none"/>
        </w:rPr>
      </w:pPr>
    </w:p>
    <w:p>
      <w:pPr>
        <w:pStyle w:val="9"/>
        <w:spacing w:line="400" w:lineRule="exact"/>
        <w:ind w:firstLine="374" w:firstLineChars="156"/>
        <w:rPr>
          <w:rFonts w:hint="eastAsia" w:ascii="仿宋" w:hAnsi="仿宋" w:eastAsia="仿宋" w:cs="仿宋"/>
          <w:b w:val="0"/>
          <w:bCs w:val="0"/>
          <w:color w:val="auto"/>
          <w:sz w:val="24"/>
          <w:szCs w:val="24"/>
          <w:highlight w:val="none"/>
        </w:rPr>
      </w:pPr>
    </w:p>
    <w:p>
      <w:pPr>
        <w:pStyle w:val="9"/>
        <w:spacing w:line="400" w:lineRule="exact"/>
        <w:ind w:firstLine="374" w:firstLineChars="156"/>
        <w:rPr>
          <w:rFonts w:hint="eastAsia" w:ascii="仿宋" w:hAnsi="仿宋" w:eastAsia="仿宋" w:cs="仿宋"/>
          <w:b w:val="0"/>
          <w:bCs w:val="0"/>
          <w:color w:val="auto"/>
          <w:sz w:val="24"/>
          <w:szCs w:val="24"/>
          <w:highlight w:val="none"/>
        </w:rPr>
      </w:pPr>
    </w:p>
    <w:p>
      <w:pPr>
        <w:pStyle w:val="9"/>
        <w:spacing w:line="400" w:lineRule="exact"/>
        <w:ind w:firstLine="374" w:firstLineChars="156"/>
        <w:rPr>
          <w:rFonts w:hint="eastAsia" w:ascii="仿宋" w:hAnsi="仿宋" w:eastAsia="仿宋" w:cs="仿宋"/>
          <w:b w:val="0"/>
          <w:bCs w:val="0"/>
          <w:color w:val="auto"/>
          <w:sz w:val="24"/>
          <w:szCs w:val="24"/>
          <w:highlight w:val="none"/>
        </w:rPr>
      </w:pPr>
    </w:p>
    <w:p>
      <w:pPr>
        <w:pStyle w:val="9"/>
        <w:spacing w:line="400" w:lineRule="exact"/>
        <w:ind w:firstLine="374" w:firstLineChars="156"/>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xml:space="preserve">                      投标人：</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（盖章）</w:t>
      </w:r>
    </w:p>
    <w:p>
      <w:pPr>
        <w:pStyle w:val="9"/>
        <w:spacing w:line="400" w:lineRule="exact"/>
        <w:ind w:firstLine="374" w:firstLineChars="156"/>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xml:space="preserve">                      </w:t>
      </w:r>
    </w:p>
    <w:p>
      <w:pPr>
        <w:pStyle w:val="9"/>
        <w:spacing w:line="400" w:lineRule="exact"/>
        <w:ind w:firstLine="3012" w:firstLineChars="1255"/>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法定代表人或其授权代理人（签名或盖章）</w:t>
      </w:r>
    </w:p>
    <w:p>
      <w:pPr>
        <w:pStyle w:val="9"/>
        <w:spacing w:line="400" w:lineRule="exact"/>
        <w:ind w:firstLine="374" w:firstLineChars="156"/>
        <w:jc w:val="center"/>
        <w:rPr>
          <w:rFonts w:hint="eastAsia" w:ascii="仿宋" w:hAnsi="仿宋" w:eastAsia="仿宋" w:cs="仿宋"/>
          <w:b w:val="0"/>
          <w:bCs w:val="0"/>
          <w:color w:val="auto"/>
          <w:sz w:val="24"/>
          <w:szCs w:val="24"/>
          <w:highlight w:val="none"/>
        </w:rPr>
      </w:pPr>
    </w:p>
    <w:p>
      <w:pPr>
        <w:pStyle w:val="9"/>
        <w:spacing w:line="400" w:lineRule="exact"/>
        <w:ind w:firstLine="374" w:firstLineChars="156"/>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xml:space="preserve">                                            日期：    年   月   日</w:t>
      </w:r>
    </w:p>
    <w:p>
      <w:pPr>
        <w:pStyle w:val="9"/>
        <w:spacing w:line="400" w:lineRule="exact"/>
        <w:ind w:firstLine="374" w:firstLineChars="156"/>
        <w:jc w:val="center"/>
        <w:rPr>
          <w:rFonts w:hint="eastAsia" w:ascii="仿宋" w:hAnsi="仿宋" w:eastAsia="仿宋" w:cs="仿宋"/>
          <w:b w:val="0"/>
          <w:bCs w:val="0"/>
          <w:color w:val="auto"/>
          <w:sz w:val="24"/>
          <w:szCs w:val="24"/>
          <w:highlight w:val="none"/>
        </w:rPr>
      </w:pPr>
    </w:p>
    <w:p>
      <w:pPr>
        <w:pStyle w:val="9"/>
        <w:spacing w:line="400" w:lineRule="exact"/>
        <w:ind w:firstLine="374" w:firstLineChars="156"/>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w:t>
      </w:r>
    </w:p>
    <w:p>
      <w:pPr>
        <w:pStyle w:val="9"/>
        <w:spacing w:line="400" w:lineRule="exact"/>
        <w:ind w:firstLine="0"/>
        <w:rPr>
          <w:rFonts w:hint="eastAsia" w:ascii="仿宋" w:hAnsi="仿宋" w:eastAsia="仿宋" w:cs="仿宋"/>
          <w:b w:val="0"/>
          <w:bCs w:val="0"/>
          <w:color w:val="auto"/>
          <w:sz w:val="24"/>
          <w:szCs w:val="24"/>
          <w:highlight w:val="none"/>
        </w:rPr>
      </w:pPr>
    </w:p>
    <w:p>
      <w:pPr>
        <w:pStyle w:val="9"/>
        <w:spacing w:line="400" w:lineRule="exact"/>
        <w:ind w:firstLine="374" w:firstLineChars="156"/>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有效身份证明复印件粘贴处</w:t>
      </w:r>
    </w:p>
    <w:p>
      <w:pPr>
        <w:pStyle w:val="9"/>
        <w:spacing w:line="400" w:lineRule="exact"/>
        <w:ind w:firstLine="439" w:firstLineChars="156"/>
        <w:jc w:val="center"/>
        <w:rPr>
          <w:rFonts w:hint="eastAsia" w:ascii="仿宋" w:hAnsi="仿宋" w:eastAsia="仿宋" w:cs="仿宋"/>
          <w:color w:val="auto"/>
          <w:sz w:val="28"/>
          <w:szCs w:val="28"/>
          <w:highlight w:val="none"/>
        </w:rPr>
      </w:pPr>
    </w:p>
    <w:p>
      <w:pPr>
        <w:pStyle w:val="9"/>
        <w:spacing w:line="400" w:lineRule="exact"/>
        <w:ind w:firstLine="470" w:firstLineChars="156"/>
        <w:jc w:val="center"/>
        <w:rPr>
          <w:rFonts w:hint="eastAsia" w:ascii="仿宋" w:hAnsi="仿宋" w:eastAsia="仿宋" w:cs="仿宋"/>
          <w:color w:val="auto"/>
          <w:sz w:val="30"/>
          <w:szCs w:val="24"/>
          <w:highlight w:val="none"/>
        </w:rPr>
      </w:pPr>
    </w:p>
    <w:p>
      <w:pPr>
        <w:pStyle w:val="9"/>
        <w:spacing w:line="400" w:lineRule="exact"/>
        <w:ind w:firstLine="545" w:firstLineChars="156"/>
        <w:jc w:val="center"/>
        <w:rPr>
          <w:rFonts w:hint="eastAsia" w:ascii="仿宋" w:hAnsi="仿宋" w:eastAsia="仿宋" w:cs="仿宋"/>
          <w:b/>
          <w:bCs/>
          <w:color w:val="auto"/>
          <w:spacing w:val="24"/>
          <w:sz w:val="30"/>
          <w:highlight w:val="none"/>
        </w:rPr>
      </w:pPr>
    </w:p>
    <w:p>
      <w:pPr>
        <w:pStyle w:val="9"/>
        <w:spacing w:line="400" w:lineRule="exact"/>
        <w:ind w:firstLine="545" w:firstLineChars="156"/>
        <w:jc w:val="center"/>
        <w:rPr>
          <w:rFonts w:hint="eastAsia" w:ascii="仿宋" w:hAnsi="仿宋" w:eastAsia="仿宋" w:cs="仿宋"/>
          <w:b w:val="0"/>
          <w:bCs w:val="0"/>
          <w:color w:val="auto"/>
          <w:sz w:val="24"/>
          <w:highlight w:val="none"/>
        </w:rPr>
      </w:pPr>
      <w:r>
        <w:rPr>
          <w:rFonts w:hint="eastAsia" w:ascii="仿宋" w:hAnsi="仿宋" w:eastAsia="仿宋" w:cs="仿宋"/>
          <w:b/>
          <w:bCs/>
          <w:color w:val="auto"/>
          <w:spacing w:val="24"/>
          <w:sz w:val="30"/>
          <w:highlight w:val="none"/>
        </w:rPr>
        <w:br w:type="page"/>
      </w:r>
      <w:r>
        <w:rPr>
          <w:rFonts w:hint="eastAsia" w:ascii="仿宋" w:hAnsi="仿宋" w:eastAsia="仿宋" w:cs="仿宋"/>
          <w:b/>
          <w:bCs/>
          <w:color w:val="auto"/>
          <w:sz w:val="24"/>
          <w:highlight w:val="none"/>
        </w:rPr>
        <w:t>法定代表人授权委托书</w:t>
      </w:r>
    </w:p>
    <w:p>
      <w:pPr>
        <w:spacing w:line="400" w:lineRule="exact"/>
        <w:ind w:firstLine="480" w:firstLineChars="200"/>
        <w:rPr>
          <w:rFonts w:hint="eastAsia" w:ascii="仿宋" w:hAnsi="仿宋" w:eastAsia="仿宋" w:cs="仿宋"/>
          <w:color w:val="auto"/>
          <w:sz w:val="24"/>
          <w:highlight w:val="none"/>
        </w:rPr>
      </w:pPr>
    </w:p>
    <w:p>
      <w:pPr>
        <w:spacing w:line="400" w:lineRule="exact"/>
        <w:ind w:firstLine="480" w:firstLineChars="200"/>
        <w:rPr>
          <w:rFonts w:hint="eastAsia" w:ascii="仿宋" w:hAnsi="仿宋" w:eastAsia="仿宋" w:cs="仿宋"/>
          <w:color w:val="auto"/>
          <w:sz w:val="24"/>
          <w:highlight w:val="none"/>
        </w:rPr>
      </w:pPr>
    </w:p>
    <w:p>
      <w:pPr>
        <w:spacing w:line="52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（姓名）系</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（投标人名称）的法定代表人，现授权委托本单位的在职职工</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（姓名）为我单位代理人，以本单位的名义参加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（采购人名称）的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项目的投标活动。被授权代理人在投标、开标、评标、合同谈判过程中所签署的一切文件和处理与之有关的一切事务，我均予以承认。</w:t>
      </w:r>
    </w:p>
    <w:p>
      <w:pPr>
        <w:spacing w:line="5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被授权人无转委托权，特此委托。</w:t>
      </w:r>
    </w:p>
    <w:p>
      <w:pPr>
        <w:spacing w:line="520" w:lineRule="exact"/>
        <w:rPr>
          <w:rFonts w:hint="eastAsia" w:ascii="仿宋" w:hAnsi="仿宋" w:eastAsia="仿宋" w:cs="仿宋"/>
          <w:b/>
          <w:color w:val="auto"/>
          <w:sz w:val="24"/>
          <w:highlight w:val="none"/>
        </w:rPr>
      </w:pPr>
    </w:p>
    <w:p>
      <w:pPr>
        <w:spacing w:line="520" w:lineRule="exact"/>
        <w:ind w:left="2698" w:leftChars="1285" w:firstLine="600" w:firstLineChars="25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授权代理人：</w:t>
      </w:r>
      <w:r>
        <w:rPr>
          <w:rFonts w:hint="eastAsia" w:ascii="仿宋" w:hAnsi="仿宋" w:eastAsia="仿宋" w:cs="仿宋"/>
          <w:color w:val="auto"/>
          <w:sz w:val="24"/>
          <w:highlight w:val="none"/>
          <w:u w:val="single"/>
        </w:rPr>
        <w:t xml:space="preserve">   （签字）           </w:t>
      </w:r>
    </w:p>
    <w:p>
      <w:pPr>
        <w:spacing w:line="520" w:lineRule="exact"/>
        <w:ind w:left="2698" w:leftChars="1285" w:firstLine="600" w:firstLineChars="25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pPr>
        <w:spacing w:line="520" w:lineRule="exact"/>
        <w:ind w:left="2698" w:leftChars="1285" w:firstLine="600" w:firstLineChars="25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职务：</w:t>
      </w:r>
      <w:r>
        <w:rPr>
          <w:rFonts w:hint="eastAsia" w:ascii="仿宋" w:hAnsi="仿宋" w:eastAsia="仿宋" w:cs="仿宋"/>
          <w:color w:val="auto"/>
          <w:sz w:val="24"/>
          <w:highlight w:val="none"/>
          <w:u w:val="single"/>
        </w:rPr>
        <w:t xml:space="preserve">                            </w:t>
      </w:r>
    </w:p>
    <w:p>
      <w:pPr>
        <w:spacing w:line="520" w:lineRule="exact"/>
        <w:ind w:left="2698" w:leftChars="1285"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u w:val="single"/>
        </w:rPr>
        <w:t xml:space="preserve">           （盖章）       </w:t>
      </w:r>
    </w:p>
    <w:p>
      <w:pPr>
        <w:spacing w:line="520" w:lineRule="exact"/>
        <w:jc w:val="cente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法定代表人：</w:t>
      </w:r>
      <w:r>
        <w:rPr>
          <w:rFonts w:hint="eastAsia" w:ascii="仿宋" w:hAnsi="仿宋" w:eastAsia="仿宋" w:cs="仿宋"/>
          <w:color w:val="auto"/>
          <w:sz w:val="24"/>
          <w:highlight w:val="none"/>
          <w:u w:val="single"/>
        </w:rPr>
        <w:t xml:space="preserve">            （签名或盖章）</w:t>
      </w:r>
    </w:p>
    <w:p>
      <w:pPr>
        <w:spacing w:line="520" w:lineRule="exact"/>
        <w:jc w:val="center"/>
        <w:rPr>
          <w:rFonts w:hint="eastAsia" w:ascii="仿宋" w:hAnsi="仿宋" w:eastAsia="仿宋" w:cs="仿宋"/>
          <w:color w:val="auto"/>
          <w:sz w:val="24"/>
          <w:highlight w:val="none"/>
          <w:u w:val="single"/>
        </w:rPr>
      </w:pPr>
    </w:p>
    <w:p>
      <w:pPr>
        <w:pStyle w:val="9"/>
        <w:spacing w:line="520" w:lineRule="exact"/>
        <w:ind w:firstLine="4574" w:firstLineChars="1906"/>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日期：    年   月   日</w:t>
      </w:r>
    </w:p>
    <w:p>
      <w:pPr>
        <w:pStyle w:val="9"/>
        <w:spacing w:line="520" w:lineRule="exact"/>
        <w:ind w:firstLine="374" w:firstLineChars="156"/>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w:t>
      </w:r>
    </w:p>
    <w:p>
      <w:pPr>
        <w:pStyle w:val="9"/>
        <w:spacing w:line="520" w:lineRule="exact"/>
        <w:ind w:firstLine="374" w:firstLineChars="156"/>
        <w:jc w:val="center"/>
        <w:rPr>
          <w:rFonts w:hint="eastAsia" w:ascii="仿宋" w:hAnsi="仿宋" w:eastAsia="仿宋" w:cs="仿宋"/>
          <w:b w:val="0"/>
          <w:bCs w:val="0"/>
          <w:color w:val="auto"/>
          <w:sz w:val="24"/>
          <w:szCs w:val="24"/>
          <w:highlight w:val="none"/>
        </w:rPr>
      </w:pPr>
    </w:p>
    <w:p>
      <w:pPr>
        <w:pStyle w:val="9"/>
        <w:spacing w:line="520" w:lineRule="exact"/>
        <w:ind w:firstLine="374" w:firstLineChars="156"/>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授权代理人有效身份证明复印件粘贴处</w:t>
      </w:r>
    </w:p>
    <w:p>
      <w:pPr>
        <w:pStyle w:val="9"/>
        <w:spacing w:line="520" w:lineRule="exact"/>
        <w:ind w:firstLine="376" w:firstLineChars="156"/>
        <w:jc w:val="center"/>
        <w:rPr>
          <w:rFonts w:hint="eastAsia" w:ascii="仿宋" w:hAnsi="仿宋" w:eastAsia="仿宋" w:cs="仿宋"/>
          <w:color w:val="auto"/>
          <w:sz w:val="24"/>
          <w:szCs w:val="24"/>
          <w:highlight w:val="none"/>
        </w:rPr>
      </w:pPr>
    </w:p>
    <w:p>
      <w:pPr>
        <w:pStyle w:val="9"/>
        <w:spacing w:line="520" w:lineRule="exact"/>
        <w:ind w:firstLine="376" w:firstLineChars="156"/>
        <w:jc w:val="center"/>
        <w:rPr>
          <w:rFonts w:hint="eastAsia" w:ascii="仿宋" w:hAnsi="仿宋" w:eastAsia="仿宋" w:cs="仿宋"/>
          <w:color w:val="auto"/>
          <w:sz w:val="24"/>
          <w:szCs w:val="24"/>
          <w:highlight w:val="none"/>
        </w:rPr>
      </w:pPr>
    </w:p>
    <w:p>
      <w:pPr>
        <w:spacing w:line="520" w:lineRule="exact"/>
        <w:rPr>
          <w:rFonts w:hint="eastAsia" w:ascii="仿宋" w:hAnsi="仿宋" w:eastAsia="仿宋" w:cs="仿宋"/>
          <w:b/>
          <w:bCs/>
          <w:color w:val="auto"/>
          <w:sz w:val="24"/>
          <w:highlight w:val="none"/>
        </w:rPr>
      </w:pPr>
    </w:p>
    <w:p>
      <w:pPr>
        <w:spacing w:line="520" w:lineRule="exact"/>
        <w:rPr>
          <w:rFonts w:hint="eastAsia" w:ascii="仿宋" w:hAnsi="仿宋" w:eastAsia="仿宋" w:cs="仿宋"/>
          <w:b/>
          <w:bCs/>
          <w:color w:val="auto"/>
          <w:sz w:val="30"/>
          <w:highlight w:val="none"/>
        </w:rPr>
      </w:pPr>
    </w:p>
    <w:p>
      <w:pPr>
        <w:spacing w:line="520" w:lineRule="exact"/>
        <w:rPr>
          <w:rFonts w:hint="eastAsia" w:ascii="仿宋" w:hAnsi="仿宋" w:eastAsia="仿宋" w:cs="仿宋"/>
          <w:b/>
          <w:bCs/>
          <w:color w:val="auto"/>
          <w:sz w:val="30"/>
          <w:highlight w:val="none"/>
        </w:rPr>
      </w:pPr>
    </w:p>
    <w:p>
      <w:pPr>
        <w:spacing w:line="520" w:lineRule="exact"/>
        <w:rPr>
          <w:rFonts w:hint="eastAsia" w:ascii="仿宋" w:hAnsi="仿宋" w:eastAsia="仿宋" w:cs="仿宋"/>
          <w:b/>
          <w:bCs/>
          <w:color w:val="auto"/>
          <w:sz w:val="30"/>
          <w:highlight w:val="none"/>
        </w:rPr>
      </w:pPr>
    </w:p>
    <w:p>
      <w:pPr>
        <w:snapToGrid w:val="0"/>
        <w:spacing w:before="50" w:after="120" w:afterLines="50"/>
        <w:jc w:val="center"/>
        <w:rPr>
          <w:rFonts w:hint="eastAsia" w:ascii="仿宋" w:hAnsi="仿宋" w:eastAsia="仿宋" w:cs="仿宋"/>
          <w:b/>
          <w:color w:val="auto"/>
          <w:sz w:val="24"/>
          <w:highlight w:val="none"/>
        </w:rPr>
      </w:pPr>
      <w:r>
        <w:rPr>
          <w:rFonts w:hint="eastAsia" w:ascii="仿宋" w:hAnsi="仿宋" w:eastAsia="仿宋" w:cs="仿宋"/>
          <w:b/>
          <w:color w:val="auto"/>
          <w:sz w:val="24"/>
          <w:szCs w:val="20"/>
          <w:highlight w:val="none"/>
        </w:rPr>
        <w:br w:type="page"/>
      </w:r>
      <w:r>
        <w:rPr>
          <w:rFonts w:hint="eastAsia" w:ascii="仿宋" w:hAnsi="仿宋" w:eastAsia="仿宋" w:cs="仿宋"/>
          <w:b/>
          <w:color w:val="auto"/>
          <w:sz w:val="24"/>
          <w:highlight w:val="none"/>
        </w:rPr>
        <w:t>商务响应表</w:t>
      </w:r>
    </w:p>
    <w:tbl>
      <w:tblPr>
        <w:tblStyle w:val="3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35"/>
        <w:gridCol w:w="4233"/>
        <w:gridCol w:w="1620"/>
        <w:gridCol w:w="15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163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w:t>
            </w: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r>
              <w:rPr>
                <w:rFonts w:hint="eastAsia" w:ascii="仿宋" w:hAnsi="仿宋" w:eastAsia="仿宋" w:cs="仿宋"/>
                <w:color w:val="auto"/>
                <w:sz w:val="24"/>
                <w:highlight w:val="none"/>
              </w:rPr>
              <w:t>招标文件要求</w:t>
            </w:r>
          </w:p>
        </w:tc>
        <w:tc>
          <w:tcPr>
            <w:tcW w:w="16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r>
              <w:rPr>
                <w:rFonts w:hint="eastAsia" w:ascii="仿宋" w:hAnsi="仿宋" w:eastAsia="仿宋" w:cs="仿宋"/>
                <w:color w:val="auto"/>
                <w:sz w:val="24"/>
                <w:highlight w:val="none"/>
              </w:rPr>
              <w:t>是否响应</w:t>
            </w:r>
          </w:p>
        </w:tc>
        <w:tc>
          <w:tcPr>
            <w:tcW w:w="151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jc w:val="center"/>
        </w:trPr>
        <w:tc>
          <w:tcPr>
            <w:tcW w:w="163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r>
              <w:rPr>
                <w:rFonts w:hint="eastAsia" w:ascii="仿宋" w:hAnsi="仿宋" w:eastAsia="仿宋" w:cs="仿宋"/>
                <w:color w:val="auto"/>
                <w:sz w:val="24"/>
                <w:highlight w:val="none"/>
              </w:rPr>
              <w:t>质保期</w:t>
            </w: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p>
        </w:tc>
        <w:tc>
          <w:tcPr>
            <w:tcW w:w="151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jc w:val="center"/>
        </w:trPr>
        <w:tc>
          <w:tcPr>
            <w:tcW w:w="163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r>
              <w:rPr>
                <w:rFonts w:hint="eastAsia" w:ascii="仿宋" w:hAnsi="仿宋" w:eastAsia="仿宋" w:cs="仿宋"/>
                <w:color w:val="auto"/>
                <w:sz w:val="24"/>
                <w:highlight w:val="none"/>
              </w:rPr>
              <w:t>工期及地点</w:t>
            </w: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left="43"/>
              <w:rPr>
                <w:rFonts w:hint="eastAsia" w:ascii="仿宋" w:hAnsi="仿宋" w:eastAsia="仿宋" w:cs="仿宋"/>
                <w:color w:val="auto"/>
                <w:sz w:val="24"/>
                <w:highlight w:val="none"/>
              </w:rPr>
            </w:pPr>
          </w:p>
        </w:tc>
        <w:tc>
          <w:tcPr>
            <w:tcW w:w="151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left="43"/>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83" w:hRule="atLeast"/>
          <w:jc w:val="center"/>
        </w:trPr>
        <w:tc>
          <w:tcPr>
            <w:tcW w:w="163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付款</w:t>
            </w:r>
            <w:r>
              <w:rPr>
                <w:rFonts w:hint="eastAsia" w:ascii="仿宋" w:hAnsi="仿宋" w:eastAsia="仿宋" w:cs="仿宋"/>
                <w:color w:val="auto"/>
                <w:sz w:val="24"/>
                <w:highlight w:val="none"/>
                <w:lang w:val="en-US" w:eastAsia="zh-CN"/>
              </w:rPr>
              <w:t>方式</w:t>
            </w: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p>
        </w:tc>
        <w:tc>
          <w:tcPr>
            <w:tcW w:w="151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4" w:hRule="atLeast"/>
          <w:jc w:val="center"/>
        </w:trPr>
        <w:tc>
          <w:tcPr>
            <w:tcW w:w="163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42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p>
        </w:tc>
        <w:tc>
          <w:tcPr>
            <w:tcW w:w="151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rPr>
                <w:rFonts w:hint="eastAsia" w:ascii="仿宋" w:hAnsi="仿宋" w:eastAsia="仿宋" w:cs="仿宋"/>
                <w:color w:val="auto"/>
                <w:sz w:val="24"/>
                <w:highlight w:val="none"/>
              </w:rPr>
            </w:pPr>
          </w:p>
        </w:tc>
      </w:tr>
    </w:tbl>
    <w:p>
      <w:pPr>
        <w:snapToGrid w:val="0"/>
        <w:spacing w:before="50" w:after="120" w:afterLines="50"/>
        <w:rPr>
          <w:rFonts w:hint="eastAsia" w:ascii="仿宋" w:hAnsi="仿宋" w:eastAsia="仿宋" w:cs="仿宋"/>
          <w:b/>
          <w:color w:val="auto"/>
          <w:sz w:val="24"/>
          <w:highlight w:val="none"/>
        </w:rPr>
      </w:pPr>
    </w:p>
    <w:p>
      <w:pPr>
        <w:snapToGrid w:val="0"/>
        <w:spacing w:before="50" w:after="120" w:afterLines="50"/>
        <w:rPr>
          <w:rFonts w:hint="eastAsia" w:ascii="仿宋" w:hAnsi="仿宋" w:eastAsia="仿宋" w:cs="仿宋"/>
          <w:b/>
          <w:color w:val="auto"/>
          <w:sz w:val="24"/>
          <w:highlight w:val="none"/>
        </w:rPr>
      </w:pPr>
    </w:p>
    <w:p>
      <w:pPr>
        <w:snapToGrid w:val="0"/>
        <w:spacing w:before="50" w:after="120" w:afterLines="50"/>
        <w:jc w:val="center"/>
        <w:rPr>
          <w:rFonts w:hint="eastAsia" w:ascii="仿宋" w:hAnsi="仿宋" w:eastAsia="仿宋" w:cs="仿宋"/>
          <w:color w:val="auto"/>
          <w:sz w:val="24"/>
          <w:highlight w:val="none"/>
        </w:rPr>
      </w:pPr>
    </w:p>
    <w:p>
      <w:pPr>
        <w:spacing w:line="400" w:lineRule="exact"/>
        <w:jc w:val="center"/>
        <w:rPr>
          <w:rFonts w:hint="eastAsia" w:ascii="仿宋" w:hAnsi="仿宋" w:eastAsia="仿宋" w:cs="仿宋"/>
          <w:b/>
          <w:bCs/>
          <w:color w:val="auto"/>
          <w:sz w:val="24"/>
          <w:highlight w:val="none"/>
        </w:rPr>
      </w:pPr>
    </w:p>
    <w:p>
      <w:pPr>
        <w:spacing w:line="400" w:lineRule="exact"/>
        <w:jc w:val="center"/>
        <w:rPr>
          <w:rFonts w:hint="eastAsia" w:ascii="仿宋" w:hAnsi="仿宋" w:eastAsia="仿宋" w:cs="仿宋"/>
          <w:b/>
          <w:bCs/>
          <w:color w:val="auto"/>
          <w:sz w:val="24"/>
          <w:highlight w:val="none"/>
        </w:rPr>
      </w:pPr>
    </w:p>
    <w:p>
      <w:pPr>
        <w:spacing w:line="400" w:lineRule="exact"/>
        <w:jc w:val="center"/>
        <w:rPr>
          <w:rFonts w:hint="eastAsia" w:ascii="仿宋" w:hAnsi="仿宋" w:eastAsia="仿宋" w:cs="仿宋"/>
          <w:b/>
          <w:bCs/>
          <w:color w:val="auto"/>
          <w:sz w:val="24"/>
          <w:highlight w:val="none"/>
        </w:rPr>
      </w:pPr>
    </w:p>
    <w:p>
      <w:pPr>
        <w:spacing w:line="400" w:lineRule="exact"/>
        <w:jc w:val="center"/>
        <w:rPr>
          <w:rFonts w:hint="eastAsia" w:ascii="仿宋" w:hAnsi="仿宋" w:eastAsia="仿宋" w:cs="仿宋"/>
          <w:b/>
          <w:bCs/>
          <w:color w:val="auto"/>
          <w:sz w:val="24"/>
          <w:highlight w:val="none"/>
        </w:rPr>
      </w:pPr>
    </w:p>
    <w:p>
      <w:pPr>
        <w:spacing w:line="400" w:lineRule="exact"/>
        <w:jc w:val="center"/>
        <w:rPr>
          <w:rFonts w:hint="eastAsia" w:ascii="仿宋" w:hAnsi="仿宋" w:eastAsia="仿宋" w:cs="仿宋"/>
          <w:b/>
          <w:bCs/>
          <w:color w:val="auto"/>
          <w:sz w:val="24"/>
          <w:highlight w:val="none"/>
        </w:rPr>
      </w:pPr>
    </w:p>
    <w:p>
      <w:pPr>
        <w:spacing w:line="400" w:lineRule="exact"/>
        <w:jc w:val="center"/>
        <w:rPr>
          <w:rFonts w:hint="eastAsia" w:ascii="仿宋" w:hAnsi="仿宋" w:eastAsia="仿宋" w:cs="仿宋"/>
          <w:b/>
          <w:bCs/>
          <w:color w:val="auto"/>
          <w:sz w:val="24"/>
          <w:highlight w:val="none"/>
        </w:rPr>
      </w:pPr>
    </w:p>
    <w:p>
      <w:pPr>
        <w:spacing w:line="400" w:lineRule="exact"/>
        <w:jc w:val="center"/>
        <w:rPr>
          <w:rFonts w:hint="eastAsia" w:ascii="仿宋" w:hAnsi="仿宋" w:eastAsia="仿宋" w:cs="仿宋"/>
          <w:b/>
          <w:bCs/>
          <w:color w:val="auto"/>
          <w:sz w:val="24"/>
          <w:highlight w:val="none"/>
        </w:rPr>
      </w:pPr>
    </w:p>
    <w:p>
      <w:pPr>
        <w:spacing w:line="400" w:lineRule="exact"/>
        <w:jc w:val="center"/>
        <w:rPr>
          <w:rFonts w:hint="eastAsia" w:ascii="仿宋" w:hAnsi="仿宋" w:eastAsia="仿宋" w:cs="仿宋"/>
          <w:b/>
          <w:bCs/>
          <w:color w:val="auto"/>
          <w:sz w:val="24"/>
          <w:highlight w:val="none"/>
        </w:rPr>
      </w:pPr>
    </w:p>
    <w:p>
      <w:pPr>
        <w:spacing w:line="400" w:lineRule="exact"/>
        <w:jc w:val="center"/>
        <w:rPr>
          <w:rFonts w:hint="eastAsia" w:ascii="仿宋" w:hAnsi="仿宋" w:eastAsia="仿宋" w:cs="仿宋"/>
          <w:b/>
          <w:bCs/>
          <w:color w:val="auto"/>
          <w:sz w:val="24"/>
          <w:highlight w:val="none"/>
        </w:rPr>
      </w:pPr>
    </w:p>
    <w:p>
      <w:pPr>
        <w:pStyle w:val="34"/>
        <w:rPr>
          <w:rFonts w:hint="eastAsia" w:ascii="仿宋" w:hAnsi="仿宋" w:eastAsia="仿宋" w:cs="仿宋"/>
          <w:b/>
          <w:bCs/>
          <w:color w:val="auto"/>
          <w:sz w:val="24"/>
          <w:highlight w:val="none"/>
        </w:rPr>
      </w:pPr>
    </w:p>
    <w:p>
      <w:pPr>
        <w:rPr>
          <w:rFonts w:hint="eastAsia"/>
          <w:color w:val="auto"/>
          <w:highlight w:val="none"/>
        </w:rPr>
      </w:pPr>
    </w:p>
    <w:p>
      <w:pPr>
        <w:spacing w:line="400" w:lineRule="exact"/>
        <w:jc w:val="center"/>
        <w:rPr>
          <w:rFonts w:hint="eastAsia" w:ascii="仿宋" w:hAnsi="仿宋" w:eastAsia="仿宋" w:cs="仿宋"/>
          <w:b/>
          <w:bCs/>
          <w:color w:val="auto"/>
          <w:sz w:val="24"/>
          <w:highlight w:val="none"/>
        </w:rPr>
      </w:pPr>
    </w:p>
    <w:p>
      <w:pPr>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企业业绩</w:t>
      </w:r>
    </w:p>
    <w:p>
      <w:pPr>
        <w:spacing w:line="400" w:lineRule="exact"/>
        <w:rPr>
          <w:rFonts w:hint="eastAsia" w:ascii="仿宋" w:hAnsi="仿宋" w:eastAsia="仿宋" w:cs="仿宋"/>
          <w:b/>
          <w:bCs/>
          <w:color w:val="auto"/>
          <w:sz w:val="24"/>
          <w:highlight w:val="none"/>
        </w:rPr>
      </w:pPr>
    </w:p>
    <w:p>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投标人全称（加盖公章）：             招标文件编号：</w:t>
      </w:r>
    </w:p>
    <w:tbl>
      <w:tblPr>
        <w:tblStyle w:val="3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763"/>
        <w:gridCol w:w="1440"/>
        <w:gridCol w:w="1440"/>
        <w:gridCol w:w="1924"/>
        <w:gridCol w:w="15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noWrap w:val="0"/>
            <w:vAlign w:val="top"/>
          </w:tcPr>
          <w:p>
            <w:pPr>
              <w:spacing w:line="40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序号</w:t>
            </w:r>
          </w:p>
        </w:tc>
        <w:tc>
          <w:tcPr>
            <w:tcW w:w="1763" w:type="dxa"/>
            <w:noWrap w:val="0"/>
            <w:vAlign w:val="top"/>
          </w:tcPr>
          <w:p>
            <w:pPr>
              <w:spacing w:line="40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使用方</w:t>
            </w:r>
          </w:p>
        </w:tc>
        <w:tc>
          <w:tcPr>
            <w:tcW w:w="1440" w:type="dxa"/>
            <w:noWrap w:val="0"/>
            <w:vAlign w:val="top"/>
          </w:tcPr>
          <w:p>
            <w:pPr>
              <w:spacing w:line="40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合同金额</w:t>
            </w:r>
          </w:p>
        </w:tc>
        <w:tc>
          <w:tcPr>
            <w:tcW w:w="1440" w:type="dxa"/>
            <w:noWrap w:val="0"/>
            <w:vAlign w:val="top"/>
          </w:tcPr>
          <w:p>
            <w:pPr>
              <w:spacing w:line="40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签订时间</w:t>
            </w:r>
          </w:p>
        </w:tc>
        <w:tc>
          <w:tcPr>
            <w:tcW w:w="1924" w:type="dxa"/>
            <w:noWrap w:val="0"/>
            <w:vAlign w:val="top"/>
          </w:tcPr>
          <w:p>
            <w:pPr>
              <w:spacing w:line="40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使用方联系人</w:t>
            </w:r>
          </w:p>
        </w:tc>
        <w:tc>
          <w:tcPr>
            <w:tcW w:w="1512" w:type="dxa"/>
            <w:noWrap w:val="0"/>
            <w:vAlign w:val="top"/>
          </w:tcPr>
          <w:p>
            <w:pPr>
              <w:spacing w:line="40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noWrap w:val="0"/>
            <w:vAlign w:val="top"/>
          </w:tcPr>
          <w:p>
            <w:pPr>
              <w:spacing w:line="400" w:lineRule="exact"/>
              <w:rPr>
                <w:rFonts w:hint="eastAsia" w:ascii="仿宋" w:hAnsi="仿宋" w:eastAsia="仿宋" w:cs="仿宋"/>
                <w:bCs/>
                <w:color w:val="auto"/>
                <w:sz w:val="24"/>
                <w:highlight w:val="none"/>
              </w:rPr>
            </w:pPr>
          </w:p>
        </w:tc>
        <w:tc>
          <w:tcPr>
            <w:tcW w:w="1763"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924" w:type="dxa"/>
            <w:noWrap w:val="0"/>
            <w:vAlign w:val="top"/>
          </w:tcPr>
          <w:p>
            <w:pPr>
              <w:spacing w:line="400" w:lineRule="exact"/>
              <w:rPr>
                <w:rFonts w:hint="eastAsia" w:ascii="仿宋" w:hAnsi="仿宋" w:eastAsia="仿宋" w:cs="仿宋"/>
                <w:bCs/>
                <w:color w:val="auto"/>
                <w:sz w:val="24"/>
                <w:highlight w:val="none"/>
              </w:rPr>
            </w:pPr>
          </w:p>
        </w:tc>
        <w:tc>
          <w:tcPr>
            <w:tcW w:w="1512" w:type="dxa"/>
            <w:noWrap w:val="0"/>
            <w:vAlign w:val="top"/>
          </w:tcPr>
          <w:p>
            <w:pPr>
              <w:spacing w:line="400" w:lineRule="exact"/>
              <w:rPr>
                <w:rFonts w:hint="eastAsia"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noWrap w:val="0"/>
            <w:vAlign w:val="top"/>
          </w:tcPr>
          <w:p>
            <w:pPr>
              <w:spacing w:line="400" w:lineRule="exact"/>
              <w:rPr>
                <w:rFonts w:hint="eastAsia" w:ascii="仿宋" w:hAnsi="仿宋" w:eastAsia="仿宋" w:cs="仿宋"/>
                <w:bCs/>
                <w:color w:val="auto"/>
                <w:sz w:val="24"/>
                <w:highlight w:val="none"/>
              </w:rPr>
            </w:pPr>
          </w:p>
        </w:tc>
        <w:tc>
          <w:tcPr>
            <w:tcW w:w="1763"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924" w:type="dxa"/>
            <w:noWrap w:val="0"/>
            <w:vAlign w:val="top"/>
          </w:tcPr>
          <w:p>
            <w:pPr>
              <w:spacing w:line="400" w:lineRule="exact"/>
              <w:rPr>
                <w:rFonts w:hint="eastAsia" w:ascii="仿宋" w:hAnsi="仿宋" w:eastAsia="仿宋" w:cs="仿宋"/>
                <w:bCs/>
                <w:color w:val="auto"/>
                <w:sz w:val="24"/>
                <w:highlight w:val="none"/>
              </w:rPr>
            </w:pPr>
          </w:p>
        </w:tc>
        <w:tc>
          <w:tcPr>
            <w:tcW w:w="1512" w:type="dxa"/>
            <w:noWrap w:val="0"/>
            <w:vAlign w:val="top"/>
          </w:tcPr>
          <w:p>
            <w:pPr>
              <w:spacing w:line="400" w:lineRule="exact"/>
              <w:rPr>
                <w:rFonts w:hint="eastAsia"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3" w:type="dxa"/>
            <w:noWrap w:val="0"/>
            <w:vAlign w:val="top"/>
          </w:tcPr>
          <w:p>
            <w:pPr>
              <w:spacing w:line="400" w:lineRule="exact"/>
              <w:rPr>
                <w:rFonts w:hint="eastAsia" w:ascii="仿宋" w:hAnsi="仿宋" w:eastAsia="仿宋" w:cs="仿宋"/>
                <w:bCs/>
                <w:color w:val="auto"/>
                <w:sz w:val="24"/>
                <w:highlight w:val="none"/>
              </w:rPr>
            </w:pPr>
          </w:p>
        </w:tc>
        <w:tc>
          <w:tcPr>
            <w:tcW w:w="1763"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924" w:type="dxa"/>
            <w:noWrap w:val="0"/>
            <w:vAlign w:val="top"/>
          </w:tcPr>
          <w:p>
            <w:pPr>
              <w:spacing w:line="400" w:lineRule="exact"/>
              <w:rPr>
                <w:rFonts w:hint="eastAsia" w:ascii="仿宋" w:hAnsi="仿宋" w:eastAsia="仿宋" w:cs="仿宋"/>
                <w:bCs/>
                <w:color w:val="auto"/>
                <w:sz w:val="24"/>
                <w:highlight w:val="none"/>
              </w:rPr>
            </w:pPr>
          </w:p>
        </w:tc>
        <w:tc>
          <w:tcPr>
            <w:tcW w:w="1512" w:type="dxa"/>
            <w:noWrap w:val="0"/>
            <w:vAlign w:val="top"/>
          </w:tcPr>
          <w:p>
            <w:pPr>
              <w:spacing w:line="400" w:lineRule="exact"/>
              <w:rPr>
                <w:rFonts w:hint="eastAsia"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noWrap w:val="0"/>
            <w:vAlign w:val="top"/>
          </w:tcPr>
          <w:p>
            <w:pPr>
              <w:spacing w:line="400" w:lineRule="exact"/>
              <w:rPr>
                <w:rFonts w:hint="eastAsia" w:ascii="仿宋" w:hAnsi="仿宋" w:eastAsia="仿宋" w:cs="仿宋"/>
                <w:bCs/>
                <w:color w:val="auto"/>
                <w:sz w:val="24"/>
                <w:highlight w:val="none"/>
              </w:rPr>
            </w:pPr>
          </w:p>
        </w:tc>
        <w:tc>
          <w:tcPr>
            <w:tcW w:w="1763"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924" w:type="dxa"/>
            <w:noWrap w:val="0"/>
            <w:vAlign w:val="top"/>
          </w:tcPr>
          <w:p>
            <w:pPr>
              <w:spacing w:line="400" w:lineRule="exact"/>
              <w:rPr>
                <w:rFonts w:hint="eastAsia" w:ascii="仿宋" w:hAnsi="仿宋" w:eastAsia="仿宋" w:cs="仿宋"/>
                <w:bCs/>
                <w:color w:val="auto"/>
                <w:sz w:val="24"/>
                <w:highlight w:val="none"/>
              </w:rPr>
            </w:pPr>
          </w:p>
        </w:tc>
        <w:tc>
          <w:tcPr>
            <w:tcW w:w="1512" w:type="dxa"/>
            <w:noWrap w:val="0"/>
            <w:vAlign w:val="top"/>
          </w:tcPr>
          <w:p>
            <w:pPr>
              <w:spacing w:line="400" w:lineRule="exact"/>
              <w:rPr>
                <w:rFonts w:hint="eastAsia"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noWrap w:val="0"/>
            <w:vAlign w:val="top"/>
          </w:tcPr>
          <w:p>
            <w:pPr>
              <w:spacing w:line="400" w:lineRule="exact"/>
              <w:rPr>
                <w:rFonts w:hint="eastAsia" w:ascii="仿宋" w:hAnsi="仿宋" w:eastAsia="仿宋" w:cs="仿宋"/>
                <w:bCs/>
                <w:color w:val="auto"/>
                <w:sz w:val="24"/>
                <w:highlight w:val="none"/>
              </w:rPr>
            </w:pPr>
          </w:p>
        </w:tc>
        <w:tc>
          <w:tcPr>
            <w:tcW w:w="1763"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924" w:type="dxa"/>
            <w:noWrap w:val="0"/>
            <w:vAlign w:val="top"/>
          </w:tcPr>
          <w:p>
            <w:pPr>
              <w:spacing w:line="400" w:lineRule="exact"/>
              <w:rPr>
                <w:rFonts w:hint="eastAsia" w:ascii="仿宋" w:hAnsi="仿宋" w:eastAsia="仿宋" w:cs="仿宋"/>
                <w:bCs/>
                <w:color w:val="auto"/>
                <w:sz w:val="24"/>
                <w:highlight w:val="none"/>
              </w:rPr>
            </w:pPr>
          </w:p>
        </w:tc>
        <w:tc>
          <w:tcPr>
            <w:tcW w:w="1512" w:type="dxa"/>
            <w:noWrap w:val="0"/>
            <w:vAlign w:val="top"/>
          </w:tcPr>
          <w:p>
            <w:pPr>
              <w:spacing w:line="400" w:lineRule="exact"/>
              <w:rPr>
                <w:rFonts w:hint="eastAsia"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noWrap w:val="0"/>
            <w:vAlign w:val="top"/>
          </w:tcPr>
          <w:p>
            <w:pPr>
              <w:spacing w:line="400" w:lineRule="exact"/>
              <w:rPr>
                <w:rFonts w:hint="eastAsia" w:ascii="仿宋" w:hAnsi="仿宋" w:eastAsia="仿宋" w:cs="仿宋"/>
                <w:bCs/>
                <w:color w:val="auto"/>
                <w:sz w:val="24"/>
                <w:highlight w:val="none"/>
              </w:rPr>
            </w:pPr>
          </w:p>
        </w:tc>
        <w:tc>
          <w:tcPr>
            <w:tcW w:w="1763"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924" w:type="dxa"/>
            <w:noWrap w:val="0"/>
            <w:vAlign w:val="top"/>
          </w:tcPr>
          <w:p>
            <w:pPr>
              <w:spacing w:line="400" w:lineRule="exact"/>
              <w:rPr>
                <w:rFonts w:hint="eastAsia" w:ascii="仿宋" w:hAnsi="仿宋" w:eastAsia="仿宋" w:cs="仿宋"/>
                <w:bCs/>
                <w:color w:val="auto"/>
                <w:sz w:val="24"/>
                <w:highlight w:val="none"/>
              </w:rPr>
            </w:pPr>
          </w:p>
        </w:tc>
        <w:tc>
          <w:tcPr>
            <w:tcW w:w="1512" w:type="dxa"/>
            <w:noWrap w:val="0"/>
            <w:vAlign w:val="top"/>
          </w:tcPr>
          <w:p>
            <w:pPr>
              <w:spacing w:line="400" w:lineRule="exact"/>
              <w:rPr>
                <w:rFonts w:hint="eastAsia"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3" w:type="dxa"/>
            <w:noWrap w:val="0"/>
            <w:vAlign w:val="top"/>
          </w:tcPr>
          <w:p>
            <w:pPr>
              <w:spacing w:line="400" w:lineRule="exact"/>
              <w:rPr>
                <w:rFonts w:hint="eastAsia" w:ascii="仿宋" w:hAnsi="仿宋" w:eastAsia="仿宋" w:cs="仿宋"/>
                <w:bCs/>
                <w:color w:val="auto"/>
                <w:sz w:val="24"/>
                <w:highlight w:val="none"/>
              </w:rPr>
            </w:pPr>
          </w:p>
        </w:tc>
        <w:tc>
          <w:tcPr>
            <w:tcW w:w="1763"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924" w:type="dxa"/>
            <w:noWrap w:val="0"/>
            <w:vAlign w:val="top"/>
          </w:tcPr>
          <w:p>
            <w:pPr>
              <w:spacing w:line="400" w:lineRule="exact"/>
              <w:rPr>
                <w:rFonts w:hint="eastAsia" w:ascii="仿宋" w:hAnsi="仿宋" w:eastAsia="仿宋" w:cs="仿宋"/>
                <w:bCs/>
                <w:color w:val="auto"/>
                <w:sz w:val="24"/>
                <w:highlight w:val="none"/>
              </w:rPr>
            </w:pPr>
          </w:p>
        </w:tc>
        <w:tc>
          <w:tcPr>
            <w:tcW w:w="1512" w:type="dxa"/>
            <w:noWrap w:val="0"/>
            <w:vAlign w:val="top"/>
          </w:tcPr>
          <w:p>
            <w:pPr>
              <w:spacing w:line="400" w:lineRule="exact"/>
              <w:rPr>
                <w:rFonts w:hint="eastAsia"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noWrap w:val="0"/>
            <w:vAlign w:val="top"/>
          </w:tcPr>
          <w:p>
            <w:pPr>
              <w:spacing w:line="400" w:lineRule="exact"/>
              <w:rPr>
                <w:rFonts w:hint="eastAsia" w:ascii="仿宋" w:hAnsi="仿宋" w:eastAsia="仿宋" w:cs="仿宋"/>
                <w:bCs/>
                <w:color w:val="auto"/>
                <w:sz w:val="24"/>
                <w:highlight w:val="none"/>
              </w:rPr>
            </w:pPr>
          </w:p>
        </w:tc>
        <w:tc>
          <w:tcPr>
            <w:tcW w:w="1763"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924" w:type="dxa"/>
            <w:noWrap w:val="0"/>
            <w:vAlign w:val="top"/>
          </w:tcPr>
          <w:p>
            <w:pPr>
              <w:spacing w:line="400" w:lineRule="exact"/>
              <w:rPr>
                <w:rFonts w:hint="eastAsia" w:ascii="仿宋" w:hAnsi="仿宋" w:eastAsia="仿宋" w:cs="仿宋"/>
                <w:bCs/>
                <w:color w:val="auto"/>
                <w:sz w:val="24"/>
                <w:highlight w:val="none"/>
              </w:rPr>
            </w:pPr>
          </w:p>
        </w:tc>
        <w:tc>
          <w:tcPr>
            <w:tcW w:w="1512" w:type="dxa"/>
            <w:noWrap w:val="0"/>
            <w:vAlign w:val="top"/>
          </w:tcPr>
          <w:p>
            <w:pPr>
              <w:spacing w:line="400" w:lineRule="exact"/>
              <w:rPr>
                <w:rFonts w:hint="eastAsia"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noWrap w:val="0"/>
            <w:vAlign w:val="top"/>
          </w:tcPr>
          <w:p>
            <w:pPr>
              <w:spacing w:line="400" w:lineRule="exact"/>
              <w:rPr>
                <w:rFonts w:hint="eastAsia" w:ascii="仿宋" w:hAnsi="仿宋" w:eastAsia="仿宋" w:cs="仿宋"/>
                <w:bCs/>
                <w:color w:val="auto"/>
                <w:sz w:val="24"/>
                <w:highlight w:val="none"/>
              </w:rPr>
            </w:pPr>
          </w:p>
        </w:tc>
        <w:tc>
          <w:tcPr>
            <w:tcW w:w="1763"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924" w:type="dxa"/>
            <w:noWrap w:val="0"/>
            <w:vAlign w:val="top"/>
          </w:tcPr>
          <w:p>
            <w:pPr>
              <w:spacing w:line="400" w:lineRule="exact"/>
              <w:rPr>
                <w:rFonts w:hint="eastAsia" w:ascii="仿宋" w:hAnsi="仿宋" w:eastAsia="仿宋" w:cs="仿宋"/>
                <w:bCs/>
                <w:color w:val="auto"/>
                <w:sz w:val="24"/>
                <w:highlight w:val="none"/>
              </w:rPr>
            </w:pPr>
          </w:p>
        </w:tc>
        <w:tc>
          <w:tcPr>
            <w:tcW w:w="1512" w:type="dxa"/>
            <w:noWrap w:val="0"/>
            <w:vAlign w:val="top"/>
          </w:tcPr>
          <w:p>
            <w:pPr>
              <w:spacing w:line="400" w:lineRule="exact"/>
              <w:rPr>
                <w:rFonts w:hint="eastAsia"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noWrap w:val="0"/>
            <w:vAlign w:val="top"/>
          </w:tcPr>
          <w:p>
            <w:pPr>
              <w:spacing w:line="400" w:lineRule="exact"/>
              <w:rPr>
                <w:rFonts w:hint="eastAsia" w:ascii="仿宋" w:hAnsi="仿宋" w:eastAsia="仿宋" w:cs="仿宋"/>
                <w:bCs/>
                <w:color w:val="auto"/>
                <w:sz w:val="24"/>
                <w:highlight w:val="none"/>
              </w:rPr>
            </w:pPr>
          </w:p>
        </w:tc>
        <w:tc>
          <w:tcPr>
            <w:tcW w:w="1763"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440" w:type="dxa"/>
            <w:noWrap w:val="0"/>
            <w:vAlign w:val="top"/>
          </w:tcPr>
          <w:p>
            <w:pPr>
              <w:spacing w:line="400" w:lineRule="exact"/>
              <w:rPr>
                <w:rFonts w:hint="eastAsia" w:ascii="仿宋" w:hAnsi="仿宋" w:eastAsia="仿宋" w:cs="仿宋"/>
                <w:bCs/>
                <w:color w:val="auto"/>
                <w:sz w:val="24"/>
                <w:highlight w:val="none"/>
              </w:rPr>
            </w:pPr>
          </w:p>
        </w:tc>
        <w:tc>
          <w:tcPr>
            <w:tcW w:w="1924" w:type="dxa"/>
            <w:noWrap w:val="0"/>
            <w:vAlign w:val="top"/>
          </w:tcPr>
          <w:p>
            <w:pPr>
              <w:spacing w:line="400" w:lineRule="exact"/>
              <w:rPr>
                <w:rFonts w:hint="eastAsia" w:ascii="仿宋" w:hAnsi="仿宋" w:eastAsia="仿宋" w:cs="仿宋"/>
                <w:bCs/>
                <w:color w:val="auto"/>
                <w:sz w:val="24"/>
                <w:highlight w:val="none"/>
              </w:rPr>
            </w:pPr>
          </w:p>
        </w:tc>
        <w:tc>
          <w:tcPr>
            <w:tcW w:w="1512" w:type="dxa"/>
            <w:noWrap w:val="0"/>
            <w:vAlign w:val="top"/>
          </w:tcPr>
          <w:p>
            <w:pPr>
              <w:spacing w:line="400" w:lineRule="exact"/>
              <w:rPr>
                <w:rFonts w:hint="eastAsia" w:ascii="仿宋" w:hAnsi="仿宋" w:eastAsia="仿宋" w:cs="仿宋"/>
                <w:bCs/>
                <w:color w:val="auto"/>
                <w:sz w:val="24"/>
                <w:highlight w:val="none"/>
              </w:rPr>
            </w:pPr>
          </w:p>
        </w:tc>
      </w:tr>
    </w:tbl>
    <w:p>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法定代表人或其授权代理人签名或盖章：</w:t>
      </w:r>
    </w:p>
    <w:p>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pacing w:line="400" w:lineRule="exact"/>
        <w:ind w:firstLine="360" w:firstLineChars="150"/>
        <w:rPr>
          <w:rFonts w:hint="eastAsia" w:ascii="仿宋" w:hAnsi="仿宋" w:eastAsia="仿宋" w:cs="仿宋"/>
          <w:b/>
          <w:color w:val="auto"/>
          <w:sz w:val="32"/>
          <w:szCs w:val="32"/>
          <w:highlight w:val="none"/>
        </w:rPr>
        <w:sectPr>
          <w:headerReference r:id="rId3" w:type="default"/>
          <w:footerReference r:id="rId4" w:type="default"/>
          <w:pgSz w:w="11906" w:h="16838"/>
          <w:pgMar w:top="1440" w:right="1426" w:bottom="1440" w:left="1020" w:header="851" w:footer="729" w:gutter="0"/>
          <w:pgNumType w:fmt="decimal"/>
          <w:cols w:space="720" w:num="1"/>
          <w:docGrid w:type="lines" w:linePitch="312" w:charSpace="0"/>
        </w:sectPr>
      </w:pPr>
      <w:r>
        <w:rPr>
          <w:rFonts w:hint="eastAsia" w:ascii="仿宋" w:hAnsi="仿宋" w:eastAsia="仿宋" w:cs="仿宋"/>
          <w:color w:val="auto"/>
          <w:sz w:val="24"/>
          <w:highlight w:val="none"/>
        </w:rPr>
        <w:t>注：1、此表仅提供了表格形式，投标人应根据需要准备足够数量的表格来填写。</w:t>
      </w:r>
    </w:p>
    <w:p>
      <w:pPr>
        <w:pStyle w:val="9"/>
        <w:spacing w:line="600" w:lineRule="exact"/>
        <w:ind w:firstLine="0"/>
        <w:jc w:val="center"/>
        <w:rPr>
          <w:rFonts w:ascii="仿宋" w:hAnsi="仿宋" w:eastAsia="仿宋" w:cs="仿宋"/>
          <w:b/>
          <w:bCs/>
          <w:color w:val="auto"/>
          <w:spacing w:val="24"/>
          <w:sz w:val="24"/>
          <w:szCs w:val="24"/>
          <w:highlight w:val="none"/>
        </w:rPr>
      </w:pPr>
      <w:r>
        <w:rPr>
          <w:rFonts w:hint="eastAsia" w:ascii="仿宋" w:hAnsi="仿宋" w:eastAsia="仿宋" w:cs="仿宋"/>
          <w:b/>
          <w:bCs/>
          <w:color w:val="auto"/>
          <w:spacing w:val="24"/>
          <w:sz w:val="24"/>
          <w:szCs w:val="24"/>
          <w:highlight w:val="none"/>
        </w:rPr>
        <w:t>提供自采购公告发布之后任意时间的“信用中国”网站（www.creditchina.gov.cn）、中国政府采购网（www.ccgp.gov.cn）供应商信用查询网页截图（以开标当日由采购人或采购代理机构核实的查询结果为准）</w:t>
      </w:r>
    </w:p>
    <w:p>
      <w:pPr>
        <w:snapToGrid w:val="0"/>
        <w:spacing w:line="460" w:lineRule="exact"/>
        <w:jc w:val="center"/>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（1）信用中国</w:t>
      </w:r>
    </w:p>
    <w:p>
      <w:pPr>
        <w:snapToGrid w:val="0"/>
        <w:spacing w:line="460" w:lineRule="exact"/>
        <w:ind w:firstLine="420" w:firstLineChars="200"/>
        <w:rPr>
          <w:rFonts w:ascii="仿宋" w:hAnsi="仿宋" w:eastAsia="仿宋" w:cs="仿宋"/>
          <w:b/>
          <w:color w:val="auto"/>
          <w:kern w:val="0"/>
          <w:sz w:val="24"/>
          <w:highlight w:val="none"/>
        </w:rPr>
      </w:pPr>
      <w:r>
        <w:rPr>
          <w:rFonts w:ascii="仿宋" w:hAnsi="仿宋" w:eastAsia="仿宋" w:cs="仿宋"/>
          <w:color w:val="auto"/>
          <w:highlight w:val="none"/>
        </w:rPr>
        <w:drawing>
          <wp:anchor distT="0" distB="0" distL="114300" distR="114300" simplePos="0" relativeHeight="251659264" behindDoc="0" locked="0" layoutInCell="1" allowOverlap="1">
            <wp:simplePos x="0" y="0"/>
            <wp:positionH relativeFrom="column">
              <wp:posOffset>15875</wp:posOffset>
            </wp:positionH>
            <wp:positionV relativeFrom="paragraph">
              <wp:posOffset>132080</wp:posOffset>
            </wp:positionV>
            <wp:extent cx="5752465" cy="3076575"/>
            <wp:effectExtent l="0" t="0" r="635" b="9525"/>
            <wp:wrapNone/>
            <wp:docPr id="7" name="图片 2" descr="QQ图片20190708113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QQ图片20190708113327"/>
                    <pic:cNvPicPr>
                      <a:picLocks noChangeAspect="1" noChangeArrowheads="1"/>
                    </pic:cNvPicPr>
                  </pic:nvPicPr>
                  <pic:blipFill>
                    <a:blip r:embed="rId9"/>
                    <a:srcRect/>
                    <a:stretch>
                      <a:fillRect/>
                    </a:stretch>
                  </pic:blipFill>
                  <pic:spPr>
                    <a:xfrm>
                      <a:off x="0" y="0"/>
                      <a:ext cx="5752465" cy="3076575"/>
                    </a:xfrm>
                    <a:prstGeom prst="rect">
                      <a:avLst/>
                    </a:prstGeom>
                    <a:noFill/>
                  </pic:spPr>
                </pic:pic>
              </a:graphicData>
            </a:graphic>
          </wp:anchor>
        </w:drawing>
      </w:r>
    </w:p>
    <w:p>
      <w:pPr>
        <w:snapToGrid w:val="0"/>
        <w:spacing w:line="460" w:lineRule="exact"/>
        <w:ind w:firstLine="482" w:firstLineChars="200"/>
        <w:rPr>
          <w:rFonts w:ascii="仿宋" w:hAnsi="仿宋" w:eastAsia="仿宋" w:cs="仿宋"/>
          <w:b/>
          <w:color w:val="auto"/>
          <w:kern w:val="0"/>
          <w:sz w:val="24"/>
          <w:highlight w:val="none"/>
        </w:rPr>
      </w:pPr>
    </w:p>
    <w:p>
      <w:pPr>
        <w:snapToGrid w:val="0"/>
        <w:spacing w:line="460" w:lineRule="exact"/>
        <w:ind w:firstLine="482" w:firstLineChars="200"/>
        <w:rPr>
          <w:rFonts w:ascii="仿宋" w:hAnsi="仿宋" w:eastAsia="仿宋" w:cs="仿宋"/>
          <w:b/>
          <w:color w:val="auto"/>
          <w:kern w:val="0"/>
          <w:sz w:val="24"/>
          <w:highlight w:val="none"/>
        </w:rPr>
      </w:pPr>
    </w:p>
    <w:p>
      <w:pPr>
        <w:snapToGrid w:val="0"/>
        <w:spacing w:line="460" w:lineRule="exact"/>
        <w:ind w:firstLine="482" w:firstLineChars="200"/>
        <w:rPr>
          <w:rFonts w:ascii="仿宋" w:hAnsi="仿宋" w:eastAsia="仿宋" w:cs="仿宋"/>
          <w:b/>
          <w:color w:val="auto"/>
          <w:kern w:val="0"/>
          <w:sz w:val="24"/>
          <w:highlight w:val="none"/>
        </w:rPr>
      </w:pPr>
    </w:p>
    <w:p>
      <w:pPr>
        <w:snapToGrid w:val="0"/>
        <w:spacing w:line="460" w:lineRule="exact"/>
        <w:ind w:firstLine="482" w:firstLineChars="200"/>
        <w:rPr>
          <w:rFonts w:ascii="仿宋" w:hAnsi="仿宋" w:eastAsia="仿宋" w:cs="仿宋"/>
          <w:b/>
          <w:color w:val="auto"/>
          <w:kern w:val="0"/>
          <w:sz w:val="24"/>
          <w:highlight w:val="none"/>
        </w:rPr>
      </w:pPr>
    </w:p>
    <w:p>
      <w:pPr>
        <w:snapToGrid w:val="0"/>
        <w:spacing w:line="460" w:lineRule="exact"/>
        <w:ind w:firstLine="482" w:firstLineChars="200"/>
        <w:rPr>
          <w:rFonts w:ascii="仿宋" w:hAnsi="仿宋" w:eastAsia="仿宋" w:cs="仿宋"/>
          <w:b/>
          <w:color w:val="auto"/>
          <w:kern w:val="0"/>
          <w:sz w:val="24"/>
          <w:highlight w:val="none"/>
        </w:rPr>
      </w:pPr>
    </w:p>
    <w:p>
      <w:pPr>
        <w:snapToGrid w:val="0"/>
        <w:spacing w:line="460" w:lineRule="exact"/>
        <w:ind w:firstLine="482" w:firstLineChars="200"/>
        <w:rPr>
          <w:rFonts w:ascii="仿宋" w:hAnsi="仿宋" w:eastAsia="仿宋" w:cs="仿宋"/>
          <w:b/>
          <w:color w:val="auto"/>
          <w:kern w:val="0"/>
          <w:sz w:val="24"/>
          <w:highlight w:val="none"/>
        </w:rPr>
      </w:pPr>
    </w:p>
    <w:p>
      <w:pPr>
        <w:snapToGrid w:val="0"/>
        <w:spacing w:line="460" w:lineRule="exact"/>
        <w:ind w:firstLine="482" w:firstLineChars="200"/>
        <w:rPr>
          <w:rFonts w:ascii="仿宋" w:hAnsi="仿宋" w:eastAsia="仿宋" w:cs="仿宋"/>
          <w:b/>
          <w:color w:val="auto"/>
          <w:kern w:val="0"/>
          <w:sz w:val="24"/>
          <w:highlight w:val="none"/>
        </w:rPr>
      </w:pPr>
    </w:p>
    <w:p>
      <w:pPr>
        <w:snapToGrid w:val="0"/>
        <w:spacing w:line="460" w:lineRule="exact"/>
        <w:ind w:firstLine="482" w:firstLineChars="200"/>
        <w:rPr>
          <w:rFonts w:ascii="仿宋" w:hAnsi="仿宋" w:eastAsia="仿宋" w:cs="仿宋"/>
          <w:b/>
          <w:color w:val="auto"/>
          <w:kern w:val="0"/>
          <w:sz w:val="24"/>
          <w:highlight w:val="none"/>
        </w:rPr>
      </w:pPr>
    </w:p>
    <w:p>
      <w:pPr>
        <w:snapToGrid w:val="0"/>
        <w:spacing w:line="460" w:lineRule="exact"/>
        <w:ind w:firstLine="482" w:firstLineChars="200"/>
        <w:rPr>
          <w:rFonts w:ascii="仿宋" w:hAnsi="仿宋" w:eastAsia="仿宋" w:cs="仿宋"/>
          <w:b/>
          <w:color w:val="auto"/>
          <w:sz w:val="24"/>
          <w:highlight w:val="none"/>
        </w:rPr>
      </w:pPr>
    </w:p>
    <w:p>
      <w:pPr>
        <w:snapToGrid w:val="0"/>
        <w:spacing w:line="460" w:lineRule="exact"/>
        <w:ind w:firstLine="482" w:firstLineChars="200"/>
        <w:rPr>
          <w:rFonts w:ascii="仿宋" w:hAnsi="仿宋" w:eastAsia="仿宋" w:cs="仿宋"/>
          <w:b/>
          <w:color w:val="auto"/>
          <w:sz w:val="24"/>
          <w:highlight w:val="none"/>
        </w:rPr>
      </w:pPr>
    </w:p>
    <w:p>
      <w:pPr>
        <w:snapToGrid w:val="0"/>
        <w:spacing w:line="460" w:lineRule="exact"/>
        <w:jc w:val="center"/>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（2）中国政府采购网</w:t>
      </w:r>
    </w:p>
    <w:p>
      <w:pPr>
        <w:snapToGrid w:val="0"/>
        <w:spacing w:line="460" w:lineRule="exact"/>
        <w:ind w:firstLine="420" w:firstLineChars="200"/>
        <w:rPr>
          <w:rFonts w:ascii="仿宋" w:hAnsi="仿宋" w:eastAsia="仿宋" w:cs="仿宋"/>
          <w:b/>
          <w:color w:val="auto"/>
          <w:sz w:val="24"/>
          <w:highlight w:val="none"/>
        </w:rPr>
      </w:pPr>
      <w:r>
        <w:rPr>
          <w:rFonts w:ascii="仿宋" w:hAnsi="仿宋" w:eastAsia="仿宋" w:cs="仿宋"/>
          <w:color w:val="auto"/>
          <w:highlight w:val="none"/>
        </w:rPr>
        <w:drawing>
          <wp:anchor distT="0" distB="0" distL="114300" distR="114300" simplePos="0" relativeHeight="251660288" behindDoc="0" locked="0" layoutInCell="1" allowOverlap="1">
            <wp:simplePos x="0" y="0"/>
            <wp:positionH relativeFrom="column">
              <wp:posOffset>-5715</wp:posOffset>
            </wp:positionH>
            <wp:positionV relativeFrom="paragraph">
              <wp:posOffset>224155</wp:posOffset>
            </wp:positionV>
            <wp:extent cx="5752465" cy="3056890"/>
            <wp:effectExtent l="0" t="0" r="635" b="10160"/>
            <wp:wrapNone/>
            <wp:docPr id="8" name="图片 3" descr="QQ图片20190708113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descr="QQ图片20190708113354"/>
                    <pic:cNvPicPr>
                      <a:picLocks noChangeAspect="1" noChangeArrowheads="1"/>
                    </pic:cNvPicPr>
                  </pic:nvPicPr>
                  <pic:blipFill>
                    <a:blip r:embed="rId10"/>
                    <a:srcRect/>
                    <a:stretch>
                      <a:fillRect/>
                    </a:stretch>
                  </pic:blipFill>
                  <pic:spPr>
                    <a:xfrm>
                      <a:off x="0" y="0"/>
                      <a:ext cx="5752465" cy="3056890"/>
                    </a:xfrm>
                    <a:prstGeom prst="rect">
                      <a:avLst/>
                    </a:prstGeom>
                    <a:noFill/>
                  </pic:spPr>
                </pic:pic>
              </a:graphicData>
            </a:graphic>
          </wp:anchor>
        </w:drawing>
      </w:r>
    </w:p>
    <w:p>
      <w:pPr>
        <w:snapToGrid w:val="0"/>
        <w:spacing w:line="460" w:lineRule="exact"/>
        <w:ind w:firstLine="482" w:firstLineChars="200"/>
        <w:rPr>
          <w:rFonts w:ascii="仿宋" w:hAnsi="仿宋" w:eastAsia="仿宋" w:cs="仿宋"/>
          <w:b/>
          <w:color w:val="auto"/>
          <w:sz w:val="24"/>
          <w:highlight w:val="none"/>
        </w:rPr>
      </w:pPr>
    </w:p>
    <w:p>
      <w:pPr>
        <w:snapToGrid w:val="0"/>
        <w:spacing w:line="460" w:lineRule="exact"/>
        <w:ind w:firstLine="482" w:firstLineChars="200"/>
        <w:rPr>
          <w:rFonts w:ascii="仿宋" w:hAnsi="仿宋" w:eastAsia="仿宋" w:cs="仿宋"/>
          <w:b/>
          <w:color w:val="auto"/>
          <w:sz w:val="24"/>
          <w:highlight w:val="none"/>
        </w:rPr>
      </w:pPr>
    </w:p>
    <w:p>
      <w:pPr>
        <w:snapToGrid w:val="0"/>
        <w:spacing w:line="460" w:lineRule="exact"/>
        <w:ind w:firstLine="482" w:firstLineChars="200"/>
        <w:rPr>
          <w:rFonts w:ascii="仿宋" w:hAnsi="仿宋" w:eastAsia="仿宋" w:cs="仿宋"/>
          <w:b/>
          <w:color w:val="auto"/>
          <w:sz w:val="24"/>
          <w:highlight w:val="none"/>
        </w:rPr>
      </w:pPr>
    </w:p>
    <w:p>
      <w:pPr>
        <w:snapToGrid w:val="0"/>
        <w:spacing w:line="460" w:lineRule="exact"/>
        <w:ind w:firstLine="482" w:firstLineChars="200"/>
        <w:rPr>
          <w:rFonts w:ascii="仿宋" w:hAnsi="仿宋" w:eastAsia="仿宋" w:cs="仿宋"/>
          <w:b/>
          <w:color w:val="auto"/>
          <w:sz w:val="24"/>
          <w:highlight w:val="none"/>
        </w:rPr>
      </w:pPr>
    </w:p>
    <w:p>
      <w:pPr>
        <w:snapToGrid w:val="0"/>
        <w:spacing w:line="460" w:lineRule="exact"/>
        <w:ind w:firstLine="482" w:firstLineChars="200"/>
        <w:rPr>
          <w:rFonts w:ascii="仿宋" w:hAnsi="仿宋" w:eastAsia="仿宋" w:cs="仿宋"/>
          <w:b/>
          <w:color w:val="auto"/>
          <w:sz w:val="24"/>
          <w:highlight w:val="none"/>
        </w:rPr>
      </w:pPr>
    </w:p>
    <w:p>
      <w:pPr>
        <w:snapToGrid w:val="0"/>
        <w:spacing w:line="460" w:lineRule="exact"/>
        <w:ind w:firstLine="482" w:firstLineChars="200"/>
        <w:rPr>
          <w:rFonts w:ascii="仿宋" w:hAnsi="仿宋" w:eastAsia="仿宋" w:cs="仿宋"/>
          <w:b/>
          <w:color w:val="auto"/>
          <w:sz w:val="24"/>
          <w:highlight w:val="none"/>
        </w:rPr>
      </w:pPr>
    </w:p>
    <w:p>
      <w:pPr>
        <w:snapToGrid w:val="0"/>
        <w:spacing w:line="460" w:lineRule="exact"/>
        <w:ind w:firstLine="482" w:firstLineChars="200"/>
        <w:rPr>
          <w:rFonts w:ascii="仿宋" w:hAnsi="仿宋" w:eastAsia="仿宋" w:cs="仿宋"/>
          <w:b/>
          <w:color w:val="auto"/>
          <w:sz w:val="24"/>
          <w:highlight w:val="none"/>
        </w:rPr>
      </w:pPr>
    </w:p>
    <w:p>
      <w:pPr>
        <w:pStyle w:val="35"/>
        <w:rPr>
          <w:rFonts w:hint="eastAsia" w:ascii="仿宋" w:hAnsi="仿宋" w:eastAsia="仿宋" w:cs="仿宋"/>
          <w:color w:val="auto"/>
          <w:highlight w:val="none"/>
        </w:rPr>
      </w:pPr>
      <w:r>
        <w:rPr>
          <w:rFonts w:hint="eastAsia" w:ascii="仿宋" w:hAnsi="仿宋" w:eastAsia="仿宋" w:cs="仿宋"/>
          <w:b/>
          <w:color w:val="auto"/>
          <w:sz w:val="24"/>
          <w:highlight w:val="none"/>
        </w:rPr>
        <w:br w:type="page"/>
      </w:r>
    </w:p>
    <w:p>
      <w:pPr>
        <w:jc w:val="center"/>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中小企业声明函(工程、服务)</w:t>
      </w:r>
    </w:p>
    <w:p>
      <w:pPr>
        <w:spacing w:line="360" w:lineRule="auto"/>
        <w:ind w:firstLine="480" w:firstLineChars="200"/>
        <w:jc w:val="left"/>
        <w:rPr>
          <w:rFonts w:hint="eastAsia" w:ascii="仿宋" w:hAnsi="仿宋" w:eastAsia="仿宋" w:cs="仿宋"/>
          <w:color w:val="auto"/>
          <w:highlight w:val="none"/>
          <w:lang w:eastAsia="zh-CN"/>
        </w:rPr>
      </w:pPr>
      <w:r>
        <w:rPr>
          <w:rFonts w:hint="eastAsia" w:ascii="仿宋" w:hAnsi="仿宋" w:eastAsia="仿宋" w:cs="仿宋"/>
          <w:color w:val="auto"/>
          <w:sz w:val="24"/>
          <w:szCs w:val="24"/>
          <w:highlight w:val="none"/>
        </w:rPr>
        <w:t>本公司(联合体)郑重声明，根据《政府采购促进中小企业发展管理办法》(财库(2020)46号)的规定，本公司(联合体)参加</w:t>
      </w:r>
      <w:r>
        <w:rPr>
          <w:rFonts w:hint="eastAsia" w:ascii="仿宋" w:hAnsi="仿宋" w:eastAsia="仿宋" w:cs="仿宋"/>
          <w:i w:val="0"/>
          <w:iCs w:val="0"/>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u w:val="single"/>
          <w:lang w:val="en-US" w:eastAsia="zh-CN"/>
        </w:rPr>
        <w:t xml:space="preserve">    （项目名称） </w:t>
      </w:r>
      <w:r>
        <w:rPr>
          <w:rFonts w:hint="eastAsia" w:ascii="仿宋" w:hAnsi="仿宋" w:eastAsia="仿宋" w:cs="仿宋"/>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numPr>
          <w:ilvl w:val="0"/>
          <w:numId w:val="0"/>
        </w:numPr>
        <w:spacing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u w:val="none"/>
          <w:lang w:val="en-US" w:eastAsia="zh-CN"/>
        </w:rPr>
        <w:t>1.</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(标的名称)</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采购文件中</w:t>
      </w:r>
      <w:r>
        <w:rPr>
          <w:rFonts w:hint="eastAsia" w:ascii="仿宋" w:hAnsi="仿宋" w:eastAsia="仿宋" w:cs="仿宋"/>
          <w:color w:val="auto"/>
          <w:sz w:val="24"/>
          <w:szCs w:val="24"/>
          <w:highlight w:val="none"/>
          <w:u w:val="single"/>
        </w:rPr>
        <w:t>明确的所属行</w:t>
      </w:r>
      <w:r>
        <w:rPr>
          <w:rFonts w:hint="eastAsia" w:ascii="仿宋" w:hAnsi="仿宋" w:eastAsia="仿宋" w:cs="仿宋"/>
          <w:color w:val="auto"/>
          <w:sz w:val="24"/>
          <w:szCs w:val="24"/>
          <w:highlight w:val="none"/>
          <w:u w:val="single"/>
          <w:lang w:eastAsia="zh-CN"/>
        </w:rPr>
        <w:t>业）</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承建(承接)企业为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(企业名称</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从业人员</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万元</w:t>
      </w:r>
      <w:r>
        <w:rPr>
          <w:rFonts w:hint="eastAsia" w:ascii="仿宋" w:hAnsi="仿宋" w:eastAsia="仿宋" w:cs="仿宋"/>
          <w:color w:val="auto"/>
          <w:sz w:val="24"/>
          <w:szCs w:val="24"/>
          <w:highlight w:val="none"/>
          <w:vertAlign w:val="superscript"/>
          <w:lang w:val="en-US" w:eastAsia="zh-CN"/>
        </w:rPr>
        <w:t>1</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(中型企业、</w:t>
      </w:r>
      <w:r>
        <w:rPr>
          <w:rFonts w:hint="eastAsia" w:ascii="仿宋" w:hAnsi="仿宋" w:eastAsia="仿宋" w:cs="仿宋"/>
          <w:color w:val="auto"/>
          <w:sz w:val="24"/>
          <w:szCs w:val="24"/>
          <w:highlight w:val="none"/>
          <w:lang w:eastAsia="zh-CN"/>
        </w:rPr>
        <w:t>小</w:t>
      </w:r>
      <w:r>
        <w:rPr>
          <w:rFonts w:hint="eastAsia" w:ascii="仿宋" w:hAnsi="仿宋" w:eastAsia="仿宋" w:cs="仿宋"/>
          <w:color w:val="auto"/>
          <w:sz w:val="24"/>
          <w:szCs w:val="24"/>
          <w:highlight w:val="none"/>
        </w:rPr>
        <w:t>型</w:t>
      </w:r>
      <w:r>
        <w:rPr>
          <w:rFonts w:hint="eastAsia" w:ascii="仿宋" w:hAnsi="仿宋" w:eastAsia="仿宋" w:cs="仿宋"/>
          <w:color w:val="auto"/>
          <w:sz w:val="24"/>
          <w:szCs w:val="24"/>
          <w:highlight w:val="none"/>
          <w:lang w:eastAsia="zh-CN"/>
        </w:rPr>
        <w:t>企业、微型企业）；</w:t>
      </w:r>
    </w:p>
    <w:p>
      <w:pPr>
        <w:spacing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u w:val="none"/>
          <w:lang w:val="en-US" w:eastAsia="zh-CN"/>
        </w:rPr>
        <w:t>2.</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(标的名称)</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采购文件中</w:t>
      </w:r>
      <w:r>
        <w:rPr>
          <w:rFonts w:hint="eastAsia" w:ascii="仿宋" w:hAnsi="仿宋" w:eastAsia="仿宋" w:cs="仿宋"/>
          <w:color w:val="auto"/>
          <w:sz w:val="24"/>
          <w:szCs w:val="24"/>
          <w:highlight w:val="none"/>
          <w:u w:val="single"/>
        </w:rPr>
        <w:t>明确的所属行</w:t>
      </w:r>
      <w:r>
        <w:rPr>
          <w:rFonts w:hint="eastAsia" w:ascii="仿宋" w:hAnsi="仿宋" w:eastAsia="仿宋" w:cs="仿宋"/>
          <w:color w:val="auto"/>
          <w:sz w:val="24"/>
          <w:szCs w:val="24"/>
          <w:highlight w:val="none"/>
          <w:u w:val="single"/>
          <w:lang w:eastAsia="zh-CN"/>
        </w:rPr>
        <w:t>业）</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承建(承接)企业为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(企业名称</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从业人员</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万元</w:t>
      </w:r>
      <w:r>
        <w:rPr>
          <w:rFonts w:hint="eastAsia" w:ascii="仿宋" w:hAnsi="仿宋" w:eastAsia="仿宋" w:cs="仿宋"/>
          <w:color w:val="auto"/>
          <w:sz w:val="24"/>
          <w:szCs w:val="24"/>
          <w:highlight w:val="none"/>
          <w:vertAlign w:val="superscript"/>
          <w:lang w:val="en-US" w:eastAsia="zh-CN"/>
        </w:rPr>
        <w:t>1</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(中型企业、</w:t>
      </w:r>
      <w:r>
        <w:rPr>
          <w:rFonts w:hint="eastAsia" w:ascii="仿宋" w:hAnsi="仿宋" w:eastAsia="仿宋" w:cs="仿宋"/>
          <w:color w:val="auto"/>
          <w:sz w:val="24"/>
          <w:szCs w:val="24"/>
          <w:highlight w:val="none"/>
          <w:lang w:eastAsia="zh-CN"/>
        </w:rPr>
        <w:t>小</w:t>
      </w:r>
      <w:r>
        <w:rPr>
          <w:rFonts w:hint="eastAsia" w:ascii="仿宋" w:hAnsi="仿宋" w:eastAsia="仿宋" w:cs="仿宋"/>
          <w:color w:val="auto"/>
          <w:sz w:val="24"/>
          <w:szCs w:val="24"/>
          <w:highlight w:val="none"/>
        </w:rPr>
        <w:t>型</w:t>
      </w:r>
      <w:r>
        <w:rPr>
          <w:rFonts w:hint="eastAsia" w:ascii="仿宋" w:hAnsi="仿宋" w:eastAsia="仿宋" w:cs="仿宋"/>
          <w:color w:val="auto"/>
          <w:sz w:val="24"/>
          <w:szCs w:val="24"/>
          <w:highlight w:val="none"/>
          <w:lang w:eastAsia="zh-CN"/>
        </w:rPr>
        <w:t>企业、微型企业）；</w:t>
      </w:r>
    </w:p>
    <w:p>
      <w:pPr>
        <w:spacing w:line="360" w:lineRule="auto"/>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p>
    <w:p>
      <w:pPr>
        <w:spacing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本企业对上述声明内容的真实性负责。如有虚假，将依法承担相应责任。</w:t>
      </w:r>
    </w:p>
    <w:p>
      <w:pPr>
        <w:pStyle w:val="35"/>
        <w:rPr>
          <w:rFonts w:hint="eastAsia" w:ascii="仿宋" w:hAnsi="仿宋" w:eastAsia="仿宋" w:cs="仿宋"/>
          <w:color w:val="auto"/>
          <w:highlight w:val="none"/>
          <w:lang w:eastAsia="zh-CN"/>
        </w:rPr>
      </w:pPr>
    </w:p>
    <w:p>
      <w:pPr>
        <w:pStyle w:val="35"/>
        <w:rPr>
          <w:rFonts w:hint="eastAsia" w:ascii="仿宋" w:hAnsi="仿宋" w:eastAsia="仿宋" w:cs="仿宋"/>
          <w:color w:val="auto"/>
          <w:highlight w:val="none"/>
          <w:lang w:eastAsia="zh-CN"/>
        </w:rPr>
      </w:pPr>
    </w:p>
    <w:p>
      <w:pPr>
        <w:spacing w:line="360" w:lineRule="auto"/>
        <w:ind w:firstLine="4800" w:firstLineChars="2000"/>
        <w:jc w:val="left"/>
        <w:rPr>
          <w:rFonts w:hint="eastAsia" w:ascii="仿宋" w:hAnsi="仿宋" w:eastAsia="仿宋" w:cs="仿宋"/>
          <w:color w:val="auto"/>
          <w:sz w:val="24"/>
          <w:szCs w:val="24"/>
          <w:highlight w:val="none"/>
        </w:rPr>
      </w:pPr>
    </w:p>
    <w:p>
      <w:pPr>
        <w:spacing w:line="360" w:lineRule="auto"/>
        <w:ind w:firstLine="4800" w:firstLineChars="2000"/>
        <w:rPr>
          <w:rFonts w:hint="eastAsia" w:ascii="仿宋" w:hAnsi="仿宋" w:eastAsia="仿宋" w:cs="仿宋"/>
          <w:color w:val="auto"/>
          <w:sz w:val="24"/>
          <w:szCs w:val="24"/>
          <w:highlight w:val="none"/>
        </w:rPr>
      </w:pPr>
    </w:p>
    <w:p>
      <w:pPr>
        <w:spacing w:line="360" w:lineRule="auto"/>
        <w:ind w:firstLine="4800" w:firstLineChars="20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企业名称（盖章）：</w:t>
      </w:r>
    </w:p>
    <w:p>
      <w:pPr>
        <w:spacing w:line="360" w:lineRule="auto"/>
        <w:ind w:firstLine="4800" w:firstLineChars="20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w:t>
      </w:r>
    </w:p>
    <w:p>
      <w:pPr>
        <w:ind w:firstLine="240" w:firstLineChars="100"/>
        <w:rPr>
          <w:rFonts w:hint="eastAsia" w:ascii="仿宋" w:hAnsi="仿宋" w:eastAsia="仿宋" w:cs="仿宋"/>
          <w:color w:val="auto"/>
          <w:sz w:val="24"/>
          <w:highlight w:val="none"/>
          <w:lang w:val="en-US" w:eastAsia="zh-CN"/>
        </w:rPr>
      </w:pPr>
    </w:p>
    <w:p>
      <w:pPr>
        <w:ind w:firstLine="240" w:firstLineChars="100"/>
        <w:rPr>
          <w:rFonts w:hint="eastAsia" w:ascii="仿宋" w:hAnsi="仿宋" w:eastAsia="仿宋" w:cs="仿宋"/>
          <w:color w:val="auto"/>
          <w:sz w:val="24"/>
          <w:highlight w:val="none"/>
          <w:lang w:val="en-US" w:eastAsia="zh-CN"/>
        </w:rPr>
      </w:pPr>
    </w:p>
    <w:p>
      <w:pPr>
        <w:ind w:firstLine="240" w:firstLineChars="100"/>
        <w:rPr>
          <w:rFonts w:hint="eastAsia" w:ascii="仿宋" w:hAnsi="仿宋" w:eastAsia="仿宋" w:cs="仿宋"/>
          <w:b/>
          <w:color w:val="auto"/>
          <w:sz w:val="28"/>
          <w:szCs w:val="28"/>
          <w:highlight w:val="none"/>
        </w:rPr>
      </w:pPr>
      <w:r>
        <w:rPr>
          <w:rFonts w:hint="eastAsia" w:ascii="仿宋" w:hAnsi="仿宋" w:eastAsia="仿宋" w:cs="仿宋"/>
          <w:color w:val="auto"/>
          <w:sz w:val="24"/>
          <w:highlight w:val="none"/>
          <w:lang w:val="en-US" w:eastAsia="zh-CN"/>
        </w:rPr>
        <w:t>注：</w:t>
      </w:r>
      <w:r>
        <w:rPr>
          <w:rFonts w:hint="eastAsia" w:ascii="仿宋" w:hAnsi="仿宋" w:eastAsia="仿宋" w:cs="仿宋"/>
          <w:color w:val="auto"/>
          <w:sz w:val="24"/>
          <w:highlight w:val="none"/>
        </w:rPr>
        <w:t>本项目采购标的对应的中小企业划分标准所属行业为：</w:t>
      </w:r>
      <w:r>
        <w:rPr>
          <w:rFonts w:hint="eastAsia" w:ascii="仿宋" w:hAnsi="仿宋" w:eastAsia="仿宋" w:cs="仿宋"/>
          <w:color w:val="auto"/>
          <w:sz w:val="24"/>
          <w:highlight w:val="none"/>
          <w:lang w:eastAsia="zh-CN"/>
        </w:rPr>
        <w:t>建筑业。</w:t>
      </w:r>
    </w:p>
    <w:p>
      <w:pPr>
        <w:rPr>
          <w:rFonts w:hint="eastAsia" w:ascii="仿宋" w:hAnsi="仿宋" w:eastAsia="仿宋" w:cs="仿宋"/>
          <w:b/>
          <w:color w:val="auto"/>
          <w:sz w:val="28"/>
          <w:szCs w:val="28"/>
          <w:highlight w:val="none"/>
        </w:rPr>
      </w:pPr>
    </w:p>
    <w:p>
      <w:pPr>
        <w:pStyle w:val="35"/>
        <w:rPr>
          <w:rFonts w:hint="eastAsia" w:ascii="仿宋" w:hAnsi="仿宋" w:eastAsia="仿宋" w:cs="仿宋"/>
          <w:color w:val="auto"/>
          <w:highlight w:val="none"/>
        </w:rPr>
      </w:pPr>
      <w:bookmarkStart w:id="101" w:name="OLE_LINK13"/>
      <w:bookmarkStart w:id="102" w:name="OLE_LINK14"/>
    </w:p>
    <w:bookmarkEnd w:id="101"/>
    <w:bookmarkEnd w:id="102"/>
    <w:p>
      <w:pPr>
        <w:pStyle w:val="35"/>
        <w:rPr>
          <w:rFonts w:hint="eastAsia" w:ascii="仿宋" w:hAnsi="仿宋" w:eastAsia="仿宋" w:cs="仿宋"/>
          <w:color w:val="auto"/>
          <w:sz w:val="24"/>
          <w:highlight w:val="none"/>
          <w:lang w:val="zh-CN"/>
        </w:rPr>
      </w:pPr>
    </w:p>
    <w:p>
      <w:pPr>
        <w:pStyle w:val="35"/>
        <w:rPr>
          <w:rFonts w:hint="eastAsia" w:ascii="仿宋" w:hAnsi="仿宋" w:eastAsia="仿宋" w:cs="仿宋"/>
          <w:color w:val="auto"/>
          <w:sz w:val="24"/>
          <w:highlight w:val="none"/>
          <w:lang w:val="zh-CN"/>
        </w:rPr>
      </w:pPr>
    </w:p>
    <w:p>
      <w:pPr>
        <w:pStyle w:val="35"/>
        <w:rPr>
          <w:rFonts w:hint="eastAsia" w:ascii="仿宋" w:hAnsi="仿宋" w:eastAsia="仿宋" w:cs="仿宋"/>
          <w:color w:val="auto"/>
          <w:sz w:val="24"/>
          <w:highlight w:val="none"/>
          <w:lang w:val="zh-CN"/>
        </w:rPr>
      </w:pPr>
    </w:p>
    <w:p>
      <w:pPr>
        <w:spacing w:before="61"/>
        <w:ind w:left="0" w:right="75" w:firstLine="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监狱企业声明函</w:t>
      </w:r>
    </w:p>
    <w:p>
      <w:pPr>
        <w:pStyle w:val="3"/>
        <w:ind w:right="75"/>
        <w:jc w:val="center"/>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【非监狱企业的不用提供】</w:t>
      </w:r>
    </w:p>
    <w:p>
      <w:pPr>
        <w:pStyle w:val="45"/>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本企业郑重声明，根据《关于政府采购支持监狱企业发展有关间想的通知》(财库[2014]68号）的规定，本企业为监狱企业。 </w:t>
      </w:r>
    </w:p>
    <w:p>
      <w:pPr>
        <w:pStyle w:val="45"/>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根据上述标准，我企业属于监狱企业的理由为: </w:t>
      </w:r>
    </w:p>
    <w:p>
      <w:pPr>
        <w:pStyle w:val="45"/>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本企业为参加(项目名称: ) (项目编号: )采购活动提供本企业的产品。 </w:t>
      </w:r>
    </w:p>
    <w:p>
      <w:pPr>
        <w:pStyle w:val="45"/>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本企业对上述声明的真实性负责。如有虚假，将依法承担相应责任。 </w:t>
      </w:r>
    </w:p>
    <w:p>
      <w:pPr>
        <w:pStyle w:val="45"/>
        <w:spacing w:line="460" w:lineRule="exact"/>
        <w:ind w:firstLine="480" w:firstLineChars="200"/>
        <w:rPr>
          <w:rFonts w:hint="eastAsia" w:ascii="仿宋" w:hAnsi="仿宋" w:eastAsia="仿宋" w:cs="仿宋"/>
          <w:color w:val="auto"/>
          <w:sz w:val="24"/>
          <w:szCs w:val="24"/>
          <w:highlight w:val="none"/>
        </w:rPr>
      </w:pPr>
    </w:p>
    <w:p>
      <w:pPr>
        <w:pStyle w:val="45"/>
        <w:spacing w:line="460" w:lineRule="exact"/>
        <w:ind w:firstLine="480" w:firstLineChars="200"/>
        <w:rPr>
          <w:rFonts w:hint="eastAsia" w:ascii="仿宋" w:hAnsi="仿宋" w:eastAsia="仿宋" w:cs="仿宋"/>
          <w:color w:val="auto"/>
          <w:sz w:val="24"/>
          <w:szCs w:val="24"/>
          <w:highlight w:val="none"/>
        </w:rPr>
      </w:pPr>
    </w:p>
    <w:p>
      <w:pPr>
        <w:pStyle w:val="45"/>
        <w:spacing w:line="460" w:lineRule="exact"/>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供应商名称(盖章) : </w:t>
      </w:r>
    </w:p>
    <w:p>
      <w:pPr>
        <w:pStyle w:val="45"/>
        <w:spacing w:line="460" w:lineRule="exact"/>
        <w:jc w:val="right"/>
        <w:rPr>
          <w:rFonts w:hint="eastAsia" w:ascii="仿宋" w:hAnsi="仿宋" w:eastAsia="仿宋" w:cs="仿宋"/>
          <w:color w:val="auto"/>
          <w:sz w:val="24"/>
          <w:szCs w:val="24"/>
          <w:highlight w:val="none"/>
        </w:rPr>
      </w:pPr>
    </w:p>
    <w:p>
      <w:pPr>
        <w:pStyle w:val="45"/>
        <w:spacing w:line="460" w:lineRule="exact"/>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年 月 日 </w:t>
      </w:r>
    </w:p>
    <w:p>
      <w:pPr>
        <w:pStyle w:val="45"/>
        <w:spacing w:line="460" w:lineRule="exact"/>
        <w:rPr>
          <w:rFonts w:hint="eastAsia" w:ascii="仿宋" w:hAnsi="仿宋" w:eastAsia="仿宋" w:cs="仿宋"/>
          <w:color w:val="auto"/>
          <w:sz w:val="24"/>
          <w:szCs w:val="24"/>
          <w:highlight w:val="none"/>
        </w:rPr>
      </w:pPr>
    </w:p>
    <w:p>
      <w:pPr>
        <w:snapToGrid w:val="0"/>
        <w:spacing w:beforeLines="50" w:after="50"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监狱企业参加政府采购活动时，应当提供由省级以上监狱管理局、戒毒管理局(含新疆生产建设兵团)出具的属于监狱企业的证明文件；</w:t>
      </w:r>
    </w:p>
    <w:p>
      <w:pPr>
        <w:snapToGrid w:val="0"/>
        <w:spacing w:beforeLines="50" w:after="50"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napToGrid w:val="0"/>
        <w:spacing w:before="50" w:after="120" w:afterLines="50" w:line="600" w:lineRule="exact"/>
        <w:jc w:val="both"/>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b/>
          <w:bCs/>
          <w:color w:val="auto"/>
          <w:sz w:val="24"/>
          <w:szCs w:val="24"/>
          <w:highlight w:val="none"/>
        </w:rPr>
      </w:pPr>
    </w:p>
    <w:p>
      <w:pPr>
        <w:pStyle w:val="36"/>
        <w:rPr>
          <w:rFonts w:hint="eastAsia" w:ascii="仿宋" w:hAnsi="仿宋" w:eastAsia="仿宋" w:cs="仿宋"/>
          <w:color w:val="auto"/>
          <w:highlight w:val="none"/>
        </w:rPr>
      </w:pPr>
    </w:p>
    <w:p>
      <w:pPr>
        <w:pStyle w:val="36"/>
        <w:rPr>
          <w:rFonts w:hint="eastAsia" w:ascii="仿宋" w:hAnsi="仿宋" w:eastAsia="仿宋" w:cs="仿宋"/>
          <w:color w:val="auto"/>
          <w:highlight w:val="none"/>
        </w:rPr>
      </w:pPr>
    </w:p>
    <w:p>
      <w:pPr>
        <w:spacing w:before="61"/>
        <w:ind w:left="0" w:right="75" w:firstLine="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残疾人福利性单位声明函</w:t>
      </w:r>
    </w:p>
    <w:p>
      <w:pPr>
        <w:spacing w:before="61"/>
        <w:ind w:left="0" w:right="75" w:firstLine="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【非残疾人福利性单位不用提供】</w:t>
      </w:r>
    </w:p>
    <w:p>
      <w:pPr>
        <w:pStyle w:val="45"/>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本单位郑重声明，根据《财政部民政部中国残疾人联合会关于促进残疾人就业政府采购政策的通知》(财库(2017) 141号)的规定。本单位为符合条件的残疾人福利性单位，且本单位参加 (采购人名称)单位的 (项目名称)项目采购活动提供本单位制造的货物(由本单位承担工程/提供服务)，成者提供其他残疾人福利性单位制造的货物(不包括使用非残疾人福利性单位往册商标的货物)。 </w:t>
      </w:r>
    </w:p>
    <w:p>
      <w:pPr>
        <w:pStyle w:val="45"/>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本单位对上述声明的真实性负责，如有虚假，将依法承但相应责任。 </w:t>
      </w:r>
    </w:p>
    <w:p>
      <w:pPr>
        <w:pStyle w:val="45"/>
        <w:spacing w:line="460" w:lineRule="exact"/>
        <w:ind w:firstLine="480" w:firstLineChars="200"/>
        <w:rPr>
          <w:rFonts w:hint="eastAsia" w:ascii="仿宋" w:hAnsi="仿宋" w:eastAsia="仿宋" w:cs="仿宋"/>
          <w:color w:val="auto"/>
          <w:highlight w:val="none"/>
        </w:rPr>
      </w:pPr>
    </w:p>
    <w:p>
      <w:pPr>
        <w:pStyle w:val="45"/>
        <w:spacing w:line="460" w:lineRule="exact"/>
        <w:jc w:val="right"/>
        <w:rPr>
          <w:rFonts w:hint="eastAsia" w:ascii="仿宋" w:hAnsi="仿宋" w:eastAsia="仿宋" w:cs="仿宋"/>
          <w:color w:val="auto"/>
          <w:highlight w:val="none"/>
        </w:rPr>
      </w:pPr>
    </w:p>
    <w:p>
      <w:pPr>
        <w:pStyle w:val="45"/>
        <w:spacing w:line="460" w:lineRule="exact"/>
        <w:jc w:val="right"/>
        <w:rPr>
          <w:rFonts w:hint="eastAsia" w:ascii="仿宋" w:hAnsi="仿宋" w:eastAsia="仿宋" w:cs="仿宋"/>
          <w:color w:val="auto"/>
          <w:highlight w:val="none"/>
        </w:rPr>
      </w:pPr>
    </w:p>
    <w:p>
      <w:pPr>
        <w:pStyle w:val="45"/>
        <w:spacing w:line="460" w:lineRule="exact"/>
        <w:jc w:val="right"/>
        <w:rPr>
          <w:rFonts w:hint="eastAsia" w:ascii="仿宋" w:hAnsi="仿宋" w:eastAsia="仿宋" w:cs="仿宋"/>
          <w:color w:val="auto"/>
          <w:highlight w:val="none"/>
        </w:rPr>
      </w:pPr>
    </w:p>
    <w:p>
      <w:pPr>
        <w:pStyle w:val="45"/>
        <w:spacing w:line="460" w:lineRule="exact"/>
        <w:jc w:val="right"/>
        <w:rPr>
          <w:rFonts w:hint="eastAsia" w:ascii="仿宋" w:hAnsi="仿宋" w:eastAsia="仿宋" w:cs="仿宋"/>
          <w:color w:val="auto"/>
          <w:highlight w:val="none"/>
        </w:rPr>
      </w:pPr>
    </w:p>
    <w:p>
      <w:pPr>
        <w:pStyle w:val="45"/>
        <w:spacing w:line="460" w:lineRule="exact"/>
        <w:jc w:val="right"/>
        <w:rPr>
          <w:rFonts w:hint="eastAsia" w:ascii="仿宋" w:hAnsi="仿宋" w:eastAsia="仿宋" w:cs="仿宋"/>
          <w:color w:val="auto"/>
          <w:highlight w:val="none"/>
        </w:rPr>
      </w:pPr>
      <w:r>
        <w:rPr>
          <w:rFonts w:hint="eastAsia" w:ascii="仿宋" w:hAnsi="仿宋" w:eastAsia="仿宋" w:cs="仿宋"/>
          <w:color w:val="auto"/>
          <w:highlight w:val="none"/>
        </w:rPr>
        <w:t xml:space="preserve">供应商名称(盖章)： </w:t>
      </w:r>
    </w:p>
    <w:p>
      <w:pPr>
        <w:pStyle w:val="45"/>
        <w:spacing w:line="460" w:lineRule="exact"/>
        <w:jc w:val="right"/>
        <w:rPr>
          <w:rFonts w:hint="eastAsia" w:ascii="仿宋" w:hAnsi="仿宋" w:eastAsia="仿宋" w:cs="仿宋"/>
          <w:color w:val="auto"/>
          <w:highlight w:val="none"/>
        </w:rPr>
      </w:pPr>
    </w:p>
    <w:p>
      <w:pPr>
        <w:snapToGrid w:val="0"/>
        <w:spacing w:beforeLines="50" w:after="50" w:line="460" w:lineRule="exact"/>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pPr>
        <w:snapToGrid w:val="0"/>
        <w:spacing w:before="50" w:after="50" w:line="400" w:lineRule="exact"/>
        <w:jc w:val="center"/>
        <w:rPr>
          <w:rFonts w:hint="eastAsia" w:ascii="仿宋" w:hAnsi="仿宋" w:eastAsia="仿宋" w:cs="仿宋"/>
          <w:b/>
          <w:color w:val="auto"/>
          <w:sz w:val="28"/>
          <w:szCs w:val="28"/>
          <w:highlight w:val="none"/>
        </w:rPr>
      </w:pPr>
    </w:p>
    <w:p>
      <w:pPr>
        <w:snapToGrid w:val="0"/>
        <w:spacing w:before="120" w:beforeLines="50" w:after="50"/>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35"/>
        <w:rPr>
          <w:rFonts w:hint="eastAsia" w:ascii="仿宋" w:hAnsi="仿宋" w:eastAsia="仿宋" w:cs="仿宋"/>
          <w:color w:val="auto"/>
          <w:sz w:val="24"/>
          <w:szCs w:val="20"/>
          <w:highlight w:val="none"/>
        </w:rPr>
      </w:pPr>
    </w:p>
    <w:p>
      <w:pPr>
        <w:pStyle w:val="6"/>
        <w:tabs>
          <w:tab w:val="left" w:pos="709"/>
        </w:tabs>
        <w:jc w:val="center"/>
        <w:rPr>
          <w:rFonts w:hint="eastAsia" w:ascii="仿宋" w:hAnsi="仿宋" w:eastAsia="仿宋" w:cs="仿宋"/>
          <w:b/>
          <w:bCs/>
          <w:color w:val="auto"/>
          <w:highlight w:val="none"/>
        </w:rPr>
      </w:pPr>
      <w:bookmarkStart w:id="103" w:name="_Toc25383"/>
      <w:r>
        <w:rPr>
          <w:rFonts w:hint="eastAsia" w:ascii="仿宋" w:hAnsi="仿宋" w:eastAsia="仿宋" w:cs="仿宋"/>
          <w:b/>
          <w:bCs/>
          <w:color w:val="auto"/>
          <w:highlight w:val="none"/>
        </w:rPr>
        <w:t>磋  商  函</w:t>
      </w:r>
    </w:p>
    <w:p>
      <w:pPr>
        <w:snapToGrid w:val="0"/>
        <w:spacing w:line="5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（采购单位）：</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根据贵方为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项目的磋商公告（项目编号：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），签字代表</w:t>
      </w:r>
      <w:r>
        <w:rPr>
          <w:rFonts w:hint="eastAsia" w:ascii="仿宋" w:hAnsi="仿宋" w:eastAsia="仿宋" w:cs="仿宋"/>
          <w:color w:val="auto"/>
          <w:szCs w:val="21"/>
          <w:highlight w:val="none"/>
          <w:u w:val="single"/>
        </w:rPr>
        <w:t>___        _ _</w:t>
      </w:r>
      <w:r>
        <w:rPr>
          <w:rFonts w:hint="eastAsia" w:ascii="仿宋" w:hAnsi="仿宋" w:eastAsia="仿宋" w:cs="仿宋"/>
          <w:color w:val="auto"/>
          <w:szCs w:val="21"/>
          <w:highlight w:val="none"/>
        </w:rPr>
        <w:t>（全名）经正式授权并代表供应商</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（供应商名称）提交资格文件、技术/资信/商务文件、报价文件。</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据此函，签字代表宣布同意如下：</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1、供应商已详细审查全部“磋商文件”，包括修改文件（如有的话）以及全部参考资料和有关附件，已经了解我方对于磋商文件、采购过程、采购结果有依法进行询问、质疑、投诉的权利及相关渠道和要求。</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2、供应商在投标之前已经与贵方进行了充分的沟通，完全理解并接受磋商文件的各项规定和要求，对磋商文件的合理性、合法性不再有异议。</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3、本投标有效期自开标日起 </w:t>
      </w: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rPr>
        <w:t>0个日历天。</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4、如中标，本响应文件至本项目合同履行完毕止均保持有效，本供应商将按“磋商文件”及政府采购法律、法规的规定履行合同责任和义务。</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5、供应商同意按照贵方要求提供与投标有关的一切数据或资料，并保证其真实性、合法性。</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6、与本投标有关的一切正式往来信函请寄：</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地址：</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邮编：</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电话：</w:t>
      </w:r>
      <w:r>
        <w:rPr>
          <w:rFonts w:hint="eastAsia" w:ascii="仿宋" w:hAnsi="仿宋" w:eastAsia="仿宋" w:cs="仿宋"/>
          <w:color w:val="auto"/>
          <w:szCs w:val="21"/>
          <w:highlight w:val="none"/>
          <w:u w:val="single"/>
        </w:rPr>
        <w:t xml:space="preserve">              </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传真：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供应商代表姓名:</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职务：</w:t>
      </w:r>
      <w:r>
        <w:rPr>
          <w:rFonts w:hint="eastAsia" w:ascii="仿宋" w:hAnsi="仿宋" w:eastAsia="仿宋" w:cs="仿宋"/>
          <w:color w:val="auto"/>
          <w:szCs w:val="21"/>
          <w:highlight w:val="none"/>
          <w:u w:val="single"/>
        </w:rPr>
        <w:t xml:space="preserve">              </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供应商名称(盖章):</w:t>
      </w:r>
      <w:r>
        <w:rPr>
          <w:rFonts w:hint="eastAsia" w:ascii="仿宋" w:hAnsi="仿宋" w:eastAsia="仿宋" w:cs="仿宋"/>
          <w:color w:val="auto"/>
          <w:szCs w:val="21"/>
          <w:highlight w:val="none"/>
          <w:u w:val="single"/>
        </w:rPr>
        <w:t xml:space="preserve">                   </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w:t>
      </w:r>
      <w:r>
        <w:rPr>
          <w:rFonts w:hint="eastAsia" w:ascii="仿宋" w:hAnsi="仿宋" w:eastAsia="仿宋" w:cs="仿宋"/>
          <w:color w:val="auto"/>
          <w:szCs w:val="21"/>
          <w:highlight w:val="none"/>
          <w:u w:val="single"/>
        </w:rPr>
        <w:t xml:space="preserve">                          </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银行帐号：</w:t>
      </w:r>
      <w:r>
        <w:rPr>
          <w:rFonts w:hint="eastAsia" w:ascii="仿宋" w:hAnsi="仿宋" w:eastAsia="仿宋" w:cs="仿宋"/>
          <w:color w:val="auto"/>
          <w:szCs w:val="21"/>
          <w:highlight w:val="none"/>
          <w:u w:val="single"/>
        </w:rPr>
        <w:t xml:space="preserve">                          </w:t>
      </w:r>
    </w:p>
    <w:p>
      <w:pPr>
        <w:snapToGrid w:val="0"/>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法定代表人签字:</w:t>
      </w:r>
      <w:r>
        <w:rPr>
          <w:rFonts w:hint="eastAsia" w:ascii="仿宋" w:hAnsi="仿宋" w:eastAsia="仿宋" w:cs="仿宋"/>
          <w:color w:val="auto"/>
          <w:szCs w:val="21"/>
          <w:highlight w:val="none"/>
          <w:u w:val="single"/>
        </w:rPr>
        <w:t xml:space="preserve">                     </w:t>
      </w:r>
    </w:p>
    <w:p>
      <w:pPr>
        <w:adjustRightInd w:val="0"/>
        <w:snapToGrid w:val="0"/>
        <w:spacing w:before="156" w:beforeLines="50" w:after="156" w:afterLines="50"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pPr>
        <w:pStyle w:val="2"/>
        <w:rPr>
          <w:rFonts w:hint="eastAsia" w:ascii="仿宋" w:hAnsi="仿宋" w:eastAsia="仿宋" w:cs="仿宋"/>
          <w:color w:val="auto"/>
          <w:szCs w:val="21"/>
          <w:highlight w:val="none"/>
        </w:rPr>
      </w:pPr>
    </w:p>
    <w:p>
      <w:pPr>
        <w:pStyle w:val="9"/>
        <w:tabs>
          <w:tab w:val="left" w:pos="4477"/>
        </w:tabs>
        <w:spacing w:line="400" w:lineRule="exact"/>
        <w:ind w:left="0" w:leftChars="0" w:firstLine="0" w:firstLineChars="0"/>
        <w:jc w:val="both"/>
        <w:rPr>
          <w:rFonts w:hint="eastAsia" w:ascii="仿宋" w:hAnsi="仿宋" w:eastAsia="仿宋" w:cs="仿宋"/>
          <w:color w:val="auto"/>
          <w:kern w:val="0"/>
          <w:sz w:val="30"/>
          <w:szCs w:val="30"/>
          <w:highlight w:val="none"/>
        </w:rPr>
      </w:pPr>
    </w:p>
    <w:p>
      <w:pPr>
        <w:pStyle w:val="9"/>
        <w:tabs>
          <w:tab w:val="left" w:pos="4477"/>
        </w:tabs>
        <w:spacing w:line="400" w:lineRule="exact"/>
        <w:jc w:val="center"/>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磋商报价一览表（初次报价）</w:t>
      </w:r>
    </w:p>
    <w:p>
      <w:pPr>
        <w:pStyle w:val="9"/>
        <w:tabs>
          <w:tab w:val="left" w:pos="4477"/>
        </w:tabs>
        <w:spacing w:line="400" w:lineRule="exact"/>
        <w:jc w:val="center"/>
        <w:rPr>
          <w:rFonts w:hint="eastAsia" w:ascii="仿宋" w:hAnsi="仿宋" w:eastAsia="仿宋" w:cs="仿宋"/>
          <w:color w:val="auto"/>
          <w:kern w:val="0"/>
          <w:sz w:val="30"/>
          <w:szCs w:val="30"/>
          <w:highlight w:val="none"/>
        </w:rPr>
      </w:pPr>
    </w:p>
    <w:p>
      <w:pPr>
        <w:spacing w:line="360" w:lineRule="auto"/>
        <w:rPr>
          <w:rFonts w:hint="eastAsia" w:ascii="仿宋" w:hAnsi="仿宋" w:eastAsia="仿宋" w:cs="仿宋"/>
          <w:b/>
          <w:color w:val="auto"/>
          <w:sz w:val="24"/>
          <w:highlight w:val="none"/>
        </w:rPr>
      </w:pPr>
    </w:p>
    <w:tbl>
      <w:tblPr>
        <w:tblStyle w:val="30"/>
        <w:tblW w:w="966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3"/>
        <w:gridCol w:w="4163"/>
        <w:gridCol w:w="1812"/>
        <w:gridCol w:w="297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exact"/>
          <w:jc w:val="center"/>
        </w:trPr>
        <w:tc>
          <w:tcPr>
            <w:tcW w:w="713"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4163"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招标内容</w:t>
            </w:r>
          </w:p>
        </w:tc>
        <w:tc>
          <w:tcPr>
            <w:tcW w:w="181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单位及数量</w:t>
            </w:r>
          </w:p>
        </w:tc>
        <w:tc>
          <w:tcPr>
            <w:tcW w:w="297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磋商报价</w:t>
            </w:r>
            <w:r>
              <w:rPr>
                <w:rFonts w:hint="eastAsia" w:ascii="仿宋" w:hAnsi="仿宋" w:eastAsia="仿宋" w:cs="仿宋"/>
                <w:color w:val="auto"/>
                <w:sz w:val="24"/>
                <w:highlight w:val="none"/>
              </w:rPr>
              <w:t>（元）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20" w:hRule="atLeast"/>
          <w:jc w:val="center"/>
        </w:trPr>
        <w:tc>
          <w:tcPr>
            <w:tcW w:w="713" w:type="dxa"/>
            <w:tcBorders>
              <w:top w:val="single" w:color="auto" w:sz="4" w:space="0"/>
              <w:left w:val="single" w:color="auto" w:sz="4" w:space="0"/>
              <w:right w:val="single" w:color="auto" w:sz="4" w:space="0"/>
            </w:tcBorders>
            <w:noWrap w:val="0"/>
            <w:vAlign w:val="center"/>
          </w:tcPr>
          <w:p>
            <w:pPr>
              <w:widowControl/>
              <w:adjustRightInd w:val="0"/>
              <w:snapToGrid w:val="0"/>
              <w:spacing w:line="40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w:t>
            </w:r>
          </w:p>
        </w:tc>
        <w:tc>
          <w:tcPr>
            <w:tcW w:w="4163" w:type="dxa"/>
            <w:tcBorders>
              <w:top w:val="single" w:color="auto" w:sz="4" w:space="0"/>
              <w:left w:val="single" w:color="auto" w:sz="4" w:space="0"/>
              <w:right w:val="single" w:color="auto" w:sz="4" w:space="0"/>
            </w:tcBorders>
            <w:noWrap w:val="0"/>
            <w:vAlign w:val="center"/>
          </w:tcPr>
          <w:p>
            <w:pPr>
              <w:adjustRightInd w:val="0"/>
              <w:snapToGrid w:val="0"/>
              <w:spacing w:line="400" w:lineRule="exact"/>
              <w:jc w:val="center"/>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lang w:val="en-US" w:eastAsia="zh-CN"/>
              </w:rPr>
              <w:t>温州医科大学附属第二医院所有院区小额工程设计服务</w:t>
            </w:r>
          </w:p>
          <w:p>
            <w:pPr>
              <w:adjustRightInd w:val="0"/>
              <w:snapToGrid w:val="0"/>
              <w:spacing w:line="400" w:lineRule="exact"/>
              <w:jc w:val="center"/>
              <w:rPr>
                <w:rFonts w:hint="eastAsia" w:ascii="仿宋" w:hAnsi="仿宋" w:eastAsia="仿宋" w:cs="仿宋"/>
                <w:color w:val="auto"/>
                <w:sz w:val="24"/>
                <w:highlight w:val="none"/>
              </w:rPr>
            </w:pPr>
          </w:p>
        </w:tc>
        <w:tc>
          <w:tcPr>
            <w:tcW w:w="1812" w:type="dxa"/>
            <w:tcBorders>
              <w:top w:val="single" w:color="auto" w:sz="4" w:space="0"/>
              <w:left w:val="single" w:color="auto" w:sz="4" w:space="0"/>
              <w:right w:val="single" w:color="auto" w:sz="4" w:space="0"/>
            </w:tcBorders>
            <w:noWrap w:val="0"/>
            <w:vAlign w:val="center"/>
          </w:tcPr>
          <w:p>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一</w:t>
            </w:r>
            <w:r>
              <w:rPr>
                <w:rFonts w:hint="eastAsia" w:ascii="仿宋" w:hAnsi="仿宋" w:eastAsia="仿宋" w:cs="仿宋"/>
                <w:color w:val="auto"/>
                <w:sz w:val="24"/>
                <w:highlight w:val="none"/>
                <w:lang w:val="en-US" w:eastAsia="zh-CN"/>
              </w:rPr>
              <w:t>项</w:t>
            </w:r>
          </w:p>
        </w:tc>
        <w:tc>
          <w:tcPr>
            <w:tcW w:w="2975"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663" w:type="dxa"/>
            <w:gridSpan w:val="4"/>
            <w:tcBorders>
              <w:top w:val="single" w:color="auto" w:sz="4" w:space="0"/>
              <w:left w:val="single" w:color="auto" w:sz="4" w:space="0"/>
              <w:bottom w:val="single" w:color="auto" w:sz="4" w:space="0"/>
              <w:right w:val="single" w:color="auto" w:sz="4" w:space="0"/>
            </w:tcBorders>
            <w:noWrap w:val="0"/>
            <w:vAlign w:val="top"/>
          </w:tcPr>
          <w:p>
            <w:pPr>
              <w:widowControl/>
              <w:adjustRightInd w:val="0"/>
              <w:snapToGrid w:val="0"/>
              <w:spacing w:line="400" w:lineRule="exact"/>
              <w:jc w:val="center"/>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lang w:val="en-US" w:eastAsia="zh-CN"/>
              </w:rPr>
              <w:t>磋商总报价：</w:t>
            </w:r>
            <w:r>
              <w:rPr>
                <w:rFonts w:hint="eastAsia" w:ascii="仿宋" w:hAnsi="仿宋" w:eastAsia="仿宋" w:cs="仿宋"/>
                <w:color w:val="auto"/>
                <w:sz w:val="24"/>
                <w:highlight w:val="none"/>
                <w:u w:val="none"/>
                <w:lang w:val="en-US" w:eastAsia="zh-CN"/>
              </w:rPr>
              <w:t>大写人民币     元 （小写）：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663" w:type="dxa"/>
            <w:gridSpan w:val="4"/>
            <w:tcBorders>
              <w:top w:val="single" w:color="auto" w:sz="4" w:space="0"/>
              <w:left w:val="single" w:color="auto" w:sz="4" w:space="0"/>
              <w:right w:val="single" w:color="auto" w:sz="4" w:space="0"/>
            </w:tcBorders>
            <w:noWrap w:val="0"/>
            <w:vAlign w:val="top"/>
          </w:tcPr>
          <w:p>
            <w:pPr>
              <w:widowControl/>
              <w:adjustRightInd w:val="0"/>
              <w:snapToGrid w:val="0"/>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注：磋商报价超出最高限价得作无效标处理。</w:t>
            </w:r>
          </w:p>
        </w:tc>
      </w:tr>
    </w:tbl>
    <w:p>
      <w:pPr>
        <w:snapToGrid w:val="0"/>
        <w:spacing w:before="50" w:after="50"/>
        <w:rPr>
          <w:rFonts w:hint="eastAsia" w:ascii="仿宋" w:hAnsi="仿宋" w:eastAsia="仿宋" w:cs="仿宋"/>
          <w:color w:val="auto"/>
          <w:szCs w:val="21"/>
          <w:highlight w:val="none"/>
        </w:rPr>
      </w:pPr>
    </w:p>
    <w:p>
      <w:pPr>
        <w:snapToGrid w:val="0"/>
        <w:spacing w:before="50" w:after="50"/>
        <w:rPr>
          <w:rFonts w:hint="eastAsia" w:ascii="仿宋" w:hAnsi="仿宋" w:eastAsia="仿宋" w:cs="仿宋"/>
          <w:color w:val="auto"/>
          <w:szCs w:val="21"/>
          <w:highlight w:val="none"/>
        </w:rPr>
      </w:pPr>
    </w:p>
    <w:p>
      <w:pPr>
        <w:snapToGrid w:val="0"/>
        <w:spacing w:before="50" w:after="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 1、报价一经涂改，应在涂改处加盖单位公章或者由法定代表人或授权委托人签字或盖章，否则其磋商作无效标处理。</w:t>
      </w:r>
    </w:p>
    <w:p>
      <w:pPr>
        <w:numPr>
          <w:ilvl w:val="0"/>
          <w:numId w:val="4"/>
        </w:numPr>
        <w:snapToGrid w:val="0"/>
        <w:spacing w:before="50" w:after="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项目费用包括项目实施所需的</w:t>
      </w:r>
      <w:r>
        <w:rPr>
          <w:rFonts w:hint="eastAsia" w:ascii="仿宋" w:hAnsi="仿宋" w:eastAsia="仿宋" w:cs="仿宋"/>
          <w:color w:val="auto"/>
          <w:sz w:val="24"/>
          <w:highlight w:val="none"/>
          <w:lang w:val="en-US" w:eastAsia="zh-CN"/>
        </w:rPr>
        <w:t>设计费、</w:t>
      </w:r>
      <w:r>
        <w:rPr>
          <w:rFonts w:hint="eastAsia" w:ascii="仿宋" w:hAnsi="仿宋" w:eastAsia="仿宋" w:cs="仿宋"/>
          <w:color w:val="auto"/>
          <w:sz w:val="24"/>
          <w:highlight w:val="none"/>
        </w:rPr>
        <w:t>工程费、</w:t>
      </w:r>
      <w:r>
        <w:rPr>
          <w:rFonts w:hint="eastAsia" w:ascii="仿宋" w:hAnsi="仿宋" w:eastAsia="仿宋" w:cs="仿宋"/>
          <w:color w:val="auto"/>
          <w:sz w:val="24"/>
          <w:highlight w:val="none"/>
          <w:lang w:val="en-US" w:eastAsia="zh-CN"/>
        </w:rPr>
        <w:t>人工</w:t>
      </w:r>
      <w:r>
        <w:rPr>
          <w:rFonts w:hint="eastAsia" w:ascii="仿宋" w:hAnsi="仿宋" w:eastAsia="仿宋" w:cs="仿宋"/>
          <w:color w:val="auto"/>
          <w:sz w:val="24"/>
          <w:highlight w:val="none"/>
        </w:rPr>
        <w:t>费、</w:t>
      </w:r>
      <w:r>
        <w:rPr>
          <w:rFonts w:hint="eastAsia" w:ascii="仿宋" w:hAnsi="仿宋" w:eastAsia="仿宋" w:cs="仿宋"/>
          <w:color w:val="auto"/>
          <w:sz w:val="24"/>
          <w:highlight w:val="none"/>
          <w:lang w:val="en-US" w:eastAsia="zh-CN"/>
        </w:rPr>
        <w:t>设备</w:t>
      </w:r>
      <w:r>
        <w:rPr>
          <w:rFonts w:hint="eastAsia" w:ascii="仿宋" w:hAnsi="仿宋" w:eastAsia="仿宋" w:cs="仿宋"/>
          <w:color w:val="auto"/>
          <w:sz w:val="24"/>
          <w:highlight w:val="none"/>
        </w:rPr>
        <w:t>费、</w:t>
      </w:r>
      <w:r>
        <w:rPr>
          <w:rFonts w:hint="eastAsia" w:ascii="仿宋" w:hAnsi="仿宋" w:eastAsia="仿宋" w:cs="仿宋"/>
          <w:color w:val="auto"/>
          <w:sz w:val="24"/>
          <w:highlight w:val="none"/>
          <w:lang w:val="en-US" w:eastAsia="zh-CN"/>
        </w:rPr>
        <w:t>材料费、</w:t>
      </w:r>
      <w:r>
        <w:rPr>
          <w:rFonts w:hint="eastAsia" w:ascii="仿宋" w:hAnsi="仿宋" w:eastAsia="仿宋" w:cs="仿宋"/>
          <w:color w:val="auto"/>
          <w:sz w:val="24"/>
          <w:highlight w:val="none"/>
        </w:rPr>
        <w:t>运输费、安装调试费、</w:t>
      </w:r>
      <w:r>
        <w:rPr>
          <w:rFonts w:hint="eastAsia" w:ascii="仿宋" w:hAnsi="仿宋" w:eastAsia="仿宋" w:cs="仿宋"/>
          <w:color w:val="auto"/>
          <w:sz w:val="24"/>
          <w:highlight w:val="none"/>
          <w:lang w:val="en-US" w:eastAsia="zh-CN"/>
        </w:rPr>
        <w:t>招标代理服务费</w:t>
      </w:r>
      <w:r>
        <w:rPr>
          <w:rFonts w:hint="eastAsia" w:ascii="仿宋" w:hAnsi="仿宋" w:eastAsia="仿宋" w:cs="仿宋"/>
          <w:color w:val="auto"/>
          <w:sz w:val="24"/>
          <w:highlight w:val="none"/>
        </w:rPr>
        <w:t>、税费及其他一切费用。</w:t>
      </w:r>
    </w:p>
    <w:p>
      <w:pPr>
        <w:spacing w:line="760" w:lineRule="exact"/>
        <w:rPr>
          <w:rFonts w:hint="eastAsia" w:ascii="仿宋" w:hAnsi="仿宋" w:eastAsia="仿宋" w:cs="仿宋"/>
          <w:b/>
          <w:bCs/>
          <w:color w:val="auto"/>
          <w:sz w:val="32"/>
          <w:highlight w:val="none"/>
        </w:rPr>
      </w:pPr>
    </w:p>
    <w:p>
      <w:pPr>
        <w:spacing w:line="760" w:lineRule="exact"/>
        <w:rPr>
          <w:rFonts w:hint="eastAsia" w:ascii="仿宋" w:hAnsi="仿宋" w:eastAsia="仿宋" w:cs="仿宋"/>
          <w:b/>
          <w:bCs/>
          <w:color w:val="auto"/>
          <w:sz w:val="32"/>
          <w:highlight w:val="none"/>
        </w:rPr>
      </w:pPr>
    </w:p>
    <w:p>
      <w:pPr>
        <w:spacing w:before="156" w:beforeLines="50" w:after="156" w:afterLines="50" w:line="3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供应商（盖章）：</w:t>
      </w:r>
    </w:p>
    <w:p>
      <w:pPr>
        <w:spacing w:before="156" w:beforeLines="50" w:after="156" w:afterLines="50" w:line="3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 w:val="24"/>
          <w:highlight w:val="none"/>
        </w:rPr>
        <w:t>法定代表人或授权代表签字</w:t>
      </w:r>
      <w:r>
        <w:rPr>
          <w:rFonts w:hint="eastAsia" w:ascii="仿宋" w:hAnsi="仿宋" w:eastAsia="仿宋" w:cs="仿宋"/>
          <w:color w:val="auto"/>
          <w:szCs w:val="21"/>
          <w:highlight w:val="none"/>
        </w:rPr>
        <w:t>：</w:t>
      </w:r>
    </w:p>
    <w:p>
      <w:pPr>
        <w:pStyle w:val="15"/>
        <w:rPr>
          <w:rFonts w:hint="eastAsia" w:ascii="仿宋" w:hAnsi="仿宋" w:eastAsia="仿宋" w:cs="仿宋"/>
          <w:color w:val="auto"/>
          <w:sz w:val="28"/>
          <w:szCs w:val="28"/>
          <w:highlight w:val="none"/>
        </w:rPr>
      </w:pPr>
      <w:r>
        <w:rPr>
          <w:rFonts w:hint="eastAsia" w:ascii="仿宋" w:hAnsi="仿宋" w:eastAsia="仿宋" w:cs="仿宋"/>
          <w:color w:val="auto"/>
          <w:kern w:val="2"/>
          <w:sz w:val="21"/>
          <w:szCs w:val="21"/>
          <w:highlight w:val="none"/>
        </w:rPr>
        <w:t xml:space="preserve">日期：  </w:t>
      </w: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both"/>
        <w:rPr>
          <w:rFonts w:hint="eastAsia" w:ascii="仿宋" w:hAnsi="仿宋" w:eastAsia="仿宋" w:cs="仿宋"/>
          <w:b/>
          <w:color w:val="auto"/>
          <w:spacing w:val="14"/>
          <w:sz w:val="24"/>
          <w:highlight w:val="none"/>
        </w:rPr>
      </w:pPr>
    </w:p>
    <w:p>
      <w:pPr>
        <w:spacing w:line="400" w:lineRule="exact"/>
        <w:jc w:val="center"/>
        <w:rPr>
          <w:rFonts w:hint="eastAsia" w:ascii="仿宋" w:hAnsi="仿宋" w:eastAsia="仿宋" w:cs="仿宋"/>
          <w:b/>
          <w:color w:val="auto"/>
          <w:spacing w:val="14"/>
          <w:sz w:val="24"/>
          <w:highlight w:val="none"/>
        </w:rPr>
      </w:pPr>
      <w:r>
        <w:rPr>
          <w:rFonts w:hint="eastAsia" w:ascii="仿宋" w:hAnsi="仿宋" w:eastAsia="仿宋" w:cs="仿宋"/>
          <w:b/>
          <w:color w:val="auto"/>
          <w:spacing w:val="14"/>
          <w:sz w:val="24"/>
          <w:highlight w:val="none"/>
        </w:rPr>
        <w:t>招标代理服务费承诺函</w:t>
      </w:r>
    </w:p>
    <w:p>
      <w:pPr>
        <w:spacing w:line="360" w:lineRule="auto"/>
        <w:ind w:firstLine="570"/>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u w:val="single"/>
          <w:lang w:eastAsia="zh-CN"/>
        </w:rPr>
      </w:pPr>
      <w:r>
        <w:rPr>
          <w:rFonts w:hint="eastAsia" w:ascii="仿宋" w:hAnsi="仿宋" w:eastAsia="仿宋" w:cs="仿宋"/>
          <w:color w:val="auto"/>
          <w:sz w:val="24"/>
          <w:highlight w:val="none"/>
          <w:u w:val="single"/>
          <w:lang w:val="en-US" w:eastAsia="zh-CN"/>
        </w:rPr>
        <w:t>浙江恒杰工程管理有限公司</w:t>
      </w:r>
      <w:r>
        <w:rPr>
          <w:rFonts w:hint="eastAsia" w:ascii="仿宋" w:hAnsi="仿宋" w:eastAsia="仿宋" w:cs="仿宋"/>
          <w:color w:val="auto"/>
          <w:sz w:val="24"/>
          <w:highlight w:val="none"/>
          <w:u w:val="single"/>
          <w:lang w:eastAsia="zh-CN"/>
        </w:rPr>
        <w:t>：</w:t>
      </w:r>
    </w:p>
    <w:p>
      <w:pPr>
        <w:spacing w:line="360" w:lineRule="auto"/>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一旦我公司中标，我公司同意按本招标文件规定向政府采购代理机构交纳招标代理服务费，在我公司收到中标通知书后当日一次性向贵公司缴清。本承诺函自开标之日起至本次采购期满有效。</w:t>
      </w:r>
    </w:p>
    <w:p>
      <w:pPr>
        <w:spacing w:line="480" w:lineRule="auto"/>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spacing w:line="480" w:lineRule="auto"/>
        <w:ind w:firstLine="3840" w:firstLineChars="1600"/>
        <w:rPr>
          <w:rFonts w:hint="eastAsia" w:ascii="仿宋" w:hAnsi="仿宋" w:eastAsia="仿宋" w:cs="仿宋"/>
          <w:color w:val="auto"/>
          <w:sz w:val="24"/>
          <w:highlight w:val="none"/>
        </w:rPr>
      </w:pPr>
    </w:p>
    <w:p>
      <w:pPr>
        <w:ind w:firstLine="480" w:firstLineChars="200"/>
        <w:rPr>
          <w:rFonts w:hint="eastAsia" w:ascii="仿宋" w:hAnsi="仿宋" w:eastAsia="仿宋" w:cs="仿宋"/>
          <w:color w:val="auto"/>
          <w:sz w:val="24"/>
          <w:highlight w:val="none"/>
        </w:rPr>
      </w:pPr>
    </w:p>
    <w:p>
      <w:pPr>
        <w:ind w:firstLine="480" w:firstLineChars="200"/>
        <w:rPr>
          <w:rFonts w:hint="eastAsia" w:ascii="仿宋" w:hAnsi="仿宋" w:eastAsia="仿宋" w:cs="仿宋"/>
          <w:color w:val="auto"/>
          <w:sz w:val="24"/>
          <w:highlight w:val="none"/>
        </w:rPr>
      </w:pPr>
    </w:p>
    <w:p>
      <w:pPr>
        <w:ind w:firstLine="480" w:firstLineChars="200"/>
        <w:rPr>
          <w:rFonts w:hint="eastAsia" w:ascii="仿宋" w:hAnsi="仿宋" w:eastAsia="仿宋" w:cs="仿宋"/>
          <w:color w:val="auto"/>
          <w:sz w:val="24"/>
          <w:highlight w:val="none"/>
        </w:rPr>
      </w:pPr>
    </w:p>
    <w:p>
      <w:pPr>
        <w:ind w:firstLine="480" w:firstLineChars="200"/>
        <w:rPr>
          <w:rFonts w:hint="eastAsia" w:ascii="仿宋" w:hAnsi="仿宋" w:eastAsia="仿宋" w:cs="仿宋"/>
          <w:color w:val="auto"/>
          <w:sz w:val="24"/>
          <w:highlight w:val="none"/>
        </w:rPr>
      </w:pPr>
    </w:p>
    <w:p>
      <w:pPr>
        <w:ind w:firstLine="480" w:firstLineChars="200"/>
        <w:rPr>
          <w:rFonts w:hint="eastAsia" w:ascii="仿宋" w:hAnsi="仿宋" w:eastAsia="仿宋" w:cs="仿宋"/>
          <w:color w:val="auto"/>
          <w:sz w:val="24"/>
          <w:highlight w:val="none"/>
        </w:rPr>
      </w:pPr>
    </w:p>
    <w:p>
      <w:pPr>
        <w:ind w:firstLine="480" w:firstLineChars="200"/>
        <w:rPr>
          <w:rFonts w:hint="eastAsia" w:ascii="仿宋" w:hAnsi="仿宋" w:eastAsia="仿宋" w:cs="仿宋"/>
          <w:color w:val="auto"/>
          <w:sz w:val="24"/>
          <w:highlight w:val="none"/>
        </w:rPr>
      </w:pPr>
    </w:p>
    <w:p>
      <w:pPr>
        <w:pStyle w:val="9"/>
        <w:spacing w:line="500" w:lineRule="exact"/>
        <w:ind w:firstLine="1454" w:firstLineChars="606"/>
        <w:jc w:val="righ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投标人：</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（盖章）</w:t>
      </w:r>
    </w:p>
    <w:p>
      <w:pPr>
        <w:pStyle w:val="9"/>
        <w:spacing w:line="500" w:lineRule="exact"/>
        <w:ind w:firstLine="374" w:firstLineChars="156"/>
        <w:jc w:val="righ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xml:space="preserve">                      </w:t>
      </w:r>
    </w:p>
    <w:p>
      <w:pPr>
        <w:pStyle w:val="9"/>
        <w:spacing w:line="500" w:lineRule="exact"/>
        <w:ind w:firstLine="1334" w:firstLineChars="556"/>
        <w:jc w:val="righ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法定代表人或其授权代理人（签名或盖章）</w:t>
      </w:r>
    </w:p>
    <w:p>
      <w:pPr>
        <w:pStyle w:val="9"/>
        <w:spacing w:line="500" w:lineRule="exact"/>
        <w:ind w:firstLine="374" w:firstLineChars="156"/>
        <w:jc w:val="right"/>
        <w:rPr>
          <w:rFonts w:hint="eastAsia" w:ascii="仿宋" w:hAnsi="仿宋" w:eastAsia="仿宋" w:cs="仿宋"/>
          <w:b w:val="0"/>
          <w:bCs w:val="0"/>
          <w:color w:val="auto"/>
          <w:sz w:val="24"/>
          <w:szCs w:val="24"/>
          <w:highlight w:val="none"/>
        </w:rPr>
      </w:pPr>
    </w:p>
    <w:p>
      <w:pPr>
        <w:pStyle w:val="9"/>
        <w:spacing w:line="500" w:lineRule="exact"/>
        <w:ind w:left="840" w:firstLine="374" w:firstLineChars="156"/>
        <w:jc w:val="righ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xml:space="preserve">              日期：    年   月   日</w:t>
      </w:r>
    </w:p>
    <w:p>
      <w:pPr>
        <w:pStyle w:val="9"/>
        <w:spacing w:line="500" w:lineRule="exact"/>
        <w:ind w:firstLine="0"/>
        <w:rPr>
          <w:rFonts w:hint="eastAsia" w:ascii="仿宋" w:hAnsi="仿宋" w:eastAsia="仿宋" w:cs="仿宋"/>
          <w:color w:val="auto"/>
          <w:sz w:val="24"/>
          <w:szCs w:val="24"/>
          <w:highlight w:val="none"/>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p>
    <w:p>
      <w:pPr>
        <w:pStyle w:val="2"/>
        <w:rPr>
          <w:rFonts w:hint="eastAsia" w:ascii="仿宋" w:hAnsi="仿宋" w:eastAsia="仿宋" w:cs="仿宋"/>
          <w:b/>
          <w:bCs w:val="0"/>
          <w:color w:val="auto"/>
          <w:spacing w:val="14"/>
          <w:sz w:val="24"/>
          <w:highlight w:val="none"/>
          <w:lang w:eastAsia="zh-CN"/>
        </w:rPr>
      </w:pPr>
    </w:p>
    <w:p>
      <w:pPr>
        <w:rPr>
          <w:rFonts w:hint="eastAsia" w:ascii="仿宋" w:hAnsi="仿宋" w:eastAsia="仿宋" w:cs="仿宋"/>
          <w:b/>
          <w:bCs w:val="0"/>
          <w:color w:val="auto"/>
          <w:spacing w:val="14"/>
          <w:sz w:val="24"/>
          <w:highlight w:val="none"/>
          <w:lang w:eastAsia="zh-CN"/>
        </w:rPr>
      </w:pPr>
    </w:p>
    <w:p>
      <w:pPr>
        <w:pStyle w:val="2"/>
        <w:rPr>
          <w:rFonts w:hint="eastAsia" w:ascii="仿宋" w:hAnsi="仿宋" w:eastAsia="仿宋" w:cs="仿宋"/>
          <w:b/>
          <w:bCs w:val="0"/>
          <w:color w:val="auto"/>
          <w:spacing w:val="14"/>
          <w:sz w:val="24"/>
          <w:highlight w:val="none"/>
          <w:lang w:eastAsia="zh-CN"/>
        </w:rPr>
      </w:pPr>
    </w:p>
    <w:p>
      <w:pPr>
        <w:rPr>
          <w:rFonts w:hint="eastAsia"/>
          <w:color w:val="auto"/>
          <w:highlight w:val="none"/>
          <w:lang w:eastAsia="zh-CN"/>
        </w:rPr>
      </w:pPr>
    </w:p>
    <w:p>
      <w:pPr>
        <w:spacing w:line="400" w:lineRule="exact"/>
        <w:jc w:val="center"/>
        <w:rPr>
          <w:rFonts w:hint="eastAsia" w:ascii="仿宋" w:hAnsi="仿宋" w:eastAsia="仿宋" w:cs="仿宋"/>
          <w:b/>
          <w:bCs w:val="0"/>
          <w:color w:val="auto"/>
          <w:spacing w:val="14"/>
          <w:sz w:val="24"/>
          <w:highlight w:val="none"/>
          <w:lang w:eastAsia="zh-CN"/>
        </w:rPr>
      </w:pPr>
      <w:r>
        <w:rPr>
          <w:rFonts w:hint="eastAsia" w:ascii="仿宋" w:hAnsi="仿宋" w:eastAsia="仿宋" w:cs="仿宋"/>
          <w:b/>
          <w:bCs w:val="0"/>
          <w:color w:val="auto"/>
          <w:spacing w:val="14"/>
          <w:sz w:val="24"/>
          <w:highlight w:val="none"/>
          <w:lang w:eastAsia="zh-CN"/>
        </w:rPr>
        <w:t>投标报价明细表</w:t>
      </w:r>
    </w:p>
    <w:p>
      <w:pPr>
        <w:spacing w:line="400" w:lineRule="exact"/>
        <w:jc w:val="center"/>
        <w:rPr>
          <w:rFonts w:hint="eastAsia" w:ascii="仿宋" w:hAnsi="仿宋" w:eastAsia="仿宋" w:cs="仿宋"/>
          <w:b w:val="0"/>
          <w:bCs/>
          <w:color w:val="auto"/>
          <w:spacing w:val="14"/>
          <w:sz w:val="24"/>
          <w:highlight w:val="none"/>
        </w:rPr>
      </w:pPr>
    </w:p>
    <w:p>
      <w:pPr>
        <w:pStyle w:val="4"/>
        <w:bidi w:val="0"/>
        <w:rPr>
          <w:rFonts w:hint="eastAsia" w:ascii="仿宋" w:hAnsi="仿宋" w:eastAsia="仿宋" w:cs="仿宋"/>
          <w:color w:val="auto"/>
          <w:highlight w:val="none"/>
        </w:rPr>
      </w:pPr>
    </w:p>
    <w:p>
      <w:pPr>
        <w:pStyle w:val="4"/>
        <w:bidi w:val="0"/>
        <w:rPr>
          <w:rFonts w:hint="eastAsia" w:ascii="仿宋" w:hAnsi="仿宋" w:eastAsia="仿宋" w:cs="仿宋"/>
          <w:color w:val="auto"/>
          <w:highlight w:val="none"/>
        </w:rPr>
      </w:pPr>
    </w:p>
    <w:p>
      <w:pPr>
        <w:pStyle w:val="4"/>
        <w:bidi w:val="0"/>
        <w:rPr>
          <w:rFonts w:hint="eastAsia" w:ascii="仿宋" w:hAnsi="仿宋" w:eastAsia="仿宋" w:cs="仿宋"/>
          <w:color w:val="auto"/>
          <w:highlight w:val="none"/>
        </w:rPr>
      </w:pPr>
    </w:p>
    <w:p>
      <w:pPr>
        <w:pStyle w:val="4"/>
        <w:bidi w:val="0"/>
        <w:rPr>
          <w:rFonts w:hint="eastAsia" w:ascii="仿宋" w:hAnsi="仿宋" w:eastAsia="仿宋" w:cs="仿宋"/>
          <w:color w:val="auto"/>
          <w:highlight w:val="none"/>
        </w:rPr>
      </w:pPr>
    </w:p>
    <w:p>
      <w:pPr>
        <w:pStyle w:val="4"/>
        <w:bidi w:val="0"/>
        <w:rPr>
          <w:rFonts w:hint="eastAsia" w:ascii="仿宋" w:hAnsi="仿宋" w:eastAsia="仿宋" w:cs="仿宋"/>
          <w:color w:val="auto"/>
          <w:highlight w:val="none"/>
        </w:rPr>
      </w:pPr>
    </w:p>
    <w:p>
      <w:pPr>
        <w:pStyle w:val="4"/>
        <w:bidi w:val="0"/>
        <w:rPr>
          <w:rFonts w:hint="eastAsia" w:ascii="仿宋" w:hAnsi="仿宋" w:eastAsia="仿宋" w:cs="仿宋"/>
          <w:color w:val="auto"/>
          <w:highlight w:val="none"/>
        </w:rPr>
      </w:pPr>
    </w:p>
    <w:p>
      <w:pPr>
        <w:pStyle w:val="4"/>
        <w:bidi w:val="0"/>
        <w:rPr>
          <w:rFonts w:hint="eastAsia" w:ascii="仿宋" w:hAnsi="仿宋" w:eastAsia="仿宋" w:cs="仿宋"/>
          <w:color w:val="auto"/>
          <w:highlight w:val="none"/>
        </w:rPr>
      </w:pPr>
    </w:p>
    <w:p>
      <w:pPr>
        <w:pStyle w:val="4"/>
        <w:bidi w:val="0"/>
        <w:rPr>
          <w:rFonts w:hint="eastAsia" w:ascii="仿宋" w:hAnsi="仿宋" w:eastAsia="仿宋" w:cs="仿宋"/>
          <w:color w:val="auto"/>
          <w:highlight w:val="none"/>
        </w:rPr>
      </w:pPr>
    </w:p>
    <w:p>
      <w:pPr>
        <w:pStyle w:val="4"/>
        <w:bidi w:val="0"/>
        <w:rPr>
          <w:rFonts w:hint="eastAsia" w:ascii="仿宋" w:hAnsi="仿宋" w:eastAsia="仿宋" w:cs="仿宋"/>
          <w:color w:val="auto"/>
          <w:highlight w:val="none"/>
        </w:rPr>
      </w:pPr>
    </w:p>
    <w:p>
      <w:pPr>
        <w:pStyle w:val="4"/>
        <w:bidi w:val="0"/>
        <w:rPr>
          <w:rFonts w:hint="eastAsia" w:ascii="仿宋" w:hAnsi="仿宋" w:eastAsia="仿宋" w:cs="仿宋"/>
          <w:color w:val="auto"/>
          <w:highlight w:val="none"/>
        </w:rPr>
      </w:pPr>
    </w:p>
    <w:p>
      <w:pPr>
        <w:rPr>
          <w:rFonts w:hint="eastAsia"/>
          <w:color w:val="auto"/>
          <w:highlight w:val="none"/>
        </w:rPr>
      </w:pPr>
    </w:p>
    <w:bookmarkEnd w:id="103"/>
    <w:p>
      <w:pPr>
        <w:pStyle w:val="2"/>
        <w:ind w:left="0" w:leftChars="0" w:firstLine="0" w:firstLineChars="0"/>
        <w:rPr>
          <w:rFonts w:hint="eastAsia" w:ascii="仿宋" w:hAnsi="仿宋" w:eastAsia="仿宋" w:cs="仿宋"/>
          <w:color w:val="auto"/>
          <w:kern w:val="2"/>
          <w:sz w:val="21"/>
          <w:szCs w:val="24"/>
          <w:highlight w:val="none"/>
          <w:lang w:val="en-US" w:eastAsia="zh-CN" w:bidi="ar-SA"/>
        </w:rPr>
      </w:pPr>
    </w:p>
    <w:sectPr>
      <w:headerReference r:id="rId5" w:type="default"/>
      <w:footerReference r:id="rId6" w:type="default"/>
      <w:pgSz w:w="11906" w:h="16838"/>
      <w:pgMar w:top="1440" w:right="1803" w:bottom="1440" w:left="1803" w:header="851" w:footer="992" w:gutter="0"/>
      <w:pgNumType w:fmt="decimal"/>
      <w:cols w:space="0" w:num="1"/>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both"/>
      <w:rPr>
        <w:rFonts w:hint="default" w:ascii="仿宋" w:hAnsi="仿宋" w:eastAsia="仿宋" w:cs="仿宋"/>
        <w:sz w:val="21"/>
        <w:szCs w:val="21"/>
        <w:lang w:val="en-US" w:eastAsia="zh-CN"/>
      </w:rPr>
    </w:pPr>
    <w:r>
      <w:rPr>
        <w:rFonts w:hint="eastAsia" w:ascii="仿宋" w:hAnsi="仿宋" w:eastAsia="仿宋" w:cs="仿宋"/>
        <w:sz w:val="21"/>
      </w:rPr>
      <mc:AlternateContent>
        <mc:Choice Requires="wps">
          <w:drawing>
            <wp:anchor distT="0" distB="0" distL="114300" distR="114300" simplePos="0" relativeHeight="251661312" behindDoc="0" locked="0" layoutInCell="1" allowOverlap="1">
              <wp:simplePos x="0" y="0"/>
              <wp:positionH relativeFrom="margin">
                <wp:posOffset>3053715</wp:posOffset>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40.45pt;margin-top:0pt;height:144pt;width:144pt;mso-position-horizontal-relative:margin;mso-wrap-style:none;z-index:251661312;mso-width-relative:page;mso-height-relative:page;" filled="f" stroked="f" coordsize="21600,21600" o:gfxdata="UEsDBAoAAAAAAIdO4kAAAAAAAAAAAAAAAAAEAAAAZHJzL1BLAwQUAAAACACHTuJA5rUuQtUAAAAI&#10;AQAADwAAAGRycy9kb3ducmV2LnhtbE2PzU7DMBCE70i8g7VI3KjdUhU3xKlERTgi0XDg6MbbJOCf&#10;yHbT8PYsJziOZjTzTbmbnWUTxjQEr2C5EMDQt8EMvlPw3tR3EljK2httg0cF35hgV11flbow4eLf&#10;cDrkjlGJT4VW0Oc8Fpyntken0yKM6Mk7heh0Jhk7bqK+ULmzfCXEhjs9eFro9Yj7Htuvw9kp2NdN&#10;EydM0X7gS33/+fq0xudZqdubpXgElnHOf2H4xSd0qIjpGM7eJGYVrKXYUlQBPSL7YSNJHhWspBTA&#10;q5L/P1D9AFBLAwQUAAAACACHTuJAuow4KzICAABhBAAADgAAAGRycy9lMm9Eb2MueG1srVTNjtMw&#10;EL4j8Q6W7zRpWVZV1XRVtipCqtiVFsTZdZwmkv9ku03KA8AbcOLCnefqc/DZabpo4bAHLs7YM/7G&#10;3zczmd90SpKDcL4xuqDjUU6J0NyUjd4V9NPH9aspJT4wXTJptCjoUXh6s3j5Yt7amZiY2shSOAIQ&#10;7WetLWgdgp1lmee1UMyPjBUazso4xQK2bpeVjrVAVzKb5Pl11hpXWme48B6nq95Jz4juOYCmqhou&#10;VobvldChR3VCsgBKvm6sp4v02qoSPNxVlReByIKCaUgrksDexjVbzNls55itG35+AnvOE55wUqzR&#10;SHqBWrHAyN41f0GphjvjTRVG3KisJ5IUAYtx/kSbh5pZkbhAam8vovv/B8s/HO4dacqCXlGimULB&#10;T9+/nX78Ov38Sq6iPK31M0Q9WMSF7q3p0DTDucdhZN1VTsUv+BD4Ie7xIq7oAuHx0nQyneZwcfiG&#10;DfCzx+vW+fBOGEWiUVCH6iVR2WHjQx86hMRs2qwbKVMFpSZtQa9fv8nThYsH4FIjRyTRPzZaodt2&#10;Z2ZbUx5BzJm+M7zl6wbJN8yHe+bQCngwhiXcYamkQRJztiipjfvyr/MYjwrBS0mL1iqoxiRRIt9r&#10;VA6AYTDcYGwHQ+/VrUGvjjGElicTF1yQg1k5oz5jgpYxB1xMc2QqaBjM29C3NyaQi+UyBe2ta3Z1&#10;fwF9Z1nY6AfLY5oopLfLfYCYSeMoUK/KWTd0XqrSeUpia/+5T1GPf4bF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Oa1LkLVAAAACAEAAA8AAAAAAAAAAQAgAAAAIgAAAGRycy9kb3ducmV2LnhtbFBL&#10;AQIUABQAAAAIAIdO4kC6jDgrMgIAAGEEAAAOAAAAAAAAAAEAIAAAACQBAABkcnMvZTJvRG9jLnht&#10;bFBLBQYAAAAABgAGAFkBAADIBQAAAAA=&#10;">
              <v:fill on="f" focussize="0,0"/>
              <v:stroke on="f" weight="0.5pt"/>
              <v:imagedata o:title=""/>
              <o:lock v:ext="edit" aspectratio="f"/>
              <v:textbox inset="0mm,0mm,0mm,0mm" style="mso-fit-shape-to-text:t;">
                <w:txbxContent>
                  <w:p>
                    <w:pPr>
                      <w:pStyle w:val="2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w:rPr>
        <w:rFonts w:hint="eastAsia" w:ascii="仿宋" w:hAnsi="仿宋" w:eastAsia="仿宋" w:cs="仿宋"/>
        <w:sz w:val="21"/>
        <w:szCs w:val="21"/>
        <w:lang w:eastAsia="zh-CN"/>
      </w:rPr>
      <w:t>浙江恒杰工程管理有限公司</w:t>
    </w:r>
    <w:r>
      <w:rPr>
        <w:rFonts w:hint="eastAsia" w:ascii="仿宋" w:hAnsi="仿宋" w:eastAsia="仿宋" w:cs="仿宋"/>
        <w:sz w:val="21"/>
        <w:szCs w:val="21"/>
        <w:lang w:val="en-US" w:eastAsia="zh-CN"/>
      </w:rPr>
      <w:t xml:space="preserve">                                                0577-88858722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both"/>
      <w:rPr>
        <w:rFonts w:hint="eastAsia" w:ascii="仿宋" w:hAnsi="仿宋" w:eastAsia="仿宋" w:cs="仿宋"/>
      </w:rPr>
    </w:pPr>
    <w:r>
      <w:rPr>
        <w:rFonts w:hint="eastAsia" w:ascii="仿宋" w:hAnsi="仿宋" w:eastAsia="仿宋" w:cs="仿宋"/>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0"/>
                          </w:pPr>
                          <w:r>
                            <w:t xml:space="preserve">第 </w:t>
                          </w:r>
                          <w:r>
                            <w:fldChar w:fldCharType="begin"/>
                          </w:r>
                          <w:r>
                            <w:instrText xml:space="preserve"> PAGE  \* MERGEFORMAT </w:instrText>
                          </w:r>
                          <w:r>
                            <w:fldChar w:fldCharType="separate"/>
                          </w:r>
                          <w:r>
                            <w:t>40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20"/>
                    </w:pPr>
                    <w:r>
                      <w:t xml:space="preserve">第 </w:t>
                    </w:r>
                    <w:r>
                      <w:fldChar w:fldCharType="begin"/>
                    </w:r>
                    <w:r>
                      <w:instrText xml:space="preserve"> PAGE  \* MERGEFORMAT </w:instrText>
                    </w:r>
                    <w:r>
                      <w:fldChar w:fldCharType="separate"/>
                    </w:r>
                    <w:r>
                      <w:t>40</w:t>
                    </w:r>
                    <w:r>
                      <w:fldChar w:fldCharType="end"/>
                    </w:r>
                    <w:r>
                      <w:t xml:space="preserve"> 页</w:t>
                    </w:r>
                  </w:p>
                </w:txbxContent>
              </v:textbox>
            </v:shape>
          </w:pict>
        </mc:Fallback>
      </mc:AlternateContent>
    </w:r>
    <w:r>
      <w:rPr>
        <w:rFonts w:hint="eastAsia" w:ascii="仿宋" w:hAnsi="仿宋" w:eastAsia="仿宋" w:cs="仿宋"/>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635</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txbxContent>
                    </wps:txbx>
                    <wps:bodyPr wrap="none" lIns="0" tIns="0" rIns="0" bIns="0" upright="0">
                      <a:spAutoFit/>
                    </wps:bodyPr>
                  </wps:wsp>
                </a:graphicData>
              </a:graphic>
            </wp:anchor>
          </w:drawing>
        </mc:Choice>
        <mc:Fallback>
          <w:pict>
            <v:shape id="_x0000_s1026" o:spid="_x0000_s1026" o:spt="202" type="#_x0000_t202" style="position:absolute;left:0pt;margin-top:0.05pt;height:144pt;width:144pt;mso-position-horizontal:outside;mso-position-horizontal-relative:margin;mso-wrap-style:none;z-index:251659264;mso-width-relative:page;mso-height-relative:page;" filled="f" stroked="f" coordsize="21600,21600" o:gfxdata="UEsDBAoAAAAAAIdO4kAAAAAAAAAAAAAAAAAEAAAAZHJzL1BLAwQUAAAACACHTuJAiT5r7tAAAAAF&#10;AQAADwAAAGRycy9kb3ducmV2LnhtbE2PMU/DMBCFdyT+g3VIbNRJhxKlcTpUYmGjRUhsbnyNo9rn&#10;yHbT5N9zZYHt3r3Tu+81u9k7MWFMQyAF5aoAgdQFM1Cv4PP49lKBSFmT0S4QKlgwwa59fGh0bcKN&#10;PnA65F5wCKVaK7A5j7WUqbPodVqFEYm9c4heZ5axlybqG4d7J9dFsZFeD8QfrB5xb7G7HK5ewev8&#10;FXBMuMfv89RFOyyVe1+Uen4qiy2IjHP+O4Y7PqNDy0yncCWThFPARfJ9K9hbVxXL0+9Qgmwb+Z++&#10;/QFQSwMEFAAAAAgAh07iQDSS+knIAQAAmQMAAA4AAABkcnMvZTJvRG9jLnhtbK1TzY7TMBC+I/EO&#10;lu/U2R6qKmq62lW1CAkB0sIDuI7dWPKfPG6TvgC8AScu3HmuPgdjJ+nCctkDF2c8M/5mvm8mm9vB&#10;GnKSEbR3Db1ZVJRIJ3yr3aGhXz4/vFlTAom7lhvvZEPPEujt9vWrTR9qufSdN62MBEEc1H1oaJdS&#10;qBkD0UnLYeGDdBhUPlqe8BoPrI28R3Rr2LKqVqz3sQ3RCwmA3t0YpBNifAmgV0oLufPiaKVLI2qU&#10;hiekBJ0OQLelW6WkSB+VApmIaSgyTeXEImjv88m2G14fIg+dFlML/CUtPONkuXZY9Aq144mTY9T/&#10;QFktogev0kJ4y0YiRRFkcVM90+ax40EWLig1hKvo8P9gxYfTp0h029AVJY5bHPjl+7fLj1+Xn1/J&#10;KsvTB6gx6zFgXhru/YBLM/sBnZn1oKLNX+RDMI7inq/iyiERkR+tl+t1hSGBsfmC+OzpeYiQ3kpv&#10;STYaGnF6RVR+eg9pTJ1TcjXnH7QxZYLG/eVAzOxhufexx2ylYT9MhPa+PSOfHgffUId7Tol551DX&#10;vCOzEWdjPxvHEPWhK0uU60G4OyZsovSWK4ywU2GcWGE3bVdeiT/vJevpj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Ik+a+7QAAAABQEAAA8AAAAAAAAAAQAgAAAAIgAAAGRycy9kb3ducmV2Lnht&#10;bFBLAQIUABQAAAAIAIdO4kA0kvpJyAEAAJkDAAAOAAAAAAAAAAEAIAAAAB8BAABkcnMvZTJvRG9j&#10;LnhtbFBLBQYAAAAABgAGAFkBAABZBQAAAAA=&#10;">
              <v:fill on="f" focussize="0,0"/>
              <v:stroke on="f"/>
              <v:imagedata o:title=""/>
              <o:lock v:ext="edit" aspectratio="f"/>
              <v:textbox inset="0mm,0mm,0mm,0mm" style="mso-fit-shape-to-text:t;">
                <w:txbxContent>
                  <w:p/>
                </w:txbxContent>
              </v:textbox>
            </v:shape>
          </w:pict>
        </mc:Fallback>
      </mc:AlternateContent>
    </w:r>
    <w:r>
      <w:rPr>
        <w:rFonts w:hint="eastAsia" w:ascii="仿宋" w:hAnsi="仿宋" w:eastAsia="仿宋" w:cs="仿宋"/>
        <w:sz w:val="21"/>
      </w:rPr>
      <mc:AlternateContent>
        <mc:Choice Requires="wps">
          <w:drawing>
            <wp:anchor distT="0" distB="0" distL="114300" distR="114300" simplePos="0" relativeHeight="251662336" behindDoc="0" locked="0" layoutInCell="1" allowOverlap="1">
              <wp:simplePos x="0" y="0"/>
              <wp:positionH relativeFrom="margin">
                <wp:posOffset>3053715</wp:posOffset>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40.45pt;margin-top:0pt;height:144pt;width:144pt;mso-position-horizontal-relative:margin;mso-wrap-style:none;z-index:251662336;mso-width-relative:page;mso-height-relative:page;" filled="f" stroked="f" coordsize="21600,21600" o:gfxdata="UEsDBAoAAAAAAIdO4kAAAAAAAAAAAAAAAAAEAAAAZHJzL1BLAwQUAAAACACHTuJA5rUuQtUAAAAI&#10;AQAADwAAAGRycy9kb3ducmV2LnhtbE2PzU7DMBCE70i8g7VI3KjdUhU3xKlERTgi0XDg6MbbJOCf&#10;yHbT8PYsJziOZjTzTbmbnWUTxjQEr2C5EMDQt8EMvlPw3tR3EljK2httg0cF35hgV11flbow4eLf&#10;cDrkjlGJT4VW0Oc8Fpyntken0yKM6Mk7heh0Jhk7bqK+ULmzfCXEhjs9eFro9Yj7Htuvw9kp2NdN&#10;EydM0X7gS33/+fq0xudZqdubpXgElnHOf2H4xSd0qIjpGM7eJGYVrKXYUlQBPSL7YSNJHhWspBTA&#10;q5L/P1D9AFBLAwQUAAAACACHTuJAa4X5+zECAABhBAAADgAAAGRycy9lMm9Eb2MueG1srVTNjtMw&#10;EL4j8Q6W7zRpEasqaroqWxUhVexKBXF2HaeJ5D/ZbpPyAPAGnLhw57n6HHzOTxctHPbAxRl7xt/M&#10;9804i9tWSXISztdG53Q6SSkRmpui1oecfvq4eTWnxAemCyaNFjk9C09vly9fLBqbiZmpjCyEIwDR&#10;PmtsTqsQbJYknldCMT8xVmg4S+MUC9i6Q1I41gBdyWSWpjdJY1xhneHCe5yueycdEN1zAE1Z1lys&#10;DT8qoUOP6oRkAZR8VVtPl121ZSl4uC9LLwKROQXT0K1IAnsf12S5YNnBMVvVfCiBPaeEJ5wUqzWS&#10;XqHWLDBydPVfUKrmznhThgk3KumJdIqAxTR9os2uYlZ0XCC1t1fR/f+D5R9OD47UBSaBEs0UGn75&#10;/u3y49fl51cyjfI01meI2lnEhfataWPocO5xGFm3pVPxCz4Efoh7voor2kB4vDSfzecpXBy+cQOc&#10;5PG6dT68E0aRaOTUoXudqOy09aEPHUNiNm02tZQ4Z5nUpMnpzes3aXfh6gG41MgRSfTFRiu0+3Zg&#10;sDfFGcSc6SfDW76pkXzLfHhgDqOAgvFYwj2WUhokMYNFSWXcl3+dx3h0CF5KGoxWTjVeEiXyvUbn&#10;ABhGw43GfjT0Ud0ZzCq6gVo6ExdckKNZOqM+4wWtYg64mObIlNMwmnehH2+8QC5Wqy7oaF19qPoL&#10;mDvLwlbvLI9ponrero4BYnYaR4F6VQbdMHldl4ZXEkf7z30X9fhnWP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rUuQtUAAAAIAQAADwAAAAAAAAABACAAAAAiAAAAZHJzL2Rvd25yZXYueG1sUEsB&#10;AhQAFAAAAAgAh07iQGuF+fsxAgAAYQQAAA4AAAAAAAAAAQAgAAAAJAEAAGRycy9lMm9Eb2MueG1s&#10;UEsFBgAAAAAGAAYAWQEAAMcFAAAAAA==&#10;">
              <v:fill on="f" focussize="0,0"/>
              <v:stroke on="f" weight="0.5pt"/>
              <v:imagedata o:title=""/>
              <o:lock v:ext="edit" aspectratio="f"/>
              <v:textbox inset="0mm,0mm,0mm,0mm" style="mso-fit-shape-to-text:t;">
                <w:txbxContent>
                  <w:p>
                    <w:pPr>
                      <w:pStyle w:val="20"/>
                    </w:pPr>
                  </w:p>
                </w:txbxContent>
              </v:textbox>
            </v:shape>
          </w:pict>
        </mc:Fallback>
      </mc:AlternateContent>
    </w:r>
    <w:r>
      <w:rPr>
        <w:rFonts w:hint="eastAsia" w:ascii="仿宋" w:hAnsi="仿宋" w:eastAsia="仿宋" w:cs="仿宋"/>
        <w:sz w:val="21"/>
        <w:szCs w:val="21"/>
        <w:lang w:eastAsia="zh-CN"/>
      </w:rPr>
      <w:t>浙江恒杰工程管理有限公司</w:t>
    </w:r>
    <w:r>
      <w:rPr>
        <w:rFonts w:hint="eastAsia" w:ascii="仿宋" w:hAnsi="仿宋" w:eastAsia="仿宋" w:cs="仿宋"/>
        <w:sz w:val="21"/>
        <w:szCs w:val="21"/>
        <w:lang w:val="en-US" w:eastAsia="zh-CN"/>
      </w:rPr>
      <w:t xml:space="preserve">                                     0572-2221679</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bottom w:val="none" w:color="auto" w:sz="0" w:space="0"/>
      </w:pBdr>
      <w:tabs>
        <w:tab w:val="left" w:pos="750"/>
      </w:tabs>
      <w:jc w:val="both"/>
      <w:rPr>
        <w:rFonts w:hint="eastAsia" w:ascii="仿宋" w:hAnsi="仿宋" w:eastAsia="仿宋" w:cs="仿宋"/>
        <w:sz w:val="21"/>
        <w:szCs w:val="21"/>
      </w:rPr>
    </w:pPr>
    <w:r>
      <w:rPr>
        <w:rFonts w:hint="eastAsia" w:ascii="仿宋" w:hAnsi="仿宋" w:eastAsia="仿宋" w:cs="仿宋"/>
        <w:sz w:val="21"/>
        <w:szCs w:val="21"/>
        <w:lang w:eastAsia="zh-CN"/>
      </w:rPr>
      <w:t>温州医科大学附属第二医院所有院区小额工程设计服务</w:t>
    </w:r>
    <w:r>
      <w:rPr>
        <w:rFonts w:hint="eastAsia" w:ascii="仿宋" w:hAnsi="仿宋" w:eastAsia="仿宋" w:cs="仿宋"/>
        <w:sz w:val="21"/>
        <w:szCs w:val="21"/>
        <w:lang w:val="en-US" w:eastAsia="zh-CN"/>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both"/>
      <w:rPr>
        <w:rFonts w:hint="eastAsia" w:ascii="仿宋" w:hAnsi="仿宋" w:eastAsia="仿宋" w:cs="仿宋"/>
        <w:b w:val="0"/>
        <w:bCs w:val="0"/>
        <w:sz w:val="21"/>
        <w:szCs w:val="21"/>
        <w:lang w:val="en-US"/>
      </w:rPr>
    </w:pPr>
    <w:r>
      <w:rPr>
        <w:rFonts w:hint="eastAsia" w:ascii="仿宋" w:hAnsi="仿宋" w:eastAsia="仿宋" w:cs="仿宋"/>
        <w:b w:val="0"/>
        <w:bCs w:val="0"/>
        <w:sz w:val="21"/>
        <w:szCs w:val="21"/>
        <w:lang w:val="en-US" w:eastAsia="zh-CN"/>
      </w:rPr>
      <w:t>温州医科大学附属第二医院所有院区小额工程设计服务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1D7FCC"/>
    <w:multiLevelType w:val="singleLevel"/>
    <w:tmpl w:val="BD1D7FCC"/>
    <w:lvl w:ilvl="0" w:tentative="0">
      <w:start w:val="1"/>
      <w:numFmt w:val="decimal"/>
      <w:suff w:val="nothing"/>
      <w:lvlText w:val="%1、"/>
      <w:lvlJc w:val="left"/>
    </w:lvl>
  </w:abstractNum>
  <w:abstractNum w:abstractNumId="1">
    <w:nsid w:val="D5BF978F"/>
    <w:multiLevelType w:val="singleLevel"/>
    <w:tmpl w:val="D5BF978F"/>
    <w:lvl w:ilvl="0" w:tentative="0">
      <w:start w:val="1"/>
      <w:numFmt w:val="chineseCounting"/>
      <w:suff w:val="nothing"/>
      <w:lvlText w:val="%1、"/>
      <w:lvlJc w:val="left"/>
      <w:rPr>
        <w:rFonts w:hint="eastAsia"/>
      </w:rPr>
    </w:lvl>
  </w:abstractNum>
  <w:abstractNum w:abstractNumId="2">
    <w:nsid w:val="1380835E"/>
    <w:multiLevelType w:val="singleLevel"/>
    <w:tmpl w:val="1380835E"/>
    <w:lvl w:ilvl="0" w:tentative="0">
      <w:start w:val="7"/>
      <w:numFmt w:val="chineseCounting"/>
      <w:suff w:val="nothing"/>
      <w:lvlText w:val="%1、"/>
      <w:lvlJc w:val="left"/>
      <w:rPr>
        <w:rFonts w:hint="eastAsia"/>
      </w:rPr>
    </w:lvl>
  </w:abstractNum>
  <w:abstractNum w:abstractNumId="3">
    <w:nsid w:val="501741DF"/>
    <w:multiLevelType w:val="multilevel"/>
    <w:tmpl w:val="501741DF"/>
    <w:lvl w:ilvl="0" w:tentative="0">
      <w:start w:val="1"/>
      <w:numFmt w:val="decimal"/>
      <w:lvlText w:val="%1、"/>
      <w:lvlJc w:val="left"/>
      <w:pPr>
        <w:tabs>
          <w:tab w:val="left" w:pos="750"/>
        </w:tabs>
        <w:ind w:left="750" w:hanging="360"/>
      </w:pPr>
      <w:rPr>
        <w:rFonts w:hint="default"/>
      </w:rPr>
    </w:lvl>
    <w:lvl w:ilvl="1" w:tentative="0">
      <w:start w:val="1"/>
      <w:numFmt w:val="lowerLetter"/>
      <w:lvlText w:val="%2)"/>
      <w:lvlJc w:val="left"/>
      <w:pPr>
        <w:tabs>
          <w:tab w:val="left" w:pos="1230"/>
        </w:tabs>
        <w:ind w:left="1230" w:hanging="420"/>
      </w:pPr>
    </w:lvl>
    <w:lvl w:ilvl="2" w:tentative="0">
      <w:start w:val="1"/>
      <w:numFmt w:val="lowerRoman"/>
      <w:lvlText w:val="%3."/>
      <w:lvlJc w:val="right"/>
      <w:pPr>
        <w:tabs>
          <w:tab w:val="left" w:pos="1650"/>
        </w:tabs>
        <w:ind w:left="1650" w:hanging="420"/>
      </w:pPr>
    </w:lvl>
    <w:lvl w:ilvl="3" w:tentative="0">
      <w:start w:val="1"/>
      <w:numFmt w:val="decimal"/>
      <w:lvlText w:val="%4."/>
      <w:lvlJc w:val="left"/>
      <w:pPr>
        <w:tabs>
          <w:tab w:val="left" w:pos="2070"/>
        </w:tabs>
        <w:ind w:left="2070" w:hanging="420"/>
      </w:pPr>
    </w:lvl>
    <w:lvl w:ilvl="4" w:tentative="0">
      <w:start w:val="1"/>
      <w:numFmt w:val="lowerLetter"/>
      <w:lvlText w:val="%5)"/>
      <w:lvlJc w:val="left"/>
      <w:pPr>
        <w:tabs>
          <w:tab w:val="left" w:pos="2490"/>
        </w:tabs>
        <w:ind w:left="2490" w:hanging="420"/>
      </w:pPr>
    </w:lvl>
    <w:lvl w:ilvl="5" w:tentative="0">
      <w:start w:val="1"/>
      <w:numFmt w:val="lowerRoman"/>
      <w:lvlText w:val="%6."/>
      <w:lvlJc w:val="right"/>
      <w:pPr>
        <w:tabs>
          <w:tab w:val="left" w:pos="2910"/>
        </w:tabs>
        <w:ind w:left="2910" w:hanging="420"/>
      </w:pPr>
    </w:lvl>
    <w:lvl w:ilvl="6" w:tentative="0">
      <w:start w:val="1"/>
      <w:numFmt w:val="decimal"/>
      <w:lvlText w:val="%7."/>
      <w:lvlJc w:val="left"/>
      <w:pPr>
        <w:tabs>
          <w:tab w:val="left" w:pos="3330"/>
        </w:tabs>
        <w:ind w:left="3330" w:hanging="420"/>
      </w:pPr>
    </w:lvl>
    <w:lvl w:ilvl="7" w:tentative="0">
      <w:start w:val="1"/>
      <w:numFmt w:val="lowerLetter"/>
      <w:lvlText w:val="%8)"/>
      <w:lvlJc w:val="left"/>
      <w:pPr>
        <w:tabs>
          <w:tab w:val="left" w:pos="3750"/>
        </w:tabs>
        <w:ind w:left="3750" w:hanging="420"/>
      </w:pPr>
    </w:lvl>
    <w:lvl w:ilvl="8" w:tentative="0">
      <w:start w:val="1"/>
      <w:numFmt w:val="lowerRoman"/>
      <w:lvlText w:val="%9."/>
      <w:lvlJc w:val="right"/>
      <w:pPr>
        <w:tabs>
          <w:tab w:val="left" w:pos="4170"/>
        </w:tabs>
        <w:ind w:left="4170" w:hanging="42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c3NGI4NDRmNjA0NGY5ZmJlOTY2MjM2NjY4OTU0MWQifQ=="/>
  </w:docVars>
  <w:rsids>
    <w:rsidRoot w:val="035270D3"/>
    <w:rsid w:val="00130469"/>
    <w:rsid w:val="001F371A"/>
    <w:rsid w:val="005E7182"/>
    <w:rsid w:val="009C3687"/>
    <w:rsid w:val="00F742A0"/>
    <w:rsid w:val="0183018F"/>
    <w:rsid w:val="01971A54"/>
    <w:rsid w:val="020963D4"/>
    <w:rsid w:val="026C24A8"/>
    <w:rsid w:val="02787DAD"/>
    <w:rsid w:val="03254F21"/>
    <w:rsid w:val="035270D3"/>
    <w:rsid w:val="035F5F01"/>
    <w:rsid w:val="03861247"/>
    <w:rsid w:val="038E0479"/>
    <w:rsid w:val="03AA452D"/>
    <w:rsid w:val="03C77D59"/>
    <w:rsid w:val="049536D4"/>
    <w:rsid w:val="05232F92"/>
    <w:rsid w:val="05A2166D"/>
    <w:rsid w:val="05FE7842"/>
    <w:rsid w:val="072611D0"/>
    <w:rsid w:val="07FA6193"/>
    <w:rsid w:val="08CC17DF"/>
    <w:rsid w:val="093D137F"/>
    <w:rsid w:val="09AB6D19"/>
    <w:rsid w:val="0A72561F"/>
    <w:rsid w:val="0ADE63CF"/>
    <w:rsid w:val="0AE4770C"/>
    <w:rsid w:val="0B2D22DE"/>
    <w:rsid w:val="0BA1032B"/>
    <w:rsid w:val="0D907A6A"/>
    <w:rsid w:val="0DD05B77"/>
    <w:rsid w:val="0DEA0C3F"/>
    <w:rsid w:val="0E061CB2"/>
    <w:rsid w:val="11811AD2"/>
    <w:rsid w:val="123B2824"/>
    <w:rsid w:val="132417AE"/>
    <w:rsid w:val="13651472"/>
    <w:rsid w:val="149A3C1F"/>
    <w:rsid w:val="17AA2F3D"/>
    <w:rsid w:val="17F43647"/>
    <w:rsid w:val="18B074CF"/>
    <w:rsid w:val="193C42E3"/>
    <w:rsid w:val="19B7465C"/>
    <w:rsid w:val="1A945391"/>
    <w:rsid w:val="1BD318B6"/>
    <w:rsid w:val="1C5A27E2"/>
    <w:rsid w:val="1D4440AF"/>
    <w:rsid w:val="1D5C2D34"/>
    <w:rsid w:val="1DA27558"/>
    <w:rsid w:val="1DA85975"/>
    <w:rsid w:val="1E0C18B0"/>
    <w:rsid w:val="1E9C4A7A"/>
    <w:rsid w:val="1F90634B"/>
    <w:rsid w:val="1FEC10C9"/>
    <w:rsid w:val="20BF2FD1"/>
    <w:rsid w:val="20EB3323"/>
    <w:rsid w:val="230F6F20"/>
    <w:rsid w:val="26F81D7C"/>
    <w:rsid w:val="277072C8"/>
    <w:rsid w:val="279313C0"/>
    <w:rsid w:val="2929740D"/>
    <w:rsid w:val="293C52B8"/>
    <w:rsid w:val="295A52CD"/>
    <w:rsid w:val="29B922E7"/>
    <w:rsid w:val="29C92EA1"/>
    <w:rsid w:val="29E62392"/>
    <w:rsid w:val="2BC26F73"/>
    <w:rsid w:val="2BD92CD3"/>
    <w:rsid w:val="2C2E69A3"/>
    <w:rsid w:val="2CE11DB2"/>
    <w:rsid w:val="2D4542D1"/>
    <w:rsid w:val="2D8A2C74"/>
    <w:rsid w:val="2E873B66"/>
    <w:rsid w:val="2EEA4F7A"/>
    <w:rsid w:val="2F1177DE"/>
    <w:rsid w:val="30D110B9"/>
    <w:rsid w:val="312F0E1D"/>
    <w:rsid w:val="318722AD"/>
    <w:rsid w:val="31C26030"/>
    <w:rsid w:val="326203C7"/>
    <w:rsid w:val="33005654"/>
    <w:rsid w:val="34F01CDA"/>
    <w:rsid w:val="35D412B7"/>
    <w:rsid w:val="36251E80"/>
    <w:rsid w:val="362F54BD"/>
    <w:rsid w:val="385172CD"/>
    <w:rsid w:val="38B6705E"/>
    <w:rsid w:val="38C07D7A"/>
    <w:rsid w:val="39285B19"/>
    <w:rsid w:val="3AE12177"/>
    <w:rsid w:val="3B203169"/>
    <w:rsid w:val="3BF71EAD"/>
    <w:rsid w:val="3D832562"/>
    <w:rsid w:val="3EB7229E"/>
    <w:rsid w:val="3EE40EB7"/>
    <w:rsid w:val="3F1B5084"/>
    <w:rsid w:val="3F7A58B1"/>
    <w:rsid w:val="3F7D2151"/>
    <w:rsid w:val="3FC063CF"/>
    <w:rsid w:val="41177B75"/>
    <w:rsid w:val="42686225"/>
    <w:rsid w:val="42BC54C3"/>
    <w:rsid w:val="439469F5"/>
    <w:rsid w:val="43FC0A28"/>
    <w:rsid w:val="44AD77CA"/>
    <w:rsid w:val="44C10289"/>
    <w:rsid w:val="44C326AA"/>
    <w:rsid w:val="454341EB"/>
    <w:rsid w:val="45A33B6C"/>
    <w:rsid w:val="45B47C3F"/>
    <w:rsid w:val="46CD0E26"/>
    <w:rsid w:val="46D80DD8"/>
    <w:rsid w:val="46DF0112"/>
    <w:rsid w:val="46E6241F"/>
    <w:rsid w:val="4830323D"/>
    <w:rsid w:val="48335FA5"/>
    <w:rsid w:val="485C0EF7"/>
    <w:rsid w:val="48C80A26"/>
    <w:rsid w:val="48C91D68"/>
    <w:rsid w:val="494040F9"/>
    <w:rsid w:val="49713DE2"/>
    <w:rsid w:val="497D4460"/>
    <w:rsid w:val="4A4C6847"/>
    <w:rsid w:val="4A626CD7"/>
    <w:rsid w:val="4CD345FF"/>
    <w:rsid w:val="4F3962C6"/>
    <w:rsid w:val="4F4767EF"/>
    <w:rsid w:val="500A7A01"/>
    <w:rsid w:val="501B7088"/>
    <w:rsid w:val="50241D0C"/>
    <w:rsid w:val="5038249C"/>
    <w:rsid w:val="503F398D"/>
    <w:rsid w:val="5074724F"/>
    <w:rsid w:val="50A74EC4"/>
    <w:rsid w:val="517D2E6E"/>
    <w:rsid w:val="54036A69"/>
    <w:rsid w:val="541F061C"/>
    <w:rsid w:val="557A5489"/>
    <w:rsid w:val="56114F40"/>
    <w:rsid w:val="5639752B"/>
    <w:rsid w:val="566C46EB"/>
    <w:rsid w:val="571D4EC6"/>
    <w:rsid w:val="5784226B"/>
    <w:rsid w:val="57CB3489"/>
    <w:rsid w:val="58094C5E"/>
    <w:rsid w:val="58847722"/>
    <w:rsid w:val="594C47DD"/>
    <w:rsid w:val="59B960C5"/>
    <w:rsid w:val="59DC2091"/>
    <w:rsid w:val="5A2D23BF"/>
    <w:rsid w:val="5A7C1EB0"/>
    <w:rsid w:val="5C5F451E"/>
    <w:rsid w:val="5C716437"/>
    <w:rsid w:val="5CB50F38"/>
    <w:rsid w:val="5D015BFB"/>
    <w:rsid w:val="5F3C28D7"/>
    <w:rsid w:val="62487DE4"/>
    <w:rsid w:val="62997C2D"/>
    <w:rsid w:val="640F118E"/>
    <w:rsid w:val="65136C9F"/>
    <w:rsid w:val="66992BAC"/>
    <w:rsid w:val="66D12D1C"/>
    <w:rsid w:val="676509FC"/>
    <w:rsid w:val="678A0CBA"/>
    <w:rsid w:val="69E9247A"/>
    <w:rsid w:val="6A39605D"/>
    <w:rsid w:val="6AB71AA4"/>
    <w:rsid w:val="6B8A5D39"/>
    <w:rsid w:val="6BEC5C84"/>
    <w:rsid w:val="6CA94C5E"/>
    <w:rsid w:val="6D7D308C"/>
    <w:rsid w:val="6F1233FC"/>
    <w:rsid w:val="70C5658B"/>
    <w:rsid w:val="71702F03"/>
    <w:rsid w:val="71860978"/>
    <w:rsid w:val="745771CA"/>
    <w:rsid w:val="753D655F"/>
    <w:rsid w:val="754F3EDF"/>
    <w:rsid w:val="75D85EB1"/>
    <w:rsid w:val="76063F13"/>
    <w:rsid w:val="77881A94"/>
    <w:rsid w:val="78800D84"/>
    <w:rsid w:val="7904460D"/>
    <w:rsid w:val="7A4E5853"/>
    <w:rsid w:val="7B673804"/>
    <w:rsid w:val="7C14201B"/>
    <w:rsid w:val="7C306A9A"/>
    <w:rsid w:val="7DCD61B8"/>
    <w:rsid w:val="7E3F2844"/>
    <w:rsid w:val="7E47397C"/>
    <w:rsid w:val="7E6B6A67"/>
    <w:rsid w:val="7E7C4D41"/>
    <w:rsid w:val="7F0053D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qFormat/>
    <w:uiPriority w:val="0"/>
    <w:pPr>
      <w:keepNext/>
      <w:keepLines/>
      <w:spacing w:before="340" w:beforeLines="0" w:beforeAutospacing="0" w:after="330" w:afterLines="0" w:afterAutospacing="0" w:line="576" w:lineRule="auto"/>
      <w:jc w:val="center"/>
      <w:outlineLvl w:val="0"/>
    </w:pPr>
    <w:rPr>
      <w:b/>
      <w:kern w:val="44"/>
      <w:sz w:val="36"/>
    </w:rPr>
  </w:style>
  <w:style w:type="paragraph" w:styleId="5">
    <w:name w:val="heading 2"/>
    <w:basedOn w:val="1"/>
    <w:next w:val="1"/>
    <w:unhideWhenUsed/>
    <w:qFormat/>
    <w:uiPriority w:val="0"/>
    <w:pPr>
      <w:keepNext/>
      <w:keepLines/>
      <w:spacing w:before="260" w:beforeLines="0" w:beforeAutospacing="0" w:after="260" w:afterLines="0" w:afterAutospacing="0" w:line="413" w:lineRule="auto"/>
      <w:jc w:val="center"/>
      <w:outlineLvl w:val="1"/>
    </w:pPr>
    <w:rPr>
      <w:rFonts w:ascii="Arial" w:hAnsi="Arial"/>
      <w:b/>
      <w:sz w:val="32"/>
    </w:rPr>
  </w:style>
  <w:style w:type="paragraph" w:styleId="6">
    <w:name w:val="heading 3"/>
    <w:basedOn w:val="1"/>
    <w:next w:val="7"/>
    <w:unhideWhenUsed/>
    <w:qFormat/>
    <w:uiPriority w:val="0"/>
    <w:pPr>
      <w:keepNext/>
      <w:keepLines/>
      <w:spacing w:before="260" w:beforeLines="0" w:beforeAutospacing="0" w:after="260" w:afterLines="0" w:afterAutospacing="0" w:line="413" w:lineRule="auto"/>
      <w:jc w:val="left"/>
      <w:outlineLvl w:val="2"/>
    </w:pPr>
    <w:rPr>
      <w:sz w:val="28"/>
    </w:rPr>
  </w:style>
  <w:style w:type="paragraph" w:styleId="8">
    <w:name w:val="heading 4"/>
    <w:basedOn w:val="1"/>
    <w:next w:val="1"/>
    <w:qFormat/>
    <w:uiPriority w:val="0"/>
    <w:pPr>
      <w:pBdr>
        <w:bottom w:val="single" w:color="B8CCE4" w:sz="4" w:space="2"/>
      </w:pBdr>
      <w:spacing w:before="200" w:after="80"/>
      <w:outlineLvl w:val="3"/>
    </w:pPr>
    <w:rPr>
      <w:rFonts w:ascii="Cambria" w:hAnsi="Cambria" w:cs="宋体"/>
      <w:i/>
      <w:iCs/>
      <w:color w:val="4F81BD"/>
      <w:sz w:val="24"/>
    </w:rPr>
  </w:style>
  <w:style w:type="character" w:default="1" w:styleId="32">
    <w:name w:val="Default Paragraph Font"/>
    <w:semiHidden/>
    <w:qFormat/>
    <w:uiPriority w:val="0"/>
  </w:style>
  <w:style w:type="table" w:default="1" w:styleId="30">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spacing w:line="312" w:lineRule="auto"/>
      <w:ind w:firstLine="420"/>
    </w:pPr>
    <w:rPr>
      <w:szCs w:val="24"/>
    </w:rPr>
  </w:style>
  <w:style w:type="paragraph" w:styleId="3">
    <w:name w:val="Body Text"/>
    <w:basedOn w:val="1"/>
    <w:next w:val="2"/>
    <w:qFormat/>
    <w:uiPriority w:val="0"/>
    <w:pPr>
      <w:spacing w:after="120" w:afterLines="0"/>
    </w:pPr>
  </w:style>
  <w:style w:type="paragraph" w:customStyle="1" w:styleId="7">
    <w:name w:val="此正文"/>
    <w:basedOn w:val="1"/>
    <w:qFormat/>
    <w:uiPriority w:val="0"/>
    <w:pPr>
      <w:spacing w:line="360" w:lineRule="auto"/>
      <w:ind w:firstLine="200" w:firstLineChars="200"/>
    </w:pPr>
    <w:rPr>
      <w:sz w:val="24"/>
      <w:szCs w:val="20"/>
    </w:rPr>
  </w:style>
  <w:style w:type="paragraph" w:styleId="9">
    <w:name w:val="Normal Indent"/>
    <w:basedOn w:val="1"/>
    <w:next w:val="1"/>
    <w:qFormat/>
    <w:uiPriority w:val="0"/>
    <w:pPr>
      <w:ind w:firstLine="420"/>
    </w:pPr>
    <w:rPr>
      <w:rFonts w:ascii="Verdana" w:hAnsi="Verdana"/>
      <w:b/>
      <w:bCs/>
      <w:szCs w:val="20"/>
    </w:rPr>
  </w:style>
  <w:style w:type="paragraph" w:styleId="10">
    <w:name w:val="caption"/>
    <w:basedOn w:val="1"/>
    <w:next w:val="1"/>
    <w:qFormat/>
    <w:uiPriority w:val="0"/>
    <w:pPr>
      <w:spacing w:before="152" w:after="160"/>
    </w:pPr>
    <w:rPr>
      <w:rFonts w:ascii="Arial" w:hAnsi="Arial" w:eastAsia="黑体" w:cs="Arial"/>
      <w:sz w:val="20"/>
      <w:szCs w:val="20"/>
    </w:rPr>
  </w:style>
  <w:style w:type="paragraph" w:styleId="11">
    <w:name w:val="Document Map"/>
    <w:basedOn w:val="1"/>
    <w:qFormat/>
    <w:uiPriority w:val="0"/>
    <w:pPr>
      <w:widowControl/>
      <w:spacing w:after="200" w:line="276" w:lineRule="auto"/>
      <w:jc w:val="left"/>
    </w:pPr>
    <w:rPr>
      <w:rFonts w:ascii="宋体" w:hAnsi="Calibri"/>
      <w:sz w:val="18"/>
      <w:szCs w:val="18"/>
    </w:rPr>
  </w:style>
  <w:style w:type="paragraph" w:styleId="12">
    <w:name w:val="Body Text 3"/>
    <w:basedOn w:val="1"/>
    <w:qFormat/>
    <w:uiPriority w:val="0"/>
    <w:pPr>
      <w:snapToGrid w:val="0"/>
      <w:spacing w:before="50" w:after="50"/>
    </w:pPr>
    <w:rPr>
      <w:rFonts w:hAnsi="宋体" w:eastAsia="仿宋_GB2312"/>
      <w:b/>
      <w:bCs/>
      <w:sz w:val="24"/>
      <w:szCs w:val="20"/>
    </w:rPr>
  </w:style>
  <w:style w:type="paragraph" w:styleId="13">
    <w:name w:val="Body Text Indent"/>
    <w:basedOn w:val="1"/>
    <w:next w:val="9"/>
    <w:qFormat/>
    <w:uiPriority w:val="0"/>
    <w:pPr>
      <w:spacing w:line="200" w:lineRule="exact"/>
      <w:ind w:firstLine="301"/>
    </w:pPr>
    <w:rPr>
      <w:rFonts w:ascii="宋体" w:hAnsi="Courier New" w:eastAsia="Times New Roman"/>
      <w:b/>
      <w:bCs/>
      <w:spacing w:val="-4"/>
      <w:sz w:val="18"/>
      <w:szCs w:val="20"/>
      <w:lang w:eastAsia="en-US"/>
    </w:rPr>
  </w:style>
  <w:style w:type="paragraph" w:styleId="14">
    <w:name w:val="List 2"/>
    <w:basedOn w:val="1"/>
    <w:qFormat/>
    <w:uiPriority w:val="0"/>
    <w:pPr>
      <w:ind w:left="100" w:leftChars="200" w:hanging="200" w:hangingChars="200"/>
    </w:pPr>
    <w:rPr>
      <w:sz w:val="28"/>
    </w:rPr>
  </w:style>
  <w:style w:type="paragraph" w:styleId="15">
    <w:name w:val="Block Text"/>
    <w:basedOn w:val="1"/>
    <w:qFormat/>
    <w:uiPriority w:val="0"/>
    <w:pPr>
      <w:adjustRightInd w:val="0"/>
      <w:ind w:left="420" w:right="33"/>
      <w:jc w:val="left"/>
      <w:textAlignment w:val="baseline"/>
    </w:pPr>
    <w:rPr>
      <w:kern w:val="0"/>
      <w:sz w:val="24"/>
      <w:szCs w:val="20"/>
    </w:rPr>
  </w:style>
  <w:style w:type="paragraph" w:styleId="16">
    <w:name w:val="toc 3"/>
    <w:basedOn w:val="1"/>
    <w:next w:val="1"/>
    <w:qFormat/>
    <w:uiPriority w:val="0"/>
    <w:pPr>
      <w:ind w:left="840" w:leftChars="400"/>
    </w:pPr>
  </w:style>
  <w:style w:type="paragraph" w:styleId="17">
    <w:name w:val="Plain Text"/>
    <w:basedOn w:val="1"/>
    <w:qFormat/>
    <w:uiPriority w:val="0"/>
    <w:pPr>
      <w:spacing w:before="156" w:beforeLines="50" w:after="156" w:afterLines="50" w:line="400" w:lineRule="exact"/>
    </w:pPr>
    <w:rPr>
      <w:rFonts w:ascii="宋体" w:hAnsi="Courier New"/>
      <w:b/>
      <w:bCs/>
      <w:sz w:val="24"/>
    </w:rPr>
  </w:style>
  <w:style w:type="paragraph" w:styleId="18">
    <w:name w:val="Date"/>
    <w:basedOn w:val="1"/>
    <w:next w:val="1"/>
    <w:qFormat/>
    <w:uiPriority w:val="0"/>
    <w:pPr>
      <w:ind w:leftChars="2500"/>
    </w:pPr>
    <w:rPr>
      <w:rFonts w:ascii="Verdana" w:hAnsi="Verdana" w:eastAsia="楷体_GB2312"/>
      <w:b/>
      <w:bCs/>
      <w:sz w:val="32"/>
      <w:szCs w:val="20"/>
      <w:lang w:eastAsia="en-US"/>
    </w:rPr>
  </w:style>
  <w:style w:type="paragraph" w:styleId="19">
    <w:name w:val="Body Text Indent 2"/>
    <w:basedOn w:val="1"/>
    <w:qFormat/>
    <w:uiPriority w:val="0"/>
    <w:pPr>
      <w:spacing w:after="120" w:line="480" w:lineRule="auto"/>
      <w:ind w:left="420" w:leftChars="200"/>
    </w:pPr>
  </w:style>
  <w:style w:type="paragraph" w:styleId="20">
    <w:name w:val="footer"/>
    <w:basedOn w:val="1"/>
    <w:qFormat/>
    <w:uiPriority w:val="0"/>
    <w:pPr>
      <w:tabs>
        <w:tab w:val="center" w:pos="4153"/>
        <w:tab w:val="right" w:pos="8306"/>
      </w:tabs>
      <w:snapToGrid w:val="0"/>
      <w:jc w:val="left"/>
    </w:pPr>
    <w:rPr>
      <w:sz w:val="18"/>
    </w:rPr>
  </w:style>
  <w:style w:type="paragraph" w:styleId="2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22">
    <w:name w:val="toc 1"/>
    <w:basedOn w:val="1"/>
    <w:next w:val="1"/>
    <w:qFormat/>
    <w:uiPriority w:val="0"/>
  </w:style>
  <w:style w:type="paragraph" w:styleId="23">
    <w:name w:val="List"/>
    <w:basedOn w:val="1"/>
    <w:qFormat/>
    <w:uiPriority w:val="0"/>
    <w:pPr>
      <w:ind w:left="200" w:hanging="200" w:hangingChars="200"/>
    </w:pPr>
    <w:rPr>
      <w:sz w:val="28"/>
    </w:rPr>
  </w:style>
  <w:style w:type="paragraph" w:styleId="24">
    <w:name w:val="toc 6"/>
    <w:basedOn w:val="1"/>
    <w:next w:val="1"/>
    <w:qFormat/>
    <w:uiPriority w:val="39"/>
    <w:pPr>
      <w:widowControl/>
      <w:spacing w:after="200" w:line="276" w:lineRule="auto"/>
      <w:ind w:left="2100" w:leftChars="1000"/>
      <w:jc w:val="left"/>
    </w:pPr>
    <w:rPr>
      <w:rFonts w:ascii="Calibri" w:hAnsi="Calibri"/>
      <w:kern w:val="0"/>
      <w:sz w:val="22"/>
      <w:szCs w:val="22"/>
      <w:lang w:eastAsia="en-US" w:bidi="en-US"/>
    </w:rPr>
  </w:style>
  <w:style w:type="paragraph" w:styleId="25">
    <w:name w:val="Body Text Indent 3"/>
    <w:basedOn w:val="1"/>
    <w:qFormat/>
    <w:uiPriority w:val="0"/>
    <w:pPr>
      <w:spacing w:after="120"/>
      <w:ind w:left="420" w:leftChars="200"/>
    </w:pPr>
    <w:rPr>
      <w:sz w:val="16"/>
      <w:szCs w:val="16"/>
    </w:rPr>
  </w:style>
  <w:style w:type="paragraph" w:styleId="26">
    <w:name w:val="toc 2"/>
    <w:basedOn w:val="1"/>
    <w:next w:val="1"/>
    <w:qFormat/>
    <w:uiPriority w:val="0"/>
    <w:pPr>
      <w:ind w:left="420" w:leftChars="200"/>
    </w:pPr>
  </w:style>
  <w:style w:type="paragraph" w:styleId="2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28">
    <w:name w:val="Body Text First Indent 2"/>
    <w:basedOn w:val="13"/>
    <w:next w:val="29"/>
    <w:unhideWhenUsed/>
    <w:qFormat/>
    <w:uiPriority w:val="99"/>
    <w:pPr>
      <w:ind w:firstLine="420" w:firstLineChars="200"/>
    </w:pPr>
  </w:style>
  <w:style w:type="paragraph" w:customStyle="1" w:styleId="29">
    <w:name w:val="xl53"/>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table" w:styleId="31">
    <w:name w:val="Table Grid"/>
    <w:basedOn w:val="3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page number"/>
    <w:basedOn w:val="32"/>
    <w:qFormat/>
    <w:uiPriority w:val="0"/>
    <w:rPr>
      <w:rFonts w:ascii="Verdana" w:hAnsi="Verdana" w:cs="Times New Roman"/>
      <w:b/>
      <w:bCs/>
      <w:color w:val="auto"/>
      <w:sz w:val="24"/>
      <w:szCs w:val="20"/>
      <w:lang w:eastAsia="en-US"/>
    </w:rPr>
  </w:style>
  <w:style w:type="paragraph" w:customStyle="1" w:styleId="34">
    <w:name w:val="正文1"/>
    <w:basedOn w:val="11"/>
    <w:next w:val="1"/>
    <w:qFormat/>
    <w:uiPriority w:val="0"/>
    <w:pPr>
      <w:spacing w:before="240" w:line="460" w:lineRule="exact"/>
    </w:pPr>
    <w:rPr>
      <w:rFonts w:ascii="仿宋_GB2312" w:hAnsi="宋体" w:eastAsia="仿宋_GB2312"/>
      <w:b/>
      <w:sz w:val="28"/>
      <w:szCs w:val="28"/>
    </w:rPr>
  </w:style>
  <w:style w:type="paragraph" w:customStyle="1" w:styleId="35">
    <w:name w:val="_Style 1"/>
    <w:qFormat/>
    <w:uiPriority w:val="0"/>
    <w:rPr>
      <w:rFonts w:ascii="Calibri" w:hAnsi="Calibri" w:eastAsia="宋体" w:cs="Times New Roman"/>
      <w:kern w:val="2"/>
      <w:sz w:val="28"/>
      <w:szCs w:val="22"/>
      <w:lang w:val="en-US" w:eastAsia="zh-CN" w:bidi="ar-SA"/>
    </w:rPr>
  </w:style>
  <w:style w:type="paragraph" w:customStyle="1" w:styleId="36">
    <w:name w:val="_Style 3"/>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7">
    <w:name w:val="默认段落字体 Para Char Char Char Char Char Char Char Char Char1 Char Char Char Char"/>
    <w:basedOn w:val="1"/>
    <w:qFormat/>
    <w:uiPriority w:val="0"/>
    <w:rPr>
      <w:rFonts w:ascii="Tahoma" w:hAnsi="Tahoma"/>
      <w:sz w:val="24"/>
      <w:szCs w:val="20"/>
    </w:rPr>
  </w:style>
  <w:style w:type="paragraph" w:customStyle="1" w:styleId="38">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9">
    <w:name w:val="Plain Text"/>
    <w:basedOn w:val="40"/>
    <w:qFormat/>
    <w:uiPriority w:val="0"/>
    <w:pPr>
      <w:widowControl/>
      <w:jc w:val="left"/>
    </w:pPr>
    <w:rPr>
      <w:rFonts w:hint="eastAsia" w:ascii="宋体" w:hAnsi="Courier New"/>
    </w:rPr>
  </w:style>
  <w:style w:type="paragraph" w:customStyle="1" w:styleId="40">
    <w:name w:val="Normal"/>
    <w:qFormat/>
    <w:uiPriority w:val="0"/>
    <w:pPr>
      <w:widowControl w:val="0"/>
      <w:jc w:val="both"/>
    </w:pPr>
    <w:rPr>
      <w:rFonts w:hint="eastAsia" w:ascii="Calibri" w:hAnsi="Calibri" w:eastAsia="宋体" w:cs="Times New Roman"/>
      <w:kern w:val="2"/>
      <w:sz w:val="21"/>
      <w:lang w:val="en-US" w:eastAsia="zh-CN" w:bidi="ar-SA"/>
    </w:rPr>
  </w:style>
  <w:style w:type="paragraph" w:styleId="41">
    <w:name w:val="List Paragraph"/>
    <w:basedOn w:val="1"/>
    <w:qFormat/>
    <w:uiPriority w:val="34"/>
    <w:pPr>
      <w:ind w:firstLine="420" w:firstLineChars="200"/>
    </w:pPr>
  </w:style>
  <w:style w:type="paragraph" w:customStyle="1" w:styleId="42">
    <w:name w:val="正文段"/>
    <w:basedOn w:val="1"/>
    <w:qFormat/>
    <w:uiPriority w:val="0"/>
    <w:pPr>
      <w:widowControl/>
      <w:snapToGrid w:val="0"/>
      <w:spacing w:after="156" w:afterLines="50"/>
      <w:ind w:firstLine="200" w:firstLineChars="200"/>
    </w:pPr>
    <w:rPr>
      <w:kern w:val="0"/>
      <w:sz w:val="24"/>
      <w:szCs w:val="20"/>
    </w:rPr>
  </w:style>
  <w:style w:type="paragraph" w:customStyle="1" w:styleId="43">
    <w:name w:val="自动更正"/>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44">
    <w:name w:val="font161"/>
    <w:qFormat/>
    <w:uiPriority w:val="0"/>
    <w:rPr>
      <w:rFonts w:hint="eastAsia" w:ascii="宋体" w:hAnsi="宋体" w:eastAsia="宋体" w:cs="宋体"/>
      <w:color w:val="000000"/>
      <w:sz w:val="28"/>
      <w:szCs w:val="28"/>
      <w:u w:val="none"/>
    </w:rPr>
  </w:style>
  <w:style w:type="paragraph" w:customStyle="1" w:styleId="45">
    <w:name w:val="Default"/>
    <w:unhideWhenUsed/>
    <w:qFormat/>
    <w:uiPriority w:val="0"/>
    <w:pPr>
      <w:widowControl w:val="0"/>
      <w:autoSpaceDE w:val="0"/>
      <w:autoSpaceDN w:val="0"/>
    </w:pPr>
    <w:rPr>
      <w:rFonts w:hint="eastAsia" w:ascii="宋体" w:hAnsi="宋体" w:eastAsia="宋体" w:cs="Times New Roman"/>
      <w:color w:val="000000"/>
      <w:sz w:val="24"/>
      <w:lang w:val="en-US" w:eastAsia="zh-CN" w:bidi="ar-SA"/>
    </w:rPr>
  </w:style>
  <w:style w:type="paragraph" w:customStyle="1" w:styleId="46">
    <w:name w:val="表格文字"/>
    <w:basedOn w:val="17"/>
    <w:next w:val="3"/>
    <w:qFormat/>
    <w:uiPriority w:val="0"/>
    <w:pPr>
      <w:adjustRightInd w:val="0"/>
      <w:spacing w:line="420" w:lineRule="atLeast"/>
      <w:jc w:val="left"/>
      <w:textAlignment w:val="baseline"/>
    </w:pPr>
    <w:rPr>
      <w:kern w:val="0"/>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45</Pages>
  <Words>22474</Words>
  <Characters>23815</Characters>
  <Lines>0</Lines>
  <Paragraphs>0</Paragraphs>
  <TotalTime>13</TotalTime>
  <ScaleCrop>false</ScaleCrop>
  <LinksUpToDate>false</LinksUpToDate>
  <CharactersWithSpaces>25885</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2020-05-22T00:47:00Z</dcterms:created>
  <dc:creator>随心所欲</dc:creator>
  <cp:lastModifiedBy>阿来、</cp:lastModifiedBy>
  <cp:lastPrinted>2020-08-04T01:50:00Z</cp:lastPrinted>
  <dcterms:modified xsi:type="dcterms:W3CDTF">2022-11-03T08:24:56Z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CC6C677D101A4161B24D5D099C6E0FEC</vt:lpwstr>
  </property>
  <property fmtid="{D5CDD505-2E9C-101B-9397-08002B2CF9AE}" pid="4" name="commondata">
    <vt:lpwstr>eyJoZGlkIjoiNDk1ZWU2NzI4ZDlhMmYyYTAwN2UwOGNhMzMxY2ZjOGQifQ==</vt:lpwstr>
  </property>
</Properties>
</file>