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pacing w:val="100"/>
          <w:sz w:val="72"/>
          <w:szCs w:val="72"/>
        </w:rPr>
      </w:pPr>
    </w:p>
    <w:p>
      <w:pPr>
        <w:jc w:val="center"/>
        <w:rPr>
          <w:rFonts w:ascii="黑体" w:hAnsi="宋体" w:eastAsia="黑体"/>
          <w:b/>
          <w:bCs/>
          <w:spacing w:val="100"/>
          <w:sz w:val="72"/>
          <w:szCs w:val="72"/>
        </w:rPr>
      </w:pPr>
      <w:r>
        <w:rPr>
          <w:rFonts w:hint="eastAsia" w:ascii="黑体" w:hAnsi="宋体" w:eastAsia="黑体"/>
          <w:b/>
          <w:bCs/>
          <w:spacing w:val="100"/>
          <w:sz w:val="72"/>
          <w:szCs w:val="72"/>
        </w:rPr>
        <w:t>温州市政府分散采购</w:t>
      </w:r>
    </w:p>
    <w:p>
      <w:pPr>
        <w:jc w:val="center"/>
        <w:rPr>
          <w:rFonts w:ascii="黑体" w:hAnsi="宋体" w:eastAsia="黑体"/>
          <w:b/>
          <w:bCs/>
          <w:spacing w:val="26"/>
          <w:sz w:val="52"/>
        </w:rPr>
      </w:pPr>
    </w:p>
    <w:p>
      <w:pPr>
        <w:jc w:val="center"/>
        <w:rPr>
          <w:rFonts w:ascii="黑体" w:hAnsi="宋体" w:eastAsia="黑体"/>
          <w:b/>
          <w:bCs/>
          <w:spacing w:val="140"/>
          <w:sz w:val="72"/>
        </w:rPr>
      </w:pPr>
    </w:p>
    <w:p>
      <w:pPr>
        <w:spacing w:line="900" w:lineRule="exact"/>
        <w:jc w:val="center"/>
        <w:rPr>
          <w:rFonts w:ascii="黑体" w:hAnsi="宋体" w:eastAsia="黑体"/>
          <w:b/>
          <w:bCs/>
          <w:spacing w:val="140"/>
          <w:sz w:val="84"/>
          <w:szCs w:val="84"/>
        </w:rPr>
      </w:pPr>
    </w:p>
    <w:p>
      <w:pPr>
        <w:spacing w:line="900" w:lineRule="exact"/>
        <w:jc w:val="center"/>
        <w:rPr>
          <w:rFonts w:ascii="黑体" w:hAnsi="宋体" w:eastAsia="黑体"/>
          <w:b/>
          <w:bCs/>
          <w:spacing w:val="140"/>
          <w:sz w:val="72"/>
          <w:szCs w:val="72"/>
        </w:rPr>
      </w:pPr>
      <w:r>
        <w:rPr>
          <w:rFonts w:hint="eastAsia" w:ascii="黑体" w:hAnsi="宋体" w:eastAsia="黑体"/>
          <w:b/>
          <w:bCs/>
          <w:spacing w:val="140"/>
          <w:sz w:val="72"/>
          <w:szCs w:val="72"/>
        </w:rPr>
        <w:t>采 购 文 件</w:t>
      </w:r>
    </w:p>
    <w:p>
      <w:pPr>
        <w:spacing w:line="600" w:lineRule="exact"/>
        <w:jc w:val="center"/>
        <w:rPr>
          <w:rFonts w:ascii="宋体" w:hAnsi="宋体"/>
          <w:b/>
          <w:bCs/>
          <w:spacing w:val="140"/>
          <w:sz w:val="84"/>
          <w:szCs w:val="84"/>
        </w:rPr>
      </w:pPr>
    </w:p>
    <w:p>
      <w:pPr>
        <w:spacing w:line="400" w:lineRule="exact"/>
        <w:jc w:val="center"/>
        <w:rPr>
          <w:rFonts w:ascii="宋体" w:hAnsi="宋体"/>
          <w:b/>
          <w:bCs/>
          <w:sz w:val="32"/>
          <w:szCs w:val="32"/>
        </w:rPr>
      </w:pPr>
    </w:p>
    <w:p>
      <w:pPr>
        <w:jc w:val="center"/>
        <w:rPr>
          <w:rFonts w:ascii="宋体" w:hAnsi="宋体"/>
          <w:spacing w:val="40"/>
          <w:sz w:val="30"/>
          <w:szCs w:val="30"/>
        </w:rPr>
      </w:pPr>
    </w:p>
    <w:p>
      <w:pPr>
        <w:jc w:val="center"/>
        <w:rPr>
          <w:rFonts w:ascii="宋体" w:hAnsi="宋体"/>
          <w:spacing w:val="40"/>
          <w:sz w:val="30"/>
          <w:szCs w:val="30"/>
        </w:rPr>
      </w:pPr>
    </w:p>
    <w:p>
      <w:pPr>
        <w:jc w:val="center"/>
        <w:rPr>
          <w:rFonts w:ascii="宋体" w:hAnsi="宋体"/>
          <w:spacing w:val="40"/>
          <w:sz w:val="30"/>
          <w:szCs w:val="30"/>
        </w:rPr>
      </w:pPr>
    </w:p>
    <w:p>
      <w:pPr>
        <w:jc w:val="center"/>
        <w:rPr>
          <w:rFonts w:ascii="宋体" w:hAnsi="宋体"/>
          <w:spacing w:val="40"/>
          <w:sz w:val="30"/>
          <w:szCs w:val="30"/>
        </w:rPr>
      </w:pPr>
    </w:p>
    <w:tbl>
      <w:tblPr>
        <w:tblStyle w:val="69"/>
        <w:tblW w:w="6415" w:type="dxa"/>
        <w:jc w:val="center"/>
        <w:tblLayout w:type="fixed"/>
        <w:tblCellMar>
          <w:top w:w="0" w:type="dxa"/>
          <w:left w:w="108" w:type="dxa"/>
          <w:bottom w:w="0" w:type="dxa"/>
          <w:right w:w="108" w:type="dxa"/>
        </w:tblCellMar>
      </w:tblPr>
      <w:tblGrid>
        <w:gridCol w:w="1521"/>
        <w:gridCol w:w="4894"/>
      </w:tblGrid>
      <w:tr>
        <w:tblPrEx>
          <w:tblCellMar>
            <w:top w:w="0" w:type="dxa"/>
            <w:left w:w="108" w:type="dxa"/>
            <w:bottom w:w="0" w:type="dxa"/>
            <w:right w:w="108" w:type="dxa"/>
          </w:tblCellMar>
        </w:tblPrEx>
        <w:trPr>
          <w:trHeight w:val="522" w:hRule="atLeast"/>
          <w:jc w:val="center"/>
        </w:trPr>
        <w:tc>
          <w:tcPr>
            <w:tcW w:w="1521" w:type="dxa"/>
            <w:vAlign w:val="center"/>
          </w:tcPr>
          <w:p>
            <w:pPr>
              <w:rPr>
                <w:rFonts w:ascii="黑体" w:hAnsi="宋体" w:eastAsia="黑体" w:cs="Arial"/>
                <w:b/>
                <w:sz w:val="28"/>
                <w:szCs w:val="28"/>
              </w:rPr>
            </w:pPr>
            <w:r>
              <w:rPr>
                <w:rFonts w:hint="eastAsia" w:ascii="黑体" w:hAnsi="宋体" w:eastAsia="黑体" w:cs="Arial"/>
                <w:b/>
                <w:sz w:val="28"/>
                <w:szCs w:val="28"/>
              </w:rPr>
              <w:t>招标编号：</w:t>
            </w:r>
          </w:p>
        </w:tc>
        <w:tc>
          <w:tcPr>
            <w:tcW w:w="4894" w:type="dxa"/>
            <w:vAlign w:val="center"/>
          </w:tcPr>
          <w:p>
            <w:pPr>
              <w:rPr>
                <w:rFonts w:hint="default" w:ascii="黑体" w:hAnsi="宋体" w:eastAsia="新宋体" w:cs="Arial"/>
                <w:b/>
                <w:sz w:val="28"/>
                <w:szCs w:val="28"/>
                <w:lang w:val="en-US" w:eastAsia="zh-CN"/>
              </w:rPr>
            </w:pPr>
            <w:r>
              <w:rPr>
                <w:rFonts w:hint="eastAsia" w:eastAsia="新宋体"/>
                <w:b/>
                <w:sz w:val="30"/>
                <w:szCs w:val="30"/>
              </w:rPr>
              <w:t>ZJHJ-ZFCG-202</w:t>
            </w:r>
            <w:r>
              <w:rPr>
                <w:rFonts w:hint="eastAsia" w:eastAsia="新宋体"/>
                <w:b/>
                <w:sz w:val="30"/>
                <w:szCs w:val="30"/>
                <w:lang w:val="en-US" w:eastAsia="zh-CN"/>
              </w:rPr>
              <w:t>1</w:t>
            </w:r>
            <w:r>
              <w:rPr>
                <w:rFonts w:hint="eastAsia" w:eastAsia="新宋体"/>
                <w:b/>
                <w:sz w:val="30"/>
                <w:szCs w:val="30"/>
              </w:rPr>
              <w:t>-</w:t>
            </w:r>
            <w:r>
              <w:rPr>
                <w:rFonts w:hint="eastAsia" w:eastAsia="新宋体"/>
                <w:b/>
                <w:sz w:val="30"/>
                <w:szCs w:val="30"/>
                <w:lang w:val="en-US" w:eastAsia="zh-CN"/>
              </w:rPr>
              <w:t>01</w:t>
            </w:r>
          </w:p>
        </w:tc>
      </w:tr>
      <w:tr>
        <w:tblPrEx>
          <w:tblCellMar>
            <w:top w:w="0" w:type="dxa"/>
            <w:left w:w="108" w:type="dxa"/>
            <w:bottom w:w="0" w:type="dxa"/>
            <w:right w:w="108" w:type="dxa"/>
          </w:tblCellMar>
        </w:tblPrEx>
        <w:trPr>
          <w:trHeight w:val="522" w:hRule="atLeast"/>
          <w:jc w:val="center"/>
        </w:trPr>
        <w:tc>
          <w:tcPr>
            <w:tcW w:w="1521" w:type="dxa"/>
            <w:vAlign w:val="center"/>
          </w:tcPr>
          <w:p>
            <w:pPr>
              <w:rPr>
                <w:rFonts w:ascii="黑体" w:hAnsi="宋体" w:eastAsia="黑体" w:cs="Arial"/>
                <w:b/>
                <w:sz w:val="28"/>
                <w:szCs w:val="28"/>
              </w:rPr>
            </w:pPr>
            <w:r>
              <w:rPr>
                <w:rFonts w:hint="eastAsia" w:ascii="黑体" w:hAnsi="宋体" w:eastAsia="黑体" w:cs="Arial"/>
                <w:b/>
                <w:sz w:val="28"/>
                <w:szCs w:val="28"/>
              </w:rPr>
              <w:t>招标项目：</w:t>
            </w:r>
          </w:p>
        </w:tc>
        <w:tc>
          <w:tcPr>
            <w:tcW w:w="4894" w:type="dxa"/>
            <w:vAlign w:val="center"/>
          </w:tcPr>
          <w:p>
            <w:pPr>
              <w:rPr>
                <w:rFonts w:hint="eastAsia" w:ascii="黑体" w:hAnsi="宋体" w:eastAsia="黑体" w:cs="Arial"/>
                <w:b/>
                <w:sz w:val="28"/>
                <w:szCs w:val="28"/>
                <w:lang w:eastAsia="zh-CN"/>
              </w:rPr>
            </w:pPr>
            <w:r>
              <w:rPr>
                <w:rFonts w:hint="eastAsia" w:eastAsia="新宋体"/>
                <w:b/>
                <w:sz w:val="30"/>
                <w:szCs w:val="30"/>
                <w:lang w:eastAsia="zh-CN"/>
              </w:rPr>
              <w:t>SCATS信号二期/三期续建系统整体运维服务（2020年）</w:t>
            </w:r>
          </w:p>
        </w:tc>
      </w:tr>
      <w:tr>
        <w:tblPrEx>
          <w:tblCellMar>
            <w:top w:w="0" w:type="dxa"/>
            <w:left w:w="108" w:type="dxa"/>
            <w:bottom w:w="0" w:type="dxa"/>
            <w:right w:w="108" w:type="dxa"/>
          </w:tblCellMar>
        </w:tblPrEx>
        <w:trPr>
          <w:trHeight w:val="522" w:hRule="atLeast"/>
          <w:jc w:val="center"/>
        </w:trPr>
        <w:tc>
          <w:tcPr>
            <w:tcW w:w="1521" w:type="dxa"/>
            <w:vAlign w:val="center"/>
          </w:tcPr>
          <w:p>
            <w:pPr>
              <w:rPr>
                <w:rFonts w:ascii="黑体" w:hAnsi="宋体" w:eastAsia="黑体" w:cs="Arial"/>
                <w:b/>
                <w:sz w:val="28"/>
                <w:szCs w:val="28"/>
              </w:rPr>
            </w:pPr>
            <w:r>
              <w:rPr>
                <w:rFonts w:hint="eastAsia" w:ascii="黑体" w:hAnsi="宋体" w:eastAsia="黑体" w:cs="Arial"/>
                <w:b/>
                <w:sz w:val="28"/>
                <w:szCs w:val="28"/>
              </w:rPr>
              <w:t>招标方式：</w:t>
            </w:r>
          </w:p>
        </w:tc>
        <w:tc>
          <w:tcPr>
            <w:tcW w:w="4894" w:type="dxa"/>
            <w:vAlign w:val="center"/>
          </w:tcPr>
          <w:p>
            <w:pPr>
              <w:rPr>
                <w:rFonts w:ascii="黑体" w:hAnsi="宋体" w:eastAsia="黑体" w:cs="Arial"/>
                <w:b/>
                <w:sz w:val="28"/>
                <w:szCs w:val="28"/>
              </w:rPr>
            </w:pPr>
            <w:r>
              <w:rPr>
                <w:rFonts w:hint="eastAsia" w:eastAsia="新宋体"/>
                <w:b/>
                <w:sz w:val="30"/>
                <w:szCs w:val="30"/>
              </w:rPr>
              <w:t>公开招标</w:t>
            </w:r>
          </w:p>
        </w:tc>
      </w:tr>
    </w:tbl>
    <w:p>
      <w:pPr>
        <w:spacing w:line="600" w:lineRule="exact"/>
        <w:ind w:firstLine="904" w:firstLineChars="300"/>
        <w:jc w:val="center"/>
        <w:rPr>
          <w:rFonts w:ascii="宋体" w:hAnsi="宋体"/>
          <w:b/>
          <w:sz w:val="30"/>
          <w:szCs w:val="30"/>
        </w:rPr>
      </w:pPr>
    </w:p>
    <w:p>
      <w:pPr>
        <w:spacing w:line="600" w:lineRule="exact"/>
        <w:ind w:firstLine="904" w:firstLineChars="300"/>
        <w:jc w:val="center"/>
        <w:rPr>
          <w:rFonts w:ascii="宋体" w:hAnsi="宋体"/>
          <w:b/>
          <w:sz w:val="30"/>
          <w:szCs w:val="30"/>
        </w:rPr>
      </w:pPr>
    </w:p>
    <w:p>
      <w:pPr>
        <w:spacing w:line="600" w:lineRule="exact"/>
        <w:ind w:firstLine="1205" w:firstLineChars="400"/>
        <w:rPr>
          <w:rFonts w:eastAsia="新宋体"/>
          <w:b/>
          <w:spacing w:val="40"/>
          <w:sz w:val="30"/>
          <w:szCs w:val="30"/>
        </w:rPr>
      </w:pPr>
      <w:r>
        <w:rPr>
          <w:rFonts w:hint="eastAsia" w:eastAsia="新宋体"/>
          <w:b/>
          <w:sz w:val="30"/>
          <w:szCs w:val="30"/>
        </w:rPr>
        <w:t>招  标  人：温州市公安局交通管理局</w:t>
      </w:r>
    </w:p>
    <w:p>
      <w:pPr>
        <w:spacing w:line="600" w:lineRule="exact"/>
        <w:ind w:firstLine="1144" w:firstLineChars="300"/>
        <w:rPr>
          <w:rFonts w:eastAsia="新宋体"/>
          <w:b/>
          <w:spacing w:val="40"/>
          <w:sz w:val="30"/>
          <w:szCs w:val="30"/>
        </w:rPr>
      </w:pPr>
      <w:r>
        <w:rPr>
          <w:rFonts w:hint="eastAsia" w:eastAsia="新宋体"/>
          <w:b/>
          <w:spacing w:val="40"/>
          <w:sz w:val="30"/>
          <w:szCs w:val="30"/>
        </w:rPr>
        <w:t>招标代理</w:t>
      </w:r>
      <w:r>
        <w:rPr>
          <w:rFonts w:hint="eastAsia" w:eastAsia="新宋体"/>
          <w:b/>
          <w:sz w:val="30"/>
          <w:szCs w:val="30"/>
        </w:rPr>
        <w:t>：</w:t>
      </w:r>
      <w:r>
        <w:rPr>
          <w:rFonts w:hint="eastAsia" w:eastAsia="新宋体"/>
          <w:b/>
          <w:spacing w:val="12"/>
          <w:sz w:val="30"/>
          <w:szCs w:val="30"/>
        </w:rPr>
        <w:t>浙江恒杰工程管理有限公司</w:t>
      </w:r>
    </w:p>
    <w:p>
      <w:pPr>
        <w:spacing w:line="600" w:lineRule="exact"/>
        <w:jc w:val="center"/>
        <w:rPr>
          <w:rFonts w:eastAsia="新宋体"/>
          <w:b/>
          <w:spacing w:val="40"/>
          <w:sz w:val="30"/>
          <w:szCs w:val="30"/>
        </w:rPr>
      </w:pPr>
      <w:r>
        <w:rPr>
          <w:rFonts w:hint="eastAsia" w:eastAsia="新宋体"/>
          <w:b/>
          <w:spacing w:val="40"/>
          <w:sz w:val="30"/>
          <w:szCs w:val="30"/>
        </w:rPr>
        <w:t>二〇二</w:t>
      </w:r>
      <w:r>
        <w:rPr>
          <w:rFonts w:hint="eastAsia" w:eastAsia="新宋体"/>
          <w:b/>
          <w:spacing w:val="40"/>
          <w:sz w:val="30"/>
          <w:szCs w:val="30"/>
          <w:lang w:eastAsia="zh-CN"/>
        </w:rPr>
        <w:t>一</w:t>
      </w:r>
      <w:r>
        <w:rPr>
          <w:rFonts w:hint="eastAsia" w:eastAsia="新宋体"/>
          <w:b/>
          <w:spacing w:val="40"/>
          <w:sz w:val="30"/>
          <w:szCs w:val="30"/>
        </w:rPr>
        <w:t>年</w:t>
      </w:r>
      <w:r>
        <w:rPr>
          <w:rFonts w:hint="eastAsia" w:eastAsia="新宋体"/>
          <w:b/>
          <w:spacing w:val="40"/>
          <w:sz w:val="30"/>
          <w:szCs w:val="30"/>
          <w:lang w:eastAsia="zh-CN"/>
        </w:rPr>
        <w:t>一</w:t>
      </w:r>
      <w:r>
        <w:rPr>
          <w:rFonts w:hint="eastAsia" w:eastAsia="新宋体"/>
          <w:b/>
          <w:spacing w:val="40"/>
          <w:sz w:val="30"/>
          <w:szCs w:val="30"/>
        </w:rPr>
        <w:t>月</w:t>
      </w:r>
    </w:p>
    <w:p>
      <w:pPr>
        <w:spacing w:line="240" w:lineRule="atLeast"/>
        <w:rPr>
          <w:rFonts w:ascii="宋体" w:hAnsi="宋体"/>
          <w:b/>
          <w:szCs w:val="21"/>
        </w:rPr>
      </w:pPr>
      <w:r>
        <w:rPr>
          <w:rFonts w:ascii="宋体" w:hAnsi="宋体"/>
          <w:b/>
          <w:szCs w:val="21"/>
        </w:rPr>
        <w:br w:type="page"/>
      </w:r>
    </w:p>
    <w:p>
      <w:pPr>
        <w:jc w:val="center"/>
        <w:rPr>
          <w:rFonts w:ascii="黑体" w:hAnsi="宋体" w:eastAsia="黑体"/>
          <w:b/>
          <w:bCs/>
          <w:sz w:val="36"/>
          <w:szCs w:val="36"/>
        </w:rPr>
      </w:pPr>
      <w:r>
        <w:rPr>
          <w:rFonts w:hint="eastAsia" w:ascii="黑体" w:hAnsi="宋体" w:eastAsia="黑体"/>
          <w:b/>
          <w:bCs/>
          <w:sz w:val="36"/>
          <w:szCs w:val="36"/>
        </w:rPr>
        <w:t>目    录</w:t>
      </w:r>
    </w:p>
    <w:p>
      <w:pPr>
        <w:spacing w:line="240" w:lineRule="atLeast"/>
        <w:jc w:val="center"/>
        <w:rPr>
          <w:rFonts w:ascii="宋体" w:hAnsi="宋体"/>
          <w:b/>
          <w:bCs/>
          <w:szCs w:val="21"/>
        </w:rPr>
      </w:pPr>
    </w:p>
    <w:p>
      <w:pPr>
        <w:spacing w:line="560" w:lineRule="exact"/>
        <w:ind w:firstLine="840" w:firstLineChars="400"/>
        <w:rPr>
          <w:rFonts w:ascii="宋体" w:hAnsi="宋体"/>
          <w:szCs w:val="21"/>
        </w:rPr>
      </w:pPr>
      <w:r>
        <w:rPr>
          <w:rFonts w:hint="eastAsia" w:ascii="宋体" w:hAnsi="宋体"/>
          <w:szCs w:val="21"/>
        </w:rPr>
        <w:t>招标公告                         …………………………………………………………3</w:t>
      </w:r>
    </w:p>
    <w:p>
      <w:pPr>
        <w:spacing w:line="560" w:lineRule="exact"/>
        <w:ind w:firstLine="840" w:firstLineChars="400"/>
        <w:rPr>
          <w:rFonts w:ascii="宋体" w:hAnsi="宋体"/>
          <w:szCs w:val="21"/>
        </w:rPr>
      </w:pPr>
      <w:r>
        <w:rPr>
          <w:rFonts w:hint="eastAsia" w:ascii="宋体" w:hAnsi="宋体"/>
          <w:szCs w:val="21"/>
        </w:rPr>
        <w:t xml:space="preserve">第一部分   投标人须知            </w:t>
      </w:r>
      <w:r>
        <w:rPr>
          <w:rFonts w:ascii="宋体" w:hAnsi="宋体"/>
          <w:szCs w:val="21"/>
        </w:rPr>
        <w:t>…………………………………………………………</w:t>
      </w:r>
      <w:r>
        <w:rPr>
          <w:rFonts w:hint="eastAsia" w:ascii="宋体" w:hAnsi="宋体"/>
          <w:szCs w:val="21"/>
        </w:rPr>
        <w:t>6</w:t>
      </w:r>
    </w:p>
    <w:p>
      <w:pPr>
        <w:spacing w:line="560" w:lineRule="exact"/>
        <w:rPr>
          <w:rFonts w:ascii="宋体" w:hAnsi="宋体"/>
          <w:szCs w:val="21"/>
        </w:rPr>
      </w:pPr>
      <w:r>
        <w:rPr>
          <w:rFonts w:hint="eastAsia" w:ascii="宋体" w:hAnsi="宋体"/>
          <w:szCs w:val="21"/>
        </w:rPr>
        <w:t xml:space="preserve">                   一  说明              </w:t>
      </w:r>
      <w:r>
        <w:rPr>
          <w:rFonts w:ascii="宋体" w:hAnsi="宋体"/>
          <w:szCs w:val="21"/>
        </w:rPr>
        <w:t>…………………………………………………………</w:t>
      </w:r>
      <w:r>
        <w:rPr>
          <w:rFonts w:hint="eastAsia" w:ascii="宋体" w:hAnsi="宋体"/>
          <w:szCs w:val="21"/>
        </w:rPr>
        <w:t>6</w:t>
      </w:r>
    </w:p>
    <w:p>
      <w:pPr>
        <w:spacing w:line="560" w:lineRule="exact"/>
        <w:rPr>
          <w:rFonts w:ascii="宋体" w:hAnsi="宋体"/>
          <w:szCs w:val="21"/>
        </w:rPr>
      </w:pPr>
      <w:r>
        <w:rPr>
          <w:rFonts w:hint="eastAsia" w:ascii="宋体" w:hAnsi="宋体"/>
          <w:szCs w:val="21"/>
        </w:rPr>
        <w:t xml:space="preserve">                   二  采购文件          </w:t>
      </w:r>
      <w:r>
        <w:rPr>
          <w:rFonts w:ascii="宋体" w:hAnsi="宋体"/>
          <w:szCs w:val="21"/>
        </w:rPr>
        <w:t>…………………………………………………………</w:t>
      </w:r>
      <w:r>
        <w:rPr>
          <w:rFonts w:hint="eastAsia" w:ascii="宋体" w:hAnsi="宋体"/>
          <w:szCs w:val="21"/>
        </w:rPr>
        <w:t>6</w:t>
      </w:r>
    </w:p>
    <w:p>
      <w:pPr>
        <w:spacing w:line="560" w:lineRule="exact"/>
        <w:rPr>
          <w:rFonts w:ascii="宋体" w:hAnsi="宋体"/>
          <w:szCs w:val="21"/>
        </w:rPr>
      </w:pPr>
      <w:r>
        <w:rPr>
          <w:rFonts w:hint="eastAsia" w:ascii="宋体" w:hAnsi="宋体"/>
          <w:szCs w:val="21"/>
        </w:rPr>
        <w:t xml:space="preserve">                   三  投标文件的编制    </w:t>
      </w:r>
      <w:r>
        <w:rPr>
          <w:rFonts w:ascii="宋体" w:hAnsi="宋体"/>
          <w:szCs w:val="21"/>
        </w:rPr>
        <w:t>…………………………………………………………</w:t>
      </w:r>
      <w:r>
        <w:rPr>
          <w:rFonts w:hint="eastAsia" w:ascii="宋体" w:hAnsi="宋体"/>
          <w:szCs w:val="21"/>
        </w:rPr>
        <w:t>7</w:t>
      </w:r>
    </w:p>
    <w:p>
      <w:pPr>
        <w:spacing w:line="560" w:lineRule="exact"/>
        <w:rPr>
          <w:rFonts w:ascii="宋体" w:hAnsi="宋体"/>
          <w:szCs w:val="21"/>
        </w:rPr>
      </w:pPr>
      <w:r>
        <w:rPr>
          <w:rFonts w:hint="eastAsia" w:ascii="宋体" w:hAnsi="宋体"/>
          <w:szCs w:val="21"/>
        </w:rPr>
        <w:t xml:space="preserve">                   四  投标文件的递交    </w:t>
      </w:r>
      <w:r>
        <w:rPr>
          <w:rFonts w:ascii="宋体" w:hAnsi="宋体"/>
          <w:szCs w:val="21"/>
        </w:rPr>
        <w:t>…………………………………………………………</w:t>
      </w:r>
      <w:r>
        <w:rPr>
          <w:rFonts w:hint="eastAsia" w:ascii="宋体" w:hAnsi="宋体"/>
          <w:szCs w:val="21"/>
        </w:rPr>
        <w:t xml:space="preserve">9                 </w:t>
      </w:r>
    </w:p>
    <w:p>
      <w:pPr>
        <w:spacing w:line="560" w:lineRule="exact"/>
        <w:ind w:firstLine="1995" w:firstLineChars="950"/>
        <w:rPr>
          <w:rFonts w:ascii="宋体" w:hAnsi="宋体"/>
          <w:szCs w:val="21"/>
        </w:rPr>
      </w:pPr>
      <w:r>
        <w:rPr>
          <w:rFonts w:hint="eastAsia" w:ascii="宋体" w:hAnsi="宋体"/>
          <w:szCs w:val="21"/>
        </w:rPr>
        <w:t xml:space="preserve">五  开标和评标        </w:t>
      </w:r>
      <w:r>
        <w:rPr>
          <w:rFonts w:ascii="宋体" w:hAnsi="宋体"/>
          <w:szCs w:val="21"/>
        </w:rPr>
        <w:t>…………………………………………………………</w:t>
      </w:r>
      <w:r>
        <w:rPr>
          <w:rFonts w:hint="eastAsia" w:ascii="宋体" w:hAnsi="宋体"/>
          <w:szCs w:val="21"/>
        </w:rPr>
        <w:t xml:space="preserve">9  </w:t>
      </w:r>
    </w:p>
    <w:p>
      <w:pPr>
        <w:spacing w:line="560" w:lineRule="exact"/>
        <w:rPr>
          <w:rFonts w:ascii="宋体" w:hAnsi="宋体"/>
          <w:szCs w:val="21"/>
        </w:rPr>
      </w:pPr>
      <w:r>
        <w:rPr>
          <w:rFonts w:hint="eastAsia" w:ascii="宋体" w:hAnsi="宋体"/>
          <w:szCs w:val="21"/>
        </w:rPr>
        <w:t xml:space="preserve">                   六  授予合同          </w:t>
      </w:r>
      <w:r>
        <w:rPr>
          <w:rFonts w:ascii="宋体" w:hAnsi="宋体"/>
          <w:szCs w:val="21"/>
        </w:rPr>
        <w:t>…………………………………………………………</w:t>
      </w:r>
      <w:r>
        <w:rPr>
          <w:rFonts w:hint="eastAsia" w:ascii="宋体" w:hAnsi="宋体"/>
          <w:szCs w:val="21"/>
        </w:rPr>
        <w:t>12</w:t>
      </w:r>
    </w:p>
    <w:p>
      <w:pPr>
        <w:spacing w:line="560" w:lineRule="exact"/>
        <w:ind w:firstLine="840" w:firstLineChars="400"/>
        <w:rPr>
          <w:rFonts w:ascii="宋体" w:hAnsi="宋体"/>
          <w:szCs w:val="21"/>
        </w:rPr>
      </w:pPr>
      <w:r>
        <w:rPr>
          <w:rFonts w:hint="eastAsia" w:ascii="宋体" w:hAnsi="宋体"/>
          <w:szCs w:val="21"/>
        </w:rPr>
        <w:t xml:space="preserve">第二部分  </w:t>
      </w:r>
      <w:r>
        <w:rPr>
          <w:rFonts w:hint="eastAsia" w:ascii="宋体" w:hAnsi="宋体"/>
          <w:szCs w:val="21"/>
          <w:lang w:val="zh-CN"/>
        </w:rPr>
        <w:t>政府采购政策功能相关说明</w:t>
      </w:r>
      <w:r>
        <w:rPr>
          <w:rFonts w:hint="eastAsia" w:ascii="宋体" w:hAnsi="宋体"/>
          <w:szCs w:val="21"/>
        </w:rPr>
        <w:t xml:space="preserve">   ……………………………………………………14</w:t>
      </w:r>
    </w:p>
    <w:p>
      <w:pPr>
        <w:spacing w:line="560" w:lineRule="exact"/>
        <w:ind w:firstLine="840" w:firstLineChars="400"/>
        <w:rPr>
          <w:rFonts w:ascii="宋体" w:hAnsi="宋体"/>
          <w:szCs w:val="21"/>
        </w:rPr>
      </w:pPr>
      <w:r>
        <w:rPr>
          <w:rFonts w:hint="eastAsia" w:ascii="宋体" w:hAnsi="宋体"/>
          <w:szCs w:val="21"/>
        </w:rPr>
        <w:t xml:space="preserve">第三部分   合同主要条款          </w:t>
      </w:r>
      <w:r>
        <w:rPr>
          <w:rFonts w:ascii="宋体" w:hAnsi="宋体"/>
          <w:szCs w:val="21"/>
        </w:rPr>
        <w:t>…………………………………………………………</w:t>
      </w:r>
      <w:r>
        <w:rPr>
          <w:rFonts w:hint="eastAsia" w:ascii="宋体" w:hAnsi="宋体"/>
          <w:szCs w:val="21"/>
        </w:rPr>
        <w:t>17</w:t>
      </w:r>
    </w:p>
    <w:p>
      <w:pPr>
        <w:spacing w:line="560" w:lineRule="exact"/>
        <w:ind w:firstLine="840" w:firstLineChars="400"/>
        <w:rPr>
          <w:rFonts w:hint="eastAsia" w:ascii="宋体" w:hAnsi="宋体" w:eastAsia="宋体"/>
          <w:szCs w:val="21"/>
          <w:lang w:eastAsia="zh-CN"/>
        </w:rPr>
      </w:pPr>
      <w:r>
        <w:rPr>
          <w:rFonts w:hint="eastAsia" w:ascii="宋体" w:hAnsi="宋体"/>
          <w:szCs w:val="21"/>
        </w:rPr>
        <w:t xml:space="preserve">第四部分   合同格式              </w:t>
      </w:r>
      <w:r>
        <w:rPr>
          <w:rFonts w:ascii="宋体" w:hAnsi="宋体"/>
          <w:szCs w:val="21"/>
        </w:rPr>
        <w:t>…………………………………………………………</w:t>
      </w:r>
      <w:r>
        <w:rPr>
          <w:rFonts w:hint="eastAsia" w:ascii="宋体" w:hAnsi="宋体"/>
          <w:szCs w:val="21"/>
        </w:rPr>
        <w:t>2</w:t>
      </w:r>
      <w:r>
        <w:rPr>
          <w:rFonts w:hint="eastAsia" w:ascii="宋体" w:hAnsi="宋体"/>
          <w:szCs w:val="21"/>
          <w:lang w:val="en-US" w:eastAsia="zh-CN"/>
        </w:rPr>
        <w:t>0</w:t>
      </w:r>
    </w:p>
    <w:p>
      <w:pPr>
        <w:spacing w:line="560" w:lineRule="exact"/>
        <w:ind w:firstLine="840" w:firstLineChars="400"/>
        <w:rPr>
          <w:rFonts w:hint="eastAsia" w:ascii="宋体" w:hAnsi="宋体" w:eastAsia="宋体"/>
          <w:szCs w:val="21"/>
          <w:lang w:eastAsia="zh-CN"/>
        </w:rPr>
      </w:pPr>
      <w:r>
        <w:rPr>
          <w:rFonts w:hint="eastAsia" w:ascii="宋体" w:hAnsi="宋体"/>
          <w:szCs w:val="21"/>
        </w:rPr>
        <w:t xml:space="preserve">第五部分   附件                  </w:t>
      </w:r>
      <w:r>
        <w:rPr>
          <w:rFonts w:ascii="宋体" w:hAnsi="宋体"/>
          <w:szCs w:val="21"/>
        </w:rPr>
        <w:t>…………………………………………………………</w:t>
      </w:r>
      <w:r>
        <w:rPr>
          <w:rFonts w:hint="eastAsia" w:ascii="宋体" w:hAnsi="宋体"/>
          <w:szCs w:val="21"/>
        </w:rPr>
        <w:t>2</w:t>
      </w:r>
      <w:r>
        <w:rPr>
          <w:rFonts w:hint="eastAsia" w:ascii="宋体" w:hAnsi="宋体"/>
          <w:szCs w:val="21"/>
          <w:lang w:val="en-US" w:eastAsia="zh-CN"/>
        </w:rPr>
        <w:t>1</w:t>
      </w:r>
    </w:p>
    <w:p>
      <w:pPr>
        <w:spacing w:line="560" w:lineRule="exact"/>
        <w:ind w:firstLine="840" w:firstLineChars="400"/>
        <w:rPr>
          <w:rFonts w:hint="eastAsia" w:ascii="宋体" w:hAnsi="宋体" w:eastAsia="宋体"/>
          <w:szCs w:val="21"/>
          <w:lang w:eastAsia="zh-CN"/>
        </w:rPr>
      </w:pPr>
      <w:r>
        <w:rPr>
          <w:rFonts w:hint="eastAsia" w:ascii="宋体" w:hAnsi="宋体"/>
          <w:szCs w:val="21"/>
        </w:rPr>
        <w:t xml:space="preserve">第六部分   招标内容及要求        </w:t>
      </w:r>
      <w:r>
        <w:rPr>
          <w:rFonts w:ascii="宋体" w:hAnsi="宋体"/>
          <w:szCs w:val="21"/>
        </w:rPr>
        <w:t>…………………………………………………………</w:t>
      </w:r>
      <w:r>
        <w:rPr>
          <w:rFonts w:hint="eastAsia" w:ascii="宋体" w:hAnsi="宋体"/>
          <w:szCs w:val="21"/>
        </w:rPr>
        <w:t>3</w:t>
      </w:r>
      <w:r>
        <w:rPr>
          <w:rFonts w:hint="eastAsia" w:ascii="宋体" w:hAnsi="宋体"/>
          <w:szCs w:val="21"/>
          <w:lang w:val="en-US" w:eastAsia="zh-CN"/>
        </w:rPr>
        <w:t>7</w:t>
      </w:r>
    </w:p>
    <w:p>
      <w:pPr>
        <w:spacing w:line="560" w:lineRule="exact"/>
        <w:ind w:firstLine="840" w:firstLineChars="400"/>
        <w:rPr>
          <w:rFonts w:hint="eastAsia" w:ascii="宋体" w:hAnsi="宋体" w:eastAsia="宋体"/>
          <w:szCs w:val="21"/>
          <w:lang w:eastAsia="zh-CN"/>
        </w:rPr>
      </w:pPr>
      <w:r>
        <w:rPr>
          <w:rFonts w:hint="eastAsia" w:ascii="宋体" w:hAnsi="宋体"/>
          <w:szCs w:val="21"/>
        </w:rPr>
        <w:t xml:space="preserve">第七部分   评标原则及方法        </w:t>
      </w:r>
      <w:r>
        <w:rPr>
          <w:rFonts w:ascii="宋体" w:hAnsi="宋体"/>
          <w:szCs w:val="21"/>
        </w:rPr>
        <w:t>…………………………………………………………</w:t>
      </w:r>
      <w:r>
        <w:rPr>
          <w:rFonts w:hint="eastAsia" w:ascii="宋体" w:hAnsi="宋体"/>
          <w:szCs w:val="21"/>
        </w:rPr>
        <w:t>5</w:t>
      </w:r>
      <w:r>
        <w:rPr>
          <w:rFonts w:hint="eastAsia" w:ascii="宋体" w:hAnsi="宋体"/>
          <w:szCs w:val="21"/>
          <w:lang w:val="en-US" w:eastAsia="zh-CN"/>
        </w:rPr>
        <w:t>7</w:t>
      </w:r>
    </w:p>
    <w:p>
      <w:pPr>
        <w:spacing w:line="560" w:lineRule="exact"/>
        <w:ind w:firstLine="843" w:firstLineChars="400"/>
        <w:rPr>
          <w:rFonts w:ascii="宋体" w:hAnsi="宋体"/>
          <w:b/>
          <w:bCs/>
          <w:szCs w:val="21"/>
        </w:rPr>
      </w:pPr>
    </w:p>
    <w:p>
      <w:pPr>
        <w:spacing w:line="560" w:lineRule="exact"/>
        <w:rPr>
          <w:rFonts w:ascii="宋体" w:hAnsi="宋体"/>
          <w:b/>
          <w:bCs/>
          <w:szCs w:val="21"/>
        </w:rPr>
        <w:sectPr>
          <w:headerReference r:id="rId4" w:type="first"/>
          <w:footerReference r:id="rId7" w:type="first"/>
          <w:headerReference r:id="rId3" w:type="default"/>
          <w:footerReference r:id="rId5" w:type="default"/>
          <w:footerReference r:id="rId6" w:type="even"/>
          <w:pgSz w:w="11906" w:h="16838"/>
          <w:pgMar w:top="1134" w:right="1134" w:bottom="1134" w:left="1134" w:header="851" w:footer="992" w:gutter="0"/>
          <w:cols w:space="720" w:num="1"/>
          <w:titlePg/>
          <w:docGrid w:linePitch="312" w:charSpace="0"/>
        </w:sectPr>
      </w:pPr>
      <w:r>
        <w:rPr>
          <w:rFonts w:hint="eastAsia" w:ascii="宋体" w:hAnsi="宋体"/>
          <w:b/>
          <w:bCs/>
          <w:szCs w:val="21"/>
        </w:rPr>
        <w:t>注：采购文件中部分加“▲”、加粗及加下划线的条款，为招标的实质性要求和条件，着重提醒各投标人注意，并认真查看采购文件中的每一个条款及要求，因误读采购文件而造成的后果，招标人概不负责。</w:t>
      </w:r>
    </w:p>
    <w:p>
      <w:pPr>
        <w:pStyle w:val="3"/>
        <w:numPr>
          <w:ilvl w:val="0"/>
          <w:numId w:val="0"/>
        </w:numPr>
        <w:spacing w:before="120" w:after="120" w:line="440" w:lineRule="exact"/>
        <w:jc w:val="center"/>
        <w:rPr>
          <w:rFonts w:ascii="新宋体" w:hAnsi="新宋体" w:eastAsia="新宋体" w:cs="新宋体"/>
          <w:kern w:val="2"/>
          <w:sz w:val="36"/>
          <w:szCs w:val="36"/>
        </w:rPr>
      </w:pPr>
      <w:bookmarkStart w:id="0" w:name="_Toc4699"/>
      <w:r>
        <w:rPr>
          <w:rFonts w:hint="eastAsia" w:ascii="新宋体" w:hAnsi="新宋体" w:eastAsia="新宋体" w:cs="新宋体"/>
          <w:kern w:val="2"/>
          <w:sz w:val="36"/>
          <w:szCs w:val="36"/>
        </w:rPr>
        <w:t>浙江恒杰工程管理有限公司关于</w:t>
      </w:r>
      <w:r>
        <w:rPr>
          <w:rFonts w:hint="eastAsia" w:ascii="新宋体" w:hAnsi="新宋体" w:eastAsia="新宋体" w:cs="新宋体"/>
          <w:kern w:val="2"/>
          <w:sz w:val="36"/>
          <w:szCs w:val="36"/>
          <w:lang w:eastAsia="zh-CN"/>
        </w:rPr>
        <w:t>SCATS信号二期/三期续建系统整体运维服务（2020年）</w:t>
      </w:r>
      <w:r>
        <w:rPr>
          <w:rFonts w:hint="eastAsia" w:ascii="新宋体" w:hAnsi="新宋体" w:eastAsia="新宋体" w:cs="新宋体"/>
          <w:kern w:val="2"/>
          <w:sz w:val="36"/>
          <w:szCs w:val="36"/>
        </w:rPr>
        <w:t>的公开招标公告</w:t>
      </w:r>
      <w:bookmarkEnd w:id="0"/>
    </w:p>
    <w:p>
      <w:pPr>
        <w:pBdr>
          <w:top w:val="single" w:color="auto" w:sz="4" w:space="1"/>
          <w:left w:val="single" w:color="auto" w:sz="4" w:space="4"/>
          <w:bottom w:val="single" w:color="auto" w:sz="4" w:space="1"/>
          <w:right w:val="single" w:color="auto" w:sz="4" w:space="4"/>
        </w:pBdr>
        <w:ind w:firstLine="420" w:firstLineChars="200"/>
        <w:rPr>
          <w:rFonts w:ascii="宋体" w:hAnsi="宋体" w:cs="宋体"/>
          <w:szCs w:val="21"/>
        </w:rPr>
      </w:pPr>
      <w:r>
        <w:rPr>
          <w:rFonts w:hint="eastAsia" w:ascii="宋体" w:hAnsi="宋体" w:cs="宋体"/>
          <w:szCs w:val="21"/>
        </w:rPr>
        <w:t>项目概况</w:t>
      </w:r>
    </w:p>
    <w:p>
      <w:pPr>
        <w:pBdr>
          <w:top w:val="single" w:color="auto" w:sz="4" w:space="1"/>
          <w:left w:val="single" w:color="auto" w:sz="4" w:space="4"/>
          <w:bottom w:val="single" w:color="auto" w:sz="4" w:space="1"/>
          <w:right w:val="single" w:color="auto" w:sz="4" w:space="4"/>
        </w:pBdr>
        <w:ind w:firstLine="420" w:firstLineChars="200"/>
        <w:rPr>
          <w:rFonts w:ascii="宋体" w:hAnsi="宋体" w:cs="宋体"/>
          <w:szCs w:val="21"/>
        </w:rPr>
      </w:pPr>
      <w:r>
        <w:rPr>
          <w:rFonts w:hint="eastAsia" w:ascii="宋体" w:hAnsi="宋体" w:cs="宋体"/>
          <w:szCs w:val="21"/>
          <w:u w:val="single"/>
        </w:rPr>
        <w:t xml:space="preserve"> </w:t>
      </w:r>
      <w:r>
        <w:rPr>
          <w:rFonts w:hint="eastAsia" w:ascii="宋体" w:hAnsi="宋体" w:cs="宋体"/>
          <w:szCs w:val="21"/>
          <w:u w:val="single"/>
          <w:lang w:eastAsia="zh-CN"/>
        </w:rPr>
        <w:t>SCATS信号二期/三期续建系统整体运维服务（2020年）</w:t>
      </w:r>
      <w:r>
        <w:rPr>
          <w:rFonts w:hint="eastAsia" w:ascii="宋体" w:hAnsi="宋体" w:cs="宋体"/>
          <w:szCs w:val="21"/>
        </w:rPr>
        <w:t>招标项目的潜在投标人应在</w:t>
      </w:r>
      <w:r>
        <w:rPr>
          <w:rFonts w:hint="eastAsia" w:ascii="宋体" w:hAnsi="宋体" w:cs="宋体"/>
          <w:bCs/>
          <w:szCs w:val="21"/>
        </w:rPr>
        <w:t>在</w:t>
      </w:r>
      <w:r>
        <w:rPr>
          <w:rFonts w:hint="eastAsia" w:ascii="宋体" w:hAnsi="宋体" w:cs="宋体"/>
          <w:bCs/>
          <w:szCs w:val="21"/>
          <w:u w:val="single"/>
        </w:rPr>
        <w:t>政府采购云平云（</w:t>
      </w:r>
      <w:r>
        <w:rPr>
          <w:rFonts w:hint="eastAsia" w:ascii="宋体" w:hAnsi="宋体" w:cs="宋体"/>
          <w:bCs/>
          <w:szCs w:val="21"/>
          <w:u w:val="single"/>
        </w:rPr>
        <w:fldChar w:fldCharType="begin"/>
      </w:r>
      <w:r>
        <w:rPr>
          <w:rFonts w:hint="eastAsia" w:ascii="宋体" w:hAnsi="宋体" w:cs="宋体"/>
          <w:bCs/>
          <w:szCs w:val="21"/>
          <w:u w:val="single"/>
        </w:rPr>
        <w:instrText xml:space="preserve"> HYPERLINK "http://zfcg.czt.zj.gov.cn/）上自主获取招标文件，并于2020年" </w:instrText>
      </w:r>
      <w:r>
        <w:rPr>
          <w:rFonts w:hint="eastAsia" w:ascii="宋体" w:hAnsi="宋体" w:cs="宋体"/>
          <w:bCs/>
          <w:szCs w:val="21"/>
          <w:u w:val="single"/>
        </w:rPr>
        <w:fldChar w:fldCharType="separate"/>
      </w:r>
      <w:r>
        <w:rPr>
          <w:rFonts w:hint="eastAsia" w:ascii="宋体" w:hAnsi="宋体" w:cs="宋体"/>
          <w:bCs/>
          <w:szCs w:val="21"/>
          <w:u w:val="single"/>
        </w:rPr>
        <w:t>http://zfcg.czt.zj.gov.cn/）上自主获取招标文件，并于202</w:t>
      </w:r>
      <w:r>
        <w:rPr>
          <w:rFonts w:hint="eastAsia" w:ascii="宋体" w:hAnsi="宋体" w:cs="宋体"/>
          <w:bCs/>
          <w:szCs w:val="21"/>
          <w:u w:val="single"/>
          <w:lang w:val="en-US" w:eastAsia="zh-CN"/>
        </w:rPr>
        <w:t>1</w:t>
      </w:r>
      <w:r>
        <w:rPr>
          <w:rFonts w:hint="eastAsia" w:ascii="宋体" w:hAnsi="宋体" w:cs="宋体"/>
          <w:bCs/>
          <w:szCs w:val="21"/>
          <w:u w:val="single"/>
        </w:rPr>
        <w:t>年</w:t>
      </w:r>
      <w:r>
        <w:rPr>
          <w:rFonts w:hint="eastAsia" w:ascii="宋体" w:hAnsi="宋体" w:cs="宋体"/>
          <w:bCs/>
          <w:szCs w:val="21"/>
          <w:u w:val="single"/>
        </w:rPr>
        <w:fldChar w:fldCharType="end"/>
      </w:r>
      <w:r>
        <w:rPr>
          <w:rFonts w:hint="eastAsia" w:ascii="宋体" w:hAnsi="宋体" w:cs="宋体"/>
          <w:bCs/>
          <w:szCs w:val="21"/>
          <w:u w:val="single"/>
          <w:lang w:val="en-US" w:eastAsia="zh-CN"/>
        </w:rPr>
        <w:t>2</w:t>
      </w:r>
      <w:r>
        <w:rPr>
          <w:rFonts w:hint="eastAsia" w:ascii="宋体" w:hAnsi="宋体" w:cs="宋体"/>
          <w:bCs/>
          <w:szCs w:val="21"/>
          <w:u w:val="single"/>
        </w:rPr>
        <w:t>月</w:t>
      </w:r>
      <w:r>
        <w:rPr>
          <w:rFonts w:hint="eastAsia" w:ascii="宋体" w:hAnsi="宋体" w:cs="宋体"/>
          <w:bCs/>
          <w:szCs w:val="21"/>
          <w:u w:val="single"/>
          <w:lang w:val="en-US" w:eastAsia="zh-CN"/>
        </w:rPr>
        <w:t>7</w:t>
      </w:r>
      <w:r>
        <w:rPr>
          <w:rFonts w:hint="eastAsia" w:ascii="宋体" w:hAnsi="宋体" w:cs="宋体"/>
          <w:bCs/>
          <w:szCs w:val="21"/>
          <w:u w:val="single"/>
        </w:rPr>
        <w:t>日 09点30分（</w:t>
      </w:r>
      <w:r>
        <w:rPr>
          <w:rFonts w:hint="eastAsia" w:ascii="宋体" w:hAnsi="宋体" w:cs="宋体"/>
          <w:bCs/>
          <w:szCs w:val="21"/>
        </w:rPr>
        <w:t>北京时间）前递交投标文件</w:t>
      </w:r>
      <w:r>
        <w:rPr>
          <w:rFonts w:hint="eastAsia" w:ascii="宋体" w:hAnsi="宋体" w:cs="宋体"/>
          <w:szCs w:val="21"/>
        </w:rPr>
        <w:t>。</w:t>
      </w:r>
    </w:p>
    <w:p>
      <w:pPr>
        <w:widowControl/>
        <w:spacing w:before="60" w:after="60" w:line="360" w:lineRule="exact"/>
        <w:ind w:left="60" w:right="60"/>
        <w:jc w:val="left"/>
        <w:rPr>
          <w:rFonts w:ascii="宋体" w:hAnsi="宋体" w:cs="宋体"/>
          <w:b/>
          <w:kern w:val="0"/>
          <w:szCs w:val="21"/>
        </w:rPr>
      </w:pPr>
      <w:r>
        <w:rPr>
          <w:rFonts w:hint="eastAsia" w:ascii="宋体" w:hAnsi="宋体" w:cs="宋体"/>
          <w:b/>
          <w:kern w:val="0"/>
          <w:szCs w:val="21"/>
        </w:rPr>
        <w:t>一、项目基本情况</w:t>
      </w:r>
    </w:p>
    <w:p>
      <w:pPr>
        <w:widowControl/>
        <w:spacing w:before="60" w:after="60" w:line="360" w:lineRule="exact"/>
        <w:ind w:left="60" w:right="60" w:firstLine="483" w:firstLineChars="229"/>
        <w:jc w:val="left"/>
        <w:rPr>
          <w:rFonts w:hint="default" w:ascii="宋体" w:hAnsi="宋体" w:eastAsia="宋体" w:cs="宋体"/>
          <w:b/>
          <w:kern w:val="0"/>
          <w:szCs w:val="21"/>
          <w:lang w:val="en-US" w:eastAsia="zh-CN"/>
        </w:rPr>
      </w:pPr>
      <w:r>
        <w:rPr>
          <w:rFonts w:hint="eastAsia" w:ascii="宋体" w:hAnsi="宋体" w:cs="宋体"/>
          <w:b/>
          <w:kern w:val="0"/>
          <w:szCs w:val="21"/>
        </w:rPr>
        <w:t>项目编号:ZJHJ-ZFCG-202</w:t>
      </w:r>
      <w:r>
        <w:rPr>
          <w:rFonts w:hint="eastAsia" w:ascii="宋体" w:hAnsi="宋体" w:cs="宋体"/>
          <w:b/>
          <w:kern w:val="0"/>
          <w:szCs w:val="21"/>
          <w:lang w:val="en-US" w:eastAsia="zh-CN"/>
        </w:rPr>
        <w:t>1</w:t>
      </w:r>
      <w:r>
        <w:rPr>
          <w:rFonts w:hint="eastAsia" w:ascii="宋体" w:hAnsi="宋体" w:cs="宋体"/>
          <w:b/>
          <w:kern w:val="0"/>
          <w:szCs w:val="21"/>
        </w:rPr>
        <w:t>-</w:t>
      </w:r>
      <w:r>
        <w:rPr>
          <w:rFonts w:hint="eastAsia" w:ascii="宋体" w:hAnsi="宋体" w:cs="宋体"/>
          <w:b/>
          <w:kern w:val="0"/>
          <w:szCs w:val="21"/>
          <w:lang w:val="en-US" w:eastAsia="zh-CN"/>
        </w:rPr>
        <w:t xml:space="preserve">01  </w:t>
      </w:r>
    </w:p>
    <w:p>
      <w:pPr>
        <w:widowControl/>
        <w:spacing w:before="60" w:after="60" w:line="360" w:lineRule="exact"/>
        <w:ind w:left="60" w:right="60" w:firstLine="483" w:firstLineChars="229"/>
        <w:jc w:val="left"/>
        <w:rPr>
          <w:rFonts w:hint="eastAsia" w:ascii="宋体" w:hAnsi="宋体" w:eastAsia="宋体" w:cs="宋体"/>
          <w:b/>
          <w:kern w:val="0"/>
          <w:szCs w:val="21"/>
          <w:lang w:eastAsia="zh-CN"/>
        </w:rPr>
      </w:pPr>
      <w:r>
        <w:rPr>
          <w:rFonts w:hint="eastAsia" w:ascii="宋体" w:hAnsi="宋体" w:cs="宋体"/>
          <w:b/>
          <w:kern w:val="0"/>
          <w:szCs w:val="21"/>
        </w:rPr>
        <w:t>项目名称：</w:t>
      </w:r>
      <w:r>
        <w:rPr>
          <w:rFonts w:hint="eastAsia" w:ascii="宋体" w:hAnsi="宋体" w:cs="宋体"/>
          <w:kern w:val="0"/>
          <w:szCs w:val="21"/>
          <w:lang w:eastAsia="zh-CN"/>
        </w:rPr>
        <w:t>SCATS信号二期/三期续建系统整体运维服务（2020年）</w:t>
      </w:r>
    </w:p>
    <w:p>
      <w:pPr>
        <w:widowControl/>
        <w:spacing w:before="60" w:after="60" w:line="360" w:lineRule="exact"/>
        <w:ind w:left="60" w:right="60" w:firstLine="483" w:firstLineChars="229"/>
        <w:jc w:val="left"/>
        <w:rPr>
          <w:rFonts w:hint="eastAsia" w:ascii="宋体" w:hAnsi="宋体" w:cs="宋体"/>
          <w:kern w:val="0"/>
          <w:szCs w:val="21"/>
        </w:rPr>
      </w:pPr>
      <w:r>
        <w:rPr>
          <w:rFonts w:hint="eastAsia" w:ascii="宋体" w:hAnsi="宋体" w:cs="宋体"/>
          <w:b/>
          <w:kern w:val="0"/>
          <w:szCs w:val="21"/>
        </w:rPr>
        <w:t>预算金额：</w:t>
      </w:r>
      <w:r>
        <w:rPr>
          <w:rFonts w:hint="eastAsia" w:ascii="宋体" w:hAnsi="宋体" w:cs="宋体"/>
          <w:kern w:val="0"/>
          <w:szCs w:val="21"/>
          <w:lang w:val="en-US" w:eastAsia="zh-CN"/>
        </w:rPr>
        <w:t>32504900</w:t>
      </w:r>
      <w:r>
        <w:rPr>
          <w:rFonts w:hint="eastAsia" w:ascii="宋体" w:hAnsi="宋体" w:cs="宋体"/>
          <w:kern w:val="0"/>
          <w:szCs w:val="21"/>
        </w:rPr>
        <w:t>元</w:t>
      </w:r>
    </w:p>
    <w:p>
      <w:pPr>
        <w:widowControl/>
        <w:spacing w:before="60" w:after="60" w:line="360" w:lineRule="exact"/>
        <w:ind w:left="60" w:right="60" w:firstLine="483" w:firstLineChars="229"/>
        <w:jc w:val="left"/>
        <w:rPr>
          <w:rFonts w:hint="eastAsia" w:ascii="宋体" w:hAnsi="宋体" w:cs="宋体"/>
          <w:kern w:val="0"/>
          <w:szCs w:val="21"/>
          <w:lang w:val="en-US" w:eastAsia="zh-CN"/>
        </w:rPr>
      </w:pPr>
      <w:r>
        <w:rPr>
          <w:rFonts w:hint="eastAsia" w:ascii="宋体" w:hAnsi="宋体" w:cs="宋体"/>
          <w:b/>
          <w:kern w:val="0"/>
          <w:szCs w:val="21"/>
        </w:rPr>
        <w:t>最高限价：</w:t>
      </w:r>
      <w:r>
        <w:rPr>
          <w:rFonts w:hint="eastAsia" w:ascii="宋体" w:hAnsi="宋体" w:cs="宋体"/>
          <w:kern w:val="0"/>
          <w:szCs w:val="21"/>
          <w:lang w:val="en-US" w:eastAsia="zh-CN"/>
        </w:rPr>
        <w:t>31970217</w:t>
      </w:r>
      <w:r>
        <w:rPr>
          <w:rFonts w:hint="eastAsia" w:ascii="宋体" w:hAnsi="宋体" w:cs="宋体"/>
          <w:kern w:val="0"/>
          <w:szCs w:val="21"/>
          <w:lang w:val="en-US" w:eastAsia="zh-CN"/>
        </w:rPr>
        <w:t xml:space="preserve"> 元</w:t>
      </w:r>
    </w:p>
    <w:p>
      <w:pPr>
        <w:widowControl/>
        <w:spacing w:before="60" w:after="60" w:line="360" w:lineRule="exact"/>
        <w:ind w:left="60" w:right="60" w:firstLine="483" w:firstLineChars="229"/>
        <w:jc w:val="left"/>
        <w:rPr>
          <w:rFonts w:ascii="宋体" w:hAnsi="宋体" w:cs="宋体"/>
          <w:b/>
          <w:kern w:val="0"/>
          <w:szCs w:val="21"/>
        </w:rPr>
      </w:pPr>
      <w:r>
        <w:rPr>
          <w:rFonts w:hint="eastAsia" w:ascii="宋体" w:hAnsi="宋体" w:cs="宋体"/>
          <w:b/>
          <w:kern w:val="0"/>
          <w:szCs w:val="21"/>
        </w:rPr>
        <w:t>采购需求：</w:t>
      </w:r>
    </w:p>
    <w:tbl>
      <w:tblPr>
        <w:tblStyle w:val="6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3547"/>
        <w:gridCol w:w="1184"/>
        <w:gridCol w:w="4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415" w:type="pct"/>
            <w:tcBorders>
              <w:top w:val="single" w:color="auto" w:sz="4" w:space="0"/>
              <w:left w:val="single" w:color="auto" w:sz="4" w:space="0"/>
              <w:bottom w:val="single" w:color="auto" w:sz="4" w:space="0"/>
              <w:right w:val="single" w:color="auto" w:sz="4" w:space="0"/>
            </w:tcBorders>
            <w:vAlign w:val="center"/>
          </w:tcPr>
          <w:p>
            <w:pPr>
              <w:widowControl/>
              <w:spacing w:before="60" w:after="60" w:line="360" w:lineRule="exact"/>
              <w:ind w:right="60"/>
              <w:jc w:val="center"/>
              <w:rPr>
                <w:rFonts w:ascii="宋体" w:hAnsi="宋体" w:cs="宋体"/>
                <w:kern w:val="0"/>
                <w:szCs w:val="21"/>
              </w:rPr>
            </w:pPr>
            <w:r>
              <w:rPr>
                <w:rFonts w:hint="eastAsia" w:ascii="宋体" w:hAnsi="宋体" w:cs="宋体"/>
                <w:kern w:val="0"/>
                <w:szCs w:val="21"/>
              </w:rPr>
              <w:t>序号</w:t>
            </w:r>
          </w:p>
        </w:tc>
        <w:tc>
          <w:tcPr>
            <w:tcW w:w="1800" w:type="pct"/>
            <w:tcBorders>
              <w:top w:val="single" w:color="auto" w:sz="4" w:space="0"/>
              <w:left w:val="single" w:color="auto" w:sz="4" w:space="0"/>
              <w:bottom w:val="single" w:color="auto" w:sz="4" w:space="0"/>
              <w:right w:val="single" w:color="auto" w:sz="4" w:space="0"/>
            </w:tcBorders>
            <w:vAlign w:val="center"/>
          </w:tcPr>
          <w:p>
            <w:pPr>
              <w:widowControl/>
              <w:spacing w:before="60" w:after="60" w:line="360" w:lineRule="exact"/>
              <w:ind w:right="60"/>
              <w:jc w:val="center"/>
              <w:rPr>
                <w:rFonts w:ascii="宋体" w:hAnsi="宋体" w:cs="宋体"/>
                <w:kern w:val="0"/>
                <w:szCs w:val="21"/>
              </w:rPr>
            </w:pPr>
            <w:r>
              <w:rPr>
                <w:rFonts w:hint="eastAsia" w:ascii="宋体" w:hAnsi="宋体" w:cs="宋体"/>
                <w:kern w:val="0"/>
                <w:szCs w:val="21"/>
              </w:rPr>
              <w:t>标项名称</w:t>
            </w:r>
          </w:p>
        </w:tc>
        <w:tc>
          <w:tcPr>
            <w:tcW w:w="601" w:type="pct"/>
            <w:tcBorders>
              <w:top w:val="single" w:color="auto" w:sz="4" w:space="0"/>
              <w:left w:val="single" w:color="auto" w:sz="4" w:space="0"/>
              <w:bottom w:val="single" w:color="auto" w:sz="4" w:space="0"/>
              <w:right w:val="single" w:color="auto" w:sz="4" w:space="0"/>
            </w:tcBorders>
            <w:vAlign w:val="center"/>
          </w:tcPr>
          <w:p>
            <w:pPr>
              <w:widowControl/>
              <w:spacing w:before="60" w:after="60" w:line="360" w:lineRule="exact"/>
              <w:ind w:left="60" w:right="60"/>
              <w:jc w:val="center"/>
              <w:rPr>
                <w:rFonts w:ascii="宋体" w:hAnsi="宋体" w:cs="宋体"/>
                <w:kern w:val="0"/>
                <w:szCs w:val="21"/>
              </w:rPr>
            </w:pPr>
            <w:r>
              <w:rPr>
                <w:rFonts w:hint="eastAsia" w:ascii="宋体" w:hAnsi="宋体" w:cs="宋体"/>
                <w:kern w:val="0"/>
                <w:szCs w:val="21"/>
              </w:rPr>
              <w:t>数量</w:t>
            </w:r>
          </w:p>
        </w:tc>
        <w:tc>
          <w:tcPr>
            <w:tcW w:w="2185" w:type="pct"/>
            <w:tcBorders>
              <w:top w:val="single" w:color="auto" w:sz="4" w:space="0"/>
              <w:left w:val="single" w:color="auto" w:sz="4" w:space="0"/>
              <w:bottom w:val="single" w:color="auto" w:sz="4" w:space="0"/>
              <w:right w:val="single" w:color="auto" w:sz="4" w:space="0"/>
            </w:tcBorders>
            <w:vAlign w:val="center"/>
          </w:tcPr>
          <w:p>
            <w:pPr>
              <w:widowControl/>
              <w:spacing w:before="60" w:after="60" w:line="360" w:lineRule="exact"/>
              <w:ind w:right="60"/>
              <w:jc w:val="center"/>
              <w:rPr>
                <w:rFonts w:ascii="宋体" w:hAnsi="宋体" w:cs="宋体"/>
                <w:kern w:val="0"/>
                <w:szCs w:val="21"/>
              </w:rPr>
            </w:pPr>
            <w:r>
              <w:rPr>
                <w:rFonts w:hint="eastAsia" w:ascii="宋体" w:hAnsi="宋体" w:cs="宋体"/>
                <w:kern w:val="0"/>
                <w:szCs w:val="21"/>
              </w:rPr>
              <w:t>简要规格描述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415" w:type="pct"/>
            <w:tcBorders>
              <w:top w:val="single" w:color="auto" w:sz="4" w:space="0"/>
              <w:left w:val="single" w:color="auto" w:sz="4" w:space="0"/>
              <w:right w:val="single" w:color="auto" w:sz="4" w:space="0"/>
            </w:tcBorders>
            <w:vAlign w:val="center"/>
          </w:tcPr>
          <w:p>
            <w:pPr>
              <w:widowControl/>
              <w:spacing w:before="60" w:after="60" w:line="360" w:lineRule="exact"/>
              <w:ind w:right="60"/>
              <w:jc w:val="center"/>
              <w:rPr>
                <w:rFonts w:ascii="宋体" w:hAnsi="宋体" w:cs="宋体"/>
                <w:kern w:val="0"/>
                <w:szCs w:val="21"/>
              </w:rPr>
            </w:pPr>
            <w:r>
              <w:rPr>
                <w:rFonts w:hint="eastAsia" w:ascii="宋体" w:hAnsi="宋体" w:cs="宋体"/>
                <w:kern w:val="0"/>
                <w:szCs w:val="21"/>
              </w:rPr>
              <w:t>1</w:t>
            </w:r>
          </w:p>
        </w:tc>
        <w:tc>
          <w:tcPr>
            <w:tcW w:w="1800" w:type="pct"/>
            <w:tcBorders>
              <w:top w:val="single" w:color="auto" w:sz="4" w:space="0"/>
              <w:left w:val="single" w:color="auto" w:sz="4" w:space="0"/>
              <w:right w:val="single" w:color="auto" w:sz="4" w:space="0"/>
            </w:tcBorders>
            <w:vAlign w:val="center"/>
          </w:tcPr>
          <w:p>
            <w:pPr>
              <w:widowControl/>
              <w:spacing w:before="60" w:after="60" w:line="360" w:lineRule="exact"/>
              <w:ind w:right="60"/>
              <w:jc w:val="center"/>
              <w:rPr>
                <w:rFonts w:hint="eastAsia" w:ascii="宋体" w:hAnsi="宋体" w:eastAsia="宋体" w:cs="宋体"/>
                <w:kern w:val="0"/>
                <w:szCs w:val="21"/>
                <w:lang w:eastAsia="zh-CN"/>
              </w:rPr>
            </w:pPr>
            <w:r>
              <w:rPr>
                <w:rFonts w:hint="eastAsia" w:ascii="宋体" w:hAnsi="宋体" w:cs="宋体"/>
                <w:kern w:val="0"/>
                <w:szCs w:val="21"/>
                <w:lang w:eastAsia="zh-CN"/>
              </w:rPr>
              <w:t>SCATS信号二期/三期续建系统整体运维服务（2020年）</w:t>
            </w:r>
          </w:p>
        </w:tc>
        <w:tc>
          <w:tcPr>
            <w:tcW w:w="601" w:type="pct"/>
            <w:tcBorders>
              <w:top w:val="single" w:color="auto" w:sz="4" w:space="0"/>
              <w:left w:val="single" w:color="auto" w:sz="4" w:space="0"/>
              <w:right w:val="single" w:color="auto" w:sz="4" w:space="0"/>
            </w:tcBorders>
            <w:vAlign w:val="center"/>
          </w:tcPr>
          <w:p>
            <w:pPr>
              <w:spacing w:line="360" w:lineRule="exact"/>
              <w:jc w:val="center"/>
              <w:rPr>
                <w:rFonts w:ascii="宋体" w:hAnsi="宋体" w:cs="宋体"/>
                <w:kern w:val="0"/>
                <w:szCs w:val="21"/>
              </w:rPr>
            </w:pPr>
            <w:r>
              <w:rPr>
                <w:rFonts w:hint="eastAsia" w:ascii="宋体" w:hAnsi="宋体" w:cs="宋体"/>
                <w:kern w:val="0"/>
                <w:szCs w:val="21"/>
              </w:rPr>
              <w:t>1项</w:t>
            </w:r>
          </w:p>
        </w:tc>
        <w:tc>
          <w:tcPr>
            <w:tcW w:w="2185" w:type="pct"/>
            <w:tcBorders>
              <w:top w:val="single" w:color="auto" w:sz="4" w:space="0"/>
              <w:left w:val="single" w:color="auto" w:sz="4" w:space="0"/>
              <w:right w:val="single" w:color="auto" w:sz="4" w:space="0"/>
            </w:tcBorders>
            <w:vAlign w:val="center"/>
          </w:tcPr>
          <w:p>
            <w:pPr>
              <w:rPr>
                <w:rFonts w:ascii="宋体" w:hAnsi="宋体" w:cs="宋体"/>
                <w:szCs w:val="21"/>
              </w:rPr>
            </w:pPr>
            <w:r>
              <w:rPr>
                <w:rFonts w:hint="eastAsia" w:ascii="宋体" w:hAnsi="宋体" w:cs="宋体"/>
                <w:szCs w:val="21"/>
                <w:lang w:eastAsia="zh-CN"/>
              </w:rPr>
              <w:t>SCATS信号二期/三期续建系统整体运维服务（2020年）</w:t>
            </w:r>
            <w:r>
              <w:rPr>
                <w:rFonts w:hint="eastAsia" w:ascii="宋体" w:hAnsi="宋体" w:cs="宋体"/>
                <w:szCs w:val="21"/>
              </w:rPr>
              <w:t>等相关工作，具体招标内容及要求详见招标文件相关部分。</w:t>
            </w:r>
          </w:p>
        </w:tc>
      </w:tr>
    </w:tbl>
    <w:p>
      <w:pPr>
        <w:widowControl/>
        <w:spacing w:before="60" w:after="60" w:line="360" w:lineRule="exact"/>
        <w:ind w:left="60" w:right="60" w:firstLine="483" w:firstLineChars="229"/>
        <w:jc w:val="left"/>
        <w:rPr>
          <w:rFonts w:ascii="宋体" w:hAnsi="宋体" w:cs="宋体"/>
          <w:b/>
          <w:kern w:val="0"/>
          <w:szCs w:val="21"/>
        </w:rPr>
      </w:pPr>
      <w:r>
        <w:rPr>
          <w:rFonts w:hint="eastAsia" w:ascii="宋体" w:hAnsi="宋体" w:cs="宋体"/>
          <w:b/>
          <w:kern w:val="0"/>
          <w:szCs w:val="21"/>
        </w:rPr>
        <w:t>本项目不接受联合体投标。</w:t>
      </w:r>
    </w:p>
    <w:p>
      <w:pPr>
        <w:widowControl/>
        <w:spacing w:before="60" w:after="60" w:line="360" w:lineRule="exact"/>
        <w:ind w:left="60" w:right="60"/>
        <w:jc w:val="left"/>
        <w:rPr>
          <w:rFonts w:ascii="宋体" w:hAnsi="宋体" w:cs="宋体"/>
          <w:kern w:val="0"/>
          <w:szCs w:val="21"/>
        </w:rPr>
      </w:pPr>
      <w:r>
        <w:rPr>
          <w:rFonts w:hint="eastAsia" w:ascii="宋体" w:hAnsi="宋体" w:cs="宋体"/>
          <w:b/>
          <w:kern w:val="0"/>
          <w:szCs w:val="21"/>
        </w:rPr>
        <w:t>二、申请人的资格要求：</w:t>
      </w:r>
      <w:r>
        <w:rPr>
          <w:rFonts w:hint="eastAsia" w:ascii="宋体" w:hAnsi="宋体" w:cs="宋体"/>
          <w:kern w:val="0"/>
          <w:szCs w:val="21"/>
        </w:rPr>
        <w:t>：</w:t>
      </w:r>
    </w:p>
    <w:p>
      <w:pPr>
        <w:widowControl/>
        <w:spacing w:before="60" w:after="60" w:line="360" w:lineRule="exact"/>
        <w:ind w:left="60" w:right="60" w:firstLine="420" w:firstLineChars="200"/>
        <w:jc w:val="left"/>
        <w:rPr>
          <w:rFonts w:ascii="宋体" w:hAnsi="宋体" w:cs="宋体"/>
          <w:bCs/>
          <w:kern w:val="0"/>
          <w:szCs w:val="21"/>
        </w:rPr>
      </w:pPr>
      <w:r>
        <w:rPr>
          <w:rFonts w:hint="eastAsia" w:ascii="宋体" w:hAnsi="宋体" w:cs="宋体"/>
          <w:bCs/>
          <w:kern w:val="0"/>
          <w:szCs w:val="21"/>
        </w:rPr>
        <w:t>1、符合政府采购法第二十二条关于投标供应商的资格；</w:t>
      </w:r>
    </w:p>
    <w:p>
      <w:pPr>
        <w:widowControl/>
        <w:spacing w:before="60" w:after="60" w:line="360" w:lineRule="exact"/>
        <w:ind w:left="60" w:right="60" w:firstLine="420" w:firstLineChars="200"/>
        <w:jc w:val="left"/>
        <w:rPr>
          <w:rFonts w:ascii="宋体" w:hAnsi="宋体" w:cs="宋体"/>
          <w:bCs/>
          <w:kern w:val="0"/>
          <w:szCs w:val="21"/>
        </w:rPr>
      </w:pPr>
      <w:r>
        <w:rPr>
          <w:rFonts w:hint="eastAsia" w:ascii="宋体" w:hAnsi="宋体" w:cs="宋体"/>
          <w:bCs/>
          <w:kern w:val="0"/>
          <w:szCs w:val="21"/>
        </w:rPr>
        <w:t>2、投标供应商未被“信用中国”（www.creditchina.gov.cn）、中国政府采购网（www.ccgp.gov.cn）列入失信被执行人、重大税收违法案件当事人名单、政府采购严重违法失信行为记录名单；</w:t>
      </w:r>
    </w:p>
    <w:p>
      <w:pPr>
        <w:widowControl/>
        <w:spacing w:before="60" w:after="60" w:line="360" w:lineRule="exact"/>
        <w:ind w:left="60" w:right="60" w:firstLine="420" w:firstLineChars="200"/>
        <w:jc w:val="left"/>
        <w:rPr>
          <w:rFonts w:ascii="宋体" w:hAnsi="宋体" w:cs="宋体"/>
          <w:bCs/>
          <w:kern w:val="0"/>
          <w:szCs w:val="21"/>
        </w:rPr>
      </w:pPr>
      <w:r>
        <w:rPr>
          <w:rFonts w:hint="eastAsia" w:ascii="宋体" w:hAnsi="宋体" w:cs="宋体"/>
          <w:bCs/>
          <w:kern w:val="0"/>
          <w:szCs w:val="21"/>
        </w:rPr>
        <w:t>3、单位负责人为同一人或者存在直接控股、管理关系的不同供应商，不得参加同一合同项下的政府采购活动；</w:t>
      </w:r>
    </w:p>
    <w:p>
      <w:pPr>
        <w:widowControl/>
        <w:spacing w:before="60" w:after="60" w:line="360" w:lineRule="exact"/>
        <w:ind w:left="60" w:right="60" w:firstLine="420" w:firstLineChars="200"/>
        <w:jc w:val="left"/>
        <w:rPr>
          <w:rFonts w:ascii="宋体" w:hAnsi="宋体" w:cs="宋体"/>
          <w:bCs/>
          <w:kern w:val="0"/>
          <w:szCs w:val="21"/>
        </w:rPr>
      </w:pPr>
      <w:r>
        <w:rPr>
          <w:rFonts w:hint="eastAsia" w:ascii="宋体" w:hAnsi="宋体" w:cs="宋体"/>
          <w:bCs/>
          <w:kern w:val="0"/>
          <w:szCs w:val="21"/>
        </w:rPr>
        <w:t>4、本项目拒绝联合体参与投标；</w:t>
      </w:r>
    </w:p>
    <w:p>
      <w:pPr>
        <w:widowControl/>
        <w:spacing w:before="60" w:after="60" w:line="360" w:lineRule="exact"/>
        <w:ind w:left="60" w:right="60" w:firstLine="420" w:firstLineChars="200"/>
        <w:jc w:val="left"/>
        <w:rPr>
          <w:rFonts w:ascii="宋体" w:hAnsi="宋体" w:cs="宋体"/>
          <w:bCs/>
          <w:kern w:val="0"/>
          <w:szCs w:val="21"/>
        </w:rPr>
      </w:pPr>
      <w:r>
        <w:rPr>
          <w:rFonts w:hint="eastAsia" w:ascii="宋体" w:hAnsi="宋体" w:cs="宋体"/>
          <w:bCs/>
          <w:kern w:val="0"/>
          <w:szCs w:val="21"/>
        </w:rPr>
        <w:t>5、法律、行政法规规定的其他条件。</w:t>
      </w:r>
    </w:p>
    <w:p>
      <w:pPr>
        <w:widowControl/>
        <w:spacing w:before="60" w:after="60" w:line="360" w:lineRule="exact"/>
        <w:ind w:left="60" w:right="60"/>
        <w:jc w:val="left"/>
        <w:rPr>
          <w:rFonts w:ascii="宋体" w:hAnsi="宋体" w:cs="宋体"/>
          <w:b/>
          <w:kern w:val="0"/>
          <w:szCs w:val="21"/>
        </w:rPr>
      </w:pPr>
      <w:r>
        <w:rPr>
          <w:rFonts w:hint="eastAsia" w:ascii="宋体" w:hAnsi="宋体" w:cs="宋体"/>
          <w:b/>
          <w:kern w:val="0"/>
          <w:szCs w:val="21"/>
        </w:rPr>
        <w:t>三、获取招标文件：</w:t>
      </w:r>
    </w:p>
    <w:p>
      <w:pPr>
        <w:widowControl/>
        <w:spacing w:before="60" w:after="60" w:line="360" w:lineRule="exact"/>
        <w:ind w:left="61" w:leftChars="29" w:right="60" w:firstLine="420" w:firstLineChars="200"/>
        <w:jc w:val="left"/>
        <w:rPr>
          <w:rFonts w:ascii="宋体" w:hAnsi="宋体" w:cs="宋体"/>
          <w:bCs/>
          <w:kern w:val="0"/>
          <w:szCs w:val="21"/>
        </w:rPr>
      </w:pPr>
      <w:r>
        <w:rPr>
          <w:rFonts w:hint="eastAsia" w:ascii="宋体" w:hAnsi="宋体" w:cs="宋体"/>
          <w:kern w:val="0"/>
          <w:szCs w:val="21"/>
        </w:rPr>
        <w:t>1、获取方式：</w:t>
      </w:r>
      <w:r>
        <w:rPr>
          <w:rFonts w:hint="eastAsia" w:ascii="宋体" w:hAnsi="宋体" w:cs="宋体"/>
          <w:bCs/>
          <w:kern w:val="0"/>
          <w:szCs w:val="21"/>
        </w:rPr>
        <w:t>在线获取,本项目不提供纸质版招标文件，潜在供应商可通过浙江政府采购网“政府采购云平台”在线获取。通过本公告下方“游客，浏览采购文件”下载的采购文件仅供浏览。</w:t>
      </w:r>
    </w:p>
    <w:p>
      <w:pPr>
        <w:widowControl/>
        <w:spacing w:before="60" w:after="60" w:line="360" w:lineRule="exact"/>
        <w:ind w:left="61" w:leftChars="29" w:right="60" w:firstLine="420" w:firstLineChars="200"/>
        <w:jc w:val="left"/>
        <w:rPr>
          <w:rFonts w:ascii="宋体" w:hAnsi="宋体" w:cs="宋体"/>
          <w:kern w:val="0"/>
          <w:szCs w:val="21"/>
        </w:rPr>
      </w:pPr>
      <w:r>
        <w:rPr>
          <w:rFonts w:hint="eastAsia" w:ascii="宋体" w:hAnsi="宋体" w:cs="宋体"/>
          <w:bCs/>
          <w:kern w:val="0"/>
          <w:szCs w:val="21"/>
        </w:rPr>
        <w:t>以注册供应商帐号登录，进入“项目采购”应用，在获取采购文件菜单中选择项目，申请获取采购文件，本项目采购文件不收取工本费；如仅需浏览采购文件的供应商可以游客方式直接下载采购文件浏览）；供应商获取采购文件前应先完成“政府采购云平台”的账号注册；供应商只有在“政府采购云平台”完成获取采购文件申请并下载了采购文件后才视作依法获取采购文件（法律法规所指的供应商获取采购文件时间，以供应商完成获取采购文件申请后下载采购文件的时间为准。政采云咨询电话：</w:t>
      </w:r>
      <w:r>
        <w:rPr>
          <w:rFonts w:hint="eastAsia" w:ascii="宋体" w:hAnsi="宋体" w:cs="宋体"/>
          <w:szCs w:val="21"/>
        </w:rPr>
        <w:t>400-881-7190</w:t>
      </w:r>
      <w:r>
        <w:rPr>
          <w:rFonts w:hint="eastAsia" w:ascii="宋体" w:hAnsi="宋体" w:cs="宋体"/>
          <w:bCs/>
          <w:kern w:val="0"/>
          <w:szCs w:val="21"/>
        </w:rPr>
        <w:t>）</w:t>
      </w:r>
      <w:r>
        <w:rPr>
          <w:rFonts w:hint="eastAsia" w:ascii="宋体" w:hAnsi="宋体" w:cs="宋体"/>
          <w:b/>
          <w:bCs/>
          <w:kern w:val="0"/>
          <w:szCs w:val="21"/>
        </w:rPr>
        <w:t>。</w:t>
      </w:r>
    </w:p>
    <w:p>
      <w:pPr>
        <w:widowControl/>
        <w:spacing w:before="60" w:after="60" w:line="360" w:lineRule="exact"/>
        <w:ind w:left="61" w:leftChars="29" w:right="60" w:firstLine="420" w:firstLineChars="200"/>
        <w:jc w:val="left"/>
        <w:rPr>
          <w:rFonts w:ascii="宋体" w:hAnsi="宋体" w:cs="宋体"/>
          <w:kern w:val="0"/>
          <w:szCs w:val="21"/>
        </w:rPr>
      </w:pPr>
      <w:r>
        <w:rPr>
          <w:rFonts w:hint="eastAsia" w:ascii="宋体" w:hAnsi="宋体" w:cs="宋体"/>
          <w:kern w:val="0"/>
          <w:szCs w:val="21"/>
        </w:rPr>
        <w:t>2、招标文件获取时间：</w:t>
      </w:r>
      <w:bookmarkStart w:id="1" w:name="B17_竞争性谈判文件发售开始日期"/>
      <w:bookmarkEnd w:id="1"/>
      <w:r>
        <w:rPr>
          <w:rFonts w:hint="eastAsia" w:ascii="宋体" w:hAnsi="宋体" w:cs="宋体"/>
          <w:kern w:val="0"/>
          <w:szCs w:val="21"/>
        </w:rPr>
        <w:t>公告发布之日起至投标文件递交截止时间。</w:t>
      </w:r>
    </w:p>
    <w:p>
      <w:pPr>
        <w:widowControl/>
        <w:spacing w:before="60" w:after="60" w:line="360" w:lineRule="exact"/>
        <w:ind w:left="61" w:leftChars="29" w:right="60" w:firstLine="420" w:firstLineChars="200"/>
        <w:jc w:val="left"/>
        <w:rPr>
          <w:rFonts w:ascii="宋体" w:hAnsi="宋体" w:cs="宋体"/>
          <w:kern w:val="0"/>
          <w:szCs w:val="21"/>
        </w:rPr>
      </w:pPr>
      <w:r>
        <w:rPr>
          <w:rFonts w:hint="eastAsia" w:ascii="宋体" w:hAnsi="宋体" w:cs="宋体"/>
          <w:kern w:val="0"/>
          <w:szCs w:val="21"/>
        </w:rPr>
        <w:t>3、获取文件途径：</w:t>
      </w:r>
      <w:r>
        <w:rPr>
          <w:rFonts w:hint="eastAsia" w:ascii="宋体" w:hAnsi="宋体" w:cs="宋体"/>
          <w:bCs/>
          <w:szCs w:val="21"/>
        </w:rPr>
        <w:t>在政府采购云平云（www.zcygov.cn）上自主获取。</w:t>
      </w:r>
    </w:p>
    <w:p>
      <w:pPr>
        <w:widowControl/>
        <w:spacing w:before="60" w:after="60" w:line="360" w:lineRule="exact"/>
        <w:ind w:left="60" w:right="60"/>
        <w:jc w:val="left"/>
        <w:rPr>
          <w:rFonts w:ascii="宋体" w:hAnsi="宋体" w:cs="宋体"/>
          <w:b/>
          <w:bCs/>
          <w:kern w:val="0"/>
          <w:szCs w:val="21"/>
        </w:rPr>
      </w:pPr>
      <w:r>
        <w:rPr>
          <w:rFonts w:hint="eastAsia" w:ascii="宋体" w:hAnsi="宋体" w:cs="宋体"/>
          <w:b/>
          <w:bCs/>
          <w:kern w:val="0"/>
          <w:szCs w:val="21"/>
        </w:rPr>
        <w:t>四、提交投标文件截止时间、开标时间和地点</w:t>
      </w:r>
    </w:p>
    <w:p>
      <w:pPr>
        <w:widowControl/>
        <w:spacing w:before="60" w:after="60" w:line="360" w:lineRule="exact"/>
        <w:ind w:left="61" w:leftChars="29" w:right="60" w:firstLine="413" w:firstLineChars="196"/>
        <w:jc w:val="left"/>
        <w:rPr>
          <w:rFonts w:ascii="宋体" w:hAnsi="宋体" w:cs="宋体"/>
          <w:b/>
          <w:bCs/>
          <w:kern w:val="0"/>
          <w:szCs w:val="21"/>
        </w:rPr>
      </w:pPr>
      <w:r>
        <w:rPr>
          <w:rFonts w:hint="eastAsia" w:ascii="宋体" w:hAnsi="宋体" w:cs="宋体"/>
          <w:b/>
          <w:bCs/>
          <w:kern w:val="0"/>
          <w:szCs w:val="21"/>
        </w:rPr>
        <w:t>投标文件提交截止时间：</w:t>
      </w:r>
      <w:bookmarkStart w:id="2" w:name="B23_谈判响应文件提交截止日期"/>
      <w:bookmarkEnd w:id="2"/>
      <w:r>
        <w:rPr>
          <w:rFonts w:hint="eastAsia" w:ascii="宋体" w:hAnsi="宋体" w:cs="宋体"/>
          <w:b/>
          <w:bCs/>
          <w:szCs w:val="21"/>
          <w:u w:val="single"/>
        </w:rPr>
        <w:t>202</w:t>
      </w:r>
      <w:r>
        <w:rPr>
          <w:rFonts w:hint="eastAsia" w:ascii="宋体" w:hAnsi="宋体" w:cs="宋体"/>
          <w:b/>
          <w:bCs/>
          <w:szCs w:val="21"/>
          <w:u w:val="single"/>
          <w:lang w:val="en-US" w:eastAsia="zh-CN"/>
        </w:rPr>
        <w:t>1</w:t>
      </w:r>
      <w:r>
        <w:rPr>
          <w:rFonts w:hint="eastAsia" w:ascii="宋体" w:hAnsi="宋体" w:cs="宋体"/>
          <w:b/>
          <w:bCs/>
          <w:szCs w:val="21"/>
          <w:u w:val="single"/>
        </w:rPr>
        <w:t>年</w:t>
      </w:r>
      <w:r>
        <w:rPr>
          <w:rFonts w:hint="eastAsia" w:ascii="宋体" w:hAnsi="宋体" w:cs="宋体"/>
          <w:b/>
          <w:bCs/>
          <w:szCs w:val="21"/>
          <w:u w:val="single"/>
          <w:lang w:val="en-US" w:eastAsia="zh-CN"/>
        </w:rPr>
        <w:t>2</w:t>
      </w:r>
      <w:r>
        <w:rPr>
          <w:rFonts w:hint="eastAsia" w:ascii="宋体" w:hAnsi="宋体" w:cs="宋体"/>
          <w:b/>
          <w:bCs/>
          <w:szCs w:val="21"/>
          <w:u w:val="single"/>
        </w:rPr>
        <w:t>月</w:t>
      </w:r>
      <w:r>
        <w:rPr>
          <w:rFonts w:hint="eastAsia" w:ascii="宋体" w:hAnsi="宋体" w:cs="宋体"/>
          <w:b/>
          <w:bCs/>
          <w:szCs w:val="21"/>
          <w:u w:val="single"/>
          <w:lang w:val="en-US" w:eastAsia="zh-CN"/>
        </w:rPr>
        <w:t>7</w:t>
      </w:r>
      <w:r>
        <w:rPr>
          <w:rFonts w:hint="eastAsia" w:ascii="宋体" w:hAnsi="宋体" w:cs="宋体"/>
          <w:b/>
          <w:bCs/>
          <w:szCs w:val="21"/>
          <w:u w:val="single"/>
        </w:rPr>
        <w:t>日9:30分整</w:t>
      </w:r>
    </w:p>
    <w:p>
      <w:pPr>
        <w:widowControl/>
        <w:spacing w:before="60" w:after="60" w:line="360" w:lineRule="exact"/>
        <w:ind w:left="61" w:leftChars="29" w:right="60" w:firstLine="413" w:firstLineChars="196"/>
        <w:jc w:val="left"/>
        <w:rPr>
          <w:rFonts w:ascii="宋体" w:hAnsi="宋体" w:cs="宋体"/>
          <w:b/>
          <w:bCs/>
          <w:kern w:val="0"/>
          <w:szCs w:val="21"/>
        </w:rPr>
      </w:pPr>
      <w:r>
        <w:rPr>
          <w:rFonts w:hint="eastAsia" w:ascii="宋体" w:hAnsi="宋体" w:cs="宋体"/>
          <w:b/>
          <w:bCs/>
          <w:kern w:val="0"/>
          <w:szCs w:val="21"/>
        </w:rPr>
        <w:t>开标时间：</w:t>
      </w:r>
      <w:bookmarkStart w:id="3" w:name="B26_谈判时间日期"/>
      <w:bookmarkEnd w:id="3"/>
      <w:r>
        <w:rPr>
          <w:rFonts w:hint="eastAsia" w:ascii="宋体" w:hAnsi="宋体" w:cs="宋体"/>
          <w:b/>
          <w:bCs/>
          <w:kern w:val="0"/>
          <w:szCs w:val="21"/>
          <w:u w:val="single"/>
        </w:rPr>
        <w:t>202</w:t>
      </w:r>
      <w:r>
        <w:rPr>
          <w:rFonts w:hint="eastAsia" w:ascii="宋体" w:hAnsi="宋体" w:cs="宋体"/>
          <w:b/>
          <w:bCs/>
          <w:kern w:val="0"/>
          <w:szCs w:val="21"/>
          <w:u w:val="single"/>
          <w:lang w:val="en-US" w:eastAsia="zh-CN"/>
        </w:rPr>
        <w:t>1</w:t>
      </w:r>
      <w:r>
        <w:rPr>
          <w:rFonts w:hint="eastAsia" w:ascii="宋体" w:hAnsi="宋体" w:cs="宋体"/>
          <w:b/>
          <w:bCs/>
          <w:kern w:val="0"/>
          <w:szCs w:val="21"/>
          <w:u w:val="single"/>
        </w:rPr>
        <w:t>年</w:t>
      </w:r>
      <w:r>
        <w:rPr>
          <w:rFonts w:hint="eastAsia" w:ascii="宋体" w:hAnsi="宋体" w:cs="宋体"/>
          <w:b/>
          <w:bCs/>
          <w:kern w:val="0"/>
          <w:szCs w:val="21"/>
          <w:u w:val="single"/>
          <w:lang w:val="en-US" w:eastAsia="zh-CN"/>
        </w:rPr>
        <w:t>2</w:t>
      </w:r>
      <w:r>
        <w:rPr>
          <w:rFonts w:hint="eastAsia" w:ascii="宋体" w:hAnsi="宋体" w:cs="宋体"/>
          <w:b/>
          <w:bCs/>
          <w:kern w:val="0"/>
          <w:szCs w:val="21"/>
          <w:u w:val="single"/>
        </w:rPr>
        <w:t>月</w:t>
      </w:r>
      <w:r>
        <w:rPr>
          <w:rFonts w:hint="eastAsia" w:ascii="宋体" w:hAnsi="宋体" w:cs="宋体"/>
          <w:b/>
          <w:bCs/>
          <w:kern w:val="0"/>
          <w:szCs w:val="21"/>
          <w:u w:val="single"/>
          <w:lang w:val="en-US" w:eastAsia="zh-CN"/>
        </w:rPr>
        <w:t>7</w:t>
      </w:r>
      <w:r>
        <w:rPr>
          <w:rFonts w:hint="eastAsia" w:ascii="宋体" w:hAnsi="宋体" w:cs="宋体"/>
          <w:b/>
          <w:bCs/>
          <w:kern w:val="0"/>
          <w:szCs w:val="21"/>
          <w:u w:val="single"/>
        </w:rPr>
        <w:t>日9:30分整</w:t>
      </w:r>
    </w:p>
    <w:p>
      <w:pPr>
        <w:widowControl/>
        <w:spacing w:before="60" w:after="60" w:line="360" w:lineRule="exact"/>
        <w:ind w:left="61" w:leftChars="29" w:right="60" w:firstLine="413" w:firstLineChars="196"/>
        <w:jc w:val="left"/>
        <w:rPr>
          <w:rFonts w:ascii="宋体" w:hAnsi="宋体" w:cs="宋体"/>
          <w:bCs/>
          <w:kern w:val="0"/>
          <w:szCs w:val="21"/>
        </w:rPr>
      </w:pPr>
      <w:r>
        <w:rPr>
          <w:rFonts w:hint="eastAsia" w:ascii="宋体" w:hAnsi="宋体" w:cs="宋体"/>
          <w:b/>
          <w:bCs/>
          <w:kern w:val="0"/>
          <w:szCs w:val="21"/>
        </w:rPr>
        <w:t>开标地点：</w:t>
      </w:r>
      <w:r>
        <w:rPr>
          <w:rFonts w:hint="eastAsia" w:ascii="宋体" w:hAnsi="宋体" w:cs="宋体"/>
          <w:b/>
          <w:bCs/>
          <w:kern w:val="0"/>
          <w:szCs w:val="21"/>
          <w:u w:val="single"/>
        </w:rPr>
        <w:t>温州市鹿城区会展路1268号（温州市民中心A座3楼）</w:t>
      </w:r>
      <w:r>
        <w:rPr>
          <w:rFonts w:hint="eastAsia" w:ascii="宋体" w:hAnsi="宋体" w:cs="宋体"/>
          <w:bCs/>
          <w:kern w:val="0"/>
          <w:szCs w:val="21"/>
        </w:rPr>
        <w:t>。</w:t>
      </w:r>
    </w:p>
    <w:p>
      <w:pPr>
        <w:widowControl/>
        <w:spacing w:before="60" w:after="60" w:line="360" w:lineRule="exact"/>
        <w:ind w:left="61" w:leftChars="29" w:right="60" w:firstLine="411" w:firstLineChars="196"/>
        <w:jc w:val="left"/>
        <w:rPr>
          <w:rFonts w:ascii="宋体" w:hAnsi="宋体" w:cs="宋体"/>
          <w:bCs/>
          <w:kern w:val="0"/>
          <w:szCs w:val="21"/>
        </w:rPr>
      </w:pPr>
      <w:r>
        <w:rPr>
          <w:rFonts w:hint="eastAsia" w:ascii="宋体" w:hAnsi="宋体" w:cs="宋体"/>
          <w:bCs/>
          <w:kern w:val="0"/>
          <w:szCs w:val="21"/>
        </w:rPr>
        <w:t>投标人应当在投标截止时间前完成电子投标文件（即后缀格式为.jmbs的加密标书，下同）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widowControl/>
        <w:spacing w:before="60" w:after="60" w:line="360" w:lineRule="exact"/>
        <w:ind w:left="60" w:right="60"/>
        <w:jc w:val="left"/>
        <w:rPr>
          <w:rFonts w:ascii="宋体" w:hAnsi="宋体" w:cs="宋体"/>
          <w:b/>
          <w:kern w:val="0"/>
          <w:szCs w:val="21"/>
        </w:rPr>
      </w:pPr>
      <w:r>
        <w:rPr>
          <w:rFonts w:hint="eastAsia" w:ascii="宋体" w:hAnsi="宋体" w:cs="宋体"/>
          <w:b/>
          <w:kern w:val="0"/>
          <w:szCs w:val="21"/>
        </w:rPr>
        <w:t>五、公告期限</w:t>
      </w:r>
    </w:p>
    <w:p>
      <w:pPr>
        <w:widowControl/>
        <w:spacing w:before="60" w:after="60" w:line="360" w:lineRule="exact"/>
        <w:ind w:left="61" w:leftChars="29" w:right="60" w:firstLine="308" w:firstLineChars="147"/>
        <w:jc w:val="left"/>
        <w:rPr>
          <w:rFonts w:ascii="宋体" w:hAnsi="宋体" w:cs="宋体"/>
          <w:kern w:val="0"/>
          <w:szCs w:val="21"/>
        </w:rPr>
      </w:pPr>
      <w:r>
        <w:rPr>
          <w:rFonts w:hint="eastAsia" w:ascii="宋体" w:hAnsi="宋体" w:cs="宋体"/>
          <w:kern w:val="0"/>
          <w:szCs w:val="21"/>
        </w:rPr>
        <w:t>自本公告发布之日起5个工作日。</w:t>
      </w:r>
    </w:p>
    <w:p>
      <w:pPr>
        <w:widowControl/>
        <w:spacing w:before="60" w:after="60" w:line="360" w:lineRule="exact"/>
        <w:ind w:left="60" w:right="60"/>
        <w:jc w:val="left"/>
        <w:rPr>
          <w:rFonts w:ascii="宋体" w:hAnsi="宋体" w:cs="宋体"/>
          <w:b/>
          <w:kern w:val="0"/>
          <w:szCs w:val="21"/>
        </w:rPr>
      </w:pPr>
      <w:r>
        <w:rPr>
          <w:rFonts w:hint="eastAsia" w:ascii="宋体" w:hAnsi="宋体" w:cs="宋体"/>
          <w:b/>
          <w:kern w:val="0"/>
          <w:szCs w:val="21"/>
        </w:rPr>
        <w:t>六、其他补充事宜</w:t>
      </w:r>
    </w:p>
    <w:p>
      <w:pPr>
        <w:widowControl/>
        <w:spacing w:before="60" w:after="60" w:line="360" w:lineRule="exact"/>
        <w:ind w:left="61" w:leftChars="29" w:right="60" w:firstLine="310" w:firstLineChars="147"/>
        <w:jc w:val="left"/>
        <w:rPr>
          <w:rFonts w:ascii="宋体" w:hAnsi="宋体" w:cs="宋体"/>
          <w:b/>
          <w:kern w:val="0"/>
          <w:szCs w:val="21"/>
        </w:rPr>
      </w:pPr>
      <w:r>
        <w:rPr>
          <w:rFonts w:hint="eastAsia" w:ascii="宋体" w:hAnsi="宋体" w:cs="宋体"/>
          <w:b/>
          <w:kern w:val="0"/>
          <w:szCs w:val="21"/>
        </w:rPr>
        <w:t>1）电子投标说明</w:t>
      </w:r>
    </w:p>
    <w:p>
      <w:pPr>
        <w:widowControl/>
        <w:spacing w:before="60" w:after="60" w:line="360" w:lineRule="exact"/>
        <w:ind w:left="61" w:leftChars="29" w:right="60" w:firstLine="315" w:firstLineChars="150"/>
        <w:jc w:val="left"/>
        <w:rPr>
          <w:rFonts w:ascii="宋体" w:hAnsi="宋体" w:cs="宋体"/>
          <w:szCs w:val="21"/>
        </w:rPr>
      </w:pPr>
      <w:r>
        <w:rPr>
          <w:rFonts w:hint="eastAsia" w:ascii="宋体" w:hAnsi="宋体" w:cs="宋体"/>
          <w:szCs w:val="21"/>
        </w:rPr>
        <w:t>1.本项目实行电子投标，投标人无须提交纸质投标文件，无须授权代表参加开标会议。应按照本项目招标文件和政采云平台的要求编制、加密并递交投标文件。供应商在使用系统进行投标的过程中遇到涉及平台使用的任何问题，可致电政采云平台技术支持热线咨询，联系方式：400-881-7190。</w:t>
      </w:r>
    </w:p>
    <w:p>
      <w:pPr>
        <w:widowControl/>
        <w:spacing w:before="60" w:after="60" w:line="360" w:lineRule="exact"/>
        <w:ind w:left="61" w:leftChars="29" w:right="60" w:firstLine="315" w:firstLineChars="150"/>
        <w:jc w:val="left"/>
        <w:rPr>
          <w:rFonts w:ascii="宋体" w:hAnsi="宋体" w:cs="宋体"/>
          <w:szCs w:val="21"/>
        </w:rPr>
      </w:pPr>
      <w:r>
        <w:rPr>
          <w:rFonts w:hint="eastAsia" w:ascii="宋体" w:hAnsi="宋体" w:cs="宋体"/>
          <w:szCs w:val="21"/>
        </w:rPr>
        <w:t>2. 为确保网上操作合法、有效和安全，投标人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完成CA数字证书办理时间预计一周左右，建议各投标人抓紧办理。</w:t>
      </w:r>
    </w:p>
    <w:p>
      <w:pPr>
        <w:widowControl/>
        <w:spacing w:before="60" w:after="60" w:line="360" w:lineRule="exact"/>
        <w:ind w:left="61" w:leftChars="29" w:right="60" w:firstLine="315" w:firstLineChars="150"/>
        <w:jc w:val="left"/>
        <w:rPr>
          <w:rFonts w:ascii="宋体" w:hAnsi="宋体" w:cs="宋体"/>
          <w:szCs w:val="21"/>
        </w:rPr>
      </w:pPr>
      <w:r>
        <w:rPr>
          <w:rFonts w:hint="eastAsia" w:ascii="宋体" w:hAnsi="宋体" w:cs="宋体"/>
          <w:szCs w:val="21"/>
        </w:rPr>
        <w:t>3. 投标人应当在投标截止时间前，将系统上生成的“电子投标文件（即后缀格式为.jmbs的加密标书，下同）”上传递交至“政府采购云平台”。投标截止时间以后上传递交的电子投标文件将被“政府采购云平台”拒收，投标截止时间前可以补充、修改或者撤回。补充或者修改电子投标文件的，应当先行撤回原文件，补充、修改后重新传输提交。投标应截止时间前未完成传输的，视为撤回投标文件。</w:t>
      </w:r>
    </w:p>
    <w:p>
      <w:pPr>
        <w:widowControl/>
        <w:spacing w:before="60" w:after="60" w:line="360" w:lineRule="exact"/>
        <w:ind w:left="61" w:leftChars="29" w:right="60" w:firstLine="315" w:firstLineChars="150"/>
        <w:jc w:val="left"/>
        <w:rPr>
          <w:rFonts w:ascii="宋体" w:hAnsi="宋体" w:cs="宋体"/>
          <w:szCs w:val="21"/>
        </w:rPr>
      </w:pPr>
      <w:r>
        <w:rPr>
          <w:rFonts w:hint="eastAsia" w:ascii="宋体" w:hAnsi="宋体" w:cs="宋体"/>
          <w:szCs w:val="21"/>
        </w:rPr>
        <w:t>4.本项目要求投标人提供的联系方式，均以法定代表人声明书或法定代表人授权委托书上注明的联系方式为准，投标人必须保障其联系方式保持畅通。否则由此造成的后果均有投标人自行承担。</w:t>
      </w:r>
    </w:p>
    <w:p>
      <w:pPr>
        <w:widowControl/>
        <w:spacing w:before="60" w:after="60" w:line="360" w:lineRule="exact"/>
        <w:ind w:left="61" w:leftChars="29" w:right="60" w:firstLine="315" w:firstLineChars="150"/>
        <w:jc w:val="left"/>
        <w:rPr>
          <w:rFonts w:ascii="宋体" w:hAnsi="宋体" w:cs="宋体"/>
          <w:szCs w:val="21"/>
        </w:rPr>
      </w:pPr>
      <w:r>
        <w:rPr>
          <w:rFonts w:hint="eastAsia" w:ascii="宋体" w:hAnsi="宋体" w:cs="宋体"/>
          <w:szCs w:val="21"/>
        </w:rPr>
        <w:t>5.在投标文件递交截止后， 采购组织机构将向各投标供应商发出解密通知，各投标供应商代表应当在接到解密通知后，对电子响应文件进行在线解密（解密必须插入CA），在线解密电子响应文件时间为接到解密通知后60分钟内。</w:t>
      </w:r>
    </w:p>
    <w:p>
      <w:pPr>
        <w:widowControl/>
        <w:spacing w:line="360" w:lineRule="exact"/>
        <w:ind w:firstLine="422" w:firstLineChars="200"/>
        <w:jc w:val="left"/>
        <w:rPr>
          <w:rFonts w:ascii="宋体" w:hAnsi="宋体" w:cs="宋体"/>
          <w:b/>
          <w:szCs w:val="21"/>
        </w:rPr>
      </w:pPr>
      <w:r>
        <w:rPr>
          <w:rFonts w:hint="eastAsia" w:ascii="宋体" w:hAnsi="宋体" w:cs="宋体"/>
          <w:b/>
          <w:bCs/>
          <w:kern w:val="0"/>
          <w:szCs w:val="21"/>
        </w:rPr>
        <w:t>2）</w:t>
      </w:r>
      <w:r>
        <w:rPr>
          <w:rFonts w:hint="eastAsia" w:ascii="宋体" w:hAnsi="宋体" w:cs="宋体"/>
          <w:b/>
          <w:szCs w:val="21"/>
        </w:rPr>
        <w:t>根据浙江省财政厅关于明确政府采购保证金管理工作的通知【浙财采监（2019）5号文件】规定，本项目不要求缴纳投标保证金。</w:t>
      </w:r>
    </w:p>
    <w:p>
      <w:pPr>
        <w:widowControl/>
        <w:spacing w:line="360" w:lineRule="exact"/>
        <w:ind w:firstLine="420" w:firstLineChars="200"/>
        <w:jc w:val="left"/>
        <w:rPr>
          <w:rFonts w:ascii="宋体" w:hAnsi="宋体" w:cs="宋体"/>
          <w:szCs w:val="21"/>
        </w:rPr>
      </w:pPr>
      <w:r>
        <w:rPr>
          <w:rFonts w:hint="eastAsia" w:ascii="宋体" w:hAnsi="宋体" w:cs="宋体"/>
          <w:szCs w:val="21"/>
        </w:rPr>
        <w:t>3）本项目对《关于坚决打赢疫情防控阻击战进一步做好政府采购资金支持企业发展工作的通知（浙财采监【2020】3号）》文件优化政府采购金融服务的精神予以公开告知。</w:t>
      </w:r>
    </w:p>
    <w:p>
      <w:pPr>
        <w:widowControl/>
        <w:spacing w:line="360" w:lineRule="exact"/>
        <w:ind w:firstLine="420" w:firstLineChars="200"/>
        <w:jc w:val="left"/>
        <w:rPr>
          <w:rFonts w:ascii="宋体" w:hAnsi="宋体" w:cs="宋体"/>
          <w:szCs w:val="21"/>
        </w:rPr>
      </w:pPr>
      <w:r>
        <w:rPr>
          <w:rFonts w:hint="eastAsia" w:ascii="宋体" w:hAnsi="宋体" w:cs="宋体"/>
          <w:szCs w:val="21"/>
        </w:rPr>
        <w:t>4）投标人认为采购文件使自己的权益受到损害的，可以自收到采购文件之日（发售截止日之后收到采购文件的，以发售截止日为准）或者采购文件公告期限届满之日（招标公告为公告发布后至第6个工作日）起7个工作日内，以书面形式向采购人和采购代理机构提出质疑。质疑投标人对采购人、采购代理机构的答复不满意或者采购人、采购代理机构未在规定的时间内作出答复的，可以在答复期满后十五个工作日内向同级政府采购监督管理部门投诉。</w:t>
      </w:r>
    </w:p>
    <w:p>
      <w:pPr>
        <w:widowControl/>
        <w:spacing w:line="360" w:lineRule="exact"/>
        <w:ind w:firstLine="420" w:firstLineChars="200"/>
        <w:jc w:val="left"/>
        <w:rPr>
          <w:rFonts w:ascii="宋体" w:hAnsi="宋体" w:cs="宋体"/>
          <w:bCs/>
          <w:szCs w:val="21"/>
        </w:rPr>
      </w:pPr>
      <w:r>
        <w:rPr>
          <w:rFonts w:hint="eastAsia" w:ascii="宋体" w:hAnsi="宋体" w:cs="宋体"/>
          <w:bCs/>
          <w:szCs w:val="21"/>
        </w:rPr>
        <w:t>5）书面质疑受理：</w:t>
      </w:r>
    </w:p>
    <w:p>
      <w:pPr>
        <w:widowControl/>
        <w:spacing w:line="360" w:lineRule="exact"/>
        <w:ind w:firstLine="840" w:firstLineChars="400"/>
        <w:jc w:val="left"/>
        <w:rPr>
          <w:rFonts w:ascii="宋体" w:hAnsi="宋体" w:cs="宋体"/>
          <w:bCs/>
          <w:szCs w:val="21"/>
        </w:rPr>
      </w:pPr>
      <w:r>
        <w:rPr>
          <w:rFonts w:hint="eastAsia" w:ascii="宋体" w:hAnsi="宋体" w:cs="宋体"/>
          <w:bCs/>
          <w:szCs w:val="21"/>
        </w:rPr>
        <w:t>招标代理机构地址：温州市黎明西路236号国贸中心29楼，林先生， 0577-88858722。</w:t>
      </w:r>
    </w:p>
    <w:p>
      <w:pPr>
        <w:widowControl/>
        <w:spacing w:line="360" w:lineRule="exact"/>
        <w:ind w:firstLine="840" w:firstLineChars="400"/>
        <w:jc w:val="left"/>
        <w:rPr>
          <w:rFonts w:ascii="宋体" w:hAnsi="宋体" w:cs="宋体"/>
          <w:bCs/>
          <w:szCs w:val="21"/>
        </w:rPr>
      </w:pPr>
      <w:r>
        <w:rPr>
          <w:rFonts w:hint="eastAsia" w:ascii="宋体" w:hAnsi="宋体" w:cs="宋体"/>
          <w:bCs/>
          <w:szCs w:val="21"/>
        </w:rPr>
        <w:t>采购人地址：</w:t>
      </w:r>
      <w:r>
        <w:rPr>
          <w:rFonts w:hint="eastAsia" w:ascii="宋体" w:hAnsi="宋体" w:cs="宋体"/>
          <w:bCs/>
          <w:kern w:val="0"/>
          <w:szCs w:val="21"/>
        </w:rPr>
        <w:t>金桥路1号，</w:t>
      </w:r>
      <w:r>
        <w:rPr>
          <w:rFonts w:hint="eastAsia" w:ascii="宋体" w:hAnsi="宋体" w:cs="宋体"/>
          <w:bCs/>
          <w:kern w:val="0"/>
          <w:szCs w:val="21"/>
          <w:lang w:eastAsia="zh-CN"/>
        </w:rPr>
        <w:t>陈</w:t>
      </w:r>
      <w:r>
        <w:rPr>
          <w:rFonts w:hint="eastAsia" w:ascii="宋体" w:hAnsi="宋体" w:cs="宋体"/>
          <w:bCs/>
          <w:kern w:val="0"/>
          <w:szCs w:val="21"/>
        </w:rPr>
        <w:t>先生，</w:t>
      </w:r>
      <w:r>
        <w:rPr>
          <w:rFonts w:hint="eastAsia" w:ascii="宋体" w:hAnsi="宋体" w:cs="宋体"/>
          <w:kern w:val="0"/>
          <w:szCs w:val="21"/>
        </w:rPr>
        <w:t>0577-</w:t>
      </w:r>
      <w:r>
        <w:rPr>
          <w:rFonts w:hint="eastAsia" w:ascii="宋体" w:hAnsi="宋体" w:cs="宋体"/>
          <w:kern w:val="0"/>
          <w:szCs w:val="21"/>
          <w:lang w:val="en-US" w:eastAsia="zh-CN"/>
        </w:rPr>
        <w:t>56557188</w:t>
      </w:r>
      <w:r>
        <w:rPr>
          <w:rFonts w:hint="eastAsia" w:ascii="宋体" w:hAnsi="宋体" w:cs="宋体"/>
          <w:bCs/>
          <w:kern w:val="0"/>
          <w:szCs w:val="21"/>
        </w:rPr>
        <w:t>。</w:t>
      </w:r>
    </w:p>
    <w:p>
      <w:pPr>
        <w:widowControl/>
        <w:spacing w:line="360" w:lineRule="exact"/>
        <w:ind w:firstLine="420" w:firstLineChars="200"/>
        <w:jc w:val="left"/>
        <w:rPr>
          <w:rFonts w:ascii="宋体" w:hAnsi="宋体" w:cs="宋体"/>
          <w:bCs/>
          <w:szCs w:val="21"/>
        </w:rPr>
      </w:pPr>
      <w:r>
        <w:rPr>
          <w:rFonts w:hint="eastAsia" w:ascii="宋体" w:hAnsi="宋体" w:cs="宋体"/>
          <w:bCs/>
          <w:szCs w:val="21"/>
        </w:rPr>
        <w:t>6）</w:t>
      </w:r>
      <w:r>
        <w:rPr>
          <w:rFonts w:hint="eastAsia" w:ascii="宋体" w:hAnsi="宋体" w:cs="宋体"/>
          <w:kern w:val="0"/>
          <w:szCs w:val="21"/>
        </w:rPr>
        <w:t>落实政府采购相关政策说明：详见招标文件相关政府采购相关政策说明部分（自行下载）</w:t>
      </w:r>
    </w:p>
    <w:p>
      <w:pPr>
        <w:widowControl/>
        <w:spacing w:line="360" w:lineRule="exact"/>
        <w:ind w:firstLine="420" w:firstLineChars="200"/>
        <w:jc w:val="left"/>
        <w:rPr>
          <w:rFonts w:ascii="宋体" w:hAnsi="宋体" w:cs="宋体"/>
          <w:bCs/>
          <w:szCs w:val="21"/>
        </w:rPr>
      </w:pPr>
      <w:r>
        <w:rPr>
          <w:rFonts w:hint="eastAsia" w:ascii="宋体" w:hAnsi="宋体" w:cs="宋体"/>
          <w:bCs/>
          <w:szCs w:val="21"/>
        </w:rPr>
        <w:t>7）</w:t>
      </w:r>
      <w:r>
        <w:rPr>
          <w:rFonts w:hint="eastAsia" w:ascii="宋体" w:hAnsi="宋体" w:cs="宋体"/>
          <w:szCs w:val="21"/>
        </w:rPr>
        <w:t>采购公告上附件里的采购文件仅供阅览使用，报名成功后才视作供应商依法获取采购文件，未进行报名的供应商，对采购文件提起的质疑，将不予受理。</w:t>
      </w:r>
    </w:p>
    <w:p>
      <w:pPr>
        <w:widowControl/>
        <w:spacing w:before="60" w:after="60" w:line="360" w:lineRule="exact"/>
        <w:ind w:left="60" w:right="60"/>
        <w:jc w:val="left"/>
        <w:rPr>
          <w:rFonts w:ascii="宋体" w:hAnsi="宋体" w:cs="宋体"/>
          <w:kern w:val="0"/>
          <w:szCs w:val="21"/>
        </w:rPr>
      </w:pPr>
      <w:r>
        <w:rPr>
          <w:rFonts w:hint="eastAsia" w:ascii="宋体" w:hAnsi="宋体" w:cs="宋体"/>
          <w:b/>
          <w:kern w:val="0"/>
          <w:szCs w:val="21"/>
        </w:rPr>
        <w:t>九、联系方式</w:t>
      </w:r>
    </w:p>
    <w:p>
      <w:pPr>
        <w:spacing w:line="360" w:lineRule="exact"/>
        <w:ind w:left="424" w:leftChars="202" w:firstLine="12" w:firstLineChars="6"/>
        <w:rPr>
          <w:rFonts w:ascii="宋体" w:hAnsi="宋体" w:cs="宋体"/>
          <w:kern w:val="0"/>
          <w:szCs w:val="21"/>
        </w:rPr>
      </w:pPr>
      <w:r>
        <w:rPr>
          <w:rFonts w:hint="eastAsia" w:ascii="宋体" w:hAnsi="宋体" w:cs="宋体"/>
          <w:kern w:val="0"/>
          <w:szCs w:val="21"/>
        </w:rPr>
        <w:t>采购人：</w:t>
      </w:r>
      <w:r>
        <w:rPr>
          <w:rFonts w:hint="eastAsia" w:ascii="宋体" w:hAnsi="宋体" w:cs="宋体"/>
          <w:bCs/>
          <w:kern w:val="0"/>
          <w:szCs w:val="21"/>
        </w:rPr>
        <w:t>温州市公安局交通管理局</w:t>
      </w:r>
    </w:p>
    <w:p>
      <w:pPr>
        <w:spacing w:line="360" w:lineRule="exact"/>
        <w:ind w:firstLine="420" w:firstLineChars="200"/>
        <w:rPr>
          <w:rFonts w:ascii="宋体" w:hAnsi="宋体" w:cs="宋体"/>
          <w:kern w:val="0"/>
          <w:szCs w:val="21"/>
        </w:rPr>
      </w:pPr>
      <w:r>
        <w:rPr>
          <w:rFonts w:hint="eastAsia" w:ascii="宋体" w:hAnsi="宋体" w:cs="宋体"/>
          <w:bCs/>
          <w:kern w:val="0"/>
          <w:szCs w:val="21"/>
        </w:rPr>
        <w:t>地址：金桥路1号</w:t>
      </w:r>
    </w:p>
    <w:p>
      <w:pPr>
        <w:spacing w:line="360" w:lineRule="exact"/>
        <w:ind w:firstLine="420" w:firstLineChars="200"/>
        <w:rPr>
          <w:rFonts w:ascii="宋体" w:hAnsi="宋体" w:cs="宋体"/>
          <w:kern w:val="0"/>
          <w:szCs w:val="21"/>
        </w:rPr>
      </w:pPr>
      <w:r>
        <w:rPr>
          <w:rFonts w:hint="eastAsia" w:ascii="宋体" w:hAnsi="宋体" w:cs="宋体"/>
          <w:kern w:val="0"/>
          <w:szCs w:val="21"/>
        </w:rPr>
        <w:t xml:space="preserve">联系人： </w:t>
      </w:r>
      <w:r>
        <w:rPr>
          <w:rFonts w:hint="eastAsia" w:ascii="宋体" w:hAnsi="宋体" w:cs="宋体"/>
          <w:bCs/>
          <w:kern w:val="0"/>
          <w:szCs w:val="21"/>
          <w:lang w:eastAsia="zh-CN"/>
        </w:rPr>
        <w:t>陈</w:t>
      </w:r>
      <w:r>
        <w:rPr>
          <w:rFonts w:hint="eastAsia" w:ascii="宋体" w:hAnsi="宋体" w:cs="宋体"/>
          <w:bCs/>
          <w:kern w:val="0"/>
          <w:szCs w:val="21"/>
        </w:rPr>
        <w:t>先生</w:t>
      </w:r>
    </w:p>
    <w:p>
      <w:pPr>
        <w:spacing w:line="360" w:lineRule="exact"/>
        <w:ind w:firstLine="420" w:firstLineChars="200"/>
        <w:rPr>
          <w:rFonts w:hint="default" w:ascii="宋体" w:hAnsi="宋体" w:eastAsia="宋体" w:cs="宋体"/>
          <w:kern w:val="0"/>
          <w:szCs w:val="21"/>
          <w:lang w:val="en-US" w:eastAsia="zh-CN"/>
        </w:rPr>
      </w:pPr>
      <w:r>
        <w:rPr>
          <w:rFonts w:hint="eastAsia" w:ascii="宋体" w:hAnsi="宋体" w:cs="宋体"/>
          <w:kern w:val="0"/>
          <w:szCs w:val="21"/>
        </w:rPr>
        <w:t>电话 / 传真：0577-</w:t>
      </w:r>
      <w:r>
        <w:rPr>
          <w:rFonts w:hint="eastAsia" w:ascii="宋体" w:hAnsi="宋体" w:cs="宋体"/>
          <w:kern w:val="0"/>
          <w:szCs w:val="21"/>
          <w:lang w:val="en-US" w:eastAsia="zh-CN"/>
        </w:rPr>
        <w:t>56557188</w:t>
      </w:r>
    </w:p>
    <w:p>
      <w:pPr>
        <w:spacing w:line="360" w:lineRule="exact"/>
        <w:ind w:firstLine="420" w:firstLineChars="200"/>
        <w:rPr>
          <w:rFonts w:ascii="宋体" w:hAnsi="宋体" w:cs="宋体"/>
          <w:kern w:val="0"/>
          <w:szCs w:val="21"/>
        </w:rPr>
      </w:pPr>
      <w:r>
        <w:rPr>
          <w:rFonts w:hint="eastAsia" w:ascii="宋体" w:hAnsi="宋体" w:cs="宋体"/>
          <w:kern w:val="0"/>
          <w:szCs w:val="21"/>
        </w:rPr>
        <w:t>招标代理机构：浙江恒杰工程管理有限公司</w:t>
      </w:r>
    </w:p>
    <w:p>
      <w:pPr>
        <w:spacing w:line="360" w:lineRule="exact"/>
        <w:ind w:firstLine="420" w:firstLineChars="200"/>
        <w:rPr>
          <w:rFonts w:ascii="宋体" w:hAnsi="宋体" w:cs="宋体"/>
          <w:kern w:val="0"/>
          <w:szCs w:val="21"/>
        </w:rPr>
      </w:pPr>
      <w:r>
        <w:rPr>
          <w:rFonts w:hint="eastAsia" w:ascii="宋体" w:hAnsi="宋体" w:cs="宋体"/>
          <w:kern w:val="0"/>
          <w:szCs w:val="21"/>
        </w:rPr>
        <w:t>地址：温州市黎明西路236号国贸中心29楼</w:t>
      </w:r>
    </w:p>
    <w:p>
      <w:pPr>
        <w:spacing w:line="360" w:lineRule="exact"/>
        <w:ind w:firstLine="420" w:firstLineChars="200"/>
        <w:rPr>
          <w:rFonts w:ascii="宋体" w:hAnsi="宋体" w:cs="宋体"/>
          <w:kern w:val="0"/>
          <w:szCs w:val="21"/>
        </w:rPr>
      </w:pPr>
      <w:r>
        <w:rPr>
          <w:rFonts w:hint="eastAsia" w:ascii="宋体" w:hAnsi="宋体" w:cs="宋体"/>
          <w:kern w:val="0"/>
          <w:szCs w:val="21"/>
        </w:rPr>
        <w:t>联系人：林先生</w:t>
      </w:r>
    </w:p>
    <w:p>
      <w:pPr>
        <w:spacing w:line="360" w:lineRule="exact"/>
        <w:ind w:firstLine="420" w:firstLineChars="200"/>
        <w:rPr>
          <w:rFonts w:ascii="宋体" w:hAnsi="宋体" w:cs="宋体"/>
          <w:kern w:val="0"/>
          <w:szCs w:val="21"/>
        </w:rPr>
      </w:pPr>
      <w:r>
        <w:rPr>
          <w:rFonts w:hint="eastAsia" w:ascii="宋体" w:hAnsi="宋体" w:cs="宋体"/>
          <w:kern w:val="0"/>
          <w:szCs w:val="21"/>
        </w:rPr>
        <w:t>联系电话：0577-88858722、13868808710</w:t>
      </w:r>
    </w:p>
    <w:p>
      <w:pPr>
        <w:spacing w:line="360" w:lineRule="exact"/>
        <w:ind w:firstLine="420" w:firstLineChars="200"/>
        <w:rPr>
          <w:rFonts w:ascii="宋体" w:hAnsi="宋体" w:cs="宋体"/>
          <w:kern w:val="0"/>
          <w:szCs w:val="21"/>
        </w:rPr>
      </w:pPr>
      <w:r>
        <w:rPr>
          <w:rFonts w:hint="eastAsia" w:ascii="宋体" w:hAnsi="宋体" w:cs="宋体"/>
          <w:kern w:val="0"/>
          <w:szCs w:val="21"/>
        </w:rPr>
        <w:t>传真：0577-88118617</w:t>
      </w:r>
    </w:p>
    <w:p>
      <w:pPr>
        <w:widowControl/>
        <w:spacing w:line="360" w:lineRule="exact"/>
        <w:ind w:firstLine="420" w:firstLineChars="200"/>
        <w:jc w:val="left"/>
        <w:rPr>
          <w:rFonts w:ascii="宋体" w:hAnsi="宋体" w:cs="宋体"/>
          <w:bCs/>
          <w:szCs w:val="21"/>
        </w:rPr>
      </w:pPr>
      <w:r>
        <w:rPr>
          <w:rFonts w:hint="eastAsia" w:ascii="宋体" w:hAnsi="宋体" w:cs="宋体"/>
          <w:bCs/>
          <w:szCs w:val="21"/>
        </w:rPr>
        <w:t>同级政府采购监管部门：温州市财政局政府采购监管处</w:t>
      </w:r>
    </w:p>
    <w:p>
      <w:pPr>
        <w:widowControl/>
        <w:spacing w:line="360" w:lineRule="exact"/>
        <w:ind w:firstLine="420" w:firstLineChars="200"/>
        <w:jc w:val="left"/>
        <w:rPr>
          <w:rFonts w:ascii="宋体" w:hAnsi="宋体" w:cs="宋体"/>
          <w:bCs/>
          <w:szCs w:val="21"/>
        </w:rPr>
      </w:pPr>
      <w:r>
        <w:rPr>
          <w:rFonts w:hint="eastAsia" w:ascii="宋体" w:hAnsi="宋体" w:cs="宋体"/>
          <w:bCs/>
          <w:szCs w:val="21"/>
        </w:rPr>
        <w:t>地址：温州市鹿城区绣山路299号</w:t>
      </w:r>
    </w:p>
    <w:p>
      <w:pPr>
        <w:widowControl/>
        <w:spacing w:line="360" w:lineRule="exact"/>
        <w:ind w:firstLine="420" w:firstLineChars="200"/>
        <w:jc w:val="left"/>
        <w:rPr>
          <w:rFonts w:ascii="宋体" w:hAnsi="宋体" w:cs="宋体"/>
          <w:bCs/>
          <w:szCs w:val="21"/>
        </w:rPr>
      </w:pPr>
      <w:r>
        <w:rPr>
          <w:rFonts w:hint="eastAsia" w:ascii="宋体" w:hAnsi="宋体" w:cs="宋体"/>
          <w:bCs/>
          <w:szCs w:val="21"/>
        </w:rPr>
        <w:t>联系人：陈先生/马女士</w:t>
      </w:r>
    </w:p>
    <w:p>
      <w:pPr>
        <w:widowControl/>
        <w:spacing w:line="360" w:lineRule="exact"/>
        <w:ind w:firstLine="420" w:firstLineChars="200"/>
        <w:jc w:val="left"/>
        <w:rPr>
          <w:rFonts w:ascii="宋体" w:hAnsi="宋体" w:cs="宋体"/>
          <w:szCs w:val="21"/>
        </w:rPr>
      </w:pPr>
      <w:r>
        <w:rPr>
          <w:rFonts w:hint="eastAsia" w:ascii="宋体" w:hAnsi="宋体" w:cs="宋体"/>
          <w:bCs/>
          <w:szCs w:val="21"/>
        </w:rPr>
        <w:t>联系电话：0577-88506788/0577-88523909</w:t>
      </w:r>
    </w:p>
    <w:p>
      <w:pPr>
        <w:autoSpaceDE w:val="0"/>
        <w:autoSpaceDN w:val="0"/>
        <w:snapToGrid w:val="0"/>
        <w:spacing w:line="360" w:lineRule="exact"/>
        <w:ind w:firstLine="440" w:firstLineChars="200"/>
        <w:jc w:val="left"/>
        <w:rPr>
          <w:rFonts w:ascii="新宋体" w:hAnsi="新宋体" w:eastAsia="新宋体" w:cs="新宋体"/>
          <w:bCs/>
          <w:kern w:val="0"/>
          <w:sz w:val="22"/>
          <w:szCs w:val="22"/>
        </w:rPr>
      </w:pPr>
    </w:p>
    <w:p>
      <w:pPr>
        <w:spacing w:before="100" w:beforeAutospacing="1" w:after="100" w:afterAutospacing="1" w:line="240" w:lineRule="atLeast"/>
        <w:ind w:firstLine="220" w:firstLineChars="61"/>
        <w:jc w:val="center"/>
        <w:outlineLvl w:val="0"/>
        <w:rPr>
          <w:rFonts w:ascii="黑体" w:hAnsi="宋体" w:eastAsia="黑体"/>
          <w:b/>
          <w:bCs/>
          <w:sz w:val="36"/>
          <w:szCs w:val="36"/>
        </w:rPr>
      </w:pPr>
      <w:r>
        <w:rPr>
          <w:rFonts w:ascii="黑体" w:hAnsi="宋体" w:eastAsia="黑体"/>
          <w:b/>
          <w:bCs/>
          <w:sz w:val="36"/>
          <w:szCs w:val="36"/>
        </w:rPr>
        <w:br w:type="page"/>
      </w:r>
      <w:r>
        <w:rPr>
          <w:rFonts w:hint="eastAsia" w:ascii="黑体" w:hAnsi="宋体" w:eastAsia="黑体"/>
          <w:b/>
          <w:bCs/>
          <w:sz w:val="36"/>
          <w:szCs w:val="36"/>
        </w:rPr>
        <w:t>第一部分     投标人须知</w:t>
      </w:r>
    </w:p>
    <w:p>
      <w:pPr>
        <w:spacing w:before="100" w:beforeAutospacing="1" w:after="100" w:afterAutospacing="1" w:line="240" w:lineRule="atLeast"/>
        <w:jc w:val="center"/>
        <w:outlineLvl w:val="0"/>
        <w:rPr>
          <w:rFonts w:ascii="黑体" w:hAnsi="宋体" w:eastAsia="黑体"/>
          <w:b/>
          <w:bCs/>
          <w:sz w:val="36"/>
          <w:szCs w:val="36"/>
        </w:rPr>
      </w:pPr>
      <w:r>
        <w:rPr>
          <w:rFonts w:hint="eastAsia" w:ascii="黑体" w:hAnsi="宋体" w:eastAsia="黑体"/>
          <w:b/>
          <w:bCs/>
          <w:sz w:val="36"/>
          <w:szCs w:val="36"/>
        </w:rPr>
        <w:t>一     说明</w:t>
      </w:r>
    </w:p>
    <w:p>
      <w:pPr>
        <w:tabs>
          <w:tab w:val="left" w:pos="360"/>
        </w:tabs>
        <w:spacing w:line="360" w:lineRule="auto"/>
        <w:ind w:left="653" w:hanging="653" w:hangingChars="311"/>
        <w:rPr>
          <w:rFonts w:ascii="宋体" w:hAnsi="宋体"/>
          <w:szCs w:val="21"/>
        </w:rPr>
      </w:pPr>
      <w:r>
        <w:rPr>
          <w:rFonts w:hint="eastAsia" w:ascii="宋体" w:hAnsi="宋体"/>
          <w:szCs w:val="21"/>
        </w:rPr>
        <w:t xml:space="preserve"> 1</w:t>
      </w:r>
      <w:r>
        <w:rPr>
          <w:rFonts w:hint="eastAsia" w:ascii="宋体" w:hAnsi="宋体"/>
          <w:spacing w:val="100"/>
          <w:szCs w:val="21"/>
        </w:rPr>
        <w:t xml:space="preserve">. </w:t>
      </w:r>
      <w:r>
        <w:rPr>
          <w:rFonts w:hint="eastAsia" w:ascii="宋体" w:hAnsi="宋体"/>
          <w:szCs w:val="21"/>
        </w:rPr>
        <w:t>本次招标是根据《中华人民共和国政府采购法》、《中华人民共和国政府采购法实施条例》、《政府采购货物和服务招标投标管理办法》（财政部第87号令）、《浙江省政府采购项目电子交易管理暂行办法》（浙财采监〔2019〕10号）及浙江省市等有关政府采购的规范性文件组织和实施。</w:t>
      </w:r>
    </w:p>
    <w:p>
      <w:pPr>
        <w:tabs>
          <w:tab w:val="left" w:pos="360"/>
        </w:tabs>
        <w:spacing w:line="360" w:lineRule="auto"/>
        <w:ind w:left="653" w:hanging="653" w:hangingChars="311"/>
        <w:rPr>
          <w:rFonts w:ascii="宋体" w:hAnsi="宋体"/>
          <w:szCs w:val="21"/>
        </w:rPr>
      </w:pPr>
      <w:r>
        <w:rPr>
          <w:rFonts w:hint="eastAsia" w:ascii="宋体" w:hAnsi="宋体"/>
          <w:szCs w:val="21"/>
        </w:rPr>
        <w:t>2.   合格投标人要求以招标公告对投标人资格条件要求的表述为准。</w:t>
      </w:r>
    </w:p>
    <w:p>
      <w:pPr>
        <w:spacing w:line="360" w:lineRule="auto"/>
        <w:ind w:left="653" w:hanging="653" w:hangingChars="311"/>
        <w:rPr>
          <w:rFonts w:ascii="宋体" w:hAnsi="宋体"/>
          <w:szCs w:val="21"/>
        </w:rPr>
      </w:pPr>
      <w:r>
        <w:rPr>
          <w:rFonts w:hint="eastAsia" w:ascii="宋体" w:hAnsi="宋体"/>
          <w:szCs w:val="21"/>
        </w:rPr>
        <w:t>3.    投标人代表</w:t>
      </w:r>
    </w:p>
    <w:p>
      <w:pPr>
        <w:spacing w:line="360" w:lineRule="auto"/>
        <w:ind w:left="646" w:leftChars="299" w:hanging="18" w:hangingChars="9"/>
        <w:rPr>
          <w:rFonts w:ascii="宋体" w:hAnsi="宋体"/>
          <w:szCs w:val="21"/>
        </w:rPr>
      </w:pPr>
      <w:r>
        <w:rPr>
          <w:rFonts w:hint="eastAsia" w:ascii="宋体" w:hAnsi="宋体"/>
          <w:szCs w:val="21"/>
        </w:rPr>
        <w:t>指全权代表投标人参加投标活动并签署投标文件的人。如果投标人代表不是法定代表人，须持有《法定代表人授权书》（见附件六—1）。</w:t>
      </w:r>
    </w:p>
    <w:p>
      <w:pPr>
        <w:spacing w:line="360" w:lineRule="auto"/>
        <w:ind w:left="653" w:hanging="653" w:hangingChars="311"/>
        <w:rPr>
          <w:rFonts w:ascii="宋体" w:hAnsi="宋体"/>
          <w:szCs w:val="21"/>
        </w:rPr>
      </w:pPr>
      <w:r>
        <w:rPr>
          <w:rFonts w:hint="eastAsia" w:ascii="宋体" w:hAnsi="宋体"/>
          <w:szCs w:val="21"/>
        </w:rPr>
        <w:t>4</w:t>
      </w:r>
      <w:r>
        <w:rPr>
          <w:rFonts w:hint="eastAsia" w:ascii="宋体" w:hAnsi="宋体"/>
          <w:spacing w:val="100"/>
          <w:szCs w:val="21"/>
        </w:rPr>
        <w:t xml:space="preserve">. </w:t>
      </w:r>
      <w:r>
        <w:rPr>
          <w:rFonts w:hint="eastAsia" w:ascii="宋体" w:hAnsi="宋体"/>
          <w:szCs w:val="21"/>
        </w:rPr>
        <w:t>投标费用</w:t>
      </w:r>
    </w:p>
    <w:p>
      <w:pPr>
        <w:spacing w:line="360" w:lineRule="auto"/>
        <w:ind w:left="653" w:hanging="653" w:hangingChars="311"/>
        <w:rPr>
          <w:rFonts w:ascii="宋体" w:hAnsi="宋体"/>
          <w:szCs w:val="21"/>
        </w:rPr>
      </w:pPr>
      <w:r>
        <w:rPr>
          <w:rFonts w:hint="eastAsia" w:ascii="宋体" w:hAnsi="宋体"/>
          <w:szCs w:val="21"/>
        </w:rPr>
        <w:t xml:space="preserve">    投标人应承担所有与准备和参加投标有关费用，不论投标的结果如何，招标人和采购人均无义务和责任承担这些费用。</w:t>
      </w:r>
    </w:p>
    <w:p>
      <w:pPr>
        <w:spacing w:before="100" w:beforeAutospacing="1" w:after="100" w:afterAutospacing="1" w:line="360" w:lineRule="auto"/>
        <w:jc w:val="center"/>
        <w:outlineLvl w:val="0"/>
        <w:rPr>
          <w:rFonts w:ascii="黑体" w:hAnsi="宋体" w:eastAsia="黑体"/>
          <w:b/>
          <w:bCs/>
          <w:sz w:val="36"/>
          <w:szCs w:val="36"/>
        </w:rPr>
      </w:pPr>
      <w:r>
        <w:rPr>
          <w:rFonts w:hint="eastAsia" w:ascii="黑体" w:hAnsi="宋体" w:eastAsia="黑体"/>
          <w:b/>
          <w:bCs/>
          <w:sz w:val="36"/>
          <w:szCs w:val="36"/>
        </w:rPr>
        <w:t>二   采购文件</w:t>
      </w:r>
    </w:p>
    <w:p>
      <w:pPr>
        <w:spacing w:line="360" w:lineRule="auto"/>
        <w:ind w:firstLine="105" w:firstLineChars="50"/>
        <w:rPr>
          <w:rFonts w:ascii="宋体" w:hAnsi="宋体"/>
          <w:szCs w:val="21"/>
        </w:rPr>
      </w:pPr>
      <w:r>
        <w:rPr>
          <w:rFonts w:hint="eastAsia" w:ascii="宋体" w:hAnsi="宋体"/>
          <w:szCs w:val="21"/>
        </w:rPr>
        <w:t>1．  采购文件由采购文件目录所列内容及相关资料组成。</w:t>
      </w:r>
    </w:p>
    <w:p>
      <w:pPr>
        <w:spacing w:line="360" w:lineRule="auto"/>
        <w:ind w:firstLine="108" w:firstLineChars="49"/>
        <w:rPr>
          <w:rFonts w:ascii="宋体" w:hAnsi="宋体"/>
          <w:spacing w:val="6"/>
          <w:szCs w:val="21"/>
        </w:rPr>
      </w:pPr>
      <w:r>
        <w:rPr>
          <w:rFonts w:hint="eastAsia" w:ascii="宋体" w:hAnsi="宋体"/>
          <w:spacing w:val="6"/>
          <w:szCs w:val="21"/>
        </w:rPr>
        <w:t>2．  采购文件的澄清</w:t>
      </w:r>
    </w:p>
    <w:p>
      <w:pPr>
        <w:spacing w:line="360" w:lineRule="auto"/>
        <w:ind w:left="630" w:leftChars="50" w:hanging="525" w:hangingChars="250"/>
        <w:rPr>
          <w:rFonts w:ascii="宋体" w:hAnsi="宋体"/>
          <w:spacing w:val="6"/>
          <w:szCs w:val="21"/>
        </w:rPr>
      </w:pPr>
      <w:r>
        <w:rPr>
          <w:rFonts w:hint="eastAsia" w:ascii="宋体" w:hAnsi="宋体"/>
          <w:szCs w:val="21"/>
        </w:rPr>
        <w:t xml:space="preserve">2.1  </w:t>
      </w:r>
      <w:r>
        <w:rPr>
          <w:rFonts w:hint="eastAsia" w:ascii="宋体" w:hAnsi="宋体"/>
          <w:spacing w:val="6"/>
          <w:szCs w:val="21"/>
        </w:rPr>
        <w:t>供应商对采购文件如有疑点或未尽事宜要求澄清，或认为有必要进行说明或交流，供应商可以在知道或应知其权益受到损害之日起7个工作日内，以书面形式（包括信函、传真、下同）向招标人提出质疑，但质疑不得迟于投标截止时间15日前使招标人收到，招标人将用书面形式予以答复。如有必要，可将不说明问题来源的答复发给各有关投标人或召开答疑会。如果采购文件答疑期内未收到有关疑问，视为供应商完全同意采购文件所有条款，且对于采购文件相关表述以及未尽事宜如有争议，以采购中心解释为准。</w:t>
      </w:r>
    </w:p>
    <w:p>
      <w:pPr>
        <w:spacing w:line="360" w:lineRule="auto"/>
        <w:ind w:firstLine="108" w:firstLineChars="49"/>
        <w:rPr>
          <w:rFonts w:ascii="宋体" w:hAnsi="宋体"/>
          <w:spacing w:val="6"/>
          <w:szCs w:val="21"/>
        </w:rPr>
      </w:pPr>
      <w:r>
        <w:rPr>
          <w:rFonts w:hint="eastAsia" w:ascii="宋体" w:hAnsi="宋体"/>
          <w:spacing w:val="6"/>
          <w:szCs w:val="21"/>
        </w:rPr>
        <w:t>3．   采购文件的修改</w:t>
      </w:r>
    </w:p>
    <w:p>
      <w:pPr>
        <w:spacing w:line="360" w:lineRule="auto"/>
        <w:ind w:left="630" w:hanging="630" w:hangingChars="300"/>
        <w:rPr>
          <w:rFonts w:ascii="宋体" w:hAnsi="宋体"/>
          <w:szCs w:val="21"/>
        </w:rPr>
      </w:pPr>
      <w:r>
        <w:rPr>
          <w:rFonts w:hint="eastAsia" w:ascii="宋体" w:hAnsi="宋体"/>
          <w:szCs w:val="21"/>
        </w:rPr>
        <w:t>3.1   在投标截止期15天前，招标人无论是出于何种原因，均可对采购文件用补充文件的方式进行修改，并在财政部门政府采购信息发布媒体上发布更正公告。该澄清和修改的内容为采购文件的组成部分。招标人可以视采购具体情况在采购文件要求提交截止时间3天前，做出延长投标截止时间和开标时间的决定，并将变更时间书面通知所有采购文件收受人，并在财政部门指定的政府采购信息媒体上发布变更公告。</w:t>
      </w:r>
    </w:p>
    <w:p>
      <w:pPr>
        <w:spacing w:line="360" w:lineRule="auto"/>
        <w:ind w:left="630" w:hanging="630" w:hangingChars="300"/>
        <w:rPr>
          <w:rFonts w:ascii="宋体" w:hAnsi="宋体"/>
          <w:szCs w:val="21"/>
        </w:rPr>
      </w:pPr>
      <w:r>
        <w:rPr>
          <w:rFonts w:hint="eastAsia" w:ascii="宋体" w:hAnsi="宋体"/>
          <w:szCs w:val="21"/>
        </w:rPr>
        <w:t>3.2   投标人收到澄清和修改的补充文件，应立即以书面形式回复确认已收到补充文件。</w:t>
      </w:r>
    </w:p>
    <w:p>
      <w:pPr>
        <w:spacing w:before="100" w:beforeAutospacing="1" w:after="100" w:afterAutospacing="1" w:line="360" w:lineRule="auto"/>
        <w:jc w:val="center"/>
        <w:outlineLvl w:val="0"/>
        <w:rPr>
          <w:rFonts w:ascii="黑体" w:hAnsi="宋体" w:eastAsia="黑体"/>
          <w:b/>
          <w:bCs/>
          <w:sz w:val="36"/>
          <w:szCs w:val="36"/>
        </w:rPr>
      </w:pPr>
      <w:r>
        <w:rPr>
          <w:rFonts w:hint="eastAsia" w:ascii="黑体" w:hAnsi="宋体" w:eastAsia="黑体"/>
          <w:b/>
          <w:bCs/>
          <w:sz w:val="36"/>
          <w:szCs w:val="36"/>
        </w:rPr>
        <w:br w:type="page"/>
      </w:r>
      <w:r>
        <w:rPr>
          <w:rFonts w:hint="eastAsia" w:ascii="黑体" w:hAnsi="宋体" w:eastAsia="黑体"/>
          <w:b/>
          <w:bCs/>
          <w:sz w:val="36"/>
          <w:szCs w:val="36"/>
        </w:rPr>
        <w:t>三   投标文件的编制</w:t>
      </w:r>
    </w:p>
    <w:p>
      <w:pPr>
        <w:spacing w:line="400" w:lineRule="exact"/>
        <w:ind w:firstLine="422" w:firstLineChars="200"/>
        <w:rPr>
          <w:rFonts w:ascii="宋体" w:hAnsi="宋体" w:cs="宋体"/>
          <w:b/>
          <w:bCs/>
          <w:szCs w:val="21"/>
        </w:rPr>
      </w:pPr>
      <w:r>
        <w:rPr>
          <w:rFonts w:hint="eastAsia" w:ascii="宋体" w:hAnsi="宋体" w:cs="宋体"/>
          <w:b/>
          <w:bCs/>
          <w:szCs w:val="21"/>
        </w:rPr>
        <w:t>1.投标文件的形式和效力</w:t>
      </w:r>
    </w:p>
    <w:p>
      <w:pPr>
        <w:spacing w:line="400" w:lineRule="exact"/>
        <w:ind w:firstLine="422" w:firstLineChars="200"/>
        <w:rPr>
          <w:rFonts w:ascii="宋体" w:hAnsi="宋体" w:cs="宋体"/>
          <w:b/>
          <w:bCs/>
          <w:szCs w:val="21"/>
        </w:rPr>
      </w:pPr>
      <w:r>
        <w:rPr>
          <w:rFonts w:hint="eastAsia" w:ascii="宋体" w:hAnsi="宋体" w:cs="宋体"/>
          <w:b/>
          <w:bCs/>
          <w:szCs w:val="21"/>
        </w:rPr>
        <w:t>投标文件分为电子投标文件以及备份电子投标文件，备份文件为</w:t>
      </w:r>
      <w:r>
        <w:rPr>
          <w:rStyle w:val="76"/>
          <w:rFonts w:hint="eastAsia" w:ascii="宋体" w:hAnsi="宋体" w:cs="宋体"/>
          <w:szCs w:val="21"/>
        </w:rPr>
        <w:t>在政采云平台上最后生成的具备电子签章的备份加密投标文件（文件名后缀为备份文件四字的首字母）</w:t>
      </w:r>
      <w:r>
        <w:rPr>
          <w:rFonts w:hint="eastAsia" w:ascii="宋体" w:hAnsi="宋体" w:cs="宋体"/>
          <w:b/>
          <w:bCs/>
          <w:szCs w:val="21"/>
        </w:rPr>
        <w:t>。</w:t>
      </w:r>
    </w:p>
    <w:p>
      <w:pPr>
        <w:spacing w:line="400" w:lineRule="exact"/>
        <w:ind w:firstLine="422" w:firstLineChars="200"/>
        <w:rPr>
          <w:rFonts w:ascii="宋体" w:hAnsi="宋体" w:cs="宋体"/>
          <w:b/>
          <w:bCs/>
          <w:szCs w:val="21"/>
        </w:rPr>
      </w:pPr>
      <w:r>
        <w:rPr>
          <w:rFonts w:hint="eastAsia" w:ascii="宋体" w:hAnsi="宋体" w:cs="宋体"/>
          <w:b/>
          <w:bCs/>
          <w:szCs w:val="21"/>
        </w:rPr>
        <w:t>1.1电子投标文件，按“政采云供应商项目采购-电子招投标操作指南”及本招标文件要求制作、加密并递交。</w:t>
      </w:r>
    </w:p>
    <w:p>
      <w:pPr>
        <w:pStyle w:val="36"/>
        <w:widowControl/>
        <w:overflowPunct w:val="0"/>
        <w:autoSpaceDE w:val="0"/>
        <w:autoSpaceDN w:val="0"/>
        <w:adjustRightInd w:val="0"/>
        <w:snapToGrid w:val="0"/>
        <w:spacing w:line="400" w:lineRule="exact"/>
        <w:ind w:firstLine="422" w:firstLineChars="200"/>
        <w:textAlignment w:val="baseline"/>
        <w:rPr>
          <w:rFonts w:hAnsi="宋体" w:cs="宋体"/>
          <w:b/>
          <w:bCs/>
          <w:szCs w:val="21"/>
        </w:rPr>
      </w:pPr>
      <w:r>
        <w:rPr>
          <w:rFonts w:hint="eastAsia" w:hAnsi="宋体" w:cs="宋体"/>
          <w:b/>
          <w:bCs/>
          <w:szCs w:val="21"/>
        </w:rPr>
        <w:t>1.2备份电子投标文件，即电子投标文件按“政采云供应商项目采购-电子招投标操作指南”制作的备份文件。</w:t>
      </w:r>
      <w:r>
        <w:rPr>
          <w:rStyle w:val="76"/>
          <w:rFonts w:hint="eastAsia" w:hAnsi="宋体" w:cs="宋体"/>
          <w:szCs w:val="21"/>
        </w:rPr>
        <w:t>以电子邮件方式传送至浙江恒杰工程管理有限公司电子邮箱（2716504778@qq.com），传送的备份电子投标文件需打包压缩并加密，加密密码由投标人自行保管，如政采云上电子投标文件出现解密失败情况（在线解密电子投标文件时间为开标时间起1个小时内），投标人可按照自身意愿确认是否同意提供加密密码解密传送至浙江恒杰工程管理有限公司电子邮箱（2716504778@qq.com）的备份文件，并以备份文件作为替代电子投标文件，如投标人未按照规定时间（</w:t>
      </w:r>
      <w:r>
        <w:rPr>
          <w:rFonts w:hint="eastAsia" w:hAnsi="宋体" w:cs="宋体"/>
          <w:b/>
          <w:bCs/>
          <w:kern w:val="0"/>
          <w:szCs w:val="21"/>
        </w:rPr>
        <w:t>开标时间前</w:t>
      </w:r>
      <w:r>
        <w:rPr>
          <w:rStyle w:val="76"/>
          <w:rFonts w:hint="eastAsia" w:hAnsi="宋体" w:cs="宋体"/>
          <w:szCs w:val="21"/>
        </w:rPr>
        <w:t>）及要求提供有效备份文件，同时政采云上投标文件解密失败的，将导致投标无效。</w:t>
      </w:r>
    </w:p>
    <w:p>
      <w:pPr>
        <w:spacing w:line="400" w:lineRule="exact"/>
        <w:ind w:firstLine="422" w:firstLineChars="200"/>
        <w:rPr>
          <w:rFonts w:ascii="宋体" w:hAnsi="宋体" w:cs="宋体"/>
          <w:b/>
          <w:bCs/>
          <w:szCs w:val="21"/>
        </w:rPr>
      </w:pPr>
      <w:r>
        <w:rPr>
          <w:rFonts w:hint="eastAsia" w:ascii="宋体" w:hAnsi="宋体" w:cs="宋体"/>
          <w:b/>
          <w:bCs/>
          <w:szCs w:val="21"/>
        </w:rPr>
        <w:t>1.3投标文件的效力</w:t>
      </w:r>
    </w:p>
    <w:p>
      <w:pPr>
        <w:spacing w:line="400" w:lineRule="exact"/>
        <w:ind w:firstLine="422" w:firstLineChars="200"/>
        <w:rPr>
          <w:rFonts w:ascii="宋体" w:hAnsi="宋体" w:cs="宋体"/>
          <w:b/>
          <w:bCs/>
          <w:szCs w:val="21"/>
        </w:rPr>
      </w:pPr>
      <w:r>
        <w:rPr>
          <w:rFonts w:hint="eastAsia" w:ascii="宋体" w:hAnsi="宋体" w:cs="宋体"/>
          <w:b/>
          <w:bCs/>
          <w:szCs w:val="21"/>
        </w:rPr>
        <w:t>投标文件的启用，按先后顺位分别为电子投标文件、备份电子投标文件。在下一顺位的投标文件启用时，前一顺位的投标文件自动失效。</w:t>
      </w:r>
    </w:p>
    <w:p>
      <w:pPr>
        <w:spacing w:line="400" w:lineRule="exact"/>
        <w:ind w:firstLine="420" w:firstLineChars="200"/>
        <w:rPr>
          <w:rFonts w:ascii="宋体" w:hAnsi="宋体" w:cs="宋体"/>
          <w:szCs w:val="21"/>
          <w:u w:val="single"/>
        </w:rPr>
      </w:pPr>
      <w:r>
        <w:rPr>
          <w:rFonts w:hint="eastAsia" w:ascii="宋体" w:hAnsi="宋体" w:cs="宋体"/>
          <w:szCs w:val="21"/>
        </w:rPr>
        <w:t>2.投标人应认真阅读招标文件中所有事项格式、条款和技术规范等。</w:t>
      </w:r>
      <w:r>
        <w:rPr>
          <w:rFonts w:hint="eastAsia" w:ascii="宋体" w:hAnsi="宋体" w:cs="宋体"/>
          <w:bCs/>
          <w:szCs w:val="21"/>
          <w:u w:val="single"/>
        </w:rPr>
        <w:t>▲</w:t>
      </w:r>
      <w:r>
        <w:rPr>
          <w:rFonts w:hint="eastAsia" w:ascii="宋体" w:hAnsi="宋体" w:cs="宋体"/>
          <w:szCs w:val="21"/>
          <w:u w:val="single"/>
        </w:rPr>
        <w:t>投标人没有对招标文件各个方面做出实质性响应，导致投标被拒绝的风险由投标人自行承担。</w:t>
      </w:r>
    </w:p>
    <w:p>
      <w:pPr>
        <w:spacing w:line="360" w:lineRule="auto"/>
        <w:ind w:firstLine="420" w:firstLineChars="200"/>
        <w:rPr>
          <w:rFonts w:ascii="宋体" w:hAnsi="宋体"/>
          <w:bCs/>
          <w:szCs w:val="21"/>
        </w:rPr>
      </w:pPr>
      <w:r>
        <w:rPr>
          <w:rFonts w:hint="eastAsia" w:ascii="宋体" w:hAnsi="宋体" w:cs="宋体"/>
          <w:szCs w:val="21"/>
        </w:rPr>
        <w:t>3.</w:t>
      </w:r>
      <w:r>
        <w:rPr>
          <w:rFonts w:hint="eastAsia" w:ascii="宋体" w:hAnsi="宋体" w:cs="宋体"/>
          <w:bCs/>
          <w:szCs w:val="21"/>
          <w:u w:val="single"/>
        </w:rPr>
        <w:t>▲</w:t>
      </w:r>
      <w:r>
        <w:rPr>
          <w:rFonts w:hint="eastAsia" w:ascii="宋体" w:hAnsi="宋体" w:cs="宋体"/>
          <w:szCs w:val="21"/>
          <w:u w:val="single"/>
        </w:rPr>
        <w:t>投标人应保证所提供文件资料的真实性，所有文件资料必须是针对本次投标的。如发现投标人提供了虚假文件资料，其投标将被拒绝，并自行承担相应的法律责任。</w:t>
      </w:r>
    </w:p>
    <w:p>
      <w:pPr>
        <w:numPr>
          <w:ilvl w:val="0"/>
          <w:numId w:val="42"/>
        </w:numPr>
        <w:spacing w:line="360" w:lineRule="auto"/>
        <w:rPr>
          <w:rFonts w:ascii="宋体" w:hAnsi="宋体"/>
          <w:b/>
          <w:szCs w:val="21"/>
        </w:rPr>
      </w:pPr>
      <w:r>
        <w:rPr>
          <w:rFonts w:hint="eastAsia" w:ascii="宋体" w:hAnsi="宋体"/>
          <w:b/>
          <w:szCs w:val="21"/>
        </w:rPr>
        <w:t xml:space="preserve">   </w:t>
      </w:r>
      <w:r>
        <w:rPr>
          <w:rFonts w:hint="eastAsia" w:ascii="宋体" w:hAnsi="宋体" w:cs="宋体"/>
          <w:b/>
          <w:bCs/>
          <w:sz w:val="22"/>
          <w:szCs w:val="22"/>
        </w:rPr>
        <w:t>投标文件的组成</w:t>
      </w:r>
    </w:p>
    <w:p>
      <w:pPr>
        <w:numPr>
          <w:ilvl w:val="1"/>
          <w:numId w:val="42"/>
        </w:numPr>
        <w:spacing w:line="360" w:lineRule="auto"/>
      </w:pPr>
      <w:r>
        <w:rPr>
          <w:rFonts w:hint="eastAsia" w:ascii="宋体" w:hAnsi="宋体" w:cs="宋体"/>
          <w:sz w:val="22"/>
          <w:szCs w:val="22"/>
        </w:rPr>
        <w:t xml:space="preserve">  投标文件由资格审查、技术资信标、商务标三部分组成：</w:t>
      </w:r>
    </w:p>
    <w:p>
      <w:pPr>
        <w:spacing w:line="360" w:lineRule="auto"/>
        <w:rPr>
          <w:rFonts w:ascii="宋体" w:hAnsi="宋体"/>
          <w:b/>
          <w:szCs w:val="21"/>
        </w:rPr>
      </w:pPr>
      <w:r>
        <w:rPr>
          <w:rFonts w:hint="eastAsia" w:ascii="宋体" w:hAnsi="宋体"/>
          <w:b/>
          <w:szCs w:val="21"/>
        </w:rPr>
        <w:t>5.1.1  资格审查</w:t>
      </w:r>
    </w:p>
    <w:p>
      <w:pPr>
        <w:tabs>
          <w:tab w:val="left" w:pos="5355"/>
        </w:tabs>
        <w:spacing w:line="360" w:lineRule="auto"/>
        <w:ind w:firstLine="735" w:firstLineChars="350"/>
        <w:rPr>
          <w:rFonts w:ascii="宋体" w:hAnsi="宋体"/>
          <w:szCs w:val="21"/>
        </w:rPr>
      </w:pPr>
      <w:r>
        <w:rPr>
          <w:rFonts w:hint="eastAsia" w:ascii="宋体" w:hAnsi="宋体"/>
          <w:szCs w:val="21"/>
        </w:rPr>
        <w:t>资格证明文件：                                （附件五）</w:t>
      </w:r>
    </w:p>
    <w:p>
      <w:pPr>
        <w:tabs>
          <w:tab w:val="left" w:pos="5355"/>
        </w:tabs>
        <w:spacing w:line="360" w:lineRule="auto"/>
        <w:ind w:firstLine="1155" w:firstLineChars="550"/>
        <w:rPr>
          <w:rFonts w:ascii="宋体" w:hAnsi="宋体"/>
          <w:szCs w:val="21"/>
        </w:rPr>
      </w:pPr>
      <w:r>
        <w:rPr>
          <w:rFonts w:hint="eastAsia" w:ascii="宋体" w:hAnsi="宋体"/>
          <w:szCs w:val="21"/>
        </w:rPr>
        <w:t>a法定代表人授权书</w:t>
      </w:r>
    </w:p>
    <w:p>
      <w:pPr>
        <w:tabs>
          <w:tab w:val="left" w:pos="5355"/>
        </w:tabs>
        <w:spacing w:line="360" w:lineRule="auto"/>
        <w:ind w:firstLine="1155" w:firstLineChars="550"/>
        <w:rPr>
          <w:rFonts w:ascii="宋体" w:hAnsi="宋体"/>
          <w:szCs w:val="21"/>
        </w:rPr>
      </w:pPr>
      <w:r>
        <w:rPr>
          <w:rFonts w:hint="eastAsia" w:ascii="宋体" w:hAnsi="宋体"/>
          <w:szCs w:val="21"/>
        </w:rPr>
        <w:t>b企业有效营业执照副本 （扫描加盖公章）</w:t>
      </w:r>
    </w:p>
    <w:p>
      <w:pPr>
        <w:tabs>
          <w:tab w:val="left" w:pos="5355"/>
        </w:tabs>
        <w:spacing w:line="360" w:lineRule="auto"/>
        <w:ind w:firstLine="1155" w:firstLineChars="550"/>
        <w:rPr>
          <w:rFonts w:ascii="Arial" w:hAnsi="Arial" w:cs="Arial"/>
          <w:szCs w:val="21"/>
        </w:rPr>
      </w:pPr>
      <w:r>
        <w:rPr>
          <w:rFonts w:hint="eastAsia" w:ascii="宋体" w:hAnsi="宋体"/>
          <w:szCs w:val="21"/>
        </w:rPr>
        <w:t>f至本项目投标截止时间止未列入失信被执行人、重大税收违法案件当事人名单、政府</w:t>
      </w:r>
      <w:r>
        <w:rPr>
          <w:rFonts w:hint="eastAsia" w:ascii="Arial" w:hAnsi="Arial" w:cs="Arial"/>
          <w:szCs w:val="21"/>
        </w:rPr>
        <w:t>采购严重违法失信行为记录名单的证明材料：出具“信用中国”网站（www.creditchina.gov.cn）、中国政府采购网（www.ccgp.gov.cn）查询结果的网页截图</w:t>
      </w:r>
    </w:p>
    <w:p>
      <w:pPr>
        <w:spacing w:line="360" w:lineRule="auto"/>
        <w:rPr>
          <w:rFonts w:ascii="宋体" w:hAnsi="宋体"/>
          <w:b/>
          <w:szCs w:val="21"/>
        </w:rPr>
      </w:pPr>
      <w:r>
        <w:rPr>
          <w:rFonts w:hint="eastAsia" w:ascii="宋体" w:hAnsi="宋体"/>
          <w:b/>
          <w:szCs w:val="21"/>
        </w:rPr>
        <w:t>5.1.2 技术资信标</w:t>
      </w:r>
    </w:p>
    <w:p>
      <w:pPr>
        <w:tabs>
          <w:tab w:val="left" w:pos="5355"/>
        </w:tabs>
        <w:spacing w:line="360" w:lineRule="auto"/>
        <w:ind w:firstLine="105" w:firstLineChars="50"/>
        <w:rPr>
          <w:rFonts w:hint="eastAsia" w:ascii="宋体" w:hAnsi="宋体"/>
          <w:szCs w:val="21"/>
        </w:rPr>
      </w:pPr>
      <w:r>
        <w:rPr>
          <w:rFonts w:hint="eastAsia" w:ascii="宋体" w:hAnsi="宋体"/>
          <w:szCs w:val="21"/>
        </w:rPr>
        <w:t>1）  投标函                                        （附件一）</w:t>
      </w:r>
    </w:p>
    <w:p>
      <w:pPr>
        <w:tabs>
          <w:tab w:val="left" w:pos="5355"/>
        </w:tabs>
        <w:spacing w:line="360" w:lineRule="auto"/>
        <w:ind w:firstLine="105" w:firstLineChars="50"/>
        <w:rPr>
          <w:rFonts w:hint="eastAsia" w:eastAsia="宋体"/>
          <w:lang w:val="en-US" w:eastAsia="zh-CN"/>
        </w:rPr>
      </w:pPr>
      <w:r>
        <w:rPr>
          <w:rFonts w:hint="eastAsia"/>
          <w:lang w:val="en-US" w:eastAsia="zh-CN"/>
        </w:rPr>
        <w:t xml:space="preserve">2） </w:t>
      </w:r>
      <w:r>
        <w:rPr>
          <w:rFonts w:hint="eastAsia" w:ascii="宋体" w:hAnsi="宋体"/>
          <w:szCs w:val="21"/>
          <w:lang w:val="en-US" w:eastAsia="zh-CN"/>
        </w:rPr>
        <w:t xml:space="preserve"> </w:t>
      </w:r>
      <w:r>
        <w:rPr>
          <w:rFonts w:hint="eastAsia" w:ascii="宋体" w:hAnsi="宋体"/>
          <w:szCs w:val="21"/>
        </w:rPr>
        <w:t>软、硬件配置选型情况</w:t>
      </w:r>
    </w:p>
    <w:p>
      <w:pPr>
        <w:tabs>
          <w:tab w:val="left" w:pos="5355"/>
        </w:tabs>
        <w:spacing w:line="360" w:lineRule="auto"/>
        <w:ind w:firstLine="105" w:firstLineChars="50"/>
      </w:pPr>
      <w:r>
        <w:rPr>
          <w:rFonts w:hint="eastAsia"/>
          <w:lang w:val="en-US" w:eastAsia="zh-CN"/>
        </w:rPr>
        <w:t>3</w:t>
      </w:r>
      <w:r>
        <w:rPr>
          <w:rFonts w:hint="eastAsia"/>
        </w:rPr>
        <w:t xml:space="preserve">）  </w:t>
      </w:r>
      <w:r>
        <w:rPr>
          <w:rFonts w:hint="eastAsia" w:ascii="宋体" w:hAnsi="宋体"/>
          <w:szCs w:val="21"/>
        </w:rPr>
        <w:t>偏离表                                        （附件四）</w:t>
      </w:r>
    </w:p>
    <w:p>
      <w:pPr>
        <w:spacing w:line="360" w:lineRule="auto"/>
        <w:ind w:firstLine="105" w:firstLineChars="50"/>
        <w:rPr>
          <w:rFonts w:ascii="宋体" w:hAnsi="宋体"/>
          <w:szCs w:val="21"/>
        </w:rPr>
      </w:pPr>
      <w:r>
        <w:rPr>
          <w:rFonts w:hint="eastAsia" w:ascii="宋体" w:hAnsi="宋体"/>
          <w:szCs w:val="21"/>
          <w:lang w:val="en-US" w:eastAsia="zh-CN"/>
        </w:rPr>
        <w:t>4</w:t>
      </w:r>
      <w:r>
        <w:rPr>
          <w:rFonts w:hint="eastAsia" w:ascii="宋体" w:hAnsi="宋体"/>
          <w:szCs w:val="21"/>
        </w:rPr>
        <w:t xml:space="preserve">）  </w:t>
      </w:r>
      <w:r>
        <w:rPr>
          <w:rFonts w:hint="eastAsia"/>
        </w:rPr>
        <w:t>备品备件提供、配置、响应</w:t>
      </w:r>
      <w:r>
        <w:rPr>
          <w:rFonts w:hint="eastAsia" w:ascii="宋体" w:hAnsi="宋体"/>
          <w:szCs w:val="21"/>
        </w:rPr>
        <w:t xml:space="preserve">                      （附件六）</w:t>
      </w:r>
    </w:p>
    <w:p>
      <w:pPr>
        <w:spacing w:line="360" w:lineRule="auto"/>
        <w:ind w:firstLine="105" w:firstLineChars="50"/>
        <w:rPr>
          <w:rFonts w:hint="eastAsia" w:ascii="宋体" w:hAnsi="宋体"/>
          <w:szCs w:val="21"/>
        </w:rPr>
      </w:pPr>
      <w:r>
        <w:rPr>
          <w:rFonts w:hint="eastAsia" w:ascii="宋体" w:hAnsi="宋体"/>
          <w:szCs w:val="21"/>
          <w:lang w:val="en-US" w:eastAsia="zh-CN"/>
        </w:rPr>
        <w:t>5</w:t>
      </w:r>
      <w:r>
        <w:rPr>
          <w:rFonts w:hint="eastAsia" w:ascii="宋体" w:hAnsi="宋体"/>
          <w:szCs w:val="21"/>
        </w:rPr>
        <w:t xml:space="preserve">）  </w:t>
      </w:r>
      <w:r>
        <w:rPr>
          <w:rFonts w:hint="eastAsia"/>
        </w:rPr>
        <w:t>续维服务技术方案合理、完整、可行性</w:t>
      </w:r>
      <w:r>
        <w:rPr>
          <w:rFonts w:hint="eastAsia" w:ascii="宋体" w:hAnsi="宋体"/>
          <w:szCs w:val="21"/>
        </w:rPr>
        <w:t xml:space="preserve">             （附件七）</w:t>
      </w:r>
    </w:p>
    <w:p>
      <w:pPr>
        <w:tabs>
          <w:tab w:val="left" w:pos="5355"/>
        </w:tabs>
        <w:spacing w:line="360" w:lineRule="auto"/>
        <w:ind w:firstLine="105" w:firstLineChars="50"/>
        <w:rPr>
          <w:rFonts w:hint="default"/>
          <w:lang w:val="en-US" w:eastAsia="zh-CN"/>
        </w:rPr>
      </w:pPr>
      <w:r>
        <w:rPr>
          <w:rFonts w:hint="eastAsia"/>
          <w:lang w:val="en-US" w:eastAsia="zh-CN"/>
        </w:rPr>
        <w:t xml:space="preserve">6）  </w:t>
      </w:r>
      <w:r>
        <w:rPr>
          <w:rFonts w:hint="eastAsia"/>
        </w:rPr>
        <w:t>施工组织计划</w:t>
      </w:r>
      <w:r>
        <w:rPr>
          <w:rFonts w:hint="eastAsia"/>
          <w:lang w:val="en-US" w:eastAsia="zh-CN"/>
        </w:rPr>
        <w:t xml:space="preserve">                                   </w:t>
      </w:r>
      <w:r>
        <w:rPr>
          <w:rFonts w:hint="eastAsia" w:ascii="宋体" w:hAnsi="宋体" w:cs="Arial"/>
          <w:szCs w:val="21"/>
        </w:rPr>
        <w:t>（附件八）</w:t>
      </w:r>
    </w:p>
    <w:p>
      <w:pPr>
        <w:tabs>
          <w:tab w:val="left" w:pos="5355"/>
        </w:tabs>
        <w:spacing w:line="360" w:lineRule="auto"/>
        <w:ind w:firstLine="105" w:firstLineChars="50"/>
        <w:rPr>
          <w:rFonts w:ascii="宋体" w:hAnsi="宋体" w:cs="Arial"/>
          <w:szCs w:val="21"/>
        </w:rPr>
      </w:pPr>
      <w:r>
        <w:rPr>
          <w:rFonts w:hint="eastAsia" w:ascii="宋体" w:hAnsi="宋体"/>
          <w:szCs w:val="21"/>
          <w:lang w:val="en-US" w:eastAsia="zh-CN"/>
        </w:rPr>
        <w:t>7</w:t>
      </w:r>
      <w:r>
        <w:rPr>
          <w:rFonts w:hint="eastAsia" w:ascii="宋体" w:hAnsi="宋体"/>
          <w:szCs w:val="21"/>
        </w:rPr>
        <w:t xml:space="preserve">）  </w:t>
      </w:r>
      <w:r>
        <w:rPr>
          <w:rFonts w:hint="eastAsia"/>
        </w:rPr>
        <w:t xml:space="preserve">售后服务支持能力 </w:t>
      </w:r>
      <w:r>
        <w:rPr>
          <w:rFonts w:hint="eastAsia" w:ascii="宋体" w:hAnsi="宋体" w:cs="Arial"/>
          <w:szCs w:val="21"/>
        </w:rPr>
        <w:t xml:space="preserve">      </w:t>
      </w:r>
      <w:r>
        <w:rPr>
          <w:rFonts w:hint="eastAsia" w:ascii="宋体" w:hAnsi="宋体" w:cs="Arial"/>
          <w:szCs w:val="21"/>
          <w:lang w:val="en-US" w:eastAsia="zh-CN"/>
        </w:rPr>
        <w:t xml:space="preserve"> </w:t>
      </w:r>
      <w:r>
        <w:rPr>
          <w:rFonts w:hint="eastAsia" w:ascii="宋体" w:hAnsi="宋体" w:cs="Arial"/>
          <w:szCs w:val="21"/>
        </w:rPr>
        <w:t xml:space="preserve">                       （附件</w:t>
      </w:r>
      <w:r>
        <w:rPr>
          <w:rFonts w:hint="eastAsia" w:ascii="宋体" w:hAnsi="宋体" w:cs="Arial"/>
          <w:szCs w:val="21"/>
          <w:lang w:eastAsia="zh-CN"/>
        </w:rPr>
        <w:t>九</w:t>
      </w:r>
      <w:r>
        <w:rPr>
          <w:rFonts w:hint="eastAsia" w:ascii="宋体" w:hAnsi="宋体" w:cs="Arial"/>
          <w:szCs w:val="21"/>
        </w:rPr>
        <w:t xml:space="preserve">）              </w:t>
      </w:r>
    </w:p>
    <w:p>
      <w:pPr>
        <w:tabs>
          <w:tab w:val="left" w:pos="5355"/>
        </w:tabs>
        <w:spacing w:line="360" w:lineRule="auto"/>
        <w:ind w:firstLine="105" w:firstLineChars="50"/>
        <w:rPr>
          <w:rFonts w:ascii="宋体" w:hAnsi="宋体" w:cs="Arial"/>
          <w:szCs w:val="21"/>
        </w:rPr>
      </w:pPr>
      <w:r>
        <w:rPr>
          <w:rFonts w:hint="eastAsia" w:ascii="宋体" w:hAnsi="宋体" w:cs="Arial"/>
          <w:szCs w:val="21"/>
          <w:lang w:val="en-US" w:eastAsia="zh-CN"/>
        </w:rPr>
        <w:t>8</w:t>
      </w:r>
      <w:r>
        <w:rPr>
          <w:rFonts w:hint="eastAsia" w:ascii="宋体" w:hAnsi="宋体" w:cs="Arial"/>
          <w:szCs w:val="21"/>
        </w:rPr>
        <w:t>）  项目服务人员汇总表(具体要求详见评标办法)       （附件</w:t>
      </w:r>
      <w:r>
        <w:rPr>
          <w:rFonts w:hint="eastAsia" w:ascii="宋体" w:hAnsi="宋体" w:cs="Arial"/>
          <w:szCs w:val="21"/>
          <w:lang w:eastAsia="zh-CN"/>
        </w:rPr>
        <w:t>十</w:t>
      </w:r>
      <w:r>
        <w:rPr>
          <w:rFonts w:hint="eastAsia" w:ascii="宋体" w:hAnsi="宋体" w:cs="Arial"/>
          <w:szCs w:val="21"/>
        </w:rPr>
        <w:t>）</w:t>
      </w:r>
    </w:p>
    <w:p>
      <w:pPr>
        <w:tabs>
          <w:tab w:val="left" w:pos="5355"/>
        </w:tabs>
        <w:spacing w:line="360" w:lineRule="auto"/>
        <w:rPr>
          <w:rFonts w:hint="eastAsia" w:ascii="宋体" w:hAnsi="宋体"/>
          <w:szCs w:val="21"/>
        </w:rPr>
      </w:pPr>
      <w:r>
        <w:rPr>
          <w:rFonts w:hint="eastAsia" w:ascii="宋体" w:hAnsi="宋体"/>
          <w:szCs w:val="21"/>
        </w:rPr>
        <w:t xml:space="preserve"> </w:t>
      </w:r>
      <w:r>
        <w:rPr>
          <w:rFonts w:hint="eastAsia" w:ascii="宋体" w:hAnsi="宋体"/>
          <w:szCs w:val="21"/>
          <w:lang w:val="en-US" w:eastAsia="zh-CN"/>
        </w:rPr>
        <w:t>9</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cs="Arial"/>
          <w:szCs w:val="21"/>
          <w:lang w:val="zh-CN"/>
        </w:rPr>
        <w:t>类似项目业绩</w:t>
      </w:r>
      <w:r>
        <w:rPr>
          <w:rFonts w:hint="eastAsia" w:eastAsia="新宋体"/>
          <w:color w:val="000000"/>
          <w:kern w:val="0"/>
          <w:sz w:val="22"/>
          <w:szCs w:val="22"/>
        </w:rPr>
        <w:t xml:space="preserve">           </w:t>
      </w:r>
      <w:r>
        <w:rPr>
          <w:rFonts w:hint="eastAsia" w:ascii="宋体" w:hAnsi="宋体"/>
          <w:szCs w:val="21"/>
        </w:rPr>
        <w:t xml:space="preserve">                       （附件十</w:t>
      </w:r>
      <w:r>
        <w:rPr>
          <w:rFonts w:hint="eastAsia" w:ascii="宋体" w:hAnsi="宋体"/>
          <w:szCs w:val="21"/>
          <w:lang w:eastAsia="zh-CN"/>
        </w:rPr>
        <w:t>一</w:t>
      </w:r>
      <w:r>
        <w:rPr>
          <w:rFonts w:hint="eastAsia" w:ascii="宋体" w:hAnsi="宋体"/>
          <w:szCs w:val="21"/>
        </w:rPr>
        <w:t>）</w:t>
      </w:r>
    </w:p>
    <w:p>
      <w:pPr>
        <w:tabs>
          <w:tab w:val="left" w:pos="5355"/>
        </w:tabs>
        <w:spacing w:line="360" w:lineRule="auto"/>
        <w:ind w:firstLine="105" w:firstLineChars="50"/>
        <w:rPr>
          <w:rFonts w:hint="default" w:ascii="宋体" w:hAnsi="宋体" w:cs="Arial"/>
          <w:szCs w:val="21"/>
          <w:lang w:val="en-US" w:eastAsia="zh-CN"/>
        </w:rPr>
      </w:pPr>
      <w:r>
        <w:rPr>
          <w:rFonts w:hint="eastAsia"/>
          <w:lang w:val="en-US" w:eastAsia="zh-CN"/>
        </w:rPr>
        <w:t>10）</w:t>
      </w:r>
      <w:r>
        <w:rPr>
          <w:rFonts w:hint="eastAsia" w:ascii="宋体" w:hAnsi="宋体" w:cs="Arial"/>
          <w:szCs w:val="21"/>
          <w:lang w:val="en-US" w:eastAsia="zh-CN"/>
        </w:rPr>
        <w:t xml:space="preserve"> </w:t>
      </w:r>
      <w:r>
        <w:rPr>
          <w:rFonts w:hint="eastAsia" w:ascii="宋体" w:hAnsi="宋体" w:cs="Arial"/>
          <w:szCs w:val="21"/>
        </w:rPr>
        <w:t>供应商综合情况</w:t>
      </w:r>
    </w:p>
    <w:p>
      <w:pPr>
        <w:tabs>
          <w:tab w:val="left" w:pos="5355"/>
        </w:tabs>
        <w:spacing w:line="360" w:lineRule="auto"/>
        <w:ind w:firstLine="105" w:firstLineChars="50"/>
        <w:rPr>
          <w:rFonts w:ascii="宋体" w:hAnsi="宋体"/>
          <w:szCs w:val="21"/>
        </w:rPr>
      </w:pPr>
      <w:r>
        <w:rPr>
          <w:rFonts w:hint="eastAsia" w:ascii="宋体" w:hAnsi="宋体"/>
          <w:szCs w:val="21"/>
        </w:rPr>
        <w:t>1</w:t>
      </w:r>
      <w:r>
        <w:rPr>
          <w:rFonts w:hint="eastAsia" w:ascii="宋体" w:hAnsi="宋体"/>
          <w:szCs w:val="21"/>
          <w:lang w:val="en-US" w:eastAsia="zh-CN"/>
        </w:rPr>
        <w:t>1</w:t>
      </w:r>
      <w:r>
        <w:rPr>
          <w:rFonts w:hint="eastAsia" w:ascii="宋体" w:hAnsi="宋体"/>
          <w:szCs w:val="21"/>
        </w:rPr>
        <w:t>） 投标人认为需要提供的其他技术资料</w:t>
      </w:r>
    </w:p>
    <w:p>
      <w:pPr>
        <w:snapToGrid w:val="0"/>
        <w:spacing w:before="50" w:line="360" w:lineRule="auto"/>
        <w:rPr>
          <w:rFonts w:ascii="宋体" w:hAnsi="宋体"/>
          <w:szCs w:val="21"/>
        </w:rPr>
      </w:pPr>
      <w:r>
        <w:rPr>
          <w:rFonts w:hint="eastAsia" w:ascii="宋体" w:hAnsi="宋体"/>
          <w:szCs w:val="21"/>
        </w:rPr>
        <w:t xml:space="preserve"> 1</w:t>
      </w:r>
      <w:r>
        <w:rPr>
          <w:rFonts w:hint="eastAsia" w:ascii="宋体" w:hAnsi="宋体"/>
          <w:szCs w:val="21"/>
          <w:lang w:val="en-US" w:eastAsia="zh-CN"/>
        </w:rPr>
        <w:t>2</w:t>
      </w:r>
      <w:r>
        <w:rPr>
          <w:rFonts w:hint="eastAsia" w:ascii="宋体" w:hAnsi="宋体"/>
          <w:szCs w:val="21"/>
        </w:rPr>
        <w:t xml:space="preserve">)  评标办法中要求提供的其他资料       </w:t>
      </w:r>
    </w:p>
    <w:p>
      <w:pPr>
        <w:snapToGrid w:val="0"/>
        <w:spacing w:before="50" w:line="360" w:lineRule="auto"/>
        <w:rPr>
          <w:rFonts w:ascii="宋体" w:hAnsi="宋体"/>
          <w:szCs w:val="21"/>
        </w:rPr>
      </w:pPr>
      <w:r>
        <w:rPr>
          <w:rFonts w:hint="eastAsia" w:ascii="宋体" w:hAnsi="宋体"/>
          <w:szCs w:val="21"/>
        </w:rPr>
        <w:t xml:space="preserve"> 1</w:t>
      </w:r>
      <w:r>
        <w:rPr>
          <w:rFonts w:hint="eastAsia" w:ascii="宋体" w:hAnsi="宋体"/>
          <w:szCs w:val="21"/>
          <w:lang w:val="en-US" w:eastAsia="zh-CN"/>
        </w:rPr>
        <w:t>3</w:t>
      </w:r>
      <w:r>
        <w:rPr>
          <w:rFonts w:hint="eastAsia" w:ascii="宋体" w:hAnsi="宋体"/>
          <w:szCs w:val="21"/>
        </w:rPr>
        <w:t>） a节能环保产品声明函（如有）                     （附件十</w:t>
      </w:r>
      <w:r>
        <w:rPr>
          <w:rFonts w:hint="eastAsia" w:ascii="宋体" w:hAnsi="宋体"/>
          <w:szCs w:val="21"/>
          <w:lang w:eastAsia="zh-CN"/>
        </w:rPr>
        <w:t>二</w:t>
      </w:r>
      <w:r>
        <w:rPr>
          <w:rFonts w:hint="eastAsia" w:ascii="宋体" w:hAnsi="宋体"/>
          <w:szCs w:val="21"/>
        </w:rPr>
        <w:t>）</w:t>
      </w:r>
    </w:p>
    <w:p>
      <w:pPr>
        <w:snapToGrid w:val="0"/>
        <w:spacing w:before="50" w:line="360" w:lineRule="auto"/>
        <w:ind w:firstLine="630" w:firstLineChars="300"/>
        <w:rPr>
          <w:rFonts w:hint="eastAsia" w:ascii="宋体" w:hAnsi="宋体"/>
          <w:szCs w:val="21"/>
        </w:rPr>
      </w:pPr>
      <w:r>
        <w:rPr>
          <w:rFonts w:hint="eastAsia" w:ascii="宋体" w:hAnsi="宋体"/>
          <w:szCs w:val="21"/>
        </w:rPr>
        <w:t>b节能（环保）产品清单（如有）                   （附件十</w:t>
      </w:r>
      <w:r>
        <w:rPr>
          <w:rFonts w:hint="eastAsia" w:ascii="宋体" w:hAnsi="宋体"/>
          <w:szCs w:val="21"/>
          <w:lang w:eastAsia="zh-CN"/>
        </w:rPr>
        <w:t>三</w:t>
      </w:r>
      <w:r>
        <w:rPr>
          <w:rFonts w:hint="eastAsia" w:ascii="宋体" w:hAnsi="宋体"/>
          <w:szCs w:val="21"/>
        </w:rPr>
        <w:t>）</w:t>
      </w:r>
    </w:p>
    <w:p>
      <w:pPr>
        <w:tabs>
          <w:tab w:val="left" w:pos="5355"/>
        </w:tabs>
        <w:spacing w:line="360" w:lineRule="auto"/>
        <w:ind w:firstLine="630" w:firstLineChars="300"/>
        <w:rPr>
          <w:rFonts w:ascii="宋体" w:hAnsi="宋体"/>
          <w:szCs w:val="21"/>
        </w:rPr>
      </w:pPr>
      <w:r>
        <w:rPr>
          <w:rFonts w:hint="eastAsia" w:ascii="宋体" w:hAnsi="宋体"/>
          <w:szCs w:val="21"/>
        </w:rPr>
        <w:t>c中小企业声明函（如有）</w:t>
      </w:r>
    </w:p>
    <w:p>
      <w:pPr>
        <w:tabs>
          <w:tab w:val="left" w:pos="5355"/>
        </w:tabs>
        <w:spacing w:line="360" w:lineRule="auto"/>
        <w:ind w:firstLine="630" w:firstLineChars="300"/>
        <w:rPr>
          <w:rFonts w:ascii="宋体" w:hAnsi="宋体"/>
          <w:szCs w:val="21"/>
        </w:rPr>
      </w:pPr>
      <w:r>
        <w:rPr>
          <w:rFonts w:hint="eastAsia" w:ascii="宋体" w:hAnsi="宋体"/>
          <w:szCs w:val="21"/>
        </w:rPr>
        <w:t>d残疾人福利性单位声明函（如有）</w:t>
      </w:r>
    </w:p>
    <w:p>
      <w:pPr>
        <w:tabs>
          <w:tab w:val="left" w:pos="5355"/>
        </w:tabs>
        <w:spacing w:line="360" w:lineRule="auto"/>
        <w:ind w:firstLine="630" w:firstLineChars="300"/>
        <w:rPr>
          <w:rFonts w:ascii="宋体" w:hAnsi="宋体"/>
          <w:szCs w:val="21"/>
        </w:rPr>
      </w:pPr>
      <w:r>
        <w:rPr>
          <w:rFonts w:hint="eastAsia" w:ascii="宋体" w:hAnsi="宋体"/>
          <w:szCs w:val="21"/>
        </w:rPr>
        <w:t>e监狱企业的证明文件（如有）</w:t>
      </w:r>
    </w:p>
    <w:p>
      <w:pPr>
        <w:spacing w:line="360" w:lineRule="auto"/>
        <w:rPr>
          <w:rFonts w:ascii="宋体" w:hAnsi="宋体"/>
          <w:szCs w:val="21"/>
        </w:rPr>
      </w:pPr>
      <w:r>
        <w:rPr>
          <w:rFonts w:hint="eastAsia" w:ascii="宋体" w:hAnsi="宋体"/>
          <w:szCs w:val="21"/>
          <w:lang w:val="en-US" w:eastAsia="zh-CN"/>
        </w:rPr>
        <w:t>14</w:t>
      </w:r>
      <w:r>
        <w:rPr>
          <w:rFonts w:hint="eastAsia" w:ascii="宋体" w:hAnsi="宋体"/>
          <w:szCs w:val="21"/>
        </w:rPr>
        <w:t>）  投标人认为需要提供的其他技术资料</w:t>
      </w:r>
    </w:p>
    <w:p>
      <w:pPr>
        <w:spacing w:line="460" w:lineRule="exact"/>
        <w:ind w:left="647" w:leftChars="308" w:firstLine="437" w:firstLineChars="196"/>
        <w:rPr>
          <w:rFonts w:ascii="宋体" w:hAnsi="宋体"/>
          <w:b/>
          <w:szCs w:val="21"/>
        </w:rPr>
      </w:pPr>
      <w:r>
        <w:rPr>
          <w:rFonts w:hint="eastAsia" w:ascii="宋体" w:hAnsi="宋体"/>
          <w:b/>
          <w:spacing w:val="6"/>
          <w:szCs w:val="21"/>
        </w:rPr>
        <w:t>投</w:t>
      </w:r>
      <w:r>
        <w:rPr>
          <w:rFonts w:hint="eastAsia" w:ascii="宋体" w:hAnsi="宋体"/>
          <w:b/>
          <w:szCs w:val="21"/>
        </w:rPr>
        <w:t>标人可在采购文件中对招标项目的技术规格和要求选用替代标准，但这些替代标准必须相当于或优于采购文件中提出的相应要求，并使采购人满意。同时在技术偏离表中做出详细说明。</w:t>
      </w:r>
    </w:p>
    <w:p>
      <w:pPr>
        <w:spacing w:line="460" w:lineRule="exact"/>
        <w:rPr>
          <w:rFonts w:ascii="宋体" w:hAnsi="宋体"/>
          <w:b/>
          <w:szCs w:val="21"/>
        </w:rPr>
      </w:pPr>
      <w:r>
        <w:rPr>
          <w:rFonts w:hint="eastAsia" w:ascii="宋体" w:hAnsi="宋体"/>
          <w:b/>
          <w:szCs w:val="21"/>
        </w:rPr>
        <w:t>5.1.3  商务（报价）标</w:t>
      </w:r>
    </w:p>
    <w:p>
      <w:pPr>
        <w:spacing w:line="460" w:lineRule="exact"/>
        <w:ind w:firstLine="105" w:firstLineChars="50"/>
        <w:rPr>
          <w:rFonts w:ascii="宋体" w:hAnsi="宋体"/>
          <w:szCs w:val="21"/>
        </w:rPr>
      </w:pPr>
      <w:r>
        <w:rPr>
          <w:rFonts w:hint="eastAsia" w:ascii="宋体" w:hAnsi="宋体"/>
          <w:szCs w:val="21"/>
        </w:rPr>
        <w:t xml:space="preserve">1）  </w:t>
      </w:r>
      <w:r>
        <w:rPr>
          <w:rFonts w:hint="eastAsia" w:ascii="宋体" w:hAnsi="宋体"/>
          <w:bCs/>
          <w:szCs w:val="21"/>
        </w:rPr>
        <w:t>开标一览表</w:t>
      </w:r>
      <w:r>
        <w:rPr>
          <w:rFonts w:hint="eastAsia" w:ascii="宋体" w:hAnsi="宋体"/>
          <w:szCs w:val="21"/>
        </w:rPr>
        <w:t xml:space="preserve">                                     （附件二）</w:t>
      </w:r>
    </w:p>
    <w:p>
      <w:pPr>
        <w:spacing w:line="460" w:lineRule="exact"/>
        <w:ind w:firstLine="105" w:firstLineChars="50"/>
        <w:rPr>
          <w:rFonts w:ascii="宋体" w:hAnsi="宋体"/>
          <w:szCs w:val="21"/>
        </w:rPr>
      </w:pPr>
      <w:r>
        <w:rPr>
          <w:rFonts w:hint="eastAsia" w:ascii="宋体" w:hAnsi="宋体"/>
          <w:szCs w:val="21"/>
        </w:rPr>
        <w:t>2）  投标分项报价表                                 （附件三）</w:t>
      </w:r>
    </w:p>
    <w:p>
      <w:pPr>
        <w:spacing w:line="460" w:lineRule="exact"/>
        <w:rPr>
          <w:rFonts w:ascii="宋体" w:hAnsi="宋体"/>
          <w:szCs w:val="21"/>
        </w:rPr>
      </w:pPr>
      <w:r>
        <w:rPr>
          <w:rFonts w:hint="eastAsia" w:ascii="宋体" w:hAnsi="宋体"/>
          <w:szCs w:val="21"/>
        </w:rPr>
        <w:t>5.1.2.1  投标文件格式</w:t>
      </w:r>
    </w:p>
    <w:p>
      <w:pPr>
        <w:tabs>
          <w:tab w:val="left" w:pos="-180"/>
          <w:tab w:val="left" w:pos="180"/>
          <w:tab w:val="left" w:pos="360"/>
        </w:tabs>
        <w:spacing w:line="460" w:lineRule="exact"/>
        <w:ind w:left="657" w:leftChars="313"/>
        <w:rPr>
          <w:rFonts w:ascii="宋体" w:hAnsi="宋体"/>
          <w:szCs w:val="21"/>
          <w:u w:val="wave"/>
        </w:rPr>
      </w:pPr>
      <w:r>
        <w:rPr>
          <w:rFonts w:hint="eastAsia" w:ascii="宋体" w:hAnsi="宋体"/>
          <w:szCs w:val="21"/>
          <w:u w:val="wave"/>
        </w:rPr>
        <w:t>投标人应根据招标文件中所提供的格式，内容按顺序填写，编写目录和页码，分别写入技术资信标和商务标中</w:t>
      </w:r>
      <w:r>
        <w:rPr>
          <w:rFonts w:hint="eastAsia" w:ascii="宋体" w:hAnsi="宋体"/>
          <w:szCs w:val="21"/>
        </w:rPr>
        <w:t>。</w:t>
      </w:r>
    </w:p>
    <w:p>
      <w:pPr>
        <w:tabs>
          <w:tab w:val="left" w:pos="-180"/>
          <w:tab w:val="left" w:pos="180"/>
          <w:tab w:val="left" w:pos="360"/>
        </w:tabs>
        <w:spacing w:line="460" w:lineRule="exact"/>
        <w:ind w:left="632" w:hanging="632" w:hangingChars="300"/>
        <w:rPr>
          <w:rFonts w:ascii="宋体" w:hAnsi="宋体"/>
          <w:b/>
          <w:bCs/>
          <w:szCs w:val="21"/>
        </w:rPr>
      </w:pPr>
      <w:r>
        <w:rPr>
          <w:rFonts w:hint="eastAsia" w:ascii="宋体" w:hAnsi="宋体"/>
          <w:b/>
          <w:bCs/>
          <w:szCs w:val="21"/>
        </w:rPr>
        <w:t>6．   投标报价</w:t>
      </w:r>
    </w:p>
    <w:p>
      <w:pPr>
        <w:tabs>
          <w:tab w:val="left" w:pos="-180"/>
          <w:tab w:val="left" w:pos="180"/>
          <w:tab w:val="left" w:pos="360"/>
        </w:tabs>
        <w:spacing w:line="460" w:lineRule="exact"/>
        <w:ind w:left="630" w:hanging="630" w:hangingChars="300"/>
        <w:rPr>
          <w:rFonts w:ascii="Arial" w:hAnsi="Arial" w:cs="Arial"/>
          <w:b/>
          <w:kern w:val="0"/>
          <w:szCs w:val="21"/>
        </w:rPr>
      </w:pPr>
      <w:r>
        <w:rPr>
          <w:rFonts w:hint="eastAsia" w:ascii="宋体" w:hAnsi="宋体"/>
          <w:szCs w:val="21"/>
        </w:rPr>
        <w:t>6</w:t>
      </w:r>
      <w:r>
        <w:rPr>
          <w:rFonts w:ascii="宋体" w:hAnsi="宋体"/>
          <w:szCs w:val="21"/>
        </w:rPr>
        <w:t>.1</w:t>
      </w:r>
      <w:r>
        <w:rPr>
          <w:rFonts w:ascii="Arial" w:hAnsi="Arial" w:cs="Arial"/>
          <w:b/>
          <w:kern w:val="0"/>
          <w:szCs w:val="21"/>
        </w:rPr>
        <w:t>投标报价是</w:t>
      </w:r>
      <w:r>
        <w:rPr>
          <w:rFonts w:hint="eastAsia" w:ascii="新宋体" w:hAnsi="新宋体" w:eastAsia="新宋体" w:cs="新宋体"/>
          <w:b/>
          <w:szCs w:val="21"/>
          <w:u w:val="single"/>
        </w:rPr>
        <w:t>指卖方在正确地完全履行合同义务后买方应支付给卖方所有的货物价款，即货物的供货、税金、包装、运输、装卸、安装调试、系统集成、系统设备</w:t>
      </w:r>
      <w:r>
        <w:rPr>
          <w:rFonts w:ascii="新宋体" w:hAnsi="新宋体" w:eastAsia="新宋体" w:cs="新宋体"/>
          <w:b/>
          <w:szCs w:val="21"/>
          <w:u w:val="single"/>
        </w:rPr>
        <w:t>第三方检测、</w:t>
      </w:r>
      <w:r>
        <w:rPr>
          <w:rFonts w:hint="eastAsia" w:ascii="新宋体" w:hAnsi="新宋体" w:eastAsia="新宋体" w:cs="新宋体"/>
          <w:b/>
          <w:szCs w:val="21"/>
          <w:u w:val="single"/>
        </w:rPr>
        <w:t>验收（含第三方验收）、技术服务、售后服务、材料、运维管理、招标代理费等全部费用，实行固定费用总包干，投标供应商应根据上述因素自行考虑含入投标总价。</w:t>
      </w:r>
    </w:p>
    <w:p>
      <w:pPr>
        <w:tabs>
          <w:tab w:val="left" w:pos="-180"/>
          <w:tab w:val="left" w:pos="180"/>
          <w:tab w:val="left" w:pos="360"/>
        </w:tabs>
        <w:spacing w:line="460" w:lineRule="exact"/>
        <w:ind w:left="630" w:hanging="630" w:hangingChars="300"/>
        <w:rPr>
          <w:rFonts w:ascii="宋体" w:hAnsi="宋体"/>
          <w:szCs w:val="21"/>
        </w:rPr>
      </w:pPr>
      <w:r>
        <w:rPr>
          <w:rFonts w:hint="eastAsia" w:ascii="宋体" w:hAnsi="宋体"/>
          <w:szCs w:val="21"/>
        </w:rPr>
        <w:t xml:space="preserve">6.2   </w:t>
      </w:r>
      <w:r>
        <w:rPr>
          <w:rFonts w:hint="eastAsia" w:cs="Arial"/>
        </w:rPr>
        <w:t>中标人在施工过程中如与其他专业工程承包人发生施工界面交叉或需其配合而产生的费用由中标人与其他专业工程承包人自行协商解决，招标人不再另行支付。因上述原因而可能产生的费用，投标人应自行考虑风险并计入投标总价中。</w:t>
      </w:r>
    </w:p>
    <w:p>
      <w:pPr>
        <w:tabs>
          <w:tab w:val="left" w:pos="-180"/>
          <w:tab w:val="left" w:pos="180"/>
          <w:tab w:val="left" w:pos="360"/>
        </w:tabs>
        <w:spacing w:line="460" w:lineRule="exact"/>
        <w:ind w:left="630" w:hanging="630" w:hangingChars="300"/>
        <w:rPr>
          <w:rFonts w:ascii="宋体" w:hAnsi="宋体"/>
          <w:szCs w:val="21"/>
        </w:rPr>
      </w:pPr>
      <w:r>
        <w:rPr>
          <w:rFonts w:hint="eastAsia" w:ascii="宋体" w:hAnsi="宋体"/>
          <w:szCs w:val="21"/>
        </w:rPr>
        <w:t>6.3   投标人必须按第五部分附件的开标一览表（统一格式）、投标分项报价表（统一格式）的内容填写产品单价、合价及其他事项，并由法定代表人或授权代表签署。</w:t>
      </w:r>
    </w:p>
    <w:p>
      <w:pPr>
        <w:tabs>
          <w:tab w:val="left" w:pos="-180"/>
          <w:tab w:val="left" w:pos="180"/>
          <w:tab w:val="left" w:pos="360"/>
        </w:tabs>
        <w:spacing w:line="460" w:lineRule="exact"/>
        <w:ind w:left="630" w:hanging="630" w:hangingChars="300"/>
        <w:rPr>
          <w:rFonts w:ascii="宋体" w:hAnsi="宋体"/>
          <w:szCs w:val="21"/>
        </w:rPr>
      </w:pPr>
      <w:r>
        <w:rPr>
          <w:rFonts w:hint="eastAsia" w:ascii="宋体" w:hAnsi="宋体"/>
          <w:szCs w:val="21"/>
        </w:rPr>
        <w:t xml:space="preserve">6.4   </w:t>
      </w:r>
      <w:r>
        <w:rPr>
          <w:rFonts w:hint="eastAsia" w:ascii="宋体" w:hAnsi="宋体"/>
          <w:b/>
          <w:szCs w:val="21"/>
        </w:rPr>
        <w:t>所有投标均以人民币报价</w:t>
      </w:r>
      <w:r>
        <w:rPr>
          <w:rFonts w:hint="eastAsia" w:ascii="宋体" w:hAnsi="宋体"/>
          <w:szCs w:val="21"/>
        </w:rPr>
        <w:t>，投标人如需外汇购入某些设备货物，须折合成人民币计入投标报价中。</w:t>
      </w:r>
    </w:p>
    <w:p>
      <w:pPr>
        <w:tabs>
          <w:tab w:val="left" w:pos="-180"/>
          <w:tab w:val="left" w:pos="180"/>
          <w:tab w:val="left" w:pos="360"/>
        </w:tabs>
        <w:spacing w:line="460" w:lineRule="exact"/>
        <w:ind w:left="630" w:hanging="630" w:hangingChars="300"/>
        <w:rPr>
          <w:rFonts w:ascii="宋体" w:hAnsi="宋体"/>
          <w:szCs w:val="21"/>
        </w:rPr>
      </w:pPr>
      <w:r>
        <w:rPr>
          <w:rFonts w:hint="eastAsia" w:ascii="宋体" w:hAnsi="宋体"/>
          <w:szCs w:val="21"/>
        </w:rPr>
        <w:t xml:space="preserve">6.5   </w:t>
      </w:r>
      <w:r>
        <w:rPr>
          <w:rFonts w:hint="eastAsia" w:ascii="宋体" w:hAnsi="宋体"/>
          <w:b/>
          <w:szCs w:val="21"/>
        </w:rPr>
        <w:t>招标人不接受任何选择报价，对此项服务只允许一个报价</w:t>
      </w:r>
      <w:r>
        <w:rPr>
          <w:rFonts w:hint="eastAsia" w:ascii="宋体" w:hAnsi="宋体"/>
          <w:szCs w:val="21"/>
        </w:rPr>
        <w:t>。为防止恶性竞争，开标一览表（附件二）中投标总价不得出现选择性报价。分项报价表（附件三）中各种设备价格不得低于成本价。</w:t>
      </w:r>
    </w:p>
    <w:p>
      <w:pPr>
        <w:tabs>
          <w:tab w:val="left" w:pos="-180"/>
          <w:tab w:val="left" w:pos="180"/>
          <w:tab w:val="left" w:pos="360"/>
        </w:tabs>
        <w:spacing w:line="460" w:lineRule="exact"/>
        <w:ind w:left="630" w:hanging="630" w:hangingChars="300"/>
        <w:rPr>
          <w:rFonts w:ascii="宋体" w:hAnsi="宋体"/>
          <w:szCs w:val="21"/>
        </w:rPr>
      </w:pPr>
      <w:r>
        <w:rPr>
          <w:rFonts w:hint="eastAsia" w:ascii="宋体" w:hAnsi="宋体"/>
          <w:szCs w:val="21"/>
        </w:rPr>
        <w:t>6.6   招标人要求分类报价是为了方便评标，但在任何情况下不限制采购人以其认为最合适的条款、条件签订合同的权利。</w:t>
      </w:r>
    </w:p>
    <w:p>
      <w:pPr>
        <w:tabs>
          <w:tab w:val="left" w:pos="-180"/>
          <w:tab w:val="left" w:pos="180"/>
          <w:tab w:val="left" w:pos="360"/>
        </w:tabs>
        <w:spacing w:line="460" w:lineRule="exact"/>
        <w:ind w:left="632" w:hanging="632" w:hangingChars="300"/>
        <w:rPr>
          <w:rFonts w:ascii="宋体" w:hAnsi="宋体"/>
          <w:b/>
          <w:szCs w:val="21"/>
        </w:rPr>
      </w:pPr>
      <w:r>
        <w:rPr>
          <w:rFonts w:hint="eastAsia" w:ascii="宋体" w:hAnsi="宋体"/>
          <w:b/>
          <w:szCs w:val="21"/>
        </w:rPr>
        <w:t xml:space="preserve">6.7   投标人所报的投标价在合同执行过程中是固定不变的，不得以任何理由予以变更。任何包含价格调整的要求，将被认为是非实质性响应投标而予以拒绝。 </w:t>
      </w:r>
    </w:p>
    <w:p>
      <w:pPr>
        <w:tabs>
          <w:tab w:val="left" w:pos="-180"/>
          <w:tab w:val="left" w:pos="180"/>
          <w:tab w:val="left" w:pos="360"/>
        </w:tabs>
        <w:spacing w:line="460" w:lineRule="exact"/>
        <w:ind w:left="632" w:hanging="632" w:hangingChars="300"/>
        <w:rPr>
          <w:rFonts w:ascii="宋体" w:hAnsi="宋体"/>
          <w:szCs w:val="21"/>
        </w:rPr>
      </w:pPr>
      <w:r>
        <w:rPr>
          <w:rFonts w:hint="eastAsia" w:ascii="宋体" w:hAnsi="宋体"/>
          <w:b/>
          <w:szCs w:val="21"/>
        </w:rPr>
        <w:t>6.8   最低报价不能作为中标的保证。</w:t>
      </w:r>
    </w:p>
    <w:p>
      <w:pPr>
        <w:spacing w:line="460" w:lineRule="exact"/>
        <w:ind w:left="632" w:hanging="632" w:hangingChars="300"/>
        <w:rPr>
          <w:rFonts w:ascii="宋体" w:hAnsi="宋体"/>
          <w:szCs w:val="21"/>
        </w:rPr>
      </w:pPr>
      <w:r>
        <w:rPr>
          <w:rFonts w:hint="eastAsia" w:ascii="宋体" w:hAnsi="宋体"/>
          <w:b/>
          <w:bCs/>
          <w:szCs w:val="21"/>
        </w:rPr>
        <w:t>7．   投标有效期</w:t>
      </w:r>
    </w:p>
    <w:p>
      <w:pPr>
        <w:spacing w:line="460" w:lineRule="exact"/>
        <w:ind w:left="641" w:leftChars="7" w:hanging="626" w:hangingChars="297"/>
        <w:rPr>
          <w:rFonts w:ascii="宋体" w:hAnsi="宋体"/>
          <w:b/>
          <w:szCs w:val="21"/>
        </w:rPr>
      </w:pPr>
      <w:r>
        <w:rPr>
          <w:rFonts w:hint="eastAsia" w:ascii="宋体" w:hAnsi="宋体"/>
          <w:b/>
          <w:szCs w:val="21"/>
        </w:rPr>
        <w:t>7.1   自开标之日起</w:t>
      </w:r>
      <w:r>
        <w:rPr>
          <w:rFonts w:hint="eastAsia" w:ascii="宋体" w:hAnsi="宋体"/>
          <w:b/>
          <w:bCs/>
          <w:szCs w:val="21"/>
          <w:u w:val="single"/>
        </w:rPr>
        <w:t>90</w:t>
      </w:r>
      <w:r>
        <w:rPr>
          <w:rFonts w:hint="eastAsia" w:ascii="宋体" w:hAnsi="宋体"/>
          <w:b/>
          <w:szCs w:val="21"/>
        </w:rPr>
        <w:t>天内投标应保持有效。投标有效期短于这个规定期限的投标将视为非响应性投标而予以拒绝。</w:t>
      </w:r>
    </w:p>
    <w:p>
      <w:pPr>
        <w:spacing w:line="460" w:lineRule="exact"/>
        <w:ind w:left="630" w:hanging="630" w:hangingChars="300"/>
        <w:rPr>
          <w:rFonts w:ascii="宋体" w:hAnsi="宋体"/>
          <w:szCs w:val="21"/>
        </w:rPr>
      </w:pPr>
      <w:r>
        <w:rPr>
          <w:rFonts w:hint="eastAsia" w:ascii="宋体" w:hAnsi="宋体"/>
          <w:szCs w:val="21"/>
        </w:rPr>
        <w:t>7.2   特殊情况下，在原投标有效期截止前，招标人可与投标人协商延长投标有效期，这种要求和答复均以书面形式进行。投标人可拒绝接受延期要求。同意延长投标有效期的投标人不得修改投标文件。</w:t>
      </w:r>
    </w:p>
    <w:p>
      <w:pPr>
        <w:spacing w:line="460" w:lineRule="exact"/>
        <w:ind w:left="632" w:hanging="632" w:hangingChars="300"/>
        <w:rPr>
          <w:rFonts w:ascii="宋体" w:hAnsi="宋体"/>
          <w:szCs w:val="21"/>
        </w:rPr>
      </w:pPr>
      <w:r>
        <w:rPr>
          <w:rFonts w:hint="eastAsia" w:ascii="宋体" w:hAnsi="宋体"/>
          <w:b/>
          <w:bCs/>
          <w:szCs w:val="21"/>
        </w:rPr>
        <w:t>8．   投标文件的签署和规定</w:t>
      </w:r>
    </w:p>
    <w:p>
      <w:pPr>
        <w:spacing w:line="460" w:lineRule="exact"/>
        <w:ind w:left="616" w:hanging="616" w:hangingChars="292"/>
        <w:rPr>
          <w:rFonts w:ascii="宋体" w:hAnsi="宋体"/>
          <w:b/>
          <w:bCs/>
          <w:szCs w:val="21"/>
        </w:rPr>
      </w:pPr>
      <w:r>
        <w:rPr>
          <w:rFonts w:hint="eastAsia" w:ascii="宋体" w:hAnsi="宋体"/>
          <w:b/>
          <w:bCs/>
          <w:szCs w:val="21"/>
        </w:rPr>
        <w:t>8.1   投标人应根据招标文件的规定对投标文件进行电子盖章及签署</w:t>
      </w:r>
    </w:p>
    <w:p>
      <w:pPr>
        <w:spacing w:before="100" w:beforeAutospacing="1" w:after="100" w:afterAutospacing="1" w:line="440" w:lineRule="exact"/>
        <w:ind w:left="843" w:hanging="843" w:hangingChars="300"/>
        <w:jc w:val="center"/>
        <w:outlineLvl w:val="0"/>
        <w:rPr>
          <w:rFonts w:ascii="宋体" w:hAnsi="宋体"/>
          <w:sz w:val="28"/>
          <w:szCs w:val="28"/>
        </w:rPr>
      </w:pPr>
      <w:r>
        <w:rPr>
          <w:rFonts w:hint="eastAsia" w:ascii="宋体" w:hAnsi="宋体"/>
          <w:b/>
          <w:bCs/>
          <w:sz w:val="28"/>
          <w:szCs w:val="28"/>
        </w:rPr>
        <w:t>四   投标文件的递交</w:t>
      </w:r>
    </w:p>
    <w:p>
      <w:pPr>
        <w:spacing w:line="460" w:lineRule="exact"/>
        <w:rPr>
          <w:rFonts w:ascii="宋体" w:hAnsi="宋体"/>
          <w:b/>
          <w:bCs/>
          <w:szCs w:val="21"/>
        </w:rPr>
      </w:pPr>
      <w:r>
        <w:rPr>
          <w:rFonts w:hint="eastAsia" w:ascii="宋体" w:hAnsi="宋体"/>
          <w:b/>
          <w:bCs/>
          <w:szCs w:val="21"/>
        </w:rPr>
        <w:t>1．  投标文件的递交</w:t>
      </w:r>
    </w:p>
    <w:p>
      <w:pPr>
        <w:spacing w:line="460" w:lineRule="exact"/>
        <w:ind w:left="601" w:leftChars="277" w:hanging="19" w:hangingChars="9"/>
        <w:rPr>
          <w:rFonts w:ascii="宋体" w:hAnsi="宋体"/>
          <w:b/>
          <w:bCs/>
          <w:szCs w:val="21"/>
        </w:rPr>
      </w:pPr>
      <w:r>
        <w:rPr>
          <w:rFonts w:hint="eastAsia" w:ascii="宋体" w:hAnsi="宋体"/>
          <w:b/>
          <w:bCs/>
          <w:szCs w:val="21"/>
          <w:u w:val="single"/>
        </w:rPr>
        <w:t>投标文件必须在招标文件规定的投标文件截止时间前完成电子投标文件的传输递交。投标截止时间前未完成传输的，视为撤回投标文件。投标截止时间后送达的投标文件，将被政采云平台拒收。</w:t>
      </w:r>
    </w:p>
    <w:p>
      <w:pPr>
        <w:numPr>
          <w:ilvl w:val="0"/>
          <w:numId w:val="43"/>
        </w:numPr>
        <w:spacing w:line="460" w:lineRule="exact"/>
        <w:ind w:left="644" w:leftChars="8" w:hanging="627" w:hangingChars="299"/>
        <w:rPr>
          <w:rFonts w:ascii="宋体" w:hAnsi="宋体"/>
          <w:bCs/>
          <w:szCs w:val="21"/>
        </w:rPr>
      </w:pPr>
      <w:r>
        <w:rPr>
          <w:rFonts w:hint="eastAsia" w:ascii="宋体" w:hAnsi="宋体"/>
          <w:szCs w:val="21"/>
        </w:rPr>
        <w:t xml:space="preserve"> 投标文件的修改和撤回</w:t>
      </w:r>
    </w:p>
    <w:p>
      <w:pPr>
        <w:spacing w:line="460" w:lineRule="exact"/>
        <w:ind w:left="647" w:leftChars="308"/>
        <w:rPr>
          <w:rFonts w:ascii="宋体" w:hAnsi="宋体"/>
          <w:bCs/>
          <w:szCs w:val="21"/>
          <w:u w:val="single"/>
        </w:rPr>
      </w:pPr>
      <w:r>
        <w:rPr>
          <w:rFonts w:hint="eastAsia" w:ascii="宋体" w:hAnsi="宋体"/>
          <w:b/>
          <w:bCs/>
          <w:szCs w:val="21"/>
          <w:u w:val="single"/>
        </w:rPr>
        <w:t>投标人在投标截止时间前，可以补充、修改或者撤回电子投标文件。补充或者修改电子投标文件的，应当先行撤回原文件，补充、修改后重新传输递交。</w:t>
      </w:r>
    </w:p>
    <w:p>
      <w:pPr>
        <w:tabs>
          <w:tab w:val="left" w:pos="360"/>
          <w:tab w:val="left" w:pos="540"/>
          <w:tab w:val="left" w:pos="1260"/>
        </w:tabs>
        <w:spacing w:before="100" w:beforeAutospacing="1" w:after="100" w:afterAutospacing="1" w:line="440" w:lineRule="exact"/>
        <w:jc w:val="center"/>
        <w:outlineLvl w:val="0"/>
        <w:rPr>
          <w:rFonts w:ascii="宋体" w:hAnsi="宋体"/>
          <w:sz w:val="28"/>
          <w:szCs w:val="28"/>
        </w:rPr>
      </w:pPr>
      <w:r>
        <w:rPr>
          <w:rFonts w:hint="eastAsia" w:ascii="宋体" w:hAnsi="宋体"/>
          <w:b/>
          <w:bCs/>
          <w:sz w:val="28"/>
          <w:szCs w:val="28"/>
        </w:rPr>
        <w:t>五   开标和评标</w:t>
      </w:r>
    </w:p>
    <w:p>
      <w:pPr>
        <w:spacing w:line="460" w:lineRule="exact"/>
        <w:rPr>
          <w:rFonts w:ascii="宋体" w:hAnsi="宋体"/>
          <w:b/>
          <w:bCs/>
          <w:szCs w:val="21"/>
        </w:rPr>
      </w:pPr>
      <w:r>
        <w:rPr>
          <w:rFonts w:hint="eastAsia" w:ascii="宋体" w:hAnsi="宋体"/>
          <w:bCs/>
          <w:szCs w:val="21"/>
        </w:rPr>
        <w:t xml:space="preserve">1．  评标委员会 </w:t>
      </w:r>
    </w:p>
    <w:p>
      <w:pPr>
        <w:spacing w:line="460" w:lineRule="exact"/>
        <w:ind w:left="531" w:leftChars="3" w:hanging="525" w:hangingChars="250"/>
        <w:rPr>
          <w:rFonts w:ascii="宋体" w:hAnsi="宋体"/>
          <w:bCs/>
          <w:szCs w:val="21"/>
        </w:rPr>
      </w:pPr>
      <w:r>
        <w:rPr>
          <w:rFonts w:hint="eastAsia" w:ascii="宋体" w:hAnsi="宋体"/>
          <w:bCs/>
          <w:szCs w:val="21"/>
        </w:rPr>
        <w:t>1.1  招标人依法组建评标委员会。评标委员会的成员在评标过程中必须严格遵守《政府采购法》等有关法律、法规的规定。</w:t>
      </w:r>
    </w:p>
    <w:p>
      <w:pPr>
        <w:spacing w:line="460" w:lineRule="exact"/>
        <w:rPr>
          <w:rFonts w:ascii="宋体" w:hAnsi="宋体"/>
          <w:bCs/>
          <w:szCs w:val="21"/>
        </w:rPr>
      </w:pPr>
      <w:r>
        <w:rPr>
          <w:rFonts w:hint="eastAsia" w:ascii="宋体" w:hAnsi="宋体"/>
          <w:bCs/>
          <w:szCs w:val="21"/>
        </w:rPr>
        <w:t>2．  评标过程的保密性</w:t>
      </w:r>
    </w:p>
    <w:p>
      <w:pPr>
        <w:spacing w:line="460" w:lineRule="exact"/>
        <w:ind w:left="525" w:hanging="525" w:hangingChars="250"/>
        <w:rPr>
          <w:rFonts w:ascii="宋体" w:hAnsi="宋体"/>
          <w:bCs/>
          <w:szCs w:val="21"/>
        </w:rPr>
      </w:pPr>
      <w:r>
        <w:rPr>
          <w:rFonts w:hint="eastAsia" w:ascii="宋体" w:hAnsi="宋体"/>
          <w:bCs/>
          <w:szCs w:val="21"/>
        </w:rPr>
        <w:t xml:space="preserve">2.1  </w:t>
      </w:r>
      <w:r>
        <w:rPr>
          <w:rFonts w:hint="eastAsia" w:ascii="宋体" w:hAnsi="宋体"/>
          <w:b/>
          <w:bCs/>
          <w:szCs w:val="21"/>
        </w:rPr>
        <w:t>开标后直至向中标人授予合同时止，凡与评审有关的资料均不得向投标人及与评标无关人员透露。如果投标人在评标过程中试图向招标人和采购人施加影响，其投标将被拒绝。</w:t>
      </w:r>
    </w:p>
    <w:p>
      <w:pPr>
        <w:spacing w:line="440" w:lineRule="exact"/>
        <w:ind w:left="560" w:leftChars="4" w:hanging="552" w:hangingChars="250"/>
        <w:rPr>
          <w:rFonts w:ascii="宋体" w:hAnsi="宋体" w:cs="宋体"/>
          <w:b/>
          <w:bCs/>
          <w:sz w:val="22"/>
          <w:szCs w:val="22"/>
        </w:rPr>
      </w:pPr>
      <w:bookmarkStart w:id="4" w:name="_Hlk34400113"/>
      <w:r>
        <w:rPr>
          <w:rFonts w:hint="eastAsia" w:ascii="宋体" w:hAnsi="宋体" w:cs="宋体"/>
          <w:b/>
          <w:bCs/>
          <w:sz w:val="22"/>
          <w:szCs w:val="22"/>
        </w:rPr>
        <w:t>3.   评标前准备</w:t>
      </w:r>
    </w:p>
    <w:p>
      <w:pPr>
        <w:spacing w:line="440" w:lineRule="exact"/>
        <w:ind w:left="558" w:leftChars="4" w:hanging="550" w:hangingChars="250"/>
        <w:rPr>
          <w:rFonts w:ascii="宋体" w:hAnsi="宋体" w:cs="宋体"/>
          <w:bCs/>
          <w:sz w:val="22"/>
          <w:szCs w:val="22"/>
        </w:rPr>
      </w:pPr>
      <w:r>
        <w:rPr>
          <w:rFonts w:ascii="宋体" w:hAnsi="宋体" w:cs="宋体"/>
          <w:bCs/>
          <w:sz w:val="22"/>
          <w:szCs w:val="22"/>
        </w:rPr>
        <w:t xml:space="preserve">3.1  </w:t>
      </w:r>
      <w:r>
        <w:rPr>
          <w:rFonts w:hint="eastAsia" w:ascii="宋体" w:hAnsi="宋体" w:cs="宋体"/>
          <w:bCs/>
          <w:sz w:val="22"/>
          <w:szCs w:val="22"/>
        </w:rPr>
        <w:t>投标文件签收及解密：由采购代理机构开始签收并开始解密投标文件。</w:t>
      </w:r>
    </w:p>
    <w:p>
      <w:pPr>
        <w:spacing w:line="440" w:lineRule="exact"/>
        <w:ind w:left="558" w:leftChars="4" w:hanging="550" w:hangingChars="250"/>
        <w:rPr>
          <w:rFonts w:ascii="宋体" w:hAnsi="宋体" w:cs="宋体"/>
          <w:bCs/>
          <w:sz w:val="22"/>
          <w:szCs w:val="22"/>
        </w:rPr>
      </w:pPr>
      <w:r>
        <w:rPr>
          <w:rFonts w:hint="eastAsia" w:ascii="宋体" w:hAnsi="宋体" w:cs="宋体"/>
          <w:bCs/>
          <w:sz w:val="22"/>
          <w:szCs w:val="22"/>
        </w:rPr>
        <w:t>3</w:t>
      </w:r>
      <w:r>
        <w:rPr>
          <w:rFonts w:ascii="宋体" w:hAnsi="宋体" w:cs="宋体"/>
          <w:bCs/>
          <w:sz w:val="22"/>
          <w:szCs w:val="22"/>
        </w:rPr>
        <w:t xml:space="preserve">.2  </w:t>
      </w:r>
      <w:r>
        <w:rPr>
          <w:rFonts w:hint="eastAsia" w:ascii="宋体" w:hAnsi="宋体" w:cs="宋体"/>
          <w:bCs/>
          <w:sz w:val="22"/>
          <w:szCs w:val="22"/>
        </w:rPr>
        <w:t>投标文件解密：投标文件递交截止时间后，投标人登录政采云平台，用“项目采购-开标评标”功能对电子投标文件进行在线解密。在线解密电子投标文件时间为开标时间起半个小时内。</w:t>
      </w:r>
      <w:r>
        <w:rPr>
          <w:rFonts w:ascii="宋体" w:hAnsi="宋体" w:cs="宋体"/>
          <w:bCs/>
          <w:sz w:val="22"/>
          <w:szCs w:val="22"/>
        </w:rPr>
        <w:t>投标文件未按时解密，</w:t>
      </w:r>
      <w:r>
        <w:rPr>
          <w:rFonts w:hint="eastAsia" w:ascii="宋体" w:hAnsi="宋体" w:cs="宋体"/>
          <w:bCs/>
          <w:sz w:val="22"/>
          <w:szCs w:val="22"/>
        </w:rPr>
        <w:t>投标人</w:t>
      </w:r>
      <w:r>
        <w:rPr>
          <w:rFonts w:ascii="宋体" w:hAnsi="宋体" w:cs="宋体"/>
          <w:bCs/>
          <w:sz w:val="22"/>
          <w:szCs w:val="22"/>
        </w:rPr>
        <w:t>提供了备份投标文件的，以备份投标文件作为依据，否则视为投标文件撤回。投标文件已按时解密的，备份投标文件自动失效。</w:t>
      </w:r>
    </w:p>
    <w:p>
      <w:pPr>
        <w:spacing w:line="440" w:lineRule="exact"/>
        <w:ind w:left="558" w:leftChars="4" w:hanging="550" w:hangingChars="250"/>
        <w:rPr>
          <w:rFonts w:ascii="宋体" w:hAnsi="宋体" w:cs="宋体"/>
          <w:bCs/>
          <w:sz w:val="22"/>
          <w:szCs w:val="22"/>
        </w:rPr>
      </w:pPr>
      <w:r>
        <w:rPr>
          <w:rFonts w:hint="eastAsia" w:ascii="宋体" w:hAnsi="宋体" w:cs="宋体"/>
          <w:bCs/>
          <w:sz w:val="22"/>
          <w:szCs w:val="22"/>
        </w:rPr>
        <w:t>3</w:t>
      </w:r>
      <w:r>
        <w:rPr>
          <w:rFonts w:ascii="宋体" w:hAnsi="宋体" w:cs="宋体"/>
          <w:bCs/>
          <w:sz w:val="22"/>
          <w:szCs w:val="22"/>
        </w:rPr>
        <w:t xml:space="preserve">.3  </w:t>
      </w:r>
      <w:r>
        <w:rPr>
          <w:rFonts w:hint="eastAsia" w:ascii="宋体" w:hAnsi="宋体" w:cs="宋体"/>
          <w:bCs/>
          <w:sz w:val="22"/>
          <w:szCs w:val="22"/>
        </w:rPr>
        <w:t>投标文件解密结束。投标人在线解密投标文件完毕后，由采购代理机构结束解密投标文件。</w:t>
      </w:r>
    </w:p>
    <w:bookmarkEnd w:id="4"/>
    <w:p>
      <w:pPr>
        <w:spacing w:line="440" w:lineRule="exact"/>
        <w:ind w:left="560" w:leftChars="4" w:hanging="552" w:hangingChars="250"/>
        <w:rPr>
          <w:rFonts w:ascii="宋体" w:hAnsi="宋体" w:cs="宋体"/>
          <w:b/>
          <w:sz w:val="22"/>
          <w:szCs w:val="22"/>
        </w:rPr>
      </w:pPr>
      <w:r>
        <w:rPr>
          <w:rFonts w:ascii="宋体" w:hAnsi="宋体" w:cs="宋体"/>
          <w:b/>
          <w:sz w:val="22"/>
          <w:szCs w:val="22"/>
        </w:rPr>
        <w:t xml:space="preserve">4.   </w:t>
      </w:r>
      <w:r>
        <w:rPr>
          <w:rFonts w:hint="eastAsia" w:ascii="宋体" w:hAnsi="宋体" w:cs="宋体"/>
          <w:b/>
          <w:sz w:val="22"/>
          <w:szCs w:val="22"/>
        </w:rPr>
        <w:t>开标评标</w:t>
      </w:r>
    </w:p>
    <w:p>
      <w:pPr>
        <w:spacing w:line="440" w:lineRule="exact"/>
        <w:ind w:left="558" w:leftChars="4" w:hanging="550" w:hangingChars="250"/>
        <w:rPr>
          <w:rFonts w:ascii="宋体" w:hAnsi="宋体" w:cs="宋体"/>
          <w:bCs/>
          <w:sz w:val="22"/>
          <w:szCs w:val="22"/>
        </w:rPr>
      </w:pPr>
      <w:r>
        <w:rPr>
          <w:rFonts w:ascii="宋体" w:hAnsi="宋体" w:cs="宋体"/>
          <w:bCs/>
          <w:sz w:val="22"/>
          <w:szCs w:val="22"/>
        </w:rPr>
        <w:t>4.1</w:t>
      </w:r>
      <w:r>
        <w:rPr>
          <w:rFonts w:hint="eastAsia" w:ascii="宋体" w:hAnsi="宋体" w:cs="宋体"/>
          <w:bCs/>
          <w:sz w:val="22"/>
          <w:szCs w:val="22"/>
        </w:rPr>
        <w:t xml:space="preserve">  资格性审查</w:t>
      </w:r>
    </w:p>
    <w:p>
      <w:pPr>
        <w:spacing w:line="440" w:lineRule="exact"/>
        <w:ind w:left="533" w:leftChars="254"/>
        <w:rPr>
          <w:rFonts w:ascii="宋体" w:hAnsi="宋体" w:cs="宋体"/>
          <w:bCs/>
          <w:sz w:val="22"/>
          <w:szCs w:val="22"/>
        </w:rPr>
      </w:pPr>
      <w:bookmarkStart w:id="5" w:name="_Hlk34400314"/>
      <w:r>
        <w:rPr>
          <w:rFonts w:hint="eastAsia" w:ascii="宋体" w:hAnsi="宋体" w:cs="宋体"/>
          <w:bCs/>
          <w:sz w:val="22"/>
          <w:szCs w:val="22"/>
        </w:rPr>
        <w:t>采购人或采购代理机构依据法律、法规和招标文件的规定，对各投标文件中的资格证明在线进行审查，以确定是否具备投标资格。</w:t>
      </w:r>
      <w:bookmarkEnd w:id="5"/>
      <w:r>
        <w:rPr>
          <w:rFonts w:hint="eastAsia" w:ascii="宋体" w:hAnsi="宋体" w:cs="宋体"/>
          <w:b/>
          <w:sz w:val="22"/>
          <w:szCs w:val="22"/>
        </w:rPr>
        <w:t>▲</w:t>
      </w:r>
      <w:r>
        <w:rPr>
          <w:rFonts w:hint="eastAsia" w:ascii="宋体" w:hAnsi="宋体" w:cs="宋体"/>
          <w:bCs/>
          <w:sz w:val="22"/>
          <w:szCs w:val="22"/>
          <w:u w:val="single"/>
        </w:rPr>
        <w:t>只要有一项审查不合格，则该投标人的资格审查不合格，审查不合格的投标文件将不予评审。</w:t>
      </w:r>
    </w:p>
    <w:p>
      <w:pPr>
        <w:spacing w:line="440" w:lineRule="exact"/>
        <w:ind w:left="558" w:leftChars="4" w:hanging="550" w:hangingChars="250"/>
        <w:rPr>
          <w:rFonts w:ascii="宋体" w:hAnsi="宋体" w:cs="宋体"/>
          <w:bCs/>
          <w:sz w:val="22"/>
          <w:szCs w:val="22"/>
        </w:rPr>
      </w:pPr>
      <w:r>
        <w:rPr>
          <w:rFonts w:ascii="宋体" w:hAnsi="宋体" w:cs="宋体"/>
          <w:bCs/>
          <w:sz w:val="22"/>
          <w:szCs w:val="22"/>
        </w:rPr>
        <w:t>4.2</w:t>
      </w:r>
      <w:r>
        <w:rPr>
          <w:rFonts w:hint="eastAsia" w:ascii="宋体" w:hAnsi="宋体" w:cs="宋体"/>
          <w:bCs/>
          <w:sz w:val="22"/>
          <w:szCs w:val="22"/>
        </w:rPr>
        <w:t xml:space="preserve">  符合性审查</w:t>
      </w:r>
    </w:p>
    <w:p>
      <w:pPr>
        <w:spacing w:line="440" w:lineRule="exact"/>
        <w:ind w:left="525" w:leftChars="250"/>
        <w:rPr>
          <w:rFonts w:ascii="宋体" w:hAnsi="宋体" w:cs="宋体"/>
          <w:bCs/>
          <w:sz w:val="22"/>
          <w:szCs w:val="22"/>
        </w:rPr>
      </w:pPr>
      <w:r>
        <w:rPr>
          <w:rFonts w:hint="eastAsia" w:ascii="宋体" w:hAnsi="宋体" w:cs="宋体"/>
          <w:bCs/>
          <w:sz w:val="22"/>
          <w:szCs w:val="22"/>
        </w:rPr>
        <w:t>评标委员会依据法律、法规和招标文件的规定，对投标文件的有效性、完整性和对招标文件的响应程度进行审查，以确定是否符合招标文件的商务、技术等实质性要求。</w:t>
      </w:r>
      <w:r>
        <w:rPr>
          <w:rFonts w:hint="eastAsia" w:ascii="宋体" w:hAnsi="宋体" w:cs="宋体"/>
          <w:b/>
          <w:sz w:val="22"/>
          <w:szCs w:val="22"/>
          <w:u w:val="single"/>
        </w:rPr>
        <w:t>评标委员会决定投标的响应性只根据投标文件本身的内容，而不寻求外部的证据。</w:t>
      </w:r>
    </w:p>
    <w:p>
      <w:pPr>
        <w:spacing w:line="440" w:lineRule="exact"/>
        <w:ind w:left="539" w:hanging="539" w:hangingChars="245"/>
        <w:rPr>
          <w:rFonts w:ascii="宋体" w:hAnsi="宋体" w:cs="宋体"/>
          <w:bCs/>
          <w:sz w:val="22"/>
          <w:szCs w:val="22"/>
        </w:rPr>
      </w:pPr>
      <w:r>
        <w:rPr>
          <w:rFonts w:hint="eastAsia" w:ascii="宋体" w:hAnsi="宋体" w:cs="宋体"/>
          <w:bCs/>
          <w:sz w:val="22"/>
          <w:szCs w:val="22"/>
        </w:rPr>
        <w:t>4</w:t>
      </w:r>
      <w:r>
        <w:rPr>
          <w:rFonts w:ascii="宋体" w:hAnsi="宋体" w:cs="宋体"/>
          <w:bCs/>
          <w:sz w:val="22"/>
          <w:szCs w:val="22"/>
        </w:rPr>
        <w:t xml:space="preserve">.3  </w:t>
      </w:r>
      <w:r>
        <w:rPr>
          <w:rFonts w:hint="eastAsia" w:ascii="宋体" w:hAnsi="宋体" w:cs="宋体"/>
          <w:bCs/>
          <w:sz w:val="22"/>
          <w:szCs w:val="22"/>
        </w:rPr>
        <w:t>投标文件评审</w:t>
      </w:r>
    </w:p>
    <w:p>
      <w:pPr>
        <w:spacing w:line="440" w:lineRule="exact"/>
        <w:ind w:left="550" w:hanging="550" w:hangingChars="250"/>
        <w:rPr>
          <w:rFonts w:ascii="宋体" w:hAnsi="宋体" w:cs="宋体"/>
          <w:bCs/>
          <w:sz w:val="22"/>
          <w:szCs w:val="22"/>
        </w:rPr>
      </w:pPr>
      <w:r>
        <w:rPr>
          <w:rFonts w:hint="eastAsia" w:ascii="宋体" w:hAnsi="宋体" w:cs="宋体"/>
          <w:bCs/>
          <w:sz w:val="22"/>
          <w:szCs w:val="22"/>
        </w:rPr>
        <w:t xml:space="preserve">     评标委员会根据招标文件中规定的评标方法和标准，对符合性审查合格的投标文件进行商务、技术和价格评估，综合比较与评价，并</w:t>
      </w:r>
      <w:r>
        <w:rPr>
          <w:rFonts w:hint="eastAsia" w:ascii="宋体" w:hAnsi="宋体" w:cs="宋体"/>
          <w:sz w:val="22"/>
          <w:szCs w:val="22"/>
        </w:rPr>
        <w:t>按照招标文件中制订的评标方法进行综合评定打分，并提交评审报告。</w:t>
      </w:r>
    </w:p>
    <w:p>
      <w:pPr>
        <w:spacing w:line="360" w:lineRule="auto"/>
        <w:ind w:left="632" w:hanging="632" w:hangingChars="300"/>
        <w:rPr>
          <w:rFonts w:ascii="宋体" w:hAnsi="宋体"/>
          <w:bCs/>
          <w:szCs w:val="21"/>
        </w:rPr>
      </w:pPr>
      <w:r>
        <w:rPr>
          <w:rFonts w:hint="eastAsia" w:ascii="宋体" w:hAnsi="宋体"/>
          <w:b/>
          <w:bCs/>
          <w:szCs w:val="21"/>
        </w:rPr>
        <w:t xml:space="preserve">5    </w:t>
      </w:r>
      <w:r>
        <w:rPr>
          <w:rFonts w:hint="eastAsia" w:ascii="宋体" w:hAnsi="宋体"/>
          <w:bCs/>
          <w:szCs w:val="21"/>
        </w:rPr>
        <w:t>▲</w:t>
      </w:r>
      <w:r>
        <w:rPr>
          <w:rFonts w:hint="eastAsia" w:ascii="宋体" w:hAnsi="宋体"/>
          <w:b/>
          <w:bCs/>
          <w:szCs w:val="21"/>
        </w:rPr>
        <w:t>在对各投标人的投标文件进行综合评审时，投标文件有下列情况之一的，经评标委员会认定后按无效标处理：</w:t>
      </w:r>
    </w:p>
    <w:p>
      <w:pPr>
        <w:widowControl/>
        <w:spacing w:line="360" w:lineRule="auto"/>
        <w:ind w:firstLine="103" w:firstLineChars="49"/>
        <w:jc w:val="left"/>
        <w:rPr>
          <w:rFonts w:ascii="宋体" w:hAnsi="宋体"/>
          <w:b/>
          <w:bCs/>
          <w:szCs w:val="21"/>
        </w:rPr>
      </w:pPr>
      <w:r>
        <w:rPr>
          <w:rFonts w:ascii="宋体" w:hAnsi="宋体"/>
          <w:b/>
          <w:bCs/>
          <w:szCs w:val="21"/>
        </w:rPr>
        <w:t>（1）投标文件未按</w:t>
      </w:r>
      <w:r>
        <w:rPr>
          <w:rFonts w:hint="eastAsia" w:ascii="宋体" w:hAnsi="宋体"/>
          <w:b/>
          <w:bCs/>
          <w:szCs w:val="21"/>
        </w:rPr>
        <w:t>采购</w:t>
      </w:r>
      <w:r>
        <w:rPr>
          <w:rFonts w:ascii="宋体" w:hAnsi="宋体"/>
          <w:b/>
          <w:bCs/>
          <w:szCs w:val="21"/>
        </w:rPr>
        <w:t>文件要求加盖单位公章的；</w:t>
      </w:r>
    </w:p>
    <w:p>
      <w:pPr>
        <w:widowControl/>
        <w:spacing w:line="360" w:lineRule="auto"/>
        <w:ind w:firstLine="103" w:firstLineChars="49"/>
        <w:jc w:val="left"/>
        <w:rPr>
          <w:rFonts w:ascii="宋体" w:hAnsi="宋体"/>
          <w:b/>
          <w:bCs/>
          <w:szCs w:val="21"/>
        </w:rPr>
      </w:pPr>
      <w:r>
        <w:rPr>
          <w:rFonts w:ascii="宋体" w:hAnsi="宋体"/>
          <w:b/>
          <w:bCs/>
          <w:szCs w:val="21"/>
        </w:rPr>
        <w:t>（2）无法定代表人签字（盖章）或其授权代表签字（盖章）的；</w:t>
      </w:r>
    </w:p>
    <w:p>
      <w:pPr>
        <w:widowControl/>
        <w:spacing w:line="360" w:lineRule="auto"/>
        <w:ind w:firstLine="103" w:firstLineChars="49"/>
        <w:jc w:val="left"/>
        <w:rPr>
          <w:rFonts w:ascii="宋体" w:hAnsi="宋体"/>
          <w:b/>
          <w:bCs/>
          <w:szCs w:val="21"/>
        </w:rPr>
      </w:pPr>
      <w:r>
        <w:rPr>
          <w:rFonts w:ascii="宋体" w:hAnsi="宋体"/>
          <w:b/>
          <w:bCs/>
          <w:szCs w:val="21"/>
        </w:rPr>
        <w:t>（3）明显不符合</w:t>
      </w:r>
      <w:r>
        <w:rPr>
          <w:rFonts w:hint="eastAsia" w:ascii="宋体" w:hAnsi="宋体"/>
          <w:b/>
          <w:bCs/>
          <w:szCs w:val="21"/>
        </w:rPr>
        <w:t>采购</w:t>
      </w:r>
      <w:r>
        <w:rPr>
          <w:rFonts w:ascii="宋体" w:hAnsi="宋体"/>
          <w:b/>
          <w:bCs/>
          <w:szCs w:val="21"/>
        </w:rPr>
        <w:t>文件中主要技术规格、技术标准的；</w:t>
      </w:r>
    </w:p>
    <w:p>
      <w:pPr>
        <w:widowControl/>
        <w:spacing w:line="360" w:lineRule="auto"/>
        <w:ind w:firstLine="103" w:firstLineChars="49"/>
        <w:jc w:val="left"/>
        <w:rPr>
          <w:rFonts w:ascii="宋体" w:hAnsi="宋体"/>
          <w:b/>
          <w:bCs/>
          <w:szCs w:val="21"/>
        </w:rPr>
      </w:pPr>
      <w:r>
        <w:rPr>
          <w:rFonts w:ascii="宋体" w:hAnsi="宋体"/>
          <w:b/>
          <w:bCs/>
          <w:szCs w:val="21"/>
        </w:rPr>
        <w:t>（4）投标文件内容不全或关键字迹模糊无法辨认的；</w:t>
      </w:r>
    </w:p>
    <w:p>
      <w:pPr>
        <w:widowControl/>
        <w:spacing w:line="360" w:lineRule="auto"/>
        <w:ind w:firstLine="103" w:firstLineChars="49"/>
        <w:jc w:val="left"/>
        <w:rPr>
          <w:rFonts w:ascii="宋体" w:hAnsi="宋体"/>
          <w:b/>
          <w:bCs/>
          <w:szCs w:val="21"/>
        </w:rPr>
      </w:pPr>
      <w:r>
        <w:rPr>
          <w:rFonts w:ascii="宋体" w:hAnsi="宋体"/>
          <w:b/>
          <w:bCs/>
          <w:szCs w:val="21"/>
        </w:rPr>
        <w:t>（5）在“技术资信”标中出现投标报价的；</w:t>
      </w:r>
    </w:p>
    <w:p>
      <w:pPr>
        <w:widowControl/>
        <w:spacing w:line="360" w:lineRule="auto"/>
        <w:ind w:firstLine="103" w:firstLineChars="49"/>
        <w:jc w:val="left"/>
        <w:rPr>
          <w:rFonts w:ascii="宋体" w:hAnsi="宋体"/>
          <w:b/>
          <w:bCs/>
          <w:szCs w:val="21"/>
        </w:rPr>
      </w:pPr>
      <w:r>
        <w:rPr>
          <w:rFonts w:ascii="宋体" w:hAnsi="宋体"/>
          <w:b/>
          <w:bCs/>
          <w:szCs w:val="21"/>
        </w:rPr>
        <w:t>（6）投标文件附有采购人不能接受的条件；</w:t>
      </w:r>
    </w:p>
    <w:p>
      <w:pPr>
        <w:widowControl/>
        <w:spacing w:line="360" w:lineRule="auto"/>
        <w:ind w:firstLine="103" w:firstLineChars="49"/>
        <w:jc w:val="left"/>
        <w:rPr>
          <w:rFonts w:ascii="宋体" w:hAnsi="宋体"/>
          <w:b/>
          <w:bCs/>
          <w:szCs w:val="21"/>
        </w:rPr>
      </w:pPr>
      <w:r>
        <w:rPr>
          <w:rFonts w:ascii="宋体" w:hAnsi="宋体"/>
          <w:b/>
          <w:bCs/>
          <w:szCs w:val="21"/>
        </w:rPr>
        <w:t>（7）授权代表没有法定代表人合法、有效委托的；</w:t>
      </w:r>
    </w:p>
    <w:p>
      <w:pPr>
        <w:spacing w:line="360" w:lineRule="auto"/>
        <w:ind w:firstLine="103" w:firstLineChars="49"/>
        <w:rPr>
          <w:rFonts w:ascii="宋体" w:hAnsi="宋体"/>
          <w:b/>
          <w:bCs/>
          <w:szCs w:val="21"/>
        </w:rPr>
      </w:pPr>
      <w:r>
        <w:rPr>
          <w:rFonts w:hint="eastAsia" w:ascii="宋体" w:hAnsi="宋体"/>
          <w:b/>
          <w:bCs/>
          <w:szCs w:val="21"/>
        </w:rPr>
        <w:t>（8）仅提交备份投标文件的；</w:t>
      </w:r>
    </w:p>
    <w:p>
      <w:pPr>
        <w:spacing w:line="360" w:lineRule="auto"/>
        <w:ind w:firstLine="103" w:firstLineChars="49"/>
        <w:rPr>
          <w:rFonts w:ascii="宋体" w:hAnsi="宋体"/>
          <w:b/>
          <w:bCs/>
          <w:szCs w:val="21"/>
        </w:rPr>
      </w:pPr>
      <w:r>
        <w:rPr>
          <w:rFonts w:ascii="宋体" w:hAnsi="宋体"/>
          <w:b/>
          <w:bCs/>
          <w:szCs w:val="21"/>
        </w:rPr>
        <w:t>（</w:t>
      </w:r>
      <w:r>
        <w:rPr>
          <w:rFonts w:hint="eastAsia" w:ascii="宋体" w:hAnsi="宋体"/>
          <w:b/>
          <w:bCs/>
          <w:szCs w:val="21"/>
        </w:rPr>
        <w:t>9</w:t>
      </w:r>
      <w:r>
        <w:rPr>
          <w:rFonts w:ascii="宋体" w:hAnsi="宋体"/>
          <w:b/>
          <w:bCs/>
          <w:szCs w:val="21"/>
        </w:rPr>
        <w:t>）评标委员会认定不符合法律、法规和</w:t>
      </w:r>
      <w:r>
        <w:rPr>
          <w:rFonts w:hint="eastAsia" w:ascii="宋体" w:hAnsi="宋体"/>
          <w:b/>
          <w:bCs/>
          <w:szCs w:val="21"/>
        </w:rPr>
        <w:t>采购</w:t>
      </w:r>
      <w:r>
        <w:rPr>
          <w:rFonts w:ascii="宋体" w:hAnsi="宋体"/>
          <w:b/>
          <w:bCs/>
          <w:szCs w:val="21"/>
        </w:rPr>
        <w:t>文件中规定的其他实质性要求的。</w:t>
      </w:r>
    </w:p>
    <w:p>
      <w:pPr>
        <w:spacing w:line="360" w:lineRule="auto"/>
        <w:ind w:firstLine="103" w:firstLineChars="49"/>
        <w:rPr>
          <w:rFonts w:ascii="宋体" w:hAnsi="宋体"/>
          <w:b/>
          <w:bCs/>
          <w:szCs w:val="21"/>
        </w:rPr>
      </w:pPr>
      <w:r>
        <w:rPr>
          <w:rFonts w:ascii="宋体" w:hAnsi="宋体"/>
          <w:b/>
          <w:bCs/>
          <w:szCs w:val="21"/>
        </w:rPr>
        <w:t>（</w:t>
      </w:r>
      <w:r>
        <w:rPr>
          <w:rFonts w:hint="eastAsia" w:ascii="宋体" w:hAnsi="宋体"/>
          <w:b/>
          <w:bCs/>
          <w:szCs w:val="21"/>
        </w:rPr>
        <w:t>10</w:t>
      </w:r>
      <w:r>
        <w:rPr>
          <w:rFonts w:ascii="宋体" w:hAnsi="宋体"/>
          <w:b/>
          <w:bCs/>
          <w:szCs w:val="21"/>
        </w:rPr>
        <w:t>）</w:t>
      </w:r>
      <w:r>
        <w:rPr>
          <w:rFonts w:hint="eastAsia" w:ascii="宋体" w:hAnsi="宋体"/>
          <w:b/>
          <w:bCs/>
          <w:szCs w:val="21"/>
        </w:rPr>
        <w:t>单位负责人为同一人或者存在直接控股、管理关系的不同供应商，不得参加同一合同项下的政府采购活动。违反该款规定的，相关投标均无效。</w:t>
      </w:r>
    </w:p>
    <w:p>
      <w:pPr>
        <w:spacing w:line="360" w:lineRule="auto"/>
        <w:ind w:firstLine="314" w:firstLineChars="149"/>
        <w:rPr>
          <w:rFonts w:ascii="宋体" w:hAnsi="宋体"/>
          <w:b/>
          <w:bCs/>
          <w:szCs w:val="21"/>
        </w:rPr>
      </w:pPr>
      <w:r>
        <w:rPr>
          <w:rFonts w:hint="eastAsia" w:ascii="新宋体" w:hAnsi="新宋体" w:eastAsia="新宋体"/>
          <w:b/>
          <w:szCs w:val="21"/>
        </w:rPr>
        <w:t>(11)在参加本项目政府采购活动前三年内有重大违法记录或在“信用中国”中有不良记录或“政府采购严重违法失信行为信息记录”中有不良记录的；</w:t>
      </w:r>
    </w:p>
    <w:p>
      <w:pPr>
        <w:spacing w:line="360" w:lineRule="auto"/>
        <w:ind w:firstLine="102" w:firstLineChars="49"/>
        <w:rPr>
          <w:rFonts w:ascii="新宋体" w:hAnsi="新宋体" w:eastAsia="新宋体"/>
          <w:b/>
          <w:szCs w:val="21"/>
          <w:u w:val="single"/>
        </w:rPr>
      </w:pPr>
      <w:r>
        <w:rPr>
          <w:rFonts w:hint="eastAsia" w:ascii="宋体" w:hAnsi="宋体"/>
          <w:bCs/>
          <w:szCs w:val="21"/>
        </w:rPr>
        <w:t xml:space="preserve">3.4   </w:t>
      </w:r>
      <w:r>
        <w:rPr>
          <w:rFonts w:hint="eastAsia" w:ascii="新宋体" w:hAnsi="新宋体" w:eastAsia="新宋体"/>
          <w:b/>
          <w:szCs w:val="21"/>
          <w:u w:val="single"/>
        </w:rPr>
        <w:t>投标文件商务报价出现前后不一致的，按照下列规定修正：</w:t>
      </w:r>
    </w:p>
    <w:p>
      <w:pPr>
        <w:spacing w:line="460" w:lineRule="exact"/>
        <w:rPr>
          <w:rFonts w:ascii="新宋体" w:hAnsi="新宋体" w:eastAsia="新宋体"/>
          <w:b/>
          <w:szCs w:val="21"/>
          <w:u w:val="single"/>
        </w:rPr>
      </w:pPr>
      <w:r>
        <w:rPr>
          <w:rFonts w:hint="eastAsia" w:ascii="新宋体" w:hAnsi="新宋体" w:eastAsia="新宋体"/>
          <w:b/>
          <w:szCs w:val="21"/>
        </w:rPr>
        <w:t>（</w:t>
      </w:r>
      <w:r>
        <w:rPr>
          <w:rFonts w:ascii="新宋体" w:hAnsi="新宋体" w:eastAsia="新宋体"/>
          <w:b/>
          <w:szCs w:val="21"/>
        </w:rPr>
        <w:t>1）</w:t>
      </w:r>
      <w:r>
        <w:rPr>
          <w:rFonts w:ascii="新宋体" w:hAnsi="新宋体" w:eastAsia="新宋体"/>
          <w:b/>
          <w:szCs w:val="21"/>
          <w:u w:val="single"/>
        </w:rPr>
        <w:t>投标文件中开标一览表内容与</w:t>
      </w:r>
      <w:r>
        <w:rPr>
          <w:rFonts w:hint="eastAsia" w:ascii="新宋体" w:hAnsi="新宋体" w:eastAsia="新宋体"/>
          <w:b/>
          <w:szCs w:val="21"/>
          <w:u w:val="single"/>
        </w:rPr>
        <w:t>分项报价表</w:t>
      </w:r>
      <w:r>
        <w:rPr>
          <w:rFonts w:ascii="新宋体" w:hAnsi="新宋体" w:eastAsia="新宋体"/>
          <w:b/>
          <w:szCs w:val="21"/>
          <w:u w:val="single"/>
        </w:rPr>
        <w:t>内容不一致的，以开标一览表为准</w:t>
      </w:r>
      <w:r>
        <w:rPr>
          <w:rFonts w:hint="eastAsia" w:ascii="新宋体" w:hAnsi="新宋体" w:eastAsia="新宋体"/>
          <w:b/>
          <w:szCs w:val="21"/>
          <w:u w:val="single"/>
        </w:rPr>
        <w:t>；</w:t>
      </w:r>
    </w:p>
    <w:p>
      <w:pPr>
        <w:spacing w:line="460" w:lineRule="exact"/>
        <w:rPr>
          <w:rFonts w:ascii="新宋体" w:hAnsi="新宋体" w:eastAsia="新宋体"/>
          <w:b/>
          <w:szCs w:val="21"/>
          <w:u w:val="single"/>
        </w:rPr>
      </w:pPr>
      <w:r>
        <w:rPr>
          <w:rFonts w:hint="eastAsia" w:ascii="新宋体" w:hAnsi="新宋体" w:eastAsia="新宋体"/>
          <w:b/>
          <w:szCs w:val="21"/>
        </w:rPr>
        <w:t>（</w:t>
      </w:r>
      <w:r>
        <w:rPr>
          <w:rFonts w:ascii="新宋体" w:hAnsi="新宋体" w:eastAsia="新宋体"/>
          <w:b/>
          <w:szCs w:val="21"/>
        </w:rPr>
        <w:t>2）</w:t>
      </w:r>
      <w:r>
        <w:rPr>
          <w:rFonts w:ascii="新宋体" w:hAnsi="新宋体" w:eastAsia="新宋体"/>
          <w:b/>
          <w:szCs w:val="21"/>
          <w:u w:val="single"/>
        </w:rPr>
        <w:t>大写金额和小写金额不一致的，以大写金额为准</w:t>
      </w:r>
      <w:r>
        <w:rPr>
          <w:rFonts w:hint="eastAsia" w:ascii="新宋体" w:hAnsi="新宋体" w:eastAsia="新宋体"/>
          <w:b/>
          <w:szCs w:val="21"/>
          <w:u w:val="single"/>
        </w:rPr>
        <w:t>；</w:t>
      </w:r>
    </w:p>
    <w:p>
      <w:pPr>
        <w:spacing w:line="460" w:lineRule="exact"/>
        <w:rPr>
          <w:rFonts w:ascii="新宋体" w:hAnsi="新宋体" w:eastAsia="新宋体"/>
          <w:b/>
          <w:szCs w:val="21"/>
          <w:u w:val="single"/>
        </w:rPr>
      </w:pPr>
      <w:r>
        <w:rPr>
          <w:rFonts w:hint="eastAsia" w:ascii="新宋体" w:hAnsi="新宋体" w:eastAsia="新宋体"/>
          <w:b/>
          <w:szCs w:val="21"/>
        </w:rPr>
        <w:t>（</w:t>
      </w:r>
      <w:r>
        <w:rPr>
          <w:rFonts w:ascii="新宋体" w:hAnsi="新宋体" w:eastAsia="新宋体"/>
          <w:b/>
          <w:szCs w:val="21"/>
        </w:rPr>
        <w:t>3）</w:t>
      </w:r>
      <w:r>
        <w:rPr>
          <w:rFonts w:ascii="新宋体" w:hAnsi="新宋体" w:eastAsia="新宋体"/>
          <w:b/>
          <w:szCs w:val="21"/>
          <w:u w:val="single"/>
        </w:rPr>
        <w:t>单价金额小数点或者百分比有明显错位的，以开标一览表的总价为准，并修改单价</w:t>
      </w:r>
      <w:r>
        <w:rPr>
          <w:rFonts w:hint="eastAsia" w:ascii="新宋体" w:hAnsi="新宋体" w:eastAsia="新宋体"/>
          <w:b/>
          <w:szCs w:val="21"/>
          <w:u w:val="single"/>
        </w:rPr>
        <w:t>；</w:t>
      </w:r>
    </w:p>
    <w:p>
      <w:pPr>
        <w:spacing w:line="460" w:lineRule="exact"/>
        <w:rPr>
          <w:rFonts w:ascii="新宋体" w:hAnsi="新宋体" w:eastAsia="新宋体"/>
          <w:b/>
          <w:szCs w:val="21"/>
          <w:u w:val="single"/>
        </w:rPr>
      </w:pPr>
      <w:r>
        <w:rPr>
          <w:rFonts w:hint="eastAsia" w:ascii="新宋体" w:hAnsi="新宋体" w:eastAsia="新宋体"/>
          <w:b/>
          <w:szCs w:val="21"/>
        </w:rPr>
        <w:t>（</w:t>
      </w:r>
      <w:r>
        <w:rPr>
          <w:rFonts w:ascii="新宋体" w:hAnsi="新宋体" w:eastAsia="新宋体"/>
          <w:b/>
          <w:szCs w:val="21"/>
        </w:rPr>
        <w:t>4）</w:t>
      </w:r>
      <w:r>
        <w:rPr>
          <w:rFonts w:ascii="新宋体" w:hAnsi="新宋体" w:eastAsia="新宋体"/>
          <w:b/>
          <w:szCs w:val="21"/>
          <w:u w:val="single"/>
        </w:rPr>
        <w:t>总价金额与按单价汇总金额不一致的，以单价金额计算结果为准。</w:t>
      </w:r>
    </w:p>
    <w:p>
      <w:pPr>
        <w:tabs>
          <w:tab w:val="left" w:pos="180"/>
        </w:tabs>
        <w:spacing w:line="360" w:lineRule="auto"/>
        <w:ind w:firstLine="105" w:firstLineChars="50"/>
        <w:rPr>
          <w:rFonts w:ascii="宋体" w:hAnsi="宋体"/>
          <w:szCs w:val="21"/>
        </w:rPr>
      </w:pPr>
      <w:r>
        <w:rPr>
          <w:rFonts w:hint="eastAsia" w:ascii="新宋体" w:hAnsi="新宋体" w:eastAsia="新宋体"/>
          <w:b/>
          <w:szCs w:val="21"/>
          <w:u w:val="single"/>
        </w:rPr>
        <w:t>▲</w:t>
      </w:r>
      <w:r>
        <w:rPr>
          <w:rFonts w:ascii="新宋体" w:hAnsi="新宋体" w:eastAsia="新宋体"/>
          <w:b/>
          <w:szCs w:val="21"/>
          <w:u w:val="single"/>
        </w:rPr>
        <w:t>同时出现两种以上不一致的，按照前款规定的顺序修正。</w:t>
      </w:r>
      <w:r>
        <w:rPr>
          <w:rFonts w:hint="eastAsia" w:ascii="新宋体" w:hAnsi="新宋体" w:eastAsia="新宋体"/>
          <w:b/>
          <w:szCs w:val="21"/>
          <w:u w:val="single"/>
        </w:rPr>
        <w:t>如果投标人不接受对其价格错误进行修正，其投标无效。</w:t>
      </w:r>
    </w:p>
    <w:p>
      <w:pPr>
        <w:tabs>
          <w:tab w:val="left" w:pos="1365"/>
        </w:tabs>
        <w:spacing w:line="360" w:lineRule="auto"/>
        <w:ind w:left="693" w:leftChars="30" w:hanging="630" w:hangingChars="300"/>
        <w:rPr>
          <w:rFonts w:ascii="宋体" w:hAnsi="宋体"/>
          <w:b/>
          <w:szCs w:val="21"/>
        </w:rPr>
      </w:pPr>
      <w:r>
        <w:rPr>
          <w:rFonts w:hint="eastAsia" w:ascii="宋体" w:hAnsi="宋体"/>
          <w:szCs w:val="21"/>
        </w:rPr>
        <w:t>3.5   在详细评标之前，评标委员会要审查每份投标文件是否实质上响应了采购文件的要求。实质上响应的投标应该是与采购文件要求的全部条款、条件和规格基本相符，没有重大偏离。</w:t>
      </w:r>
      <w:r>
        <w:rPr>
          <w:rFonts w:hint="eastAsia" w:ascii="宋体" w:hAnsi="宋体"/>
          <w:b/>
          <w:szCs w:val="21"/>
        </w:rPr>
        <w:t>评标委员会决定投标的响应性只根据投标文件本身的内容，而不寻求外部的证据。</w:t>
      </w:r>
    </w:p>
    <w:p>
      <w:pPr>
        <w:tabs>
          <w:tab w:val="left" w:pos="1365"/>
        </w:tabs>
        <w:spacing w:line="460" w:lineRule="exact"/>
        <w:ind w:left="739" w:leftChars="52" w:hanging="630" w:hangingChars="300"/>
        <w:rPr>
          <w:rFonts w:ascii="宋体" w:hAnsi="宋体"/>
          <w:szCs w:val="21"/>
        </w:rPr>
      </w:pPr>
      <w:r>
        <w:rPr>
          <w:rFonts w:hint="eastAsia" w:ascii="宋体" w:hAnsi="宋体"/>
          <w:szCs w:val="21"/>
        </w:rPr>
        <w:t xml:space="preserve">3.6   </w:t>
      </w:r>
      <w:r>
        <w:rPr>
          <w:rFonts w:hint="eastAsia" w:ascii="宋体" w:hAnsi="宋体"/>
          <w:b/>
          <w:szCs w:val="21"/>
        </w:rPr>
        <w:t>实质上没有响应采购文件要求的投标将被拒绝。</w:t>
      </w:r>
      <w:r>
        <w:rPr>
          <w:rFonts w:hint="eastAsia" w:ascii="宋体" w:hAnsi="宋体"/>
          <w:szCs w:val="21"/>
        </w:rPr>
        <w:t>投标人不得通过修正或撤消不合要求的偏离或保留从而使其投标成为实质上响应的投标。</w:t>
      </w:r>
    </w:p>
    <w:p>
      <w:pPr>
        <w:tabs>
          <w:tab w:val="left" w:pos="1365"/>
        </w:tabs>
        <w:spacing w:line="460" w:lineRule="exact"/>
        <w:ind w:firstLine="105" w:firstLineChars="50"/>
        <w:rPr>
          <w:rFonts w:ascii="宋体" w:hAnsi="宋体"/>
          <w:szCs w:val="21"/>
        </w:rPr>
      </w:pPr>
      <w:r>
        <w:rPr>
          <w:rFonts w:hint="eastAsia" w:ascii="宋体" w:hAnsi="宋体"/>
          <w:szCs w:val="21"/>
        </w:rPr>
        <w:t>3.7   评标委员会对审查合格的投标文件按照采购文件中制订的评标方法进行综合评定打分。</w:t>
      </w:r>
    </w:p>
    <w:p>
      <w:pPr>
        <w:tabs>
          <w:tab w:val="left" w:pos="1365"/>
        </w:tabs>
        <w:spacing w:line="460" w:lineRule="exact"/>
        <w:ind w:firstLine="105" w:firstLineChars="50"/>
        <w:rPr>
          <w:rFonts w:ascii="宋体" w:hAnsi="宋体"/>
          <w:szCs w:val="21"/>
        </w:rPr>
      </w:pPr>
      <w:r>
        <w:rPr>
          <w:rFonts w:hint="eastAsia" w:ascii="宋体" w:hAnsi="宋体"/>
          <w:szCs w:val="21"/>
        </w:rPr>
        <w:t>3.8   投标的评定</w:t>
      </w:r>
    </w:p>
    <w:p>
      <w:pPr>
        <w:tabs>
          <w:tab w:val="left" w:pos="1365"/>
        </w:tabs>
        <w:spacing w:line="460" w:lineRule="exact"/>
        <w:ind w:left="638" w:leftChars="104" w:hanging="420" w:hangingChars="200"/>
        <w:rPr>
          <w:rFonts w:ascii="宋体" w:hAnsi="宋体"/>
          <w:szCs w:val="21"/>
        </w:rPr>
      </w:pPr>
      <w:r>
        <w:rPr>
          <w:rFonts w:hint="eastAsia" w:ascii="宋体" w:hAnsi="宋体"/>
          <w:szCs w:val="21"/>
        </w:rPr>
        <w:t xml:space="preserve">     评标委员会除考虑投标人的投标报价的竞争有利性外，同时还应考虑以下几方面：</w:t>
      </w:r>
    </w:p>
    <w:p>
      <w:pPr>
        <w:tabs>
          <w:tab w:val="left" w:pos="1365"/>
        </w:tabs>
        <w:spacing w:line="460" w:lineRule="exact"/>
        <w:rPr>
          <w:rFonts w:ascii="宋体" w:hAnsi="宋体"/>
          <w:szCs w:val="21"/>
        </w:rPr>
      </w:pPr>
      <w:r>
        <w:rPr>
          <w:rFonts w:hint="eastAsia" w:ascii="宋体" w:hAnsi="宋体"/>
          <w:szCs w:val="21"/>
        </w:rPr>
        <w:t>（1）  交货和安装、竣工时间的满足性；</w:t>
      </w:r>
    </w:p>
    <w:p>
      <w:pPr>
        <w:tabs>
          <w:tab w:val="left" w:pos="1365"/>
        </w:tabs>
        <w:spacing w:line="460" w:lineRule="exact"/>
        <w:rPr>
          <w:rFonts w:ascii="宋体" w:hAnsi="宋体"/>
          <w:szCs w:val="21"/>
        </w:rPr>
      </w:pPr>
      <w:r>
        <w:rPr>
          <w:rFonts w:hint="eastAsia" w:ascii="宋体" w:hAnsi="宋体"/>
          <w:szCs w:val="21"/>
        </w:rPr>
        <w:t>（2） 与合同条款规定的付款方式和条件的偏差；</w:t>
      </w:r>
    </w:p>
    <w:p>
      <w:pPr>
        <w:tabs>
          <w:tab w:val="left" w:pos="1365"/>
        </w:tabs>
        <w:spacing w:line="460" w:lineRule="exact"/>
        <w:rPr>
          <w:rFonts w:ascii="宋体" w:hAnsi="宋体"/>
          <w:szCs w:val="21"/>
        </w:rPr>
      </w:pPr>
      <w:r>
        <w:rPr>
          <w:rFonts w:hint="eastAsia" w:ascii="宋体" w:hAnsi="宋体"/>
          <w:szCs w:val="21"/>
        </w:rPr>
        <w:t>（3） 服务质量保证措施的可行性；</w:t>
      </w:r>
    </w:p>
    <w:p>
      <w:pPr>
        <w:tabs>
          <w:tab w:val="left" w:pos="1365"/>
        </w:tabs>
        <w:spacing w:line="460" w:lineRule="exact"/>
        <w:rPr>
          <w:rFonts w:ascii="宋体" w:hAnsi="宋体"/>
          <w:szCs w:val="21"/>
        </w:rPr>
      </w:pPr>
      <w:r>
        <w:rPr>
          <w:rFonts w:hint="eastAsia" w:ascii="宋体" w:hAnsi="宋体"/>
          <w:szCs w:val="21"/>
        </w:rPr>
        <w:t>（4） 服务的质量水平、设备的先进性和配套的齐全性；</w:t>
      </w:r>
    </w:p>
    <w:p>
      <w:pPr>
        <w:tabs>
          <w:tab w:val="left" w:pos="1365"/>
        </w:tabs>
        <w:spacing w:line="460" w:lineRule="exact"/>
        <w:rPr>
          <w:rFonts w:ascii="宋体" w:hAnsi="宋体"/>
          <w:szCs w:val="21"/>
        </w:rPr>
      </w:pPr>
      <w:r>
        <w:rPr>
          <w:rFonts w:hint="eastAsia" w:ascii="宋体" w:hAnsi="宋体"/>
          <w:szCs w:val="21"/>
        </w:rPr>
        <w:t>（5） 投标人在买方所在地为用户提供投标设备配件和售后服务的保障措施；</w:t>
      </w:r>
    </w:p>
    <w:p>
      <w:pPr>
        <w:tabs>
          <w:tab w:val="left" w:pos="1365"/>
        </w:tabs>
        <w:spacing w:line="460" w:lineRule="exact"/>
        <w:rPr>
          <w:rFonts w:ascii="宋体" w:hAnsi="宋体"/>
          <w:szCs w:val="21"/>
        </w:rPr>
      </w:pPr>
      <w:r>
        <w:rPr>
          <w:rFonts w:hint="eastAsia" w:ascii="宋体" w:hAnsi="宋体"/>
          <w:szCs w:val="21"/>
        </w:rPr>
        <w:t>（6） 投标人针对本项目安排的工程技术人员的业绩、素质、能力和信誉；</w:t>
      </w:r>
    </w:p>
    <w:p>
      <w:pPr>
        <w:tabs>
          <w:tab w:val="left" w:pos="1365"/>
        </w:tabs>
        <w:spacing w:line="460" w:lineRule="exact"/>
        <w:rPr>
          <w:rFonts w:ascii="宋体" w:hAnsi="宋体"/>
          <w:szCs w:val="21"/>
        </w:rPr>
      </w:pPr>
      <w:r>
        <w:rPr>
          <w:rFonts w:hint="eastAsia" w:ascii="宋体" w:hAnsi="宋体"/>
          <w:szCs w:val="21"/>
        </w:rPr>
        <w:t>（7） 投标人的经营信誉、资信和实力；</w:t>
      </w:r>
    </w:p>
    <w:p>
      <w:pPr>
        <w:tabs>
          <w:tab w:val="left" w:pos="1365"/>
        </w:tabs>
        <w:spacing w:line="460" w:lineRule="exact"/>
        <w:rPr>
          <w:rFonts w:ascii="宋体" w:hAnsi="宋体"/>
          <w:szCs w:val="21"/>
        </w:rPr>
      </w:pPr>
      <w:r>
        <w:rPr>
          <w:rFonts w:hint="eastAsia" w:ascii="宋体" w:hAnsi="宋体"/>
          <w:szCs w:val="21"/>
        </w:rPr>
        <w:t>（8） 类似项目的销售业绩；</w:t>
      </w:r>
    </w:p>
    <w:p>
      <w:pPr>
        <w:tabs>
          <w:tab w:val="left" w:pos="1365"/>
        </w:tabs>
        <w:spacing w:line="460" w:lineRule="exact"/>
        <w:rPr>
          <w:rFonts w:ascii="宋体" w:hAnsi="宋体"/>
          <w:szCs w:val="21"/>
        </w:rPr>
      </w:pPr>
      <w:r>
        <w:rPr>
          <w:rFonts w:hint="eastAsia" w:ascii="宋体" w:hAnsi="宋体"/>
          <w:szCs w:val="21"/>
        </w:rPr>
        <w:t>（9） 投标人提出的使采购人满意的优惠条款。</w:t>
      </w:r>
    </w:p>
    <w:p>
      <w:pPr>
        <w:tabs>
          <w:tab w:val="left" w:pos="1365"/>
        </w:tabs>
        <w:spacing w:line="460" w:lineRule="exact"/>
        <w:ind w:left="588" w:leftChars="30" w:hanging="525" w:hangingChars="250"/>
        <w:rPr>
          <w:rFonts w:ascii="宋体" w:hAnsi="宋体"/>
          <w:szCs w:val="21"/>
        </w:rPr>
      </w:pPr>
      <w:r>
        <w:rPr>
          <w:rFonts w:hint="eastAsia" w:ascii="宋体" w:hAnsi="宋体"/>
          <w:szCs w:val="21"/>
        </w:rPr>
        <w:t>3.8  评标过程中遇到特殊情况，由评标委员会遵循公开、公正原则，采取投票方式按照少数服从多数原则决定。</w:t>
      </w:r>
    </w:p>
    <w:p>
      <w:pPr>
        <w:tabs>
          <w:tab w:val="left" w:pos="1365"/>
        </w:tabs>
        <w:spacing w:line="460" w:lineRule="exact"/>
        <w:ind w:firstLine="105" w:firstLineChars="50"/>
        <w:rPr>
          <w:rFonts w:ascii="宋体" w:hAnsi="宋体"/>
          <w:szCs w:val="21"/>
        </w:rPr>
      </w:pPr>
      <w:r>
        <w:rPr>
          <w:rFonts w:hint="eastAsia" w:ascii="宋体" w:hAnsi="宋体"/>
          <w:szCs w:val="21"/>
        </w:rPr>
        <w:t>4．  投标文件的澄清</w:t>
      </w:r>
    </w:p>
    <w:p>
      <w:pPr>
        <w:tabs>
          <w:tab w:val="left" w:pos="1365"/>
        </w:tabs>
        <w:spacing w:line="460" w:lineRule="exact"/>
        <w:ind w:left="588" w:leftChars="30" w:hanging="525" w:hangingChars="250"/>
        <w:rPr>
          <w:rFonts w:ascii="宋体" w:hAnsi="宋体"/>
          <w:szCs w:val="21"/>
        </w:rPr>
      </w:pPr>
      <w:r>
        <w:rPr>
          <w:rFonts w:hint="eastAsia" w:ascii="宋体" w:hAnsi="宋体"/>
          <w:szCs w:val="21"/>
        </w:rPr>
        <w:t>4.1  在评标期间，评标委员会可以书面方式要求投标人对投标文件中含义不明确、对同类问题表述不一致或者有明显文字和计算错误的内容作必要的澄清、说明或补正。澄清、说明或补正应以书面形式并由授权代表签署，但澄清内容不得超出投标文件的范围或者改变投标文件的实质性内容。拒不按要求对其投标文件进行澄清，说明或补正的投标人，评标委员会可以否决其投标。</w:t>
      </w:r>
    </w:p>
    <w:p>
      <w:pPr>
        <w:tabs>
          <w:tab w:val="left" w:pos="1365"/>
        </w:tabs>
        <w:spacing w:line="460" w:lineRule="exact"/>
        <w:ind w:left="588" w:leftChars="30" w:hanging="525" w:hangingChars="250"/>
        <w:rPr>
          <w:rFonts w:ascii="宋体" w:hAnsi="宋体"/>
          <w:b/>
          <w:szCs w:val="21"/>
        </w:rPr>
      </w:pPr>
      <w:r>
        <w:rPr>
          <w:rFonts w:hint="eastAsia" w:ascii="宋体" w:hAnsi="宋体"/>
          <w:szCs w:val="21"/>
        </w:rPr>
        <w:t xml:space="preserve">4.2  </w:t>
      </w:r>
      <w:r>
        <w:rPr>
          <w:rFonts w:hint="eastAsia" w:ascii="宋体" w:hAnsi="宋体"/>
          <w:b/>
          <w:szCs w:val="21"/>
        </w:rPr>
        <w:t>经澄清后，若偏差仍存在，且不可接受，投标人则被认为是“没有实质性响应采购文件要求”，其投标不进入下一步评审。</w:t>
      </w:r>
    </w:p>
    <w:p>
      <w:pPr>
        <w:tabs>
          <w:tab w:val="left" w:pos="1365"/>
        </w:tabs>
        <w:spacing w:line="460" w:lineRule="exact"/>
        <w:ind w:firstLine="105" w:firstLineChars="50"/>
        <w:rPr>
          <w:rFonts w:ascii="宋体" w:hAnsi="宋体"/>
          <w:szCs w:val="21"/>
        </w:rPr>
      </w:pPr>
      <w:r>
        <w:rPr>
          <w:rFonts w:hint="eastAsia" w:ascii="宋体" w:hAnsi="宋体"/>
          <w:szCs w:val="21"/>
        </w:rPr>
        <w:t>5．  确定中标候选人</w:t>
      </w:r>
    </w:p>
    <w:p>
      <w:pPr>
        <w:tabs>
          <w:tab w:val="left" w:pos="1365"/>
        </w:tabs>
        <w:spacing w:line="460" w:lineRule="exact"/>
        <w:ind w:firstLine="105" w:firstLineChars="50"/>
        <w:rPr>
          <w:rFonts w:ascii="宋体" w:hAnsi="宋体"/>
          <w:szCs w:val="21"/>
        </w:rPr>
      </w:pPr>
      <w:r>
        <w:rPr>
          <w:rFonts w:hint="eastAsia" w:ascii="宋体" w:hAnsi="宋体"/>
          <w:szCs w:val="21"/>
        </w:rPr>
        <w:t>5.1  本次招标由评标委员会确定中标候选人。</w:t>
      </w:r>
    </w:p>
    <w:p>
      <w:pPr>
        <w:tabs>
          <w:tab w:val="left" w:pos="1365"/>
        </w:tabs>
        <w:spacing w:line="460" w:lineRule="exact"/>
        <w:ind w:left="636" w:leftChars="53" w:hanging="525" w:hangingChars="250"/>
        <w:rPr>
          <w:rFonts w:ascii="宋体" w:hAnsi="宋体"/>
          <w:szCs w:val="21"/>
        </w:rPr>
      </w:pPr>
      <w:r>
        <w:rPr>
          <w:rFonts w:hint="eastAsia" w:ascii="宋体" w:hAnsi="宋体"/>
          <w:szCs w:val="21"/>
        </w:rPr>
        <w:t>5.2  评标委员会依据法律、法规及采购文件有关规定在有效标中按投标人的最终得分（即技术资信分与商务分之和）高低进行排序，得分前二名的投标人确定为第一和第二中标候选人（得分相同投标报价低的排序第一；得分且投标报价相同的，技术指标优的排序第一）。</w:t>
      </w:r>
    </w:p>
    <w:p>
      <w:pPr>
        <w:spacing w:line="440" w:lineRule="exact"/>
        <w:ind w:left="630" w:leftChars="50" w:hanging="525" w:hangingChars="250"/>
        <w:rPr>
          <w:rFonts w:ascii="宋体" w:hAnsi="宋体" w:cs="Arial"/>
          <w:bCs/>
          <w:szCs w:val="21"/>
        </w:rPr>
      </w:pPr>
      <w:r>
        <w:rPr>
          <w:rFonts w:hint="eastAsia" w:ascii="宋体" w:hAnsi="宋体"/>
          <w:szCs w:val="21"/>
        </w:rPr>
        <w:t xml:space="preserve">5.3  </w:t>
      </w:r>
      <w:r>
        <w:rPr>
          <w:rFonts w:hint="eastAsia" w:ascii="宋体" w:hAnsi="宋体" w:cs="Arial"/>
          <w:bCs/>
          <w:szCs w:val="21"/>
        </w:rPr>
        <w:t>排名第一的中标候选人放弃中标；因不可抗力提出不能履行合同；或者采购文件规定应当提交服务质量保证金而在规定的期限内未能提交的；或未能在规定时间内与采购单位签订合同的；或者经质疑，招标人审查后，确因排名第一的候选人在本次采购活动中存在违法违规行为或其他原因使质疑成立的，招标人</w:t>
      </w:r>
      <w:r>
        <w:rPr>
          <w:rFonts w:ascii="宋体" w:hAnsi="宋体" w:cs="Arial"/>
          <w:bCs/>
          <w:szCs w:val="21"/>
        </w:rPr>
        <w:t>根据采购单位要求</w:t>
      </w:r>
      <w:r>
        <w:rPr>
          <w:rFonts w:hint="eastAsia" w:ascii="宋体" w:hAnsi="宋体" w:cs="Arial"/>
          <w:bCs/>
          <w:szCs w:val="21"/>
        </w:rPr>
        <w:t>视具体情况确定是否由排名第二的中标候选人为中标人。</w:t>
      </w:r>
    </w:p>
    <w:p>
      <w:pPr>
        <w:tabs>
          <w:tab w:val="left" w:pos="1365"/>
        </w:tabs>
        <w:spacing w:line="460" w:lineRule="exact"/>
        <w:ind w:left="630" w:leftChars="50" w:hanging="525" w:hangingChars="250"/>
        <w:rPr>
          <w:rFonts w:ascii="宋体" w:hAnsi="宋体"/>
          <w:b/>
          <w:szCs w:val="21"/>
        </w:rPr>
      </w:pPr>
      <w:r>
        <w:rPr>
          <w:rFonts w:hint="eastAsia" w:ascii="宋体" w:hAnsi="宋体"/>
          <w:szCs w:val="21"/>
        </w:rPr>
        <w:t xml:space="preserve">5.4  </w:t>
      </w:r>
      <w:r>
        <w:rPr>
          <w:rFonts w:hint="eastAsia" w:ascii="宋体" w:hAnsi="宋体"/>
          <w:b/>
          <w:szCs w:val="21"/>
        </w:rPr>
        <w:t>招标人对决标结果不做任何解释，也不保证最低价中标。</w:t>
      </w:r>
    </w:p>
    <w:p>
      <w:pPr>
        <w:tabs>
          <w:tab w:val="left" w:pos="540"/>
          <w:tab w:val="left" w:pos="720"/>
        </w:tabs>
        <w:spacing w:line="460" w:lineRule="exact"/>
        <w:ind w:firstLine="103" w:firstLineChars="49"/>
        <w:rPr>
          <w:rFonts w:ascii="宋体" w:hAnsi="宋体"/>
          <w:b/>
          <w:szCs w:val="21"/>
        </w:rPr>
      </w:pPr>
      <w:r>
        <w:rPr>
          <w:rFonts w:hint="eastAsia" w:ascii="宋体" w:hAnsi="宋体"/>
          <w:b/>
          <w:szCs w:val="21"/>
        </w:rPr>
        <w:t>6．  评标细则详见第六部分“评标原则及方法”。</w:t>
      </w:r>
    </w:p>
    <w:p>
      <w:pPr>
        <w:spacing w:before="100" w:beforeAutospacing="1" w:after="100" w:afterAutospacing="1" w:line="440" w:lineRule="exact"/>
        <w:ind w:left="-6"/>
        <w:jc w:val="center"/>
        <w:outlineLvl w:val="0"/>
        <w:rPr>
          <w:rFonts w:ascii="宋体" w:hAnsi="宋体"/>
          <w:b/>
          <w:bCs/>
          <w:sz w:val="28"/>
          <w:szCs w:val="28"/>
        </w:rPr>
      </w:pPr>
      <w:r>
        <w:rPr>
          <w:rFonts w:hint="eastAsia" w:ascii="宋体" w:hAnsi="宋体"/>
          <w:b/>
          <w:bCs/>
          <w:sz w:val="28"/>
          <w:szCs w:val="28"/>
        </w:rPr>
        <w:t>六   授予合同</w:t>
      </w:r>
    </w:p>
    <w:p>
      <w:pPr>
        <w:spacing w:line="400" w:lineRule="exact"/>
        <w:ind w:left="663" w:leftChars="15" w:hanging="632" w:hangingChars="300"/>
        <w:rPr>
          <w:rFonts w:ascii="宋体" w:hAnsi="宋体"/>
          <w:bCs/>
          <w:szCs w:val="21"/>
        </w:rPr>
      </w:pPr>
      <w:r>
        <w:rPr>
          <w:rFonts w:hint="eastAsia" w:ascii="宋体" w:hAnsi="宋体"/>
          <w:b/>
          <w:bCs/>
          <w:szCs w:val="21"/>
        </w:rPr>
        <w:t xml:space="preserve">1．  </w:t>
      </w:r>
      <w:r>
        <w:rPr>
          <w:rFonts w:hint="eastAsia" w:ascii="宋体" w:hAnsi="宋体"/>
          <w:bCs/>
          <w:szCs w:val="21"/>
        </w:rPr>
        <w:t xml:space="preserve"> 评标委员会确定的中标候选人在</w:t>
      </w:r>
      <w:r>
        <w:rPr>
          <w:rFonts w:hint="eastAsia" w:eastAsia="新宋体"/>
          <w:bCs/>
          <w:sz w:val="22"/>
          <w:szCs w:val="22"/>
        </w:rPr>
        <w:t>政府采购指定信息发布媒体上公示</w:t>
      </w:r>
      <w:r>
        <w:rPr>
          <w:rFonts w:hint="eastAsia" w:ascii="宋体" w:hAnsi="宋体"/>
          <w:bCs/>
          <w:szCs w:val="21"/>
        </w:rPr>
        <w:t>，各投标人对评标结果如有异议，可在规定时间内以书面形式向招标人进行署名投诉或提出质疑，但需对投诉或质疑内容的真实性承担法律责任。</w:t>
      </w:r>
      <w:r>
        <w:rPr>
          <w:rFonts w:hint="eastAsia" w:ascii="宋体" w:hAnsi="宋体"/>
          <w:b/>
          <w:bCs/>
          <w:szCs w:val="21"/>
        </w:rPr>
        <w:t>因恶意质疑、投诉导致授予合同的期限延期的，应按延期天数每日</w:t>
      </w:r>
      <w:r>
        <w:rPr>
          <w:rFonts w:hint="eastAsia" w:ascii="宋体" w:hAnsi="宋体"/>
          <w:b/>
          <w:bCs/>
          <w:szCs w:val="21"/>
          <w:u w:val="single"/>
        </w:rPr>
        <w:t>2000</w:t>
      </w:r>
      <w:r>
        <w:rPr>
          <w:rFonts w:hint="eastAsia" w:ascii="宋体" w:hAnsi="宋体"/>
          <w:b/>
          <w:bCs/>
          <w:szCs w:val="21"/>
        </w:rPr>
        <w:t>元的标准对招标人予以赔偿。</w:t>
      </w:r>
    </w:p>
    <w:p>
      <w:pPr>
        <w:spacing w:line="400" w:lineRule="exact"/>
        <w:rPr>
          <w:rFonts w:ascii="宋体" w:hAnsi="宋体"/>
          <w:szCs w:val="21"/>
        </w:rPr>
      </w:pPr>
      <w:r>
        <w:rPr>
          <w:rFonts w:hint="eastAsia" w:ascii="宋体" w:hAnsi="宋体"/>
          <w:szCs w:val="21"/>
        </w:rPr>
        <w:t>2．   中标通知书</w:t>
      </w:r>
    </w:p>
    <w:p>
      <w:pPr>
        <w:spacing w:line="400" w:lineRule="exact"/>
        <w:rPr>
          <w:rFonts w:ascii="宋体" w:hAnsi="宋体"/>
          <w:szCs w:val="21"/>
        </w:rPr>
      </w:pPr>
      <w:r>
        <w:rPr>
          <w:rFonts w:hint="eastAsia" w:ascii="宋体" w:hAnsi="宋体"/>
          <w:bCs/>
          <w:szCs w:val="21"/>
        </w:rPr>
        <w:t xml:space="preserve">2.1   </w:t>
      </w:r>
      <w:r>
        <w:rPr>
          <w:rFonts w:hint="eastAsia" w:ascii="宋体" w:hAnsi="宋体"/>
          <w:szCs w:val="21"/>
        </w:rPr>
        <w:t xml:space="preserve">中标人确定后，招标人将向中标人发出中标通知书。 </w:t>
      </w:r>
    </w:p>
    <w:p>
      <w:pPr>
        <w:spacing w:line="400" w:lineRule="exact"/>
        <w:rPr>
          <w:rFonts w:ascii="宋体" w:hAnsi="宋体"/>
          <w:szCs w:val="21"/>
        </w:rPr>
      </w:pPr>
      <w:r>
        <w:rPr>
          <w:rFonts w:hint="eastAsia" w:ascii="宋体" w:hAnsi="宋体"/>
          <w:bCs/>
          <w:szCs w:val="21"/>
        </w:rPr>
        <w:t xml:space="preserve">2.2  </w:t>
      </w:r>
      <w:r>
        <w:rPr>
          <w:rFonts w:hint="eastAsia" w:ascii="宋体" w:hAnsi="宋体"/>
          <w:szCs w:val="21"/>
        </w:rPr>
        <w:t>中标通知书是合同的一个组成部分,对采购人和中标人均具有同等法律效力。</w:t>
      </w:r>
    </w:p>
    <w:p>
      <w:pPr>
        <w:spacing w:line="400" w:lineRule="exact"/>
        <w:rPr>
          <w:rFonts w:ascii="宋体" w:hAnsi="宋体"/>
          <w:bCs/>
          <w:szCs w:val="21"/>
        </w:rPr>
      </w:pPr>
      <w:r>
        <w:rPr>
          <w:rFonts w:hint="eastAsia" w:ascii="宋体" w:hAnsi="宋体"/>
          <w:bCs/>
          <w:szCs w:val="21"/>
        </w:rPr>
        <w:t>3．   授标时更改采购货物数量的权力</w:t>
      </w:r>
    </w:p>
    <w:p>
      <w:pPr>
        <w:spacing w:line="400" w:lineRule="exact"/>
        <w:rPr>
          <w:rFonts w:ascii="宋体" w:hAnsi="宋体"/>
          <w:bCs/>
          <w:szCs w:val="21"/>
        </w:rPr>
      </w:pPr>
      <w:r>
        <w:rPr>
          <w:rFonts w:hint="eastAsia" w:ascii="宋体" w:hAnsi="宋体"/>
          <w:bCs/>
          <w:szCs w:val="21"/>
        </w:rPr>
        <w:t>3.1   招标人和采购人在授予合同时有权对招标设备的数量和服务在一定幅度范围内予以增加或减少,但不得对单价和其他的条款和条件作任何改变。</w:t>
      </w:r>
    </w:p>
    <w:p>
      <w:pPr>
        <w:spacing w:line="400" w:lineRule="exact"/>
        <w:rPr>
          <w:rFonts w:ascii="宋体" w:hAnsi="宋体"/>
          <w:bCs/>
          <w:szCs w:val="21"/>
        </w:rPr>
      </w:pPr>
      <w:r>
        <w:rPr>
          <w:rFonts w:hint="eastAsia" w:ascii="宋体" w:hAnsi="宋体"/>
          <w:bCs/>
          <w:szCs w:val="21"/>
        </w:rPr>
        <w:t>4．   签订合同</w:t>
      </w:r>
    </w:p>
    <w:p>
      <w:pPr>
        <w:tabs>
          <w:tab w:val="left" w:pos="540"/>
        </w:tabs>
        <w:spacing w:line="440" w:lineRule="exact"/>
        <w:rPr>
          <w:rFonts w:eastAsia="新宋体"/>
          <w:b/>
          <w:sz w:val="22"/>
          <w:szCs w:val="22"/>
        </w:rPr>
      </w:pPr>
      <w:r>
        <w:rPr>
          <w:rFonts w:hint="eastAsia" w:ascii="宋体" w:hAnsi="宋体"/>
          <w:bCs/>
          <w:szCs w:val="21"/>
        </w:rPr>
        <w:t>4.1   中标人应按中标通知书规定的时间、地点与采购人签订合同</w:t>
      </w:r>
      <w:r>
        <w:rPr>
          <w:rFonts w:hint="eastAsia" w:eastAsia="新宋体"/>
          <w:spacing w:val="6"/>
          <w:sz w:val="22"/>
          <w:szCs w:val="22"/>
        </w:rPr>
        <w:t>。</w:t>
      </w:r>
    </w:p>
    <w:p>
      <w:pPr>
        <w:spacing w:line="400" w:lineRule="exact"/>
        <w:rPr>
          <w:rFonts w:ascii="宋体" w:hAnsi="宋体"/>
          <w:szCs w:val="21"/>
        </w:rPr>
      </w:pPr>
      <w:r>
        <w:rPr>
          <w:rFonts w:hint="eastAsia" w:ascii="宋体" w:hAnsi="宋体"/>
          <w:szCs w:val="21"/>
        </w:rPr>
        <w:t xml:space="preserve">4.2   </w:t>
      </w:r>
      <w:r>
        <w:rPr>
          <w:rFonts w:hint="eastAsia" w:ascii="宋体" w:hAnsi="宋体"/>
          <w:b/>
          <w:spacing w:val="6"/>
          <w:szCs w:val="21"/>
        </w:rPr>
        <w:t>在签订合同前，采购人有权在中标总价不变的前提下要求中标单位对商务报价中的不平衡报价和缺漏项进行调整，如果中标单位无合理理由拒绝调整，其中标资格将被取消，且将导致其它进一步的赔偿和处罚。</w:t>
      </w:r>
    </w:p>
    <w:p>
      <w:pPr>
        <w:spacing w:line="400" w:lineRule="exact"/>
        <w:ind w:left="630" w:hanging="630" w:hangingChars="300"/>
        <w:rPr>
          <w:rFonts w:ascii="宋体" w:hAnsi="宋体"/>
          <w:b/>
          <w:spacing w:val="6"/>
          <w:szCs w:val="21"/>
        </w:rPr>
      </w:pPr>
      <w:r>
        <w:rPr>
          <w:rFonts w:hint="eastAsia" w:ascii="宋体" w:hAnsi="宋体"/>
          <w:szCs w:val="21"/>
        </w:rPr>
        <w:t>4.3   采购文件、中标人的投标文件、投标修改文件、评标过程中有关澄清文件及经投标人和评委双方签字的询标纪要和中标通知书均作为合同附件。</w:t>
      </w:r>
    </w:p>
    <w:p>
      <w:pPr>
        <w:spacing w:line="400" w:lineRule="exact"/>
        <w:rPr>
          <w:rFonts w:ascii="宋体" w:hAnsi="宋体"/>
          <w:szCs w:val="21"/>
        </w:rPr>
      </w:pPr>
      <w:r>
        <w:rPr>
          <w:rFonts w:hint="eastAsia" w:ascii="宋体" w:hAnsi="宋体"/>
          <w:szCs w:val="21"/>
        </w:rPr>
        <w:t>4.4   拒签合同的违约责任</w:t>
      </w:r>
    </w:p>
    <w:p>
      <w:pPr>
        <w:spacing w:line="400" w:lineRule="exact"/>
        <w:ind w:left="647" w:leftChars="308"/>
        <w:rPr>
          <w:rFonts w:ascii="宋体" w:hAnsi="宋体"/>
          <w:b/>
          <w:spacing w:val="6"/>
          <w:szCs w:val="21"/>
        </w:rPr>
      </w:pPr>
      <w:r>
        <w:rPr>
          <w:rFonts w:hint="eastAsia" w:ascii="宋体" w:hAnsi="宋体"/>
          <w:b/>
          <w:spacing w:val="6"/>
          <w:szCs w:val="21"/>
        </w:rPr>
        <w:t>中标人接到中标通知书后，在规定时间内借故否认已经承诺的条件而拒签合同的，以违约处理。</w:t>
      </w:r>
    </w:p>
    <w:p>
      <w:pPr>
        <w:tabs>
          <w:tab w:val="left" w:pos="540"/>
        </w:tabs>
        <w:spacing w:line="460" w:lineRule="exact"/>
        <w:rPr>
          <w:rFonts w:eastAsia="新宋体"/>
          <w:sz w:val="22"/>
          <w:szCs w:val="22"/>
        </w:rPr>
      </w:pPr>
      <w:r>
        <w:rPr>
          <w:rFonts w:hint="eastAsia" w:ascii="宋体" w:hAnsi="宋体"/>
          <w:b/>
          <w:spacing w:val="6"/>
          <w:szCs w:val="21"/>
        </w:rPr>
        <w:t>4.5</w:t>
      </w:r>
      <w:r>
        <w:rPr>
          <w:rFonts w:hint="eastAsia" w:eastAsia="新宋体"/>
          <w:sz w:val="22"/>
          <w:szCs w:val="22"/>
        </w:rPr>
        <w:t>中标供应商应在合同签订后五个工作日内提交一份合同文本原件报招标代理机构备案。</w:t>
      </w:r>
    </w:p>
    <w:p>
      <w:pPr>
        <w:spacing w:line="440" w:lineRule="exact"/>
        <w:rPr>
          <w:rFonts w:eastAsia="新宋体"/>
          <w:b/>
          <w:bCs/>
          <w:sz w:val="22"/>
          <w:szCs w:val="22"/>
        </w:rPr>
      </w:pPr>
      <w:r>
        <w:rPr>
          <w:rFonts w:hint="eastAsia" w:eastAsia="新宋体"/>
          <w:sz w:val="22"/>
          <w:szCs w:val="22"/>
        </w:rPr>
        <w:t>5</w:t>
      </w:r>
      <w:r>
        <w:rPr>
          <w:rFonts w:hint="eastAsia" w:eastAsia="新宋体"/>
          <w:b/>
          <w:bCs/>
          <w:sz w:val="22"/>
          <w:szCs w:val="22"/>
        </w:rPr>
        <w:t>采购代理服务费</w:t>
      </w:r>
    </w:p>
    <w:p>
      <w:pPr>
        <w:tabs>
          <w:tab w:val="left" w:pos="540"/>
        </w:tabs>
        <w:spacing w:line="440" w:lineRule="exact"/>
        <w:rPr>
          <w:rFonts w:eastAsia="新宋体"/>
          <w:b/>
          <w:bCs/>
          <w:sz w:val="22"/>
          <w:szCs w:val="22"/>
        </w:rPr>
      </w:pPr>
      <w:r>
        <w:rPr>
          <w:rFonts w:hint="eastAsia" w:eastAsia="新宋体"/>
          <w:b/>
          <w:bCs/>
          <w:sz w:val="22"/>
          <w:szCs w:val="22"/>
        </w:rPr>
        <w:t>5.1本次采购代理服务费按国家计委计价格[2002]1980号规定的</w:t>
      </w:r>
      <w:r>
        <w:rPr>
          <w:rFonts w:hint="eastAsia" w:eastAsia="新宋体"/>
          <w:b/>
          <w:bCs/>
          <w:sz w:val="22"/>
          <w:szCs w:val="22"/>
          <w:lang w:eastAsia="zh-CN"/>
        </w:rPr>
        <w:t>工程</w:t>
      </w:r>
      <w:r>
        <w:rPr>
          <w:rFonts w:hint="eastAsia" w:eastAsia="新宋体"/>
          <w:b/>
          <w:bCs/>
          <w:sz w:val="22"/>
          <w:szCs w:val="22"/>
        </w:rPr>
        <w:t>类的收费标准</w:t>
      </w:r>
      <w:r>
        <w:rPr>
          <w:rFonts w:hint="eastAsia" w:eastAsia="新宋体"/>
          <w:b/>
          <w:bCs/>
          <w:sz w:val="22"/>
          <w:szCs w:val="22"/>
          <w:lang w:eastAsia="zh-CN"/>
        </w:rPr>
        <w:t>下浮</w:t>
      </w:r>
      <w:r>
        <w:rPr>
          <w:rFonts w:hint="eastAsia" w:eastAsia="新宋体"/>
          <w:b/>
          <w:bCs/>
          <w:sz w:val="22"/>
          <w:szCs w:val="22"/>
          <w:lang w:val="en-US" w:eastAsia="zh-CN"/>
        </w:rPr>
        <w:t>80%后</w:t>
      </w:r>
      <w:r>
        <w:rPr>
          <w:rFonts w:hint="eastAsia" w:eastAsia="新宋体"/>
          <w:b/>
          <w:bCs/>
          <w:sz w:val="22"/>
          <w:szCs w:val="22"/>
        </w:rPr>
        <w:t>收取，</w:t>
      </w:r>
      <w:r>
        <w:rPr>
          <w:rFonts w:hint="eastAsia" w:eastAsia="新宋体"/>
          <w:b/>
          <w:sz w:val="22"/>
          <w:szCs w:val="22"/>
        </w:rPr>
        <w:t>由中标（成交）供应商在领取中标（成交）通知书之前支付给招标代理机构</w:t>
      </w:r>
      <w:r>
        <w:rPr>
          <w:rFonts w:hint="eastAsia" w:eastAsia="新宋体"/>
          <w:b/>
          <w:bCs/>
          <w:sz w:val="22"/>
          <w:szCs w:val="22"/>
        </w:rPr>
        <w:t>。</w:t>
      </w:r>
    </w:p>
    <w:p>
      <w:pPr>
        <w:tabs>
          <w:tab w:val="left" w:pos="540"/>
        </w:tabs>
        <w:spacing w:line="440" w:lineRule="exact"/>
        <w:rPr>
          <w:rFonts w:eastAsia="新宋体"/>
          <w:spacing w:val="6"/>
          <w:sz w:val="22"/>
          <w:szCs w:val="22"/>
        </w:rPr>
      </w:pPr>
      <w:r>
        <w:rPr>
          <w:rFonts w:hint="eastAsia" w:eastAsia="新宋体"/>
          <w:spacing w:val="6"/>
          <w:sz w:val="22"/>
          <w:szCs w:val="22"/>
        </w:rPr>
        <w:t>5.2采购代理服务费可以是现金、支票或汇票。</w:t>
      </w:r>
    </w:p>
    <w:p>
      <w:pPr>
        <w:autoSpaceDE w:val="0"/>
        <w:autoSpaceDN w:val="0"/>
        <w:adjustRightInd w:val="0"/>
        <w:snapToGrid w:val="0"/>
        <w:spacing w:line="420" w:lineRule="exact"/>
        <w:jc w:val="center"/>
        <w:textAlignment w:val="bottom"/>
        <w:rPr>
          <w:color w:val="000000"/>
          <w:sz w:val="32"/>
          <w:szCs w:val="32"/>
        </w:rPr>
      </w:pPr>
      <w:r>
        <w:rPr>
          <w:rFonts w:hint="eastAsia" w:eastAsia="新宋体"/>
          <w:spacing w:val="6"/>
          <w:sz w:val="22"/>
          <w:szCs w:val="22"/>
        </w:rPr>
        <w:br w:type="page"/>
      </w:r>
      <w:r>
        <w:rPr>
          <w:rFonts w:hint="eastAsia" w:ascii="宋体"/>
          <w:b/>
          <w:color w:val="000000"/>
          <w:sz w:val="32"/>
          <w:szCs w:val="32"/>
          <w:lang w:val="zh-CN"/>
        </w:rPr>
        <w:t>第二部分   政府采购政策功能相关说明</w:t>
      </w:r>
    </w:p>
    <w:p>
      <w:pPr>
        <w:jc w:val="left"/>
        <w:rPr>
          <w:rFonts w:ascii="宋体"/>
          <w:b/>
          <w:color w:val="000000"/>
          <w:sz w:val="22"/>
        </w:rPr>
      </w:pPr>
    </w:p>
    <w:p>
      <w:pPr>
        <w:jc w:val="left"/>
        <w:rPr>
          <w:rFonts w:ascii="宋体"/>
          <w:b/>
          <w:color w:val="000000"/>
          <w:sz w:val="22"/>
        </w:rPr>
      </w:pPr>
      <w:r>
        <w:rPr>
          <w:rFonts w:hint="eastAsia" w:ascii="宋体"/>
          <w:b/>
          <w:color w:val="000000"/>
          <w:sz w:val="22"/>
        </w:rPr>
        <w:t>一、小、微企业（含监狱企业、残疾人福利性单位）扶持政策说明</w:t>
      </w:r>
    </w:p>
    <w:p>
      <w:pPr>
        <w:spacing w:line="440" w:lineRule="atLeast"/>
        <w:jc w:val="left"/>
        <w:rPr>
          <w:rFonts w:ascii="宋体"/>
          <w:b/>
          <w:color w:val="000000"/>
          <w:sz w:val="22"/>
        </w:rPr>
      </w:pPr>
      <w:r>
        <w:rPr>
          <w:rFonts w:hint="eastAsia" w:ascii="宋体"/>
          <w:b/>
          <w:color w:val="000000"/>
          <w:sz w:val="22"/>
        </w:rPr>
        <w:t>1、文件依据</w:t>
      </w:r>
    </w:p>
    <w:p>
      <w:pPr>
        <w:spacing w:line="440" w:lineRule="atLeast"/>
        <w:jc w:val="left"/>
        <w:rPr>
          <w:rFonts w:ascii="宋体"/>
          <w:b/>
          <w:color w:val="000000"/>
          <w:sz w:val="22"/>
        </w:rPr>
      </w:pPr>
      <w:r>
        <w:rPr>
          <w:rFonts w:hint="eastAsia" w:ascii="宋体"/>
          <w:b/>
          <w:color w:val="000000"/>
          <w:sz w:val="22"/>
        </w:rPr>
        <w:t>（1）关于印发《政府采购促进中小企业发展暂行办法》的通知（财库[2011]181号）</w:t>
      </w:r>
    </w:p>
    <w:p>
      <w:pPr>
        <w:spacing w:line="440" w:lineRule="atLeast"/>
        <w:jc w:val="left"/>
        <w:rPr>
          <w:rFonts w:ascii="宋体"/>
          <w:b/>
          <w:color w:val="000000"/>
          <w:sz w:val="22"/>
        </w:rPr>
      </w:pPr>
      <w:r>
        <w:rPr>
          <w:rFonts w:hint="eastAsia" w:ascii="宋体"/>
          <w:b/>
          <w:color w:val="000000"/>
          <w:sz w:val="22"/>
        </w:rPr>
        <w:t>（2）浙江省财政厅转发财政部 工业和信息化部关于印发《政府采购促进中小企业发展暂行办法》的通知（浙财采监[2012]11号）</w:t>
      </w:r>
    </w:p>
    <w:p>
      <w:pPr>
        <w:spacing w:line="440" w:lineRule="atLeast"/>
        <w:jc w:val="left"/>
        <w:rPr>
          <w:rFonts w:ascii="宋体"/>
          <w:b/>
          <w:color w:val="000000"/>
          <w:sz w:val="22"/>
        </w:rPr>
      </w:pPr>
      <w:r>
        <w:rPr>
          <w:rFonts w:hint="eastAsia" w:ascii="宋体"/>
          <w:b/>
          <w:color w:val="000000"/>
          <w:sz w:val="22"/>
        </w:rPr>
        <w:t>（3）浙江省省财政厅《关于开展政府采购供应商网上注册登记和诚信管理工作的通知》（浙财采监〔2010〕8号)</w:t>
      </w:r>
    </w:p>
    <w:p>
      <w:pPr>
        <w:spacing w:line="440" w:lineRule="atLeast"/>
        <w:jc w:val="left"/>
        <w:rPr>
          <w:rFonts w:ascii="宋体"/>
          <w:b/>
          <w:color w:val="000000"/>
          <w:sz w:val="22"/>
        </w:rPr>
      </w:pPr>
      <w:r>
        <w:rPr>
          <w:rFonts w:hint="eastAsia" w:ascii="宋体"/>
          <w:b/>
          <w:color w:val="000000"/>
          <w:sz w:val="22"/>
        </w:rPr>
        <w:t>（4）《工业和信息化部、国家统计局、国家发展和改革委员会、财政部关于印发中小企业划型标准规定的通知》（</w:t>
      </w:r>
      <w:r>
        <w:rPr>
          <w:rFonts w:ascii="宋体"/>
          <w:b/>
          <w:color w:val="000000"/>
          <w:sz w:val="22"/>
        </w:rPr>
        <w:t>工信部联企业[2011]300号</w:t>
      </w:r>
      <w:r>
        <w:rPr>
          <w:rFonts w:hint="eastAsia" w:ascii="宋体"/>
          <w:b/>
          <w:color w:val="000000"/>
          <w:sz w:val="22"/>
        </w:rPr>
        <w:t>）</w:t>
      </w:r>
    </w:p>
    <w:p>
      <w:pPr>
        <w:spacing w:line="440" w:lineRule="atLeast"/>
        <w:jc w:val="left"/>
        <w:rPr>
          <w:rFonts w:ascii="宋体"/>
          <w:b/>
          <w:color w:val="000000"/>
          <w:sz w:val="22"/>
        </w:rPr>
      </w:pPr>
      <w:r>
        <w:rPr>
          <w:rFonts w:hint="eastAsia" w:ascii="宋体"/>
          <w:b/>
          <w:color w:val="000000"/>
          <w:sz w:val="22"/>
        </w:rPr>
        <w:t>（5）财政部、司法部《关于政府采购支持监狱企业发展有关问题的通知》（财库〔2014〕68号）</w:t>
      </w:r>
    </w:p>
    <w:p>
      <w:pPr>
        <w:spacing w:line="440" w:lineRule="atLeast"/>
        <w:jc w:val="left"/>
        <w:rPr>
          <w:rFonts w:ascii="宋体"/>
          <w:b/>
          <w:color w:val="000000"/>
          <w:sz w:val="22"/>
        </w:rPr>
      </w:pPr>
      <w:r>
        <w:rPr>
          <w:rFonts w:hint="eastAsia" w:ascii="宋体"/>
          <w:b/>
          <w:color w:val="000000"/>
          <w:sz w:val="22"/>
        </w:rPr>
        <w:t>（6）《财政部 民政部 中国残疾人联合会关于促进残疾人就业政府采购政策的通知》（财库〔2017〕 141号）</w:t>
      </w:r>
    </w:p>
    <w:p>
      <w:pPr>
        <w:spacing w:line="440" w:lineRule="atLeast"/>
        <w:jc w:val="left"/>
        <w:rPr>
          <w:rFonts w:ascii="宋体"/>
          <w:b/>
          <w:color w:val="000000"/>
          <w:sz w:val="22"/>
        </w:rPr>
      </w:pPr>
      <w:r>
        <w:rPr>
          <w:rFonts w:hint="eastAsia" w:ascii="宋体"/>
          <w:b/>
          <w:color w:val="000000"/>
          <w:sz w:val="22"/>
        </w:rPr>
        <w:t>2、享受小微企业价格折扣应具备的条件与价格折扣比例</w:t>
      </w:r>
    </w:p>
    <w:p>
      <w:pPr>
        <w:spacing w:line="440" w:lineRule="atLeast"/>
        <w:jc w:val="left"/>
        <w:rPr>
          <w:rFonts w:ascii="宋体"/>
          <w:color w:val="000000"/>
          <w:sz w:val="22"/>
        </w:rPr>
      </w:pPr>
      <w:r>
        <w:rPr>
          <w:rFonts w:hint="eastAsia" w:ascii="宋体"/>
          <w:color w:val="000000"/>
          <w:sz w:val="22"/>
        </w:rPr>
        <w:t>（1）符合中小企业划分标准；</w:t>
      </w:r>
      <w:r>
        <w:rPr>
          <w:rFonts w:hint="eastAsia" w:ascii="宋体"/>
          <w:color w:val="000000"/>
          <w:sz w:val="22"/>
        </w:rPr>
        <w:br w:type="textWrapping"/>
      </w:r>
      <w:r>
        <w:rPr>
          <w:rFonts w:hint="eastAsia" w:ascii="宋体"/>
          <w:color w:val="000000"/>
          <w:sz w:val="22"/>
        </w:rPr>
        <w:t>（2）提供本企业制造的货物、承担的工程或者服务，或者提供其他中小企业制造的货物。本项所称货物不包括使用大型企业注册商标的货物。</w:t>
      </w:r>
      <w:r>
        <w:rPr>
          <w:rFonts w:hint="eastAsia" w:ascii="宋体"/>
          <w:color w:val="000000"/>
          <w:sz w:val="22"/>
        </w:rPr>
        <w:br w:type="textWrapping"/>
      </w:r>
      <w:r>
        <w:rPr>
          <w:rFonts w:hint="eastAsia" w:ascii="宋体"/>
          <w:color w:val="000000"/>
          <w:sz w:val="22"/>
        </w:rPr>
        <w:t>  中小企业划分标准，是指国务院有关部门根据企业从业人员、营业收入、资产总额等指标制定的中小企业划型标准。</w:t>
      </w:r>
      <w:r>
        <w:rPr>
          <w:rFonts w:hint="eastAsia" w:ascii="宋体"/>
          <w:color w:val="000000"/>
          <w:sz w:val="22"/>
        </w:rPr>
        <w:br w:type="textWrapping"/>
      </w:r>
      <w:r>
        <w:rPr>
          <w:rFonts w:hint="eastAsia" w:ascii="宋体"/>
          <w:color w:val="000000"/>
          <w:sz w:val="22"/>
        </w:rPr>
        <w:t>  小型、微型企业提供中型企业制造的货物的，视同为中型企业。</w:t>
      </w:r>
    </w:p>
    <w:p>
      <w:pPr>
        <w:spacing w:line="440" w:lineRule="atLeast"/>
        <w:jc w:val="left"/>
        <w:rPr>
          <w:rFonts w:ascii="宋体"/>
          <w:color w:val="000000"/>
          <w:sz w:val="22"/>
          <w:u w:val="single"/>
        </w:rPr>
      </w:pPr>
      <w:r>
        <w:rPr>
          <w:rFonts w:hint="eastAsia" w:ascii="宋体"/>
          <w:color w:val="000000"/>
          <w:sz w:val="22"/>
          <w:u w:val="single"/>
        </w:rPr>
        <w:t>（3）本项目对小型和微型企业产品的价格给予6%的扣除，用扣除后的价格参与评审。</w:t>
      </w:r>
    </w:p>
    <w:p>
      <w:pPr>
        <w:spacing w:line="440" w:lineRule="atLeast"/>
        <w:jc w:val="left"/>
        <w:rPr>
          <w:rFonts w:ascii="宋体"/>
          <w:b/>
          <w:color w:val="000000"/>
          <w:sz w:val="22"/>
        </w:rPr>
      </w:pPr>
      <w:r>
        <w:rPr>
          <w:rFonts w:hint="eastAsia" w:ascii="宋体"/>
          <w:b/>
          <w:color w:val="000000"/>
          <w:sz w:val="22"/>
          <w:u w:val="single"/>
        </w:rPr>
        <w:t>3、享受小微企业价格折扣应提供以下证明材料（投标文件技术资信标中，缺一不可）</w:t>
      </w:r>
      <w:r>
        <w:rPr>
          <w:rFonts w:hint="eastAsia" w:ascii="宋体"/>
          <w:b/>
          <w:color w:val="000000"/>
          <w:sz w:val="22"/>
        </w:rPr>
        <w:t>：</w:t>
      </w:r>
    </w:p>
    <w:p>
      <w:pPr>
        <w:spacing w:line="440" w:lineRule="atLeast"/>
        <w:jc w:val="left"/>
        <w:rPr>
          <w:rFonts w:ascii="宋体"/>
          <w:b/>
          <w:color w:val="000000"/>
          <w:sz w:val="22"/>
        </w:rPr>
      </w:pPr>
      <w:r>
        <w:rPr>
          <w:rFonts w:hint="eastAsia" w:ascii="宋体"/>
          <w:b/>
          <w:color w:val="000000"/>
          <w:sz w:val="22"/>
        </w:rPr>
        <w:t>（1）《中小企业声明函》（原件，加盖供应商公章，格式见附件1）</w:t>
      </w:r>
    </w:p>
    <w:p>
      <w:pPr>
        <w:spacing w:line="440" w:lineRule="atLeast"/>
        <w:jc w:val="left"/>
        <w:rPr>
          <w:rFonts w:ascii="宋体"/>
          <w:b/>
          <w:color w:val="000000"/>
          <w:sz w:val="22"/>
        </w:rPr>
      </w:pPr>
      <w:r>
        <w:rPr>
          <w:rFonts w:hint="eastAsia" w:ascii="宋体"/>
          <w:b/>
          <w:color w:val="000000"/>
          <w:sz w:val="22"/>
        </w:rPr>
        <w:t>4、</w:t>
      </w:r>
      <w:r>
        <w:rPr>
          <w:rFonts w:hint="eastAsia" w:ascii="宋体"/>
          <w:b/>
          <w:color w:val="000000"/>
          <w:sz w:val="22"/>
          <w:u w:val="single"/>
        </w:rPr>
        <w:t>享受监狱企业价格折扣应提供以下证明材料（投标文件技术资信标中，不提供的不享受价格折扣）</w:t>
      </w:r>
      <w:r>
        <w:rPr>
          <w:rFonts w:hint="eastAsia" w:ascii="宋体"/>
          <w:b/>
          <w:color w:val="000000"/>
          <w:sz w:val="22"/>
        </w:rPr>
        <w:t>：</w:t>
      </w:r>
    </w:p>
    <w:p>
      <w:pPr>
        <w:spacing w:line="440" w:lineRule="atLeast"/>
        <w:jc w:val="left"/>
        <w:rPr>
          <w:rFonts w:ascii="宋体"/>
          <w:b/>
          <w:color w:val="000000"/>
          <w:sz w:val="22"/>
        </w:rPr>
      </w:pPr>
      <w:r>
        <w:rPr>
          <w:rFonts w:hint="eastAsia" w:ascii="宋体"/>
          <w:b/>
          <w:color w:val="000000"/>
          <w:sz w:val="22"/>
        </w:rPr>
        <w:t>（</w:t>
      </w:r>
      <w:r>
        <w:rPr>
          <w:rFonts w:ascii="宋体"/>
          <w:b/>
          <w:color w:val="000000"/>
          <w:sz w:val="22"/>
        </w:rPr>
        <w:t>1</w:t>
      </w:r>
      <w:r>
        <w:rPr>
          <w:rFonts w:hint="eastAsia" w:ascii="宋体"/>
          <w:b/>
          <w:color w:val="000000"/>
          <w:sz w:val="22"/>
        </w:rPr>
        <w:t>）</w:t>
      </w:r>
      <w:r>
        <w:rPr>
          <w:rFonts w:ascii="宋体"/>
          <w:b/>
          <w:color w:val="000000"/>
          <w:sz w:val="22"/>
        </w:rPr>
        <w:t>监狱企业参加政府采购活动时，应当提供由省级以上监狱管理局、戒毒管理局(含新疆生产建设兵团)出具的属于监狱企业的证明文件</w:t>
      </w:r>
      <w:r>
        <w:rPr>
          <w:rFonts w:hint="eastAsia" w:ascii="宋体"/>
          <w:b/>
          <w:color w:val="000000"/>
          <w:sz w:val="22"/>
        </w:rPr>
        <w:t>（原件或复印件加盖公章）</w:t>
      </w:r>
      <w:r>
        <w:rPr>
          <w:rFonts w:ascii="宋体"/>
          <w:b/>
          <w:color w:val="000000"/>
          <w:sz w:val="22"/>
        </w:rPr>
        <w:t>。在政府采购活动中，监狱企业视同小型、微型企业，享受评审中价格扣除政策</w:t>
      </w:r>
      <w:r>
        <w:rPr>
          <w:rFonts w:hint="eastAsia" w:ascii="宋体"/>
          <w:b/>
          <w:color w:val="000000"/>
          <w:sz w:val="22"/>
        </w:rPr>
        <w:t>。</w:t>
      </w:r>
    </w:p>
    <w:p>
      <w:pPr>
        <w:spacing w:line="440" w:lineRule="atLeast"/>
        <w:jc w:val="left"/>
        <w:rPr>
          <w:rFonts w:ascii="宋体"/>
          <w:b/>
          <w:color w:val="000000"/>
          <w:sz w:val="22"/>
        </w:rPr>
      </w:pPr>
      <w:r>
        <w:rPr>
          <w:rFonts w:ascii="宋体"/>
          <w:b/>
          <w:color w:val="000000"/>
          <w:sz w:val="22"/>
        </w:rPr>
        <w:t>5</w:t>
      </w:r>
      <w:r>
        <w:rPr>
          <w:rFonts w:hint="eastAsia" w:ascii="宋体"/>
          <w:b/>
          <w:color w:val="000000"/>
          <w:sz w:val="22"/>
        </w:rPr>
        <w:t>、</w:t>
      </w:r>
      <w:r>
        <w:rPr>
          <w:rFonts w:hint="eastAsia" w:ascii="宋体"/>
          <w:b/>
          <w:color w:val="000000"/>
          <w:sz w:val="22"/>
          <w:u w:val="single"/>
        </w:rPr>
        <w:t>享受残疾人福利性单位格折扣应提供以下证明材料（投标文件技术资信标中，不提供的不享受价格折扣）</w:t>
      </w:r>
      <w:r>
        <w:rPr>
          <w:rFonts w:hint="eastAsia" w:ascii="宋体"/>
          <w:b/>
          <w:color w:val="000000"/>
          <w:sz w:val="22"/>
        </w:rPr>
        <w:t>：</w:t>
      </w:r>
    </w:p>
    <w:p>
      <w:pPr>
        <w:spacing w:line="440" w:lineRule="atLeast"/>
        <w:jc w:val="left"/>
        <w:rPr>
          <w:rFonts w:ascii="宋体"/>
          <w:b/>
          <w:color w:val="000000"/>
          <w:sz w:val="22"/>
        </w:rPr>
      </w:pPr>
      <w:r>
        <w:rPr>
          <w:rFonts w:hint="eastAsia" w:ascii="宋体"/>
          <w:b/>
          <w:color w:val="000000"/>
          <w:sz w:val="22"/>
        </w:rPr>
        <w:t>（</w:t>
      </w:r>
      <w:r>
        <w:rPr>
          <w:rFonts w:ascii="宋体"/>
          <w:b/>
          <w:color w:val="000000"/>
          <w:sz w:val="22"/>
        </w:rPr>
        <w:t>1</w:t>
      </w:r>
      <w:r>
        <w:rPr>
          <w:rFonts w:hint="eastAsia" w:ascii="宋体"/>
          <w:b/>
          <w:color w:val="000000"/>
          <w:sz w:val="22"/>
        </w:rPr>
        <w:t>）残疾人福利性单位声明函；</w:t>
      </w:r>
    </w:p>
    <w:p>
      <w:pPr>
        <w:spacing w:line="440" w:lineRule="atLeast"/>
        <w:jc w:val="left"/>
        <w:rPr>
          <w:rFonts w:ascii="宋体"/>
          <w:b/>
          <w:color w:val="000000"/>
          <w:sz w:val="22"/>
        </w:rPr>
      </w:pPr>
      <w:r>
        <w:rPr>
          <w:rFonts w:ascii="宋体"/>
          <w:b/>
          <w:color w:val="000000"/>
          <w:sz w:val="22"/>
        </w:rPr>
        <w:t>6</w:t>
      </w:r>
      <w:r>
        <w:rPr>
          <w:rFonts w:hint="eastAsia" w:ascii="宋体"/>
          <w:b/>
          <w:color w:val="000000"/>
          <w:sz w:val="22"/>
        </w:rPr>
        <w:t>、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pPr>
        <w:spacing w:line="440" w:lineRule="atLeast"/>
        <w:jc w:val="left"/>
        <w:rPr>
          <w:rFonts w:ascii="宋体"/>
          <w:b/>
          <w:color w:val="000000"/>
          <w:sz w:val="22"/>
        </w:rPr>
      </w:pPr>
    </w:p>
    <w:p>
      <w:pPr>
        <w:spacing w:line="440" w:lineRule="atLeast"/>
        <w:jc w:val="left"/>
        <w:rPr>
          <w:rFonts w:ascii="宋体"/>
          <w:b/>
          <w:color w:val="000000"/>
          <w:sz w:val="22"/>
        </w:rPr>
      </w:pPr>
    </w:p>
    <w:p>
      <w:pPr>
        <w:spacing w:line="440" w:lineRule="atLeast"/>
        <w:jc w:val="left"/>
        <w:rPr>
          <w:rFonts w:ascii="宋体"/>
          <w:b/>
          <w:color w:val="000000"/>
          <w:sz w:val="22"/>
        </w:rPr>
      </w:pPr>
    </w:p>
    <w:p>
      <w:pPr>
        <w:widowControl/>
        <w:shd w:val="clear" w:color="auto" w:fill="FDFAF5"/>
        <w:spacing w:before="100" w:beforeAutospacing="1" w:after="100" w:afterAutospacing="1" w:line="440" w:lineRule="atLeast"/>
        <w:jc w:val="left"/>
        <w:rPr>
          <w:rFonts w:ascii="宋体"/>
          <w:b/>
          <w:color w:val="000000"/>
          <w:sz w:val="24"/>
        </w:rPr>
      </w:pPr>
      <w:r>
        <w:rPr>
          <w:rFonts w:hint="eastAsia" w:ascii="宋体"/>
          <w:b/>
          <w:color w:val="000000"/>
          <w:sz w:val="24"/>
        </w:rPr>
        <w:t>附件1：</w:t>
      </w:r>
    </w:p>
    <w:p>
      <w:pPr>
        <w:widowControl/>
        <w:shd w:val="clear" w:color="auto" w:fill="FDFAF5"/>
        <w:spacing w:before="100" w:beforeAutospacing="1" w:after="100" w:afterAutospacing="1" w:line="440" w:lineRule="atLeast"/>
        <w:jc w:val="center"/>
        <w:rPr>
          <w:rFonts w:ascii="宋体"/>
          <w:b/>
          <w:color w:val="000000"/>
          <w:sz w:val="24"/>
        </w:rPr>
      </w:pPr>
      <w:r>
        <w:rPr>
          <w:rFonts w:hint="eastAsia" w:ascii="宋体"/>
          <w:b/>
          <w:bCs/>
          <w:color w:val="000000"/>
          <w:sz w:val="24"/>
        </w:rPr>
        <w:t>中小企业声明函</w:t>
      </w:r>
    </w:p>
    <w:p>
      <w:pPr>
        <w:widowControl/>
        <w:shd w:val="clear" w:color="auto" w:fill="FDFAF5"/>
        <w:spacing w:before="100" w:beforeAutospacing="1" w:after="100" w:afterAutospacing="1" w:line="440" w:lineRule="atLeast"/>
        <w:ind w:firstLine="840"/>
        <w:jc w:val="left"/>
        <w:rPr>
          <w:rFonts w:ascii="宋体"/>
          <w:b/>
          <w:color w:val="000000"/>
          <w:sz w:val="24"/>
        </w:rPr>
      </w:pPr>
      <w:r>
        <w:rPr>
          <w:rFonts w:hint="eastAsia" w:ascii="宋体"/>
          <w:b/>
          <w:color w:val="000000"/>
          <w:sz w:val="24"/>
        </w:rPr>
        <w:t>本公司郑重声明，根据《政府采购促进中小企业发展暂行办法》（财库[2011]181号）的规定，本公司为______（请填写：中型、小型、微型）企业。即，本公司同时满足以下条件：</w:t>
      </w:r>
      <w:r>
        <w:rPr>
          <w:rFonts w:hint="eastAsia" w:ascii="宋体"/>
          <w:b/>
          <w:color w:val="000000"/>
          <w:sz w:val="24"/>
        </w:rPr>
        <w:br w:type="textWrapping"/>
      </w:r>
      <w:r>
        <w:rPr>
          <w:rFonts w:hint="eastAsia" w:ascii="宋体"/>
          <w:b/>
          <w:color w:val="000000"/>
          <w:sz w:val="24"/>
        </w:rPr>
        <w:t>    1.根据《工业和信息化部、国家统计局、国家发展和改革委员会、财政部关于印发中小企业划型标准规定的通知》（工信部联企业[2011]300号）规定的划分标准，本公司为______（请填写：中型、小型、微型）企业。</w:t>
      </w:r>
      <w:r>
        <w:rPr>
          <w:rFonts w:hint="eastAsia" w:ascii="宋体"/>
          <w:b/>
          <w:color w:val="000000"/>
          <w:sz w:val="24"/>
        </w:rPr>
        <w:br w:type="textWrapping"/>
      </w:r>
      <w:r>
        <w:rPr>
          <w:rFonts w:hint="eastAsia" w:ascii="宋体"/>
          <w:b/>
          <w:color w:val="000000"/>
          <w:sz w:val="24"/>
        </w:rPr>
        <w:t>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ascii="宋体"/>
          <w:b/>
          <w:color w:val="000000"/>
          <w:sz w:val="24"/>
        </w:rPr>
        <w:br w:type="textWrapping"/>
      </w:r>
      <w:r>
        <w:rPr>
          <w:rFonts w:hint="eastAsia" w:ascii="宋体"/>
          <w:b/>
          <w:color w:val="000000"/>
          <w:sz w:val="24"/>
        </w:rPr>
        <w:t>    本公司对上述声明的真实性负责。如有虚假，将依法承担相应责任。</w:t>
      </w:r>
    </w:p>
    <w:p>
      <w:pPr>
        <w:widowControl/>
        <w:shd w:val="clear" w:color="auto" w:fill="FDFAF5"/>
        <w:spacing w:before="100" w:beforeAutospacing="1" w:after="100" w:afterAutospacing="1" w:line="440" w:lineRule="atLeast"/>
        <w:jc w:val="left"/>
        <w:rPr>
          <w:rFonts w:ascii="宋体"/>
          <w:b/>
          <w:color w:val="000000"/>
          <w:sz w:val="24"/>
        </w:rPr>
      </w:pPr>
    </w:p>
    <w:p>
      <w:pPr>
        <w:widowControl/>
        <w:shd w:val="clear" w:color="auto" w:fill="FDFAF5"/>
        <w:spacing w:before="100" w:beforeAutospacing="1" w:after="100" w:afterAutospacing="1" w:line="440" w:lineRule="atLeast"/>
        <w:jc w:val="left"/>
        <w:rPr>
          <w:rFonts w:ascii="宋体"/>
          <w:b/>
          <w:color w:val="000000"/>
          <w:sz w:val="24"/>
        </w:rPr>
      </w:pPr>
      <w:r>
        <w:rPr>
          <w:rFonts w:hint="eastAsia" w:ascii="宋体"/>
          <w:b/>
          <w:color w:val="000000"/>
          <w:sz w:val="24"/>
        </w:rPr>
        <w:t>投标供应商名称（盖章）：                </w:t>
      </w:r>
      <w:r>
        <w:rPr>
          <w:rFonts w:hint="eastAsia" w:ascii="宋体"/>
          <w:b/>
          <w:color w:val="000000"/>
          <w:sz w:val="24"/>
        </w:rPr>
        <w:br w:type="textWrapping"/>
      </w:r>
      <w:r>
        <w:rPr>
          <w:rFonts w:hint="eastAsia" w:ascii="宋体"/>
          <w:b/>
          <w:color w:val="000000"/>
          <w:sz w:val="24"/>
        </w:rPr>
        <w:t>日期：                             　　　　　</w:t>
      </w:r>
    </w:p>
    <w:p>
      <w:pPr>
        <w:spacing w:line="440" w:lineRule="atLeast"/>
        <w:rPr>
          <w:rFonts w:ascii="宋体"/>
          <w:b/>
          <w:color w:val="000000"/>
          <w:sz w:val="24"/>
        </w:rPr>
      </w:pPr>
    </w:p>
    <w:p>
      <w:pPr>
        <w:spacing w:line="440" w:lineRule="atLeast"/>
        <w:rPr>
          <w:rFonts w:ascii="宋体"/>
          <w:b/>
          <w:color w:val="000000"/>
          <w:sz w:val="24"/>
        </w:rPr>
      </w:pPr>
      <w:r>
        <w:rPr>
          <w:rFonts w:ascii="宋体"/>
          <w:b/>
          <w:color w:val="000000"/>
          <w:sz w:val="24"/>
        </w:rPr>
        <w:br w:type="page"/>
      </w:r>
      <w:r>
        <w:rPr>
          <w:rFonts w:ascii="宋体"/>
          <w:b/>
          <w:color w:val="000000"/>
          <w:sz w:val="24"/>
        </w:rPr>
        <w:t>附件2</w:t>
      </w:r>
    </w:p>
    <w:p>
      <w:pPr>
        <w:widowControl/>
        <w:shd w:val="clear" w:color="auto" w:fill="FDFAF5"/>
        <w:spacing w:before="100" w:beforeAutospacing="1" w:after="100" w:afterAutospacing="1" w:line="440" w:lineRule="atLeast"/>
        <w:jc w:val="left"/>
        <w:rPr>
          <w:rFonts w:ascii="宋体"/>
          <w:b/>
          <w:color w:val="000000"/>
          <w:sz w:val="24"/>
        </w:rPr>
      </w:pPr>
    </w:p>
    <w:p>
      <w:pPr>
        <w:widowControl/>
        <w:shd w:val="clear" w:color="auto" w:fill="FDFAF5"/>
        <w:spacing w:before="100" w:beforeAutospacing="1" w:after="100" w:afterAutospacing="1" w:line="440" w:lineRule="atLeast"/>
        <w:jc w:val="center"/>
        <w:rPr>
          <w:b/>
          <w:color w:val="000000"/>
          <w:spacing w:val="6"/>
          <w:sz w:val="32"/>
          <w:szCs w:val="32"/>
        </w:rPr>
      </w:pPr>
      <w:bookmarkStart w:id="6" w:name="OLE_LINK14"/>
      <w:bookmarkStart w:id="7" w:name="OLE_LINK13"/>
      <w:r>
        <w:rPr>
          <w:rFonts w:hint="eastAsia"/>
          <w:color w:val="000000"/>
          <w:spacing w:val="6"/>
          <w:sz w:val="32"/>
          <w:szCs w:val="32"/>
        </w:rPr>
        <w:t>残疾人福利性单位声明函</w:t>
      </w:r>
    </w:p>
    <w:bookmarkEnd w:id="6"/>
    <w:bookmarkEnd w:id="7"/>
    <w:p>
      <w:pPr>
        <w:spacing w:line="588" w:lineRule="exact"/>
        <w:rPr>
          <w:b/>
          <w:color w:val="000000"/>
          <w:spacing w:val="6"/>
          <w:sz w:val="30"/>
          <w:szCs w:val="30"/>
        </w:rPr>
      </w:pPr>
    </w:p>
    <w:p>
      <w:pPr>
        <w:spacing w:line="588" w:lineRule="exact"/>
        <w:ind w:firstLine="624" w:firstLineChars="200"/>
        <w:rPr>
          <w:color w:val="000000"/>
          <w:spacing w:val="6"/>
          <w:sz w:val="30"/>
          <w:szCs w:val="30"/>
        </w:rPr>
      </w:pPr>
      <w:r>
        <w:rPr>
          <w:rFonts w:hint="eastAsia"/>
          <w:color w:val="000000"/>
          <w:spacing w:val="6"/>
          <w:sz w:val="30"/>
          <w:szCs w:val="30"/>
        </w:rPr>
        <w:t>本单位郑重声明，根据《财政部 民政部 中国残疾人联合会关于促进残疾人就业政府采购政策的通知》（财库</w:t>
      </w:r>
      <w:r>
        <w:rPr>
          <w:rFonts w:hint="eastAsia"/>
          <w:color w:val="000000"/>
          <w:sz w:val="32"/>
          <w:szCs w:val="32"/>
        </w:rPr>
        <w:t>〔2017〕 141</w:t>
      </w:r>
      <w:r>
        <w:rPr>
          <w:rFonts w:hint="eastAsia"/>
          <w:color w:val="000000"/>
          <w:spacing w:val="6"/>
          <w:sz w:val="30"/>
          <w:szCs w:val="30"/>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624" w:firstLineChars="200"/>
        <w:rPr>
          <w:color w:val="000000"/>
          <w:spacing w:val="6"/>
          <w:sz w:val="30"/>
          <w:szCs w:val="30"/>
        </w:rPr>
      </w:pPr>
      <w:r>
        <w:rPr>
          <w:rFonts w:hint="eastAsia"/>
          <w:color w:val="000000"/>
          <w:spacing w:val="6"/>
          <w:sz w:val="30"/>
          <w:szCs w:val="30"/>
        </w:rPr>
        <w:t>本单位对上述声明的真实性负责。如有虚假，将依法承担相应责任。</w:t>
      </w:r>
    </w:p>
    <w:p>
      <w:pPr>
        <w:spacing w:line="588" w:lineRule="exact"/>
        <w:ind w:firstLine="624" w:firstLineChars="200"/>
        <w:rPr>
          <w:color w:val="000000"/>
          <w:spacing w:val="6"/>
          <w:sz w:val="30"/>
          <w:szCs w:val="30"/>
        </w:rPr>
      </w:pPr>
    </w:p>
    <w:p>
      <w:pPr>
        <w:spacing w:line="588" w:lineRule="exact"/>
        <w:ind w:firstLine="624" w:firstLineChars="200"/>
        <w:rPr>
          <w:color w:val="000000"/>
          <w:spacing w:val="6"/>
          <w:sz w:val="30"/>
          <w:szCs w:val="30"/>
        </w:rPr>
      </w:pPr>
    </w:p>
    <w:p>
      <w:pPr>
        <w:tabs>
          <w:tab w:val="left" w:pos="4860"/>
        </w:tabs>
        <w:spacing w:line="588" w:lineRule="exact"/>
        <w:ind w:right="1560" w:firstLine="624" w:firstLineChars="200"/>
        <w:jc w:val="center"/>
        <w:rPr>
          <w:color w:val="000000"/>
          <w:spacing w:val="6"/>
          <w:sz w:val="30"/>
          <w:szCs w:val="30"/>
        </w:rPr>
      </w:pPr>
      <w:r>
        <w:rPr>
          <w:rFonts w:hint="eastAsia"/>
          <w:color w:val="000000"/>
          <w:spacing w:val="6"/>
          <w:sz w:val="30"/>
          <w:szCs w:val="30"/>
        </w:rPr>
        <w:t xml:space="preserve">               单位名称（盖章）：</w:t>
      </w:r>
    </w:p>
    <w:p>
      <w:pPr>
        <w:tabs>
          <w:tab w:val="left" w:pos="4860"/>
        </w:tabs>
        <w:spacing w:line="588" w:lineRule="exact"/>
        <w:ind w:right="1560" w:firstLine="624" w:firstLineChars="200"/>
        <w:jc w:val="center"/>
        <w:rPr>
          <w:color w:val="000000"/>
          <w:spacing w:val="6"/>
          <w:sz w:val="30"/>
          <w:szCs w:val="30"/>
        </w:rPr>
      </w:pPr>
      <w:r>
        <w:rPr>
          <w:rFonts w:hint="eastAsia"/>
          <w:color w:val="000000"/>
          <w:spacing w:val="6"/>
          <w:sz w:val="30"/>
          <w:szCs w:val="30"/>
        </w:rPr>
        <w:t xml:space="preserve">       日  期：</w:t>
      </w:r>
    </w:p>
    <w:p>
      <w:pPr>
        <w:tabs>
          <w:tab w:val="left" w:pos="4860"/>
        </w:tabs>
        <w:spacing w:line="588" w:lineRule="exact"/>
        <w:ind w:right="1560" w:firstLine="624" w:firstLineChars="200"/>
        <w:jc w:val="center"/>
        <w:rPr>
          <w:color w:val="000000"/>
          <w:spacing w:val="6"/>
          <w:sz w:val="30"/>
          <w:szCs w:val="30"/>
        </w:rPr>
      </w:pPr>
    </w:p>
    <w:p>
      <w:pPr>
        <w:tabs>
          <w:tab w:val="left" w:pos="4860"/>
        </w:tabs>
        <w:spacing w:line="588" w:lineRule="exact"/>
        <w:ind w:right="1560" w:firstLine="624" w:firstLineChars="200"/>
        <w:jc w:val="center"/>
        <w:rPr>
          <w:color w:val="000000"/>
          <w:spacing w:val="6"/>
          <w:sz w:val="30"/>
          <w:szCs w:val="30"/>
        </w:rPr>
      </w:pPr>
    </w:p>
    <w:p>
      <w:pPr>
        <w:tabs>
          <w:tab w:val="left" w:pos="4860"/>
        </w:tabs>
        <w:spacing w:line="588" w:lineRule="exact"/>
        <w:ind w:right="1560"/>
        <w:jc w:val="left"/>
        <w:rPr>
          <w:rFonts w:ascii="宋体"/>
          <w:b/>
          <w:color w:val="000000"/>
          <w:sz w:val="22"/>
        </w:rPr>
      </w:pPr>
      <w:r>
        <w:rPr>
          <w:rFonts w:hint="eastAsia" w:ascii="宋体"/>
          <w:b/>
          <w:color w:val="000000"/>
          <w:sz w:val="22"/>
        </w:rPr>
        <w:t>备注说明：</w:t>
      </w:r>
    </w:p>
    <w:p>
      <w:pPr>
        <w:tabs>
          <w:tab w:val="left" w:pos="4860"/>
        </w:tabs>
        <w:spacing w:line="588" w:lineRule="exact"/>
        <w:ind w:right="1560"/>
        <w:jc w:val="left"/>
        <w:rPr>
          <w:rFonts w:ascii="宋体"/>
          <w:b/>
          <w:color w:val="000000"/>
          <w:sz w:val="22"/>
        </w:rPr>
      </w:pPr>
      <w:r>
        <w:rPr>
          <w:rFonts w:hint="eastAsia" w:ascii="宋体"/>
          <w:b/>
          <w:color w:val="000000"/>
          <w:sz w:val="22"/>
        </w:rPr>
        <w:t>1、如中标，将在中标公示中将此残疾人福利性单位声明函予以公示，接受社会监督；</w:t>
      </w:r>
    </w:p>
    <w:p>
      <w:pPr>
        <w:tabs>
          <w:tab w:val="left" w:pos="4860"/>
        </w:tabs>
        <w:spacing w:line="588" w:lineRule="exact"/>
        <w:ind w:right="1560"/>
        <w:jc w:val="left"/>
        <w:rPr>
          <w:color w:val="000000"/>
          <w:spacing w:val="6"/>
          <w:sz w:val="30"/>
          <w:szCs w:val="30"/>
        </w:rPr>
      </w:pPr>
      <w:r>
        <w:rPr>
          <w:rFonts w:ascii="宋体"/>
          <w:b/>
          <w:color w:val="000000"/>
          <w:sz w:val="22"/>
        </w:rPr>
        <w:t>2</w:t>
      </w:r>
      <w:r>
        <w:rPr>
          <w:rFonts w:hint="eastAsia" w:ascii="宋体"/>
          <w:b/>
          <w:color w:val="000000"/>
          <w:sz w:val="22"/>
        </w:rPr>
        <w:t>、供应商提供的《残疾人福利性单位声明函》与事实不符的，依照《政府采购法》第七十七条第一款的规定追究法律责任。</w:t>
      </w:r>
    </w:p>
    <w:p>
      <w:pPr>
        <w:tabs>
          <w:tab w:val="left" w:pos="4860"/>
        </w:tabs>
        <w:spacing w:line="588" w:lineRule="exact"/>
        <w:ind w:right="1560"/>
        <w:jc w:val="left"/>
        <w:rPr>
          <w:spacing w:val="6"/>
          <w:sz w:val="30"/>
          <w:szCs w:val="30"/>
        </w:rPr>
      </w:pPr>
    </w:p>
    <w:p>
      <w:pPr>
        <w:tabs>
          <w:tab w:val="left" w:pos="540"/>
        </w:tabs>
        <w:spacing w:line="440" w:lineRule="exact"/>
        <w:jc w:val="center"/>
        <w:rPr>
          <w:rFonts w:ascii="黑体" w:hAnsi="宋体" w:eastAsia="黑体"/>
          <w:b/>
          <w:bCs/>
          <w:sz w:val="36"/>
          <w:szCs w:val="36"/>
        </w:rPr>
      </w:pPr>
      <w:r>
        <w:rPr>
          <w:rFonts w:hint="eastAsia" w:eastAsia="新宋体"/>
          <w:spacing w:val="6"/>
          <w:sz w:val="22"/>
          <w:szCs w:val="22"/>
        </w:rPr>
        <w:br w:type="page"/>
      </w:r>
      <w:r>
        <w:rPr>
          <w:rFonts w:hint="eastAsia" w:ascii="黑体" w:hAnsi="宋体" w:eastAsia="黑体"/>
          <w:b/>
          <w:bCs/>
          <w:sz w:val="36"/>
          <w:szCs w:val="36"/>
        </w:rPr>
        <w:t xml:space="preserve">          第三部分     合同主要条款</w:t>
      </w:r>
    </w:p>
    <w:p>
      <w:pPr>
        <w:spacing w:line="460" w:lineRule="exact"/>
        <w:jc w:val="left"/>
        <w:rPr>
          <w:rFonts w:ascii="宋体" w:eastAsia="宋体"/>
          <w:b w:val="0"/>
          <w:bCs/>
          <w:color w:val="auto"/>
          <w:szCs w:val="21"/>
        </w:rPr>
      </w:pPr>
      <w:r>
        <w:rPr>
          <w:rFonts w:hint="eastAsia" w:ascii="宋体" w:eastAsia="宋体"/>
          <w:b w:val="0"/>
          <w:bCs/>
          <w:color w:val="auto"/>
          <w:szCs w:val="21"/>
        </w:rPr>
        <w:t>甲方：温州市公安局交通管理局</w:t>
      </w:r>
    </w:p>
    <w:p>
      <w:pPr>
        <w:spacing w:line="460" w:lineRule="exact"/>
        <w:jc w:val="left"/>
        <w:rPr>
          <w:rFonts w:ascii="宋体" w:eastAsia="宋体"/>
          <w:b w:val="0"/>
          <w:bCs/>
          <w:color w:val="auto"/>
          <w:szCs w:val="21"/>
        </w:rPr>
      </w:pPr>
      <w:r>
        <w:rPr>
          <w:rFonts w:hint="eastAsia" w:ascii="宋体" w:eastAsia="宋体"/>
          <w:b w:val="0"/>
          <w:bCs/>
          <w:color w:val="auto"/>
          <w:szCs w:val="21"/>
        </w:rPr>
        <w:t>乙方：</w:t>
      </w:r>
    </w:p>
    <w:p>
      <w:pPr>
        <w:spacing w:line="460" w:lineRule="exact"/>
        <w:jc w:val="left"/>
        <w:rPr>
          <w:rFonts w:ascii="宋体" w:eastAsia="宋体"/>
          <w:b w:val="0"/>
          <w:bCs/>
          <w:color w:val="auto"/>
          <w:szCs w:val="21"/>
        </w:rPr>
      </w:pPr>
      <w:r>
        <w:rPr>
          <w:rFonts w:ascii="宋体" w:eastAsia="宋体"/>
          <w:b w:val="0"/>
          <w:bCs/>
          <w:color w:val="auto"/>
          <w:szCs w:val="21"/>
        </w:rPr>
        <w:t>1、项目的实施规模、范围：</w:t>
      </w:r>
    </w:p>
    <w:p>
      <w:pPr>
        <w:spacing w:line="460" w:lineRule="exact"/>
        <w:ind w:firstLine="315" w:firstLineChars="150"/>
        <w:jc w:val="left"/>
        <w:rPr>
          <w:rFonts w:ascii="宋体" w:eastAsia="宋体"/>
          <w:b w:val="0"/>
          <w:bCs/>
          <w:color w:val="auto"/>
          <w:szCs w:val="21"/>
        </w:rPr>
      </w:pPr>
      <w:r>
        <w:rPr>
          <w:rFonts w:hint="eastAsia" w:ascii="宋体"/>
          <w:b w:val="0"/>
          <w:bCs/>
          <w:color w:val="auto"/>
          <w:szCs w:val="21"/>
          <w:lang w:eastAsia="zh-CN"/>
        </w:rPr>
        <w:t>SCATS信号二期/三期续建系统整体运维服务（2020年）</w:t>
      </w:r>
      <w:r>
        <w:rPr>
          <w:rFonts w:hint="eastAsia" w:ascii="宋体" w:eastAsia="宋体"/>
          <w:b w:val="0"/>
          <w:bCs/>
          <w:color w:val="auto"/>
          <w:szCs w:val="21"/>
        </w:rPr>
        <w:t>（以下简称“项目”）。</w:t>
      </w:r>
    </w:p>
    <w:p>
      <w:pPr>
        <w:spacing w:line="460" w:lineRule="exact"/>
        <w:jc w:val="left"/>
        <w:rPr>
          <w:rFonts w:ascii="宋体" w:eastAsia="宋体"/>
          <w:b w:val="0"/>
          <w:bCs/>
          <w:color w:val="auto"/>
          <w:szCs w:val="21"/>
        </w:rPr>
      </w:pPr>
      <w:r>
        <w:rPr>
          <w:rFonts w:ascii="宋体" w:eastAsia="宋体"/>
          <w:b w:val="0"/>
          <w:bCs/>
          <w:color w:val="auto"/>
          <w:szCs w:val="21"/>
        </w:rPr>
        <w:t>2、要求质量标准：先进、主流、可靠、安全、开放、实用、性价比高。</w:t>
      </w:r>
    </w:p>
    <w:p>
      <w:pPr>
        <w:spacing w:line="460" w:lineRule="exact"/>
        <w:jc w:val="left"/>
        <w:rPr>
          <w:rFonts w:ascii="宋体" w:eastAsia="宋体"/>
          <w:b w:val="0"/>
          <w:bCs/>
          <w:color w:val="auto"/>
          <w:szCs w:val="21"/>
        </w:rPr>
      </w:pPr>
      <w:r>
        <w:rPr>
          <w:rFonts w:ascii="宋体" w:eastAsia="宋体"/>
          <w:b w:val="0"/>
          <w:bCs/>
          <w:color w:val="auto"/>
          <w:szCs w:val="21"/>
        </w:rPr>
        <w:t>3、以下为合同主要条款：</w:t>
      </w:r>
    </w:p>
    <w:p>
      <w:pPr>
        <w:spacing w:line="460" w:lineRule="exact"/>
        <w:jc w:val="left"/>
        <w:rPr>
          <w:rFonts w:ascii="宋体" w:eastAsia="宋体"/>
          <w:b w:val="0"/>
          <w:bCs/>
          <w:color w:val="auto"/>
          <w:szCs w:val="21"/>
        </w:rPr>
      </w:pPr>
      <w:r>
        <w:rPr>
          <w:rFonts w:ascii="宋体" w:eastAsia="宋体"/>
          <w:b w:val="0"/>
          <w:bCs/>
          <w:color w:val="auto"/>
          <w:szCs w:val="21"/>
        </w:rPr>
        <w:t>1）项目总体架构和技术标准由甲方确定，遵循开放系统的原则，能提供符合国际标准，和软件、硬件、通信、网络、操作系统、数据库管理系统等方面的接口和协议，并为今后的二次开发预留接口和开放协议。</w:t>
      </w:r>
    </w:p>
    <w:p>
      <w:pPr>
        <w:spacing w:line="460" w:lineRule="exact"/>
        <w:jc w:val="left"/>
        <w:rPr>
          <w:rFonts w:ascii="宋体" w:eastAsia="宋体"/>
          <w:b w:val="0"/>
          <w:bCs/>
          <w:color w:val="auto"/>
          <w:szCs w:val="21"/>
        </w:rPr>
      </w:pPr>
      <w:r>
        <w:rPr>
          <w:rFonts w:ascii="宋体" w:eastAsia="宋体"/>
          <w:b w:val="0"/>
          <w:bCs/>
          <w:color w:val="auto"/>
          <w:szCs w:val="21"/>
        </w:rPr>
        <w:t>2）项目中数据</w:t>
      </w:r>
      <w:r>
        <w:rPr>
          <w:rFonts w:hint="eastAsia" w:ascii="宋体" w:eastAsia="宋体"/>
          <w:b w:val="0"/>
          <w:bCs/>
          <w:color w:val="auto"/>
          <w:szCs w:val="21"/>
        </w:rPr>
        <w:t>、软件的知识产权、专利</w:t>
      </w:r>
      <w:r>
        <w:rPr>
          <w:rFonts w:ascii="宋体" w:eastAsia="宋体"/>
          <w:b w:val="0"/>
          <w:bCs/>
          <w:color w:val="auto"/>
          <w:szCs w:val="21"/>
        </w:rPr>
        <w:t>的所有权归属甲方，本项目在开发、使用和维护过程中接触到的甲方的所有资料，未经甲方授权代表书面许可，不得留存，私自查阅及向任何第三方泄露。项目账号管理权、应用及管理权归属甲方。</w:t>
      </w:r>
      <w:r>
        <w:rPr>
          <w:rFonts w:hint="eastAsia" w:ascii="宋体" w:eastAsia="宋体"/>
          <w:b w:val="0"/>
          <w:bCs/>
          <w:color w:val="auto"/>
          <w:szCs w:val="21"/>
        </w:rPr>
        <w:t>涉及的源代码（含质保期内的后续升级版本）必须遵循相关标准和规范</w:t>
      </w:r>
      <w:r>
        <w:rPr>
          <w:rFonts w:ascii="宋体" w:eastAsia="宋体"/>
          <w:b w:val="0"/>
          <w:bCs/>
          <w:color w:val="auto"/>
          <w:szCs w:val="21"/>
        </w:rPr>
        <w:t>,并无条件提交给甲方</w:t>
      </w:r>
      <w:r>
        <w:rPr>
          <w:rFonts w:hint="eastAsia" w:ascii="宋体" w:eastAsia="宋体"/>
          <w:b w:val="0"/>
          <w:bCs/>
          <w:color w:val="auto"/>
          <w:szCs w:val="21"/>
        </w:rPr>
        <w:t>；</w:t>
      </w:r>
      <w:r>
        <w:rPr>
          <w:rFonts w:ascii="宋体" w:eastAsia="宋体"/>
          <w:b w:val="0"/>
          <w:bCs/>
          <w:color w:val="auto"/>
          <w:szCs w:val="21"/>
        </w:rPr>
        <w:t>涉及接口的必须遵循相关标准和规范，向下部署的，必须无条件开放所有接口且满足国家共享相关规定要求，</w:t>
      </w:r>
      <w:r>
        <w:rPr>
          <w:rFonts w:hint="eastAsia" w:ascii="宋体" w:eastAsia="宋体"/>
          <w:b w:val="0"/>
          <w:bCs/>
          <w:color w:val="auto"/>
          <w:szCs w:val="21"/>
        </w:rPr>
        <w:t>需</w:t>
      </w:r>
      <w:r>
        <w:rPr>
          <w:rFonts w:ascii="宋体" w:eastAsia="宋体"/>
          <w:b w:val="0"/>
          <w:bCs/>
          <w:color w:val="auto"/>
          <w:szCs w:val="21"/>
        </w:rPr>
        <w:t>配合甲方做好有关信息共享工作</w:t>
      </w:r>
      <w:r>
        <w:rPr>
          <w:rFonts w:hint="eastAsia" w:ascii="宋体" w:eastAsia="宋体"/>
          <w:b w:val="0"/>
          <w:bCs/>
          <w:color w:val="auto"/>
          <w:szCs w:val="21"/>
        </w:rPr>
        <w:t>；</w:t>
      </w:r>
      <w:r>
        <w:rPr>
          <w:rFonts w:ascii="宋体" w:eastAsia="宋体"/>
          <w:b w:val="0"/>
          <w:bCs/>
          <w:color w:val="auto"/>
          <w:szCs w:val="21"/>
        </w:rPr>
        <w:t>本项目的设计开发专利申请权、技术秘密的使用权和转让权归甲方所有。</w:t>
      </w:r>
    </w:p>
    <w:p>
      <w:pPr>
        <w:spacing w:line="460" w:lineRule="exact"/>
        <w:jc w:val="left"/>
        <w:rPr>
          <w:rFonts w:ascii="宋体" w:eastAsia="宋体"/>
          <w:b w:val="0"/>
          <w:bCs/>
          <w:color w:val="auto"/>
          <w:szCs w:val="21"/>
        </w:rPr>
      </w:pPr>
      <w:r>
        <w:rPr>
          <w:rFonts w:ascii="宋体" w:eastAsia="宋体"/>
          <w:b w:val="0"/>
          <w:bCs/>
          <w:color w:val="auto"/>
          <w:szCs w:val="21"/>
        </w:rPr>
        <w:t>3）甲方对乙方的系统设备不能正常运行或因平台技术维护原因造成数据丢失有权要求乙方及时改进。如遇乙方平台技术升级、承载网链路割接等，并在征得甲方同意的基础上，乙方应提前48小时通知甲方，说明可能造成的影响和范围，并确保每次平台技术升级和承载网链路割接在6小时内完成，在此时间内所造成的数据丢失，乙方不承担违约责任。</w:t>
      </w:r>
    </w:p>
    <w:p>
      <w:pPr>
        <w:spacing w:line="460" w:lineRule="exact"/>
        <w:jc w:val="left"/>
        <w:rPr>
          <w:rFonts w:ascii="宋体" w:eastAsia="宋体"/>
          <w:b w:val="0"/>
          <w:bCs/>
          <w:color w:val="auto"/>
          <w:szCs w:val="21"/>
        </w:rPr>
      </w:pPr>
      <w:r>
        <w:rPr>
          <w:rFonts w:ascii="宋体" w:eastAsia="宋体"/>
          <w:b w:val="0"/>
          <w:bCs/>
          <w:color w:val="auto"/>
          <w:szCs w:val="21"/>
        </w:rPr>
        <w:t>4）</w:t>
      </w:r>
      <w:r>
        <w:rPr>
          <w:rFonts w:hint="eastAsia" w:ascii="宋体" w:eastAsia="宋体"/>
          <w:b w:val="0"/>
          <w:bCs/>
          <w:color w:val="auto"/>
          <w:szCs w:val="21"/>
        </w:rPr>
        <w:t>若单个业务点每月的累计故障时间超过约定时间，甲方有权拒付该业务点的当月租费。若因乙方主观原因不作为，单个业务点连续3个月故障超时，甲方有权对该系统所有业务点停付租费，并要求乙方整改，直至系统能够保证满足甲方正常工作需求。因地震、台风、洪水等自然灾害及第三方人为破坏造成上述故障情形的，由甲乙双方根据实际情况协商确定租费支付条款</w:t>
      </w:r>
      <w:r>
        <w:rPr>
          <w:rFonts w:ascii="宋体" w:eastAsia="宋体"/>
          <w:b w:val="0"/>
          <w:bCs/>
          <w:color w:val="auto"/>
          <w:szCs w:val="21"/>
        </w:rPr>
        <w:t>。</w:t>
      </w:r>
    </w:p>
    <w:p>
      <w:pPr>
        <w:spacing w:line="460" w:lineRule="exact"/>
        <w:jc w:val="left"/>
        <w:rPr>
          <w:rFonts w:ascii="宋体" w:eastAsia="宋体"/>
          <w:b w:val="0"/>
          <w:bCs/>
          <w:color w:val="auto"/>
          <w:szCs w:val="21"/>
        </w:rPr>
      </w:pPr>
      <w:r>
        <w:rPr>
          <w:rFonts w:ascii="宋体" w:eastAsia="宋体"/>
          <w:b w:val="0"/>
          <w:bCs/>
          <w:color w:val="auto"/>
          <w:szCs w:val="21"/>
        </w:rPr>
        <w:t>5）乙方应保证所提供设备达到整套系统运行质量要求，土建施工、设备安装等应符合现行相关的技术标准和规范要求，受项目监理单位的全程监督与管理，保证满足甲方正常工作需求。</w:t>
      </w:r>
    </w:p>
    <w:p>
      <w:pPr>
        <w:spacing w:line="460" w:lineRule="exact"/>
        <w:jc w:val="left"/>
        <w:rPr>
          <w:rFonts w:ascii="宋体" w:eastAsia="宋体"/>
          <w:b w:val="0"/>
          <w:bCs/>
          <w:color w:val="auto"/>
          <w:szCs w:val="21"/>
        </w:rPr>
      </w:pPr>
      <w:r>
        <w:rPr>
          <w:rFonts w:ascii="宋体" w:eastAsia="宋体"/>
          <w:b w:val="0"/>
          <w:bCs/>
          <w:color w:val="auto"/>
          <w:szCs w:val="21"/>
        </w:rPr>
        <w:t>6）乙方所提供的通讯线路和设备质量应符合国家质量标准和技术要求，满足甲方通讯需求。</w:t>
      </w:r>
    </w:p>
    <w:p>
      <w:pPr>
        <w:spacing w:line="460" w:lineRule="exact"/>
        <w:jc w:val="left"/>
        <w:rPr>
          <w:rFonts w:ascii="宋体" w:eastAsia="宋体"/>
          <w:b w:val="0"/>
          <w:bCs/>
          <w:color w:val="auto"/>
          <w:szCs w:val="21"/>
        </w:rPr>
      </w:pPr>
      <w:r>
        <w:rPr>
          <w:rFonts w:ascii="宋体" w:eastAsia="宋体"/>
          <w:b w:val="0"/>
          <w:bCs/>
          <w:color w:val="auto"/>
          <w:szCs w:val="21"/>
        </w:rPr>
        <w:t>7）乙方所提供的外场设备及安装须安全、美观，设备样式要与周边环境协调。</w:t>
      </w:r>
    </w:p>
    <w:p>
      <w:pPr>
        <w:spacing w:line="460" w:lineRule="exact"/>
        <w:jc w:val="left"/>
        <w:rPr>
          <w:rFonts w:ascii="宋体" w:eastAsia="宋体"/>
          <w:b w:val="0"/>
          <w:bCs/>
          <w:color w:val="auto"/>
          <w:szCs w:val="21"/>
        </w:rPr>
      </w:pPr>
      <w:r>
        <w:rPr>
          <w:rFonts w:ascii="宋体" w:eastAsia="宋体"/>
          <w:b w:val="0"/>
          <w:bCs/>
          <w:color w:val="auto"/>
          <w:szCs w:val="21"/>
        </w:rPr>
        <w:t xml:space="preserve">4、系统建设期：在项目初期建设及后期运维期内，乙方应按有关规定采取严格的安全防护措施，承担由于自身安全措施不当或操作不当造成事故的全部责任和因此发生的全部损失和费用。 </w:t>
      </w:r>
    </w:p>
    <w:p>
      <w:pPr>
        <w:spacing w:line="460" w:lineRule="exact"/>
        <w:jc w:val="left"/>
        <w:rPr>
          <w:rFonts w:ascii="宋体" w:eastAsia="宋体"/>
          <w:b w:val="0"/>
          <w:bCs/>
          <w:color w:val="auto"/>
          <w:szCs w:val="21"/>
        </w:rPr>
      </w:pPr>
      <w:r>
        <w:rPr>
          <w:rFonts w:ascii="宋体" w:eastAsia="宋体"/>
          <w:b w:val="0"/>
          <w:bCs/>
          <w:color w:val="auto"/>
          <w:szCs w:val="21"/>
        </w:rPr>
        <w:t>5、系统维护期：不限期，根据用户实际使用时长而定，要求提供7*24小时免费技术支持服务：包括系统管理、运行维护、系统保障、性能调优、故障排除、例行巡检、技术支持及其他相关运维。</w:t>
      </w:r>
    </w:p>
    <w:p>
      <w:pPr>
        <w:spacing w:line="460" w:lineRule="exact"/>
        <w:jc w:val="left"/>
        <w:rPr>
          <w:rFonts w:ascii="宋体" w:eastAsia="宋体"/>
          <w:b w:val="0"/>
          <w:bCs/>
          <w:color w:val="auto"/>
          <w:szCs w:val="21"/>
        </w:rPr>
      </w:pPr>
      <w:r>
        <w:rPr>
          <w:rFonts w:ascii="宋体" w:eastAsia="宋体"/>
          <w:b w:val="0"/>
          <w:bCs/>
          <w:color w:val="auto"/>
          <w:szCs w:val="21"/>
        </w:rPr>
        <w:t>6、技术支持期：在系统建设使用的所有时间范围内，提供多种方式的运行技术支持，特别是新应用、新功能的添加。</w:t>
      </w:r>
    </w:p>
    <w:p>
      <w:pPr>
        <w:spacing w:line="460" w:lineRule="exact"/>
        <w:jc w:val="left"/>
        <w:rPr>
          <w:rFonts w:ascii="宋体" w:eastAsia="宋体"/>
          <w:b w:val="0"/>
          <w:bCs/>
          <w:color w:val="auto"/>
          <w:szCs w:val="21"/>
        </w:rPr>
      </w:pPr>
      <w:r>
        <w:rPr>
          <w:rFonts w:ascii="宋体" w:eastAsia="宋体"/>
          <w:b w:val="0"/>
          <w:bCs/>
          <w:color w:val="auto"/>
          <w:szCs w:val="21"/>
        </w:rPr>
        <w:t>7、乙方如需在投标文件的基础上根据实际情况对相关设备做出调整，调整后的设备只能比原设备性能更优，且资费标准不能突破投标价格。</w:t>
      </w:r>
    </w:p>
    <w:p>
      <w:pPr>
        <w:spacing w:line="460" w:lineRule="exact"/>
        <w:jc w:val="left"/>
        <w:rPr>
          <w:rFonts w:ascii="宋体" w:eastAsia="宋体"/>
          <w:b w:val="0"/>
          <w:bCs/>
          <w:color w:val="auto"/>
          <w:szCs w:val="21"/>
        </w:rPr>
      </w:pPr>
      <w:r>
        <w:rPr>
          <w:rFonts w:ascii="宋体" w:eastAsia="宋体"/>
          <w:b w:val="0"/>
          <w:bCs/>
          <w:color w:val="auto"/>
          <w:szCs w:val="21"/>
        </w:rPr>
        <w:t>8、项目</w:t>
      </w:r>
      <w:r>
        <w:rPr>
          <w:rFonts w:hint="eastAsia" w:ascii="宋体" w:eastAsia="宋体"/>
          <w:b w:val="0"/>
          <w:bCs/>
          <w:color w:val="auto"/>
          <w:szCs w:val="21"/>
        </w:rPr>
        <w:t>维护</w:t>
      </w:r>
      <w:r>
        <w:rPr>
          <w:rFonts w:ascii="宋体" w:eastAsia="宋体"/>
          <w:b w:val="0"/>
          <w:bCs/>
          <w:color w:val="auto"/>
          <w:szCs w:val="21"/>
        </w:rPr>
        <w:t>时间：</w:t>
      </w:r>
      <w:r>
        <w:rPr>
          <w:rFonts w:hint="eastAsia" w:ascii="宋体" w:eastAsia="宋体"/>
          <w:b w:val="0"/>
          <w:bCs/>
          <w:color w:val="auto"/>
          <w:szCs w:val="21"/>
        </w:rPr>
        <w:t>2020年11月1日</w:t>
      </w:r>
      <w:r>
        <w:rPr>
          <w:rFonts w:ascii="宋体" w:eastAsia="宋体"/>
          <w:b w:val="0"/>
          <w:bCs/>
          <w:color w:val="auto"/>
          <w:szCs w:val="21"/>
        </w:rPr>
        <w:t>起至</w:t>
      </w:r>
      <w:r>
        <w:rPr>
          <w:rFonts w:hint="eastAsia" w:ascii="宋体" w:eastAsia="宋体"/>
          <w:b w:val="0"/>
          <w:bCs/>
          <w:color w:val="auto"/>
          <w:szCs w:val="21"/>
        </w:rPr>
        <w:t>2025</w:t>
      </w:r>
      <w:r>
        <w:rPr>
          <w:rFonts w:ascii="宋体" w:eastAsia="宋体"/>
          <w:b w:val="0"/>
          <w:bCs/>
          <w:color w:val="auto"/>
          <w:szCs w:val="21"/>
        </w:rPr>
        <w:t>年</w:t>
      </w:r>
      <w:r>
        <w:rPr>
          <w:rFonts w:hint="eastAsia" w:ascii="宋体" w:eastAsia="宋体"/>
          <w:b w:val="0"/>
          <w:bCs/>
          <w:color w:val="auto"/>
          <w:szCs w:val="21"/>
        </w:rPr>
        <w:t>10</w:t>
      </w:r>
      <w:r>
        <w:rPr>
          <w:rFonts w:ascii="宋体" w:eastAsia="宋体"/>
          <w:b w:val="0"/>
          <w:bCs/>
          <w:color w:val="auto"/>
          <w:szCs w:val="21"/>
        </w:rPr>
        <w:t>月</w:t>
      </w:r>
      <w:r>
        <w:rPr>
          <w:rFonts w:hint="eastAsia" w:ascii="宋体" w:eastAsia="宋体"/>
          <w:b w:val="0"/>
          <w:bCs/>
          <w:color w:val="auto"/>
          <w:szCs w:val="21"/>
        </w:rPr>
        <w:t>31</w:t>
      </w:r>
      <w:r>
        <w:rPr>
          <w:rFonts w:ascii="宋体" w:eastAsia="宋体"/>
          <w:b w:val="0"/>
          <w:bCs/>
          <w:color w:val="auto"/>
          <w:szCs w:val="21"/>
        </w:rPr>
        <w:t>日止。</w:t>
      </w:r>
    </w:p>
    <w:p>
      <w:pPr>
        <w:spacing w:line="460" w:lineRule="exact"/>
        <w:jc w:val="left"/>
        <w:rPr>
          <w:rFonts w:ascii="宋体" w:eastAsia="宋体"/>
          <w:b w:val="0"/>
          <w:bCs/>
          <w:color w:val="auto"/>
          <w:szCs w:val="21"/>
        </w:rPr>
      </w:pPr>
      <w:r>
        <w:rPr>
          <w:rFonts w:ascii="宋体" w:eastAsia="宋体"/>
          <w:b w:val="0"/>
          <w:bCs/>
          <w:color w:val="auto"/>
          <w:szCs w:val="21"/>
        </w:rPr>
        <w:t>9、付款应按下列条件进行：</w:t>
      </w:r>
    </w:p>
    <w:p>
      <w:pPr>
        <w:spacing w:line="460" w:lineRule="exact"/>
        <w:jc w:val="left"/>
        <w:rPr>
          <w:rFonts w:hint="eastAsia" w:ascii="宋体" w:eastAsia="宋体"/>
          <w:b w:val="0"/>
          <w:bCs/>
          <w:color w:val="auto"/>
          <w:szCs w:val="21"/>
        </w:rPr>
      </w:pPr>
      <w:r>
        <w:rPr>
          <w:rFonts w:hint="eastAsia" w:ascii="宋体" w:eastAsia="宋体"/>
          <w:b w:val="0"/>
          <w:bCs/>
          <w:color w:val="auto"/>
          <w:szCs w:val="21"/>
        </w:rPr>
        <w:t>（1）在签订合同后甲方向乙方支付项目总额的20%（时间视财政资金下拨而定）。项目整体系统的</w:t>
      </w:r>
      <w:r>
        <w:rPr>
          <w:rFonts w:ascii="宋体" w:eastAsia="宋体"/>
          <w:b w:val="0"/>
          <w:bCs/>
          <w:color w:val="auto"/>
          <w:szCs w:val="21"/>
        </w:rPr>
        <w:t>改造</w:t>
      </w:r>
      <w:r>
        <w:rPr>
          <w:rFonts w:hint="eastAsia" w:ascii="宋体" w:eastAsia="宋体"/>
          <w:b w:val="0"/>
          <w:bCs/>
          <w:color w:val="auto"/>
          <w:szCs w:val="21"/>
        </w:rPr>
        <w:t>升级</w:t>
      </w:r>
      <w:r>
        <w:rPr>
          <w:rFonts w:ascii="宋体" w:eastAsia="宋体"/>
          <w:b w:val="0"/>
          <w:bCs/>
          <w:color w:val="auto"/>
          <w:szCs w:val="21"/>
        </w:rPr>
        <w:t>部分</w:t>
      </w:r>
      <w:r>
        <w:rPr>
          <w:rFonts w:hint="eastAsia" w:ascii="宋体" w:eastAsia="宋体"/>
          <w:b w:val="0"/>
          <w:bCs/>
          <w:color w:val="auto"/>
          <w:szCs w:val="21"/>
        </w:rPr>
        <w:t>安装完毕，</w:t>
      </w:r>
      <w:r>
        <w:rPr>
          <w:rFonts w:ascii="宋体" w:eastAsia="宋体"/>
          <w:b w:val="0"/>
          <w:bCs/>
          <w:color w:val="auto"/>
          <w:szCs w:val="21"/>
        </w:rPr>
        <w:t>试</w:t>
      </w:r>
      <w:r>
        <w:rPr>
          <w:rFonts w:hint="eastAsia" w:ascii="宋体" w:eastAsia="宋体"/>
          <w:b w:val="0"/>
          <w:bCs/>
          <w:color w:val="auto"/>
          <w:szCs w:val="21"/>
        </w:rPr>
        <w:t>运行3</w:t>
      </w:r>
      <w:r>
        <w:rPr>
          <w:rFonts w:ascii="宋体" w:eastAsia="宋体"/>
          <w:b w:val="0"/>
          <w:bCs/>
          <w:color w:val="auto"/>
          <w:szCs w:val="21"/>
        </w:rPr>
        <w:t>0</w:t>
      </w:r>
      <w:r>
        <w:rPr>
          <w:rFonts w:hint="eastAsia" w:ascii="宋体" w:eastAsia="宋体"/>
          <w:b w:val="0"/>
          <w:bCs/>
          <w:color w:val="auto"/>
          <w:szCs w:val="21"/>
        </w:rPr>
        <w:t>天</w:t>
      </w:r>
      <w:r>
        <w:rPr>
          <w:rFonts w:ascii="宋体" w:eastAsia="宋体"/>
          <w:b w:val="0"/>
          <w:bCs/>
          <w:color w:val="auto"/>
          <w:szCs w:val="21"/>
        </w:rPr>
        <w:t>（</w:t>
      </w:r>
      <w:r>
        <w:rPr>
          <w:rFonts w:hint="eastAsia" w:ascii="宋体" w:eastAsia="宋体"/>
          <w:b w:val="0"/>
          <w:bCs/>
          <w:color w:val="auto"/>
          <w:szCs w:val="21"/>
        </w:rPr>
        <w:t>配套</w:t>
      </w:r>
      <w:r>
        <w:rPr>
          <w:rFonts w:ascii="宋体" w:eastAsia="宋体"/>
          <w:b w:val="0"/>
          <w:bCs/>
          <w:color w:val="auto"/>
          <w:szCs w:val="21"/>
        </w:rPr>
        <w:t>软件</w:t>
      </w:r>
      <w:r>
        <w:rPr>
          <w:rFonts w:hint="eastAsia" w:ascii="宋体" w:eastAsia="宋体"/>
          <w:b w:val="0"/>
          <w:bCs/>
          <w:color w:val="auto"/>
          <w:szCs w:val="21"/>
        </w:rPr>
        <w:t>部分开发完成试运行3个月</w:t>
      </w:r>
      <w:r>
        <w:rPr>
          <w:rFonts w:ascii="宋体" w:eastAsia="宋体"/>
          <w:b w:val="0"/>
          <w:bCs/>
          <w:color w:val="auto"/>
          <w:szCs w:val="21"/>
        </w:rPr>
        <w:t>），</w:t>
      </w:r>
      <w:r>
        <w:rPr>
          <w:rFonts w:hint="eastAsia" w:ascii="宋体" w:eastAsia="宋体"/>
          <w:b w:val="0"/>
          <w:bCs/>
          <w:color w:val="auto"/>
          <w:szCs w:val="21"/>
        </w:rPr>
        <w:t>以及</w:t>
      </w:r>
      <w:r>
        <w:rPr>
          <w:rFonts w:ascii="宋体" w:eastAsia="宋体"/>
          <w:b w:val="0"/>
          <w:bCs/>
          <w:color w:val="auto"/>
          <w:szCs w:val="21"/>
        </w:rPr>
        <w:t>采购</w:t>
      </w:r>
      <w:r>
        <w:rPr>
          <w:rFonts w:hint="eastAsia" w:ascii="宋体" w:eastAsia="宋体"/>
          <w:b w:val="0"/>
          <w:bCs/>
          <w:color w:val="auto"/>
          <w:szCs w:val="21"/>
        </w:rPr>
        <w:t>一定</w:t>
      </w:r>
      <w:r>
        <w:rPr>
          <w:rFonts w:ascii="宋体" w:eastAsia="宋体"/>
          <w:b w:val="0"/>
          <w:bCs/>
          <w:color w:val="auto"/>
          <w:szCs w:val="21"/>
        </w:rPr>
        <w:t>数量的</w:t>
      </w:r>
      <w:r>
        <w:rPr>
          <w:rFonts w:hint="eastAsia" w:ascii="宋体" w:eastAsia="宋体"/>
          <w:b w:val="0"/>
          <w:bCs/>
          <w:color w:val="auto"/>
          <w:szCs w:val="21"/>
        </w:rPr>
        <w:t>系统</w:t>
      </w:r>
      <w:r>
        <w:rPr>
          <w:rFonts w:ascii="宋体" w:eastAsia="宋体"/>
          <w:b w:val="0"/>
          <w:bCs/>
          <w:color w:val="auto"/>
          <w:szCs w:val="21"/>
        </w:rPr>
        <w:t>配件</w:t>
      </w:r>
      <w:r>
        <w:rPr>
          <w:rFonts w:hint="eastAsia" w:ascii="宋体" w:eastAsia="宋体"/>
          <w:b w:val="0"/>
          <w:bCs/>
          <w:color w:val="auto"/>
          <w:szCs w:val="21"/>
        </w:rPr>
        <w:t>并</w:t>
      </w:r>
      <w:r>
        <w:rPr>
          <w:rFonts w:ascii="宋体" w:eastAsia="宋体"/>
          <w:b w:val="0"/>
          <w:bCs/>
          <w:color w:val="auto"/>
          <w:szCs w:val="21"/>
        </w:rPr>
        <w:t>经验收</w:t>
      </w:r>
      <w:r>
        <w:rPr>
          <w:rFonts w:hint="eastAsia" w:ascii="宋体" w:eastAsia="宋体"/>
          <w:b w:val="0"/>
          <w:bCs/>
          <w:color w:val="auto"/>
          <w:szCs w:val="21"/>
        </w:rPr>
        <w:t>合格后支付</w:t>
      </w:r>
      <w:r>
        <w:rPr>
          <w:rFonts w:ascii="宋体" w:eastAsia="宋体"/>
          <w:b w:val="0"/>
          <w:bCs/>
          <w:color w:val="auto"/>
          <w:szCs w:val="21"/>
        </w:rPr>
        <w:t>项目总额的</w:t>
      </w:r>
      <w:r>
        <w:rPr>
          <w:rFonts w:hint="eastAsia" w:ascii="宋体" w:eastAsia="宋体"/>
          <w:b w:val="0"/>
          <w:bCs/>
          <w:color w:val="auto"/>
          <w:szCs w:val="21"/>
        </w:rPr>
        <w:t>20</w:t>
      </w:r>
      <w:r>
        <w:rPr>
          <w:rFonts w:ascii="宋体" w:eastAsia="宋体"/>
          <w:b w:val="0"/>
          <w:bCs/>
          <w:color w:val="auto"/>
          <w:szCs w:val="21"/>
        </w:rPr>
        <w:t>%</w:t>
      </w:r>
      <w:r>
        <w:rPr>
          <w:rFonts w:hint="eastAsia" w:ascii="宋体" w:eastAsia="宋体"/>
          <w:b w:val="0"/>
          <w:bCs/>
          <w:color w:val="auto"/>
          <w:szCs w:val="21"/>
        </w:rPr>
        <w:t>。剩余合同总价的60%的作为</w:t>
      </w:r>
      <w:r>
        <w:rPr>
          <w:rFonts w:ascii="宋体" w:eastAsia="宋体"/>
          <w:b w:val="0"/>
          <w:bCs/>
          <w:color w:val="auto"/>
          <w:szCs w:val="21"/>
        </w:rPr>
        <w:t>项目</w:t>
      </w:r>
      <w:r>
        <w:rPr>
          <w:rFonts w:hint="eastAsia" w:ascii="宋体" w:eastAsia="宋体"/>
          <w:b w:val="0"/>
          <w:bCs/>
          <w:color w:val="auto"/>
          <w:szCs w:val="21"/>
        </w:rPr>
        <w:t>运维保证金，甲方根据整体运维</w:t>
      </w:r>
      <w:r>
        <w:rPr>
          <w:rFonts w:ascii="宋体" w:eastAsia="宋体"/>
          <w:b w:val="0"/>
          <w:bCs/>
          <w:color w:val="auto"/>
          <w:szCs w:val="21"/>
        </w:rPr>
        <w:t>维护</w:t>
      </w:r>
      <w:r>
        <w:rPr>
          <w:rFonts w:hint="eastAsia" w:ascii="宋体" w:eastAsia="宋体"/>
          <w:b w:val="0"/>
          <w:bCs/>
          <w:color w:val="auto"/>
          <w:szCs w:val="21"/>
        </w:rPr>
        <w:t>管理服务考核情况，按年度向乙方支付维护服务费，年度服务费≤项目投标价的12%，共持续五年。运行</w:t>
      </w:r>
      <w:r>
        <w:rPr>
          <w:rFonts w:ascii="宋体" w:eastAsia="宋体"/>
          <w:b w:val="0"/>
          <w:bCs/>
          <w:color w:val="auto"/>
          <w:szCs w:val="21"/>
        </w:rPr>
        <w:t>维护</w:t>
      </w:r>
      <w:r>
        <w:rPr>
          <w:rFonts w:hint="eastAsia" w:ascii="宋体" w:eastAsia="宋体"/>
          <w:b w:val="0"/>
          <w:bCs/>
          <w:color w:val="auto"/>
          <w:szCs w:val="21"/>
        </w:rPr>
        <w:t>费用时间从2020年11月1日起开始结算。</w:t>
      </w:r>
    </w:p>
    <w:p>
      <w:pPr>
        <w:spacing w:line="460" w:lineRule="exact"/>
        <w:jc w:val="left"/>
        <w:rPr>
          <w:rFonts w:ascii="宋体" w:eastAsia="宋体"/>
          <w:b w:val="0"/>
          <w:bCs/>
          <w:color w:val="auto"/>
          <w:szCs w:val="21"/>
        </w:rPr>
      </w:pPr>
      <w:r>
        <w:rPr>
          <w:rFonts w:hint="eastAsia" w:ascii="宋体" w:eastAsia="宋体"/>
          <w:b w:val="0"/>
          <w:bCs/>
          <w:color w:val="auto"/>
          <w:szCs w:val="21"/>
        </w:rPr>
        <w:t>（</w:t>
      </w:r>
      <w:r>
        <w:rPr>
          <w:rFonts w:ascii="宋体" w:eastAsia="宋体"/>
          <w:b w:val="0"/>
          <w:bCs/>
          <w:color w:val="auto"/>
          <w:szCs w:val="21"/>
        </w:rPr>
        <w:t>2）在项目整体系统</w:t>
      </w:r>
      <w:r>
        <w:rPr>
          <w:rFonts w:hint="eastAsia" w:ascii="宋体" w:eastAsia="宋体"/>
          <w:b w:val="0"/>
          <w:bCs/>
          <w:color w:val="auto"/>
          <w:szCs w:val="21"/>
        </w:rPr>
        <w:t>维护</w:t>
      </w:r>
      <w:r>
        <w:rPr>
          <w:rFonts w:ascii="宋体" w:eastAsia="宋体"/>
          <w:b w:val="0"/>
          <w:bCs/>
          <w:color w:val="auto"/>
          <w:szCs w:val="21"/>
        </w:rPr>
        <w:t>过程中，甲乙双方应做好每个业务点设备运行情况的日常监测，发现各类故障未在相应规定时间内修复的，扣除相应数额的运维费，故障类型及修复时效由甲方约定，并根据实际管理需要予以调整。甲乙双方对设备运行情况有争议的，以甲方提供的依据为准。</w:t>
      </w:r>
    </w:p>
    <w:p>
      <w:pPr>
        <w:spacing w:line="460" w:lineRule="exact"/>
        <w:jc w:val="left"/>
        <w:rPr>
          <w:rFonts w:ascii="宋体" w:eastAsia="宋体"/>
          <w:b w:val="0"/>
          <w:bCs/>
          <w:color w:val="auto"/>
          <w:szCs w:val="21"/>
        </w:rPr>
      </w:pPr>
      <w:r>
        <w:rPr>
          <w:rFonts w:ascii="宋体" w:eastAsia="宋体"/>
          <w:b w:val="0"/>
          <w:bCs/>
          <w:color w:val="auto"/>
          <w:szCs w:val="21"/>
        </w:rPr>
        <w:t>10、实施地点：市区</w:t>
      </w:r>
    </w:p>
    <w:p>
      <w:pPr>
        <w:spacing w:line="460" w:lineRule="exact"/>
        <w:jc w:val="left"/>
        <w:rPr>
          <w:rFonts w:ascii="宋体" w:eastAsia="宋体"/>
          <w:b w:val="0"/>
          <w:bCs/>
          <w:color w:val="auto"/>
          <w:szCs w:val="21"/>
        </w:rPr>
      </w:pPr>
      <w:r>
        <w:rPr>
          <w:rFonts w:ascii="宋体" w:eastAsia="宋体"/>
          <w:b w:val="0"/>
          <w:bCs/>
          <w:color w:val="auto"/>
          <w:szCs w:val="21"/>
        </w:rPr>
        <w:t>11、为保证本项目能按照招标要求正常完工，甲、乙双方应本着精诚合作的原则，共同加强对本项目实施过程中的监管：</w:t>
      </w:r>
    </w:p>
    <w:p>
      <w:pPr>
        <w:spacing w:line="460" w:lineRule="exact"/>
        <w:jc w:val="left"/>
        <w:rPr>
          <w:rFonts w:ascii="宋体" w:eastAsia="宋体"/>
          <w:b w:val="0"/>
          <w:bCs/>
          <w:color w:val="auto"/>
          <w:szCs w:val="21"/>
        </w:rPr>
      </w:pPr>
      <w:r>
        <w:rPr>
          <w:rFonts w:hint="eastAsia" w:ascii="宋体" w:eastAsia="宋体"/>
          <w:b w:val="0"/>
          <w:bCs/>
          <w:color w:val="auto"/>
          <w:szCs w:val="21"/>
        </w:rPr>
        <w:t>（</w:t>
      </w:r>
      <w:r>
        <w:rPr>
          <w:rFonts w:ascii="宋体" w:eastAsia="宋体"/>
          <w:b w:val="0"/>
          <w:bCs/>
          <w:color w:val="auto"/>
          <w:szCs w:val="21"/>
        </w:rPr>
        <w:t>1）乙方项目经理每周向甲方提供项目进度周报，详细汇报上周的实际性进展及本周安排，每周的周报内容都需要体现项目进度有实质性进展。</w:t>
      </w:r>
    </w:p>
    <w:p>
      <w:pPr>
        <w:spacing w:line="460" w:lineRule="exact"/>
        <w:jc w:val="left"/>
        <w:rPr>
          <w:rFonts w:ascii="宋体" w:eastAsia="宋体"/>
          <w:b w:val="0"/>
          <w:bCs/>
          <w:color w:val="auto"/>
          <w:szCs w:val="21"/>
        </w:rPr>
      </w:pPr>
      <w:r>
        <w:rPr>
          <w:rFonts w:hint="eastAsia" w:ascii="宋体" w:eastAsia="宋体"/>
          <w:b w:val="0"/>
          <w:bCs/>
          <w:color w:val="auto"/>
          <w:szCs w:val="21"/>
        </w:rPr>
        <w:t>（</w:t>
      </w:r>
      <w:r>
        <w:rPr>
          <w:rFonts w:ascii="宋体" w:eastAsia="宋体"/>
          <w:b w:val="0"/>
          <w:bCs/>
          <w:color w:val="auto"/>
          <w:szCs w:val="21"/>
        </w:rPr>
        <w:t>2）如果项目周报显示超过两周项目没有取得实质性进展，甲、乙双方高层领导需进行会商，讨论项目实施过程中的问题，并确定解决办法。</w:t>
      </w:r>
    </w:p>
    <w:p>
      <w:pPr>
        <w:spacing w:line="460" w:lineRule="exact"/>
        <w:jc w:val="left"/>
        <w:rPr>
          <w:rFonts w:ascii="宋体" w:eastAsia="宋体"/>
          <w:b w:val="0"/>
          <w:bCs/>
          <w:color w:val="auto"/>
          <w:szCs w:val="21"/>
        </w:rPr>
      </w:pPr>
      <w:r>
        <w:rPr>
          <w:rFonts w:hint="eastAsia" w:ascii="宋体" w:eastAsia="宋体"/>
          <w:b w:val="0"/>
          <w:bCs/>
          <w:color w:val="auto"/>
          <w:szCs w:val="21"/>
        </w:rPr>
        <w:t>（</w:t>
      </w:r>
      <w:r>
        <w:rPr>
          <w:rFonts w:ascii="宋体" w:eastAsia="宋体"/>
          <w:b w:val="0"/>
          <w:bCs/>
          <w:color w:val="auto"/>
          <w:szCs w:val="21"/>
        </w:rPr>
        <w:t>3）如果项目周报显示超过四周项目没有取得实质性进展，双方高层领导沟通无效后，构成解除合同条件，甲方在衡量项目最佳完成方案的基础上，有权利单方面解除合同。</w:t>
      </w:r>
    </w:p>
    <w:p>
      <w:pPr>
        <w:spacing w:line="460" w:lineRule="exact"/>
        <w:jc w:val="left"/>
        <w:rPr>
          <w:rFonts w:ascii="宋体" w:eastAsia="宋体"/>
          <w:b w:val="0"/>
          <w:bCs/>
          <w:color w:val="auto"/>
          <w:szCs w:val="21"/>
        </w:rPr>
      </w:pPr>
      <w:r>
        <w:rPr>
          <w:rFonts w:ascii="宋体" w:eastAsia="宋体"/>
          <w:b w:val="0"/>
          <w:bCs/>
          <w:color w:val="auto"/>
          <w:szCs w:val="21"/>
        </w:rPr>
        <w:t>12、项目验收：项目建设完成后，由乙方向甲方发起验收申请，项目验收工作按照具备运行条件和全部竣工等实际情况进行。</w:t>
      </w:r>
    </w:p>
    <w:p>
      <w:pPr>
        <w:spacing w:line="460" w:lineRule="exact"/>
        <w:jc w:val="left"/>
        <w:rPr>
          <w:rFonts w:ascii="宋体" w:eastAsia="宋体"/>
          <w:b w:val="0"/>
          <w:bCs/>
          <w:color w:val="auto"/>
          <w:szCs w:val="21"/>
        </w:rPr>
      </w:pPr>
      <w:r>
        <w:rPr>
          <w:rFonts w:ascii="宋体" w:eastAsia="宋体"/>
          <w:b w:val="0"/>
          <w:bCs/>
          <w:color w:val="auto"/>
          <w:szCs w:val="21"/>
        </w:rPr>
        <w:t>13、项目五年整体</w:t>
      </w:r>
      <w:r>
        <w:rPr>
          <w:rFonts w:hint="eastAsia" w:ascii="宋体" w:eastAsia="宋体"/>
          <w:b w:val="0"/>
          <w:bCs/>
          <w:color w:val="auto"/>
          <w:szCs w:val="21"/>
        </w:rPr>
        <w:t>维护</w:t>
      </w:r>
      <w:r>
        <w:rPr>
          <w:rFonts w:ascii="宋体" w:eastAsia="宋体"/>
          <w:b w:val="0"/>
          <w:bCs/>
          <w:color w:val="auto"/>
          <w:szCs w:val="21"/>
        </w:rPr>
        <w:t>期满后，所有设备（除光纤及附属材料外）归甲方所有。</w:t>
      </w:r>
    </w:p>
    <w:p>
      <w:pPr>
        <w:spacing w:line="460" w:lineRule="exact"/>
        <w:jc w:val="left"/>
        <w:rPr>
          <w:rFonts w:hint="eastAsia" w:ascii="宋体" w:eastAsia="宋体"/>
          <w:b w:val="0"/>
          <w:bCs/>
          <w:color w:val="auto"/>
          <w:szCs w:val="21"/>
        </w:rPr>
      </w:pPr>
      <w:r>
        <w:rPr>
          <w:rFonts w:ascii="宋体" w:eastAsia="宋体"/>
          <w:b w:val="0"/>
          <w:bCs/>
          <w:color w:val="auto"/>
          <w:szCs w:val="21"/>
        </w:rPr>
        <w:t>14、乙方对甲方提供的业务资料、技术资料应严格保密，不得扩散，不论本协议或合同是否变更、解除、终止，本条款均有效。</w:t>
      </w:r>
    </w:p>
    <w:p>
      <w:pPr>
        <w:spacing w:line="460" w:lineRule="exact"/>
        <w:jc w:val="left"/>
        <w:rPr>
          <w:rFonts w:hint="eastAsia" w:ascii="宋体" w:eastAsia="宋体"/>
          <w:b w:val="0"/>
          <w:bCs/>
          <w:color w:val="auto"/>
          <w:szCs w:val="21"/>
        </w:rPr>
      </w:pPr>
      <w:r>
        <w:rPr>
          <w:rFonts w:hint="eastAsia" w:ascii="宋体" w:eastAsia="宋体"/>
          <w:b w:val="0"/>
          <w:bCs/>
          <w:color w:val="auto"/>
          <w:szCs w:val="21"/>
        </w:rPr>
        <w:t>1</w:t>
      </w:r>
      <w:r>
        <w:rPr>
          <w:rFonts w:ascii="宋体" w:eastAsia="宋体"/>
          <w:b w:val="0"/>
          <w:bCs/>
          <w:color w:val="auto"/>
          <w:szCs w:val="21"/>
        </w:rPr>
        <w:t>5</w:t>
      </w:r>
      <w:r>
        <w:rPr>
          <w:rFonts w:hint="eastAsia" w:ascii="宋体" w:eastAsia="宋体"/>
          <w:b w:val="0"/>
          <w:bCs/>
          <w:color w:val="auto"/>
          <w:szCs w:val="21"/>
        </w:rPr>
        <w:t>、保密条款</w:t>
      </w:r>
    </w:p>
    <w:p>
      <w:pPr>
        <w:spacing w:line="460" w:lineRule="exact"/>
        <w:jc w:val="left"/>
        <w:rPr>
          <w:rFonts w:hint="eastAsia" w:ascii="宋体" w:eastAsia="宋体"/>
          <w:b w:val="0"/>
          <w:bCs/>
          <w:color w:val="auto"/>
          <w:szCs w:val="21"/>
        </w:rPr>
      </w:pPr>
      <w:r>
        <w:rPr>
          <w:rFonts w:hint="eastAsia" w:ascii="宋体" w:eastAsia="宋体"/>
          <w:b w:val="0"/>
          <w:bCs/>
          <w:color w:val="auto"/>
          <w:szCs w:val="21"/>
        </w:rPr>
        <w:t>1</w:t>
      </w:r>
      <w:r>
        <w:rPr>
          <w:rFonts w:ascii="宋体" w:eastAsia="宋体"/>
          <w:b w:val="0"/>
          <w:bCs/>
          <w:color w:val="auto"/>
          <w:szCs w:val="21"/>
        </w:rPr>
        <w:t>5</w:t>
      </w:r>
      <w:r>
        <w:rPr>
          <w:rFonts w:hint="eastAsia" w:ascii="宋体" w:eastAsia="宋体"/>
          <w:b w:val="0"/>
          <w:bCs/>
          <w:color w:val="auto"/>
          <w:szCs w:val="21"/>
        </w:rPr>
        <w:t>.1、保密范围：乙方为建设本项目而了解、掌握的甲方公安信息网络系统的拓扑结构、安全保密措施、PKI/PMI等各项参数，以及甲方场地环境、硬件、软件、电子信息和所有资料内容（以上简称专有信息）。</w:t>
      </w:r>
    </w:p>
    <w:p>
      <w:pPr>
        <w:spacing w:line="460" w:lineRule="exact"/>
        <w:jc w:val="left"/>
        <w:rPr>
          <w:rFonts w:hint="eastAsia" w:ascii="宋体" w:eastAsia="宋体"/>
          <w:b w:val="0"/>
          <w:bCs/>
          <w:color w:val="auto"/>
          <w:szCs w:val="21"/>
        </w:rPr>
      </w:pPr>
      <w:r>
        <w:rPr>
          <w:rFonts w:hint="eastAsia" w:ascii="宋体" w:eastAsia="宋体"/>
          <w:b w:val="0"/>
          <w:bCs/>
          <w:color w:val="auto"/>
          <w:szCs w:val="21"/>
        </w:rPr>
        <w:t>1</w:t>
      </w:r>
      <w:r>
        <w:rPr>
          <w:rFonts w:ascii="宋体" w:eastAsia="宋体"/>
          <w:b w:val="0"/>
          <w:bCs/>
          <w:color w:val="auto"/>
          <w:szCs w:val="21"/>
        </w:rPr>
        <w:t>5</w:t>
      </w:r>
      <w:r>
        <w:rPr>
          <w:rFonts w:hint="eastAsia" w:ascii="宋体" w:eastAsia="宋体"/>
          <w:b w:val="0"/>
          <w:bCs/>
          <w:color w:val="auto"/>
          <w:szCs w:val="21"/>
        </w:rPr>
        <w:t>.2、保密责任：甲方应加强对乙方及参与本项工作员工的安全保密监管，及时发现安全保密隐患和问题。乙方应配合甲方对乙方有关人员进行审查、教育培训，及时调整不合适的人员。乙方同意严格控制使用甲方的专有信息，保证不向第三方泄露甲方提供的任何专有信息，并对该专有信息的提供管理良好的安全保密措施。建设涉密信息系统，乙方须具有国家保密工作部门核发的《资质证书》，制定甲方认可的安全保密管理方案，并采用适当的安全保密技术和措施对涉密系统进行集成。乙方不能将甲方的专有信息用于其它任何目的。除乙方直接参与本项工程的职员之外，不将专有信息透露给其它任何人。乙方及其参与本项工作的员工严禁在系统建设中私设“后门”，非法访问系统。乙方应当告知并采取有效措施要求参与本项工作的员工遵守本协议规定。乙方发现保密范围内的有关事项已经泄露或可能泄露时应当报告甲方，并及时采取补救措施。当甲方以书面形式要求乙方交回专有信息时，乙方应当立即交回所有书面的或其他形式的专有信息以及所有描述和概括该专有信息的文件资料，不能以任何形式保留或擅自处理。</w:t>
      </w:r>
    </w:p>
    <w:p>
      <w:pPr>
        <w:spacing w:line="460" w:lineRule="exact"/>
        <w:jc w:val="left"/>
        <w:rPr>
          <w:rFonts w:hint="eastAsia" w:ascii="宋体" w:eastAsia="宋体"/>
          <w:b w:val="0"/>
          <w:bCs/>
          <w:color w:val="auto"/>
          <w:szCs w:val="21"/>
        </w:rPr>
      </w:pPr>
      <w:r>
        <w:rPr>
          <w:rFonts w:hint="eastAsia" w:ascii="宋体" w:eastAsia="宋体"/>
          <w:b w:val="0"/>
          <w:bCs/>
          <w:color w:val="auto"/>
          <w:szCs w:val="21"/>
        </w:rPr>
        <w:t>1</w:t>
      </w:r>
      <w:r>
        <w:rPr>
          <w:rFonts w:ascii="宋体" w:eastAsia="宋体"/>
          <w:b w:val="0"/>
          <w:bCs/>
          <w:color w:val="auto"/>
          <w:szCs w:val="21"/>
        </w:rPr>
        <w:t>5</w:t>
      </w:r>
      <w:r>
        <w:rPr>
          <w:rFonts w:hint="eastAsia" w:ascii="宋体" w:eastAsia="宋体"/>
          <w:b w:val="0"/>
          <w:bCs/>
          <w:color w:val="auto"/>
          <w:szCs w:val="21"/>
        </w:rPr>
        <w:t>.3、违约责任：乙方或参与本项目工作之员工违反本合同规定，造成泄密事件，乙方应承担有关法律责任，并赔偿相应经济损失。</w:t>
      </w:r>
    </w:p>
    <w:p>
      <w:pPr>
        <w:spacing w:line="460" w:lineRule="exact"/>
        <w:jc w:val="left"/>
        <w:rPr>
          <w:rFonts w:ascii="宋体" w:eastAsia="宋体"/>
          <w:b w:val="0"/>
          <w:bCs/>
          <w:color w:val="auto"/>
          <w:szCs w:val="21"/>
        </w:rPr>
      </w:pPr>
      <w:r>
        <w:rPr>
          <w:rFonts w:hint="eastAsia" w:ascii="宋体" w:eastAsia="宋体"/>
          <w:b w:val="0"/>
          <w:bCs/>
          <w:color w:val="auto"/>
          <w:szCs w:val="21"/>
        </w:rPr>
        <w:t>1</w:t>
      </w:r>
      <w:r>
        <w:rPr>
          <w:rFonts w:ascii="宋体" w:eastAsia="宋体"/>
          <w:b w:val="0"/>
          <w:bCs/>
          <w:color w:val="auto"/>
          <w:szCs w:val="21"/>
        </w:rPr>
        <w:t>5</w:t>
      </w:r>
      <w:r>
        <w:rPr>
          <w:rFonts w:hint="eastAsia" w:ascii="宋体" w:eastAsia="宋体"/>
          <w:b w:val="0"/>
          <w:bCs/>
          <w:color w:val="auto"/>
          <w:szCs w:val="21"/>
        </w:rPr>
        <w:t>.4、保密期限：自本合同生效之日起，双方的合作交流都要符合本合同的条款。除非甲方通过书面通知明确说明对本协议所涉及的某项专有信息予以解密或同意共享，乙方必须按照本协议所承担的保密义务对在建设本合同中掌握的专有信息进行保密，保密期限不受本合同有效期限的限制。</w:t>
      </w:r>
    </w:p>
    <w:p>
      <w:pPr>
        <w:spacing w:line="460" w:lineRule="exact"/>
        <w:jc w:val="left"/>
        <w:rPr>
          <w:rFonts w:ascii="宋体" w:eastAsia="宋体"/>
          <w:b w:val="0"/>
          <w:bCs/>
          <w:color w:val="auto"/>
          <w:szCs w:val="21"/>
        </w:rPr>
      </w:pPr>
      <w:r>
        <w:rPr>
          <w:rFonts w:ascii="宋体" w:eastAsia="宋体"/>
          <w:b w:val="0"/>
          <w:bCs/>
          <w:color w:val="auto"/>
          <w:szCs w:val="21"/>
        </w:rPr>
        <w:t>16、在本合同履行过程中发生争议，双方应当协商解决。双方不愿协商、调解解决或者协商、调解不成的，双方商定，申请温州仲裁委员会仲裁。</w:t>
      </w:r>
    </w:p>
    <w:p>
      <w:pPr>
        <w:spacing w:line="460" w:lineRule="exact"/>
        <w:jc w:val="left"/>
        <w:rPr>
          <w:rFonts w:ascii="宋体" w:eastAsia="宋体"/>
          <w:b w:val="0"/>
          <w:bCs/>
          <w:color w:val="auto"/>
          <w:szCs w:val="21"/>
        </w:rPr>
      </w:pPr>
      <w:r>
        <w:rPr>
          <w:rFonts w:ascii="宋体" w:eastAsia="宋体"/>
          <w:b w:val="0"/>
          <w:bCs/>
          <w:color w:val="auto"/>
          <w:szCs w:val="21"/>
        </w:rPr>
        <w:t>17、适用法律：本合同应按照中华人民共和国的法律进行解释。</w:t>
      </w:r>
    </w:p>
    <w:p>
      <w:pPr>
        <w:spacing w:line="460" w:lineRule="exact"/>
        <w:jc w:val="left"/>
        <w:rPr>
          <w:rFonts w:ascii="宋体" w:eastAsia="宋体"/>
          <w:b w:val="0"/>
          <w:bCs/>
          <w:color w:val="auto"/>
          <w:szCs w:val="21"/>
        </w:rPr>
      </w:pPr>
      <w:r>
        <w:rPr>
          <w:rFonts w:ascii="宋体" w:eastAsia="宋体"/>
          <w:b w:val="0"/>
          <w:bCs/>
          <w:color w:val="auto"/>
          <w:szCs w:val="21"/>
        </w:rPr>
        <w:t>18、不可抗力：如果双方中任何一方由于战争、严重火灾、水灾、台风和地震以及其它经双方同意属于不可抗力的事故，致使合同履行受阻时，履行合同的期限应予延长，延长的期限应相当于事故所影响的时间。</w:t>
      </w:r>
    </w:p>
    <w:p>
      <w:pPr>
        <w:spacing w:line="460" w:lineRule="exact"/>
        <w:jc w:val="left"/>
        <w:rPr>
          <w:rFonts w:ascii="宋体" w:eastAsia="宋体"/>
          <w:b w:val="0"/>
          <w:bCs/>
          <w:color w:val="auto"/>
          <w:szCs w:val="21"/>
        </w:rPr>
      </w:pPr>
      <w:r>
        <w:rPr>
          <w:rFonts w:ascii="宋体" w:eastAsia="宋体"/>
          <w:b w:val="0"/>
          <w:bCs/>
          <w:color w:val="auto"/>
          <w:szCs w:val="21"/>
        </w:rPr>
        <w:t>19、因不可抗力导致甲乙双方或一方不能履行或不能完全履行本合同项下有关义务时，双方相互不承担违约责任。但遇有不可抗力的一方或双方应于不可抗力发生后15日内将情况告知对方，并提供有关部门的证明。在不可抗力影响消除后的合理时间内，一方或双方应当继续履行合同。</w:t>
      </w:r>
    </w:p>
    <w:p>
      <w:pPr>
        <w:spacing w:line="460" w:lineRule="exact"/>
        <w:jc w:val="left"/>
        <w:rPr>
          <w:rFonts w:ascii="宋体" w:eastAsia="宋体"/>
          <w:b w:val="0"/>
          <w:bCs/>
          <w:color w:val="auto"/>
          <w:szCs w:val="21"/>
        </w:rPr>
      </w:pPr>
      <w:r>
        <w:rPr>
          <w:rFonts w:ascii="宋体" w:eastAsia="宋体"/>
          <w:b w:val="0"/>
          <w:bCs/>
          <w:color w:val="auto"/>
          <w:szCs w:val="21"/>
        </w:rPr>
        <w:t>20、本合同一式六份，双方各执三份，经签字、盖章后生效，六份合同具有同等效力。</w:t>
      </w:r>
    </w:p>
    <w:p>
      <w:pPr>
        <w:spacing w:line="460" w:lineRule="exact"/>
        <w:jc w:val="left"/>
        <w:rPr>
          <w:rFonts w:ascii="宋体" w:eastAsia="宋体"/>
          <w:b w:val="0"/>
          <w:bCs/>
          <w:color w:val="auto"/>
          <w:szCs w:val="21"/>
        </w:rPr>
      </w:pPr>
      <w:r>
        <w:rPr>
          <w:rFonts w:ascii="宋体" w:eastAsia="宋体"/>
          <w:b w:val="0"/>
          <w:bCs/>
          <w:color w:val="auto"/>
          <w:szCs w:val="21"/>
        </w:rPr>
        <w:t>21、本合同有效期为五年。</w:t>
      </w:r>
    </w:p>
    <w:p>
      <w:pPr>
        <w:spacing w:line="460" w:lineRule="exact"/>
        <w:jc w:val="left"/>
        <w:rPr>
          <w:rFonts w:ascii="宋体" w:eastAsia="宋体"/>
          <w:b w:val="0"/>
          <w:bCs/>
          <w:color w:val="auto"/>
          <w:szCs w:val="21"/>
        </w:rPr>
      </w:pPr>
      <w:r>
        <w:rPr>
          <w:rFonts w:ascii="宋体" w:eastAsia="宋体"/>
          <w:b w:val="0"/>
          <w:bCs/>
          <w:color w:val="auto"/>
          <w:szCs w:val="21"/>
        </w:rPr>
        <w:t>22、本合同如有未尽事宜，双方协商解决，协商不成提交温州仲裁委员会仲裁。</w:t>
      </w:r>
    </w:p>
    <w:p>
      <w:pPr>
        <w:pStyle w:val="758"/>
        <w:ind w:firstLine="480"/>
        <w:rPr>
          <w:rFonts w:hint="eastAsia"/>
        </w:rPr>
      </w:pPr>
    </w:p>
    <w:p>
      <w:pPr>
        <w:spacing w:line="460" w:lineRule="exact"/>
        <w:jc w:val="center"/>
        <w:rPr>
          <w:rFonts w:hint="eastAsia" w:ascii="黑体" w:hAnsi="宋体" w:eastAsia="黑体"/>
          <w:b/>
          <w:bCs/>
          <w:sz w:val="36"/>
          <w:szCs w:val="36"/>
        </w:rPr>
      </w:pPr>
    </w:p>
    <w:p>
      <w:pPr>
        <w:rPr>
          <w:rFonts w:hint="eastAsia" w:ascii="黑体" w:hAnsi="宋体" w:eastAsia="黑体"/>
          <w:b/>
          <w:bCs/>
          <w:sz w:val="36"/>
          <w:szCs w:val="36"/>
        </w:rPr>
      </w:pPr>
      <w:r>
        <w:rPr>
          <w:rFonts w:hint="eastAsia" w:ascii="黑体" w:hAnsi="宋体" w:eastAsia="黑体"/>
          <w:b/>
          <w:bCs/>
          <w:sz w:val="36"/>
          <w:szCs w:val="36"/>
        </w:rPr>
        <w:br w:type="page"/>
      </w:r>
    </w:p>
    <w:p>
      <w:pPr>
        <w:spacing w:line="460" w:lineRule="exact"/>
        <w:jc w:val="center"/>
        <w:rPr>
          <w:b/>
          <w:bCs/>
          <w:sz w:val="32"/>
          <w:szCs w:val="32"/>
        </w:rPr>
      </w:pPr>
      <w:r>
        <w:rPr>
          <w:rFonts w:hint="eastAsia" w:ascii="黑体" w:hAnsi="宋体" w:eastAsia="黑体"/>
          <w:b/>
          <w:bCs/>
          <w:sz w:val="36"/>
          <w:szCs w:val="36"/>
        </w:rPr>
        <w:t>第四部分    合同格式</w:t>
      </w:r>
    </w:p>
    <w:p>
      <w:pPr>
        <w:spacing w:line="400" w:lineRule="exact"/>
        <w:ind w:firstLine="539" w:firstLineChars="245"/>
        <w:rPr>
          <w:rFonts w:hint="eastAsia" w:ascii="新宋体" w:hAnsi="新宋体" w:eastAsia="新宋体"/>
          <w:b w:val="0"/>
          <w:sz w:val="22"/>
        </w:rPr>
      </w:pPr>
      <w:r>
        <w:rPr>
          <w:rFonts w:hint="eastAsia" w:ascii="宋体" w:hAnsi="宋体" w:cs="宋体"/>
          <w:bCs/>
          <w:kern w:val="0"/>
          <w:sz w:val="22"/>
          <w:szCs w:val="22"/>
          <w:lang w:val="zh-CN"/>
        </w:rPr>
        <w:t>温</w:t>
      </w:r>
      <w:r>
        <w:rPr>
          <w:rFonts w:hint="eastAsia" w:ascii="新宋体" w:hAnsi="新宋体" w:eastAsia="新宋体"/>
          <w:b w:val="0"/>
          <w:sz w:val="22"/>
        </w:rPr>
        <w:t>温州市公安局交通管理局采购的</w:t>
      </w:r>
      <w:r>
        <w:rPr>
          <w:rFonts w:hint="eastAsia" w:ascii="新宋体" w:hAnsi="新宋体" w:eastAsia="新宋体"/>
          <w:b w:val="0"/>
          <w:sz w:val="22"/>
          <w:u w:val="single"/>
        </w:rPr>
        <w:t xml:space="preserve">                    </w:t>
      </w:r>
      <w:r>
        <w:rPr>
          <w:rFonts w:hint="eastAsia" w:ascii="新宋体" w:hAnsi="新宋体" w:eastAsia="新宋体"/>
          <w:b w:val="0"/>
          <w:sz w:val="22"/>
        </w:rPr>
        <w:t>（项目编号、项目名称）在国内公开招标，经评标委员会决标</w:t>
      </w:r>
      <w:r>
        <w:rPr>
          <w:rFonts w:hint="eastAsia" w:ascii="新宋体" w:hAnsi="新宋体" w:eastAsia="新宋体"/>
          <w:b w:val="0"/>
          <w:sz w:val="22"/>
          <w:u w:val="single"/>
        </w:rPr>
        <w:t xml:space="preserve">             </w:t>
      </w:r>
      <w:r>
        <w:rPr>
          <w:rFonts w:hint="eastAsia" w:ascii="新宋体" w:hAnsi="新宋体" w:eastAsia="新宋体"/>
          <w:b w:val="0"/>
          <w:sz w:val="22"/>
        </w:rPr>
        <w:t>为中标人。买、卖双方同意按照下面条款和条件，签署本合同。</w:t>
      </w:r>
    </w:p>
    <w:p>
      <w:pPr>
        <w:spacing w:line="400" w:lineRule="exact"/>
        <w:ind w:firstLine="539" w:firstLineChars="245"/>
        <w:rPr>
          <w:rFonts w:hint="eastAsia" w:ascii="新宋体" w:hAnsi="新宋体" w:eastAsia="新宋体"/>
          <w:b w:val="0"/>
          <w:sz w:val="22"/>
        </w:rPr>
      </w:pPr>
      <w:r>
        <w:rPr>
          <w:rFonts w:hint="eastAsia" w:ascii="新宋体" w:hAnsi="新宋体" w:eastAsia="新宋体"/>
          <w:b w:val="0"/>
          <w:bCs/>
          <w:sz w:val="22"/>
        </w:rPr>
        <w:t>1．合同文件</w:t>
      </w:r>
    </w:p>
    <w:p>
      <w:pPr>
        <w:spacing w:line="400" w:lineRule="exact"/>
        <w:ind w:firstLine="539" w:firstLineChars="245"/>
        <w:rPr>
          <w:rFonts w:hint="eastAsia" w:ascii="新宋体" w:hAnsi="新宋体" w:eastAsia="新宋体"/>
          <w:b w:val="0"/>
          <w:sz w:val="22"/>
        </w:rPr>
      </w:pPr>
      <w:r>
        <w:rPr>
          <w:rFonts w:hint="eastAsia" w:ascii="新宋体" w:hAnsi="新宋体" w:eastAsia="新宋体"/>
          <w:b w:val="0"/>
          <w:sz w:val="22"/>
        </w:rPr>
        <w:t>下列文件构成本合同的组成部分：</w:t>
      </w:r>
    </w:p>
    <w:p>
      <w:pPr>
        <w:spacing w:line="400" w:lineRule="exact"/>
        <w:ind w:firstLine="539" w:firstLineChars="245"/>
        <w:rPr>
          <w:rFonts w:hint="eastAsia" w:ascii="新宋体" w:hAnsi="新宋体" w:eastAsia="新宋体"/>
          <w:b w:val="0"/>
          <w:sz w:val="22"/>
        </w:rPr>
      </w:pPr>
      <w:r>
        <w:rPr>
          <w:rFonts w:hint="eastAsia" w:ascii="新宋体" w:hAnsi="新宋体" w:eastAsia="新宋体"/>
          <w:b w:val="0"/>
          <w:sz w:val="22"/>
        </w:rPr>
        <w:t xml:space="preserve">(1) 合同主要条款                </w:t>
      </w:r>
    </w:p>
    <w:p>
      <w:pPr>
        <w:spacing w:line="400" w:lineRule="exact"/>
        <w:ind w:firstLine="539" w:firstLineChars="245"/>
        <w:rPr>
          <w:rFonts w:hint="eastAsia" w:ascii="新宋体" w:hAnsi="新宋体" w:eastAsia="新宋体"/>
          <w:b w:val="0"/>
          <w:sz w:val="22"/>
        </w:rPr>
      </w:pPr>
      <w:r>
        <w:rPr>
          <w:rFonts w:hint="eastAsia" w:ascii="新宋体" w:hAnsi="新宋体" w:eastAsia="新宋体"/>
          <w:b w:val="0"/>
          <w:sz w:val="22"/>
        </w:rPr>
        <w:t>(2) 中标通知书</w:t>
      </w:r>
    </w:p>
    <w:p>
      <w:pPr>
        <w:spacing w:line="400" w:lineRule="exact"/>
        <w:ind w:firstLine="539" w:firstLineChars="245"/>
        <w:rPr>
          <w:rFonts w:hint="eastAsia" w:ascii="新宋体" w:hAnsi="新宋体" w:eastAsia="新宋体"/>
          <w:b w:val="0"/>
          <w:sz w:val="22"/>
        </w:rPr>
      </w:pPr>
      <w:r>
        <w:rPr>
          <w:rFonts w:hint="eastAsia" w:ascii="新宋体" w:hAnsi="新宋体" w:eastAsia="新宋体"/>
          <w:b w:val="0"/>
          <w:sz w:val="22"/>
        </w:rPr>
        <w:t xml:space="preserve">(3) 投标分项报价表               </w:t>
      </w:r>
    </w:p>
    <w:p>
      <w:pPr>
        <w:spacing w:line="400" w:lineRule="exact"/>
        <w:ind w:firstLine="539" w:firstLineChars="245"/>
        <w:rPr>
          <w:rFonts w:hint="eastAsia" w:ascii="新宋体" w:hAnsi="新宋体" w:eastAsia="新宋体"/>
          <w:b w:val="0"/>
          <w:sz w:val="22"/>
        </w:rPr>
      </w:pPr>
      <w:r>
        <w:rPr>
          <w:rFonts w:hint="eastAsia" w:ascii="新宋体" w:hAnsi="新宋体" w:eastAsia="新宋体"/>
          <w:b w:val="0"/>
          <w:sz w:val="22"/>
        </w:rPr>
        <w:t xml:space="preserve">(4) 技术规格、商务条款偏离表           </w:t>
      </w:r>
    </w:p>
    <w:p>
      <w:pPr>
        <w:spacing w:line="400" w:lineRule="exact"/>
        <w:ind w:firstLine="539" w:firstLineChars="245"/>
        <w:rPr>
          <w:rFonts w:hint="eastAsia" w:ascii="新宋体" w:hAnsi="新宋体" w:eastAsia="新宋体"/>
          <w:b w:val="0"/>
          <w:sz w:val="22"/>
        </w:rPr>
      </w:pPr>
      <w:r>
        <w:rPr>
          <w:rFonts w:hint="eastAsia" w:ascii="新宋体" w:hAnsi="新宋体" w:eastAsia="新宋体"/>
          <w:b w:val="0"/>
          <w:sz w:val="22"/>
        </w:rPr>
        <w:t>(5) 招标内容及要求</w:t>
      </w:r>
    </w:p>
    <w:p>
      <w:pPr>
        <w:spacing w:line="400" w:lineRule="exact"/>
        <w:ind w:firstLine="539" w:firstLineChars="245"/>
        <w:rPr>
          <w:rFonts w:hint="eastAsia" w:ascii="新宋体" w:hAnsi="新宋体" w:eastAsia="新宋体"/>
          <w:b w:val="0"/>
          <w:sz w:val="22"/>
        </w:rPr>
      </w:pPr>
      <w:r>
        <w:rPr>
          <w:rFonts w:hint="eastAsia" w:ascii="新宋体" w:hAnsi="新宋体" w:eastAsia="新宋体"/>
          <w:b w:val="0"/>
          <w:sz w:val="22"/>
        </w:rPr>
        <w:t xml:space="preserve">(6) 合同补充条款或说明（如有的话）     </w:t>
      </w:r>
    </w:p>
    <w:p>
      <w:pPr>
        <w:spacing w:line="400" w:lineRule="exact"/>
        <w:ind w:firstLine="539" w:firstLineChars="245"/>
        <w:rPr>
          <w:rFonts w:hint="eastAsia" w:ascii="新宋体" w:hAnsi="新宋体" w:eastAsia="新宋体"/>
          <w:b w:val="0"/>
          <w:sz w:val="22"/>
        </w:rPr>
      </w:pPr>
      <w:r>
        <w:rPr>
          <w:rFonts w:hint="eastAsia" w:ascii="新宋体" w:hAnsi="新宋体" w:eastAsia="新宋体"/>
          <w:b w:val="0"/>
          <w:sz w:val="22"/>
        </w:rPr>
        <w:t xml:space="preserve">(7) 承诺书      （含询标记录和优惠条件）       </w:t>
      </w:r>
    </w:p>
    <w:p>
      <w:pPr>
        <w:spacing w:line="400" w:lineRule="exact"/>
        <w:ind w:firstLine="539" w:firstLineChars="245"/>
        <w:rPr>
          <w:rFonts w:hint="eastAsia" w:ascii="新宋体" w:hAnsi="新宋体" w:eastAsia="新宋体"/>
          <w:b w:val="0"/>
          <w:sz w:val="22"/>
        </w:rPr>
      </w:pPr>
      <w:r>
        <w:rPr>
          <w:rFonts w:hint="eastAsia" w:ascii="新宋体" w:hAnsi="新宋体" w:eastAsia="新宋体"/>
          <w:b w:val="0"/>
          <w:bCs/>
          <w:sz w:val="22"/>
        </w:rPr>
        <w:t>2．合同范围和条件</w:t>
      </w:r>
    </w:p>
    <w:p>
      <w:pPr>
        <w:spacing w:line="400" w:lineRule="exact"/>
        <w:ind w:firstLine="539" w:firstLineChars="245"/>
        <w:rPr>
          <w:rFonts w:hint="eastAsia" w:ascii="新宋体" w:hAnsi="新宋体" w:eastAsia="新宋体"/>
          <w:b w:val="0"/>
          <w:sz w:val="22"/>
        </w:rPr>
      </w:pPr>
      <w:r>
        <w:rPr>
          <w:rFonts w:hint="eastAsia" w:ascii="新宋体" w:hAnsi="新宋体" w:eastAsia="新宋体"/>
          <w:b w:val="0"/>
          <w:sz w:val="22"/>
        </w:rPr>
        <w:t>本合同范围和条件应与上述合同文件规定的内容相一致。</w:t>
      </w:r>
    </w:p>
    <w:p>
      <w:pPr>
        <w:spacing w:line="400" w:lineRule="exact"/>
        <w:ind w:firstLine="539" w:firstLineChars="245"/>
        <w:rPr>
          <w:rFonts w:hint="eastAsia" w:ascii="新宋体" w:hAnsi="新宋体" w:eastAsia="新宋体"/>
          <w:b w:val="0"/>
          <w:sz w:val="22"/>
        </w:rPr>
      </w:pPr>
      <w:r>
        <w:rPr>
          <w:rFonts w:hint="eastAsia" w:ascii="新宋体" w:hAnsi="新宋体" w:eastAsia="新宋体"/>
          <w:b w:val="0"/>
          <w:bCs/>
          <w:sz w:val="22"/>
        </w:rPr>
        <w:t>3．服务和期限</w:t>
      </w:r>
    </w:p>
    <w:p>
      <w:pPr>
        <w:spacing w:line="400" w:lineRule="exact"/>
        <w:ind w:firstLine="539" w:firstLineChars="245"/>
        <w:rPr>
          <w:rFonts w:hint="eastAsia" w:ascii="新宋体" w:hAnsi="新宋体" w:eastAsia="新宋体"/>
          <w:b w:val="0"/>
          <w:sz w:val="22"/>
        </w:rPr>
      </w:pPr>
      <w:r>
        <w:rPr>
          <w:rFonts w:hint="eastAsia" w:ascii="新宋体" w:hAnsi="新宋体" w:eastAsia="新宋体"/>
          <w:b w:val="0"/>
          <w:sz w:val="22"/>
        </w:rPr>
        <w:t>本合同提供的服务及期限（详见招标内容及要求）。</w:t>
      </w:r>
    </w:p>
    <w:p>
      <w:pPr>
        <w:spacing w:line="400" w:lineRule="exact"/>
        <w:ind w:firstLine="539" w:firstLineChars="245"/>
        <w:rPr>
          <w:rFonts w:hint="eastAsia" w:ascii="新宋体" w:hAnsi="新宋体" w:eastAsia="新宋体"/>
          <w:b w:val="0"/>
          <w:sz w:val="22"/>
        </w:rPr>
      </w:pPr>
      <w:r>
        <w:rPr>
          <w:rFonts w:hint="eastAsia" w:ascii="新宋体" w:hAnsi="新宋体" w:eastAsia="新宋体"/>
          <w:b w:val="0"/>
          <w:bCs/>
          <w:sz w:val="22"/>
        </w:rPr>
        <w:t>4．合同总价</w:t>
      </w:r>
    </w:p>
    <w:p>
      <w:pPr>
        <w:spacing w:line="400" w:lineRule="exact"/>
        <w:ind w:firstLine="539" w:firstLineChars="245"/>
        <w:rPr>
          <w:rFonts w:hint="eastAsia" w:ascii="新宋体" w:hAnsi="新宋体" w:eastAsia="新宋体"/>
          <w:b w:val="0"/>
          <w:sz w:val="22"/>
        </w:rPr>
      </w:pPr>
      <w:r>
        <w:rPr>
          <w:rFonts w:hint="eastAsia" w:ascii="新宋体" w:hAnsi="新宋体" w:eastAsia="新宋体"/>
          <w:b w:val="0"/>
          <w:sz w:val="22"/>
        </w:rPr>
        <w:t>本合同总价为</w:t>
      </w:r>
      <w:r>
        <w:rPr>
          <w:rFonts w:hint="eastAsia" w:ascii="新宋体" w:hAnsi="新宋体" w:eastAsia="新宋体"/>
          <w:b w:val="0"/>
          <w:sz w:val="22"/>
          <w:u w:val="single"/>
        </w:rPr>
        <w:t xml:space="preserve">           </w:t>
      </w:r>
      <w:r>
        <w:rPr>
          <w:rFonts w:hint="eastAsia" w:ascii="新宋体" w:hAnsi="新宋体" w:eastAsia="新宋体"/>
          <w:b w:val="0"/>
          <w:sz w:val="22"/>
        </w:rPr>
        <w:t xml:space="preserve"> ，（分项价格详见投标分项报价表）。</w:t>
      </w:r>
    </w:p>
    <w:p>
      <w:pPr>
        <w:spacing w:line="400" w:lineRule="exact"/>
        <w:ind w:firstLine="539" w:firstLineChars="245"/>
        <w:rPr>
          <w:rFonts w:hint="eastAsia" w:ascii="新宋体" w:hAnsi="新宋体" w:eastAsia="新宋体"/>
          <w:b w:val="0"/>
          <w:sz w:val="22"/>
        </w:rPr>
      </w:pPr>
      <w:r>
        <w:rPr>
          <w:rFonts w:hint="eastAsia" w:ascii="新宋体" w:hAnsi="新宋体" w:eastAsia="新宋体"/>
          <w:b w:val="0"/>
          <w:bCs/>
          <w:sz w:val="22"/>
        </w:rPr>
        <w:t>5．付款方式</w:t>
      </w:r>
    </w:p>
    <w:p>
      <w:pPr>
        <w:spacing w:line="400" w:lineRule="exact"/>
        <w:ind w:firstLine="539" w:firstLineChars="245"/>
        <w:rPr>
          <w:rFonts w:hint="eastAsia" w:ascii="新宋体" w:hAnsi="新宋体" w:eastAsia="新宋体"/>
          <w:b w:val="0"/>
          <w:sz w:val="22"/>
        </w:rPr>
      </w:pPr>
      <w:r>
        <w:rPr>
          <w:rFonts w:hint="eastAsia" w:ascii="新宋体" w:hAnsi="新宋体" w:eastAsia="新宋体"/>
          <w:b w:val="0"/>
          <w:sz w:val="22"/>
        </w:rPr>
        <w:t>以采购人跟供应商协商签订为准。</w:t>
      </w:r>
    </w:p>
    <w:p>
      <w:pPr>
        <w:spacing w:line="400" w:lineRule="exact"/>
        <w:ind w:firstLine="539" w:firstLineChars="245"/>
        <w:rPr>
          <w:rFonts w:hint="eastAsia" w:ascii="新宋体" w:hAnsi="新宋体" w:eastAsia="新宋体"/>
          <w:b w:val="0"/>
          <w:sz w:val="22"/>
        </w:rPr>
      </w:pPr>
      <w:r>
        <w:rPr>
          <w:rFonts w:hint="eastAsia" w:ascii="新宋体" w:hAnsi="新宋体" w:eastAsia="新宋体"/>
          <w:b w:val="0"/>
          <w:bCs/>
          <w:sz w:val="22"/>
        </w:rPr>
        <w:t>6．交货时间及地点。</w:t>
      </w:r>
    </w:p>
    <w:p>
      <w:pPr>
        <w:spacing w:line="400" w:lineRule="exact"/>
        <w:ind w:firstLine="539" w:firstLineChars="245"/>
        <w:rPr>
          <w:rFonts w:hint="eastAsia" w:ascii="新宋体" w:hAnsi="新宋体" w:eastAsia="新宋体"/>
          <w:b w:val="0"/>
          <w:sz w:val="22"/>
        </w:rPr>
      </w:pPr>
      <w:r>
        <w:rPr>
          <w:rFonts w:hint="eastAsia" w:ascii="新宋体" w:hAnsi="新宋体" w:eastAsia="新宋体"/>
          <w:b w:val="0"/>
          <w:bCs/>
          <w:sz w:val="22"/>
        </w:rPr>
        <w:t>7．合同生效</w:t>
      </w:r>
    </w:p>
    <w:p>
      <w:pPr>
        <w:spacing w:line="400" w:lineRule="exact"/>
        <w:ind w:firstLine="539" w:firstLineChars="245"/>
        <w:rPr>
          <w:rFonts w:hint="eastAsia" w:ascii="新宋体" w:hAnsi="新宋体" w:eastAsia="新宋体"/>
          <w:b w:val="0"/>
          <w:sz w:val="22"/>
        </w:rPr>
      </w:pPr>
      <w:r>
        <w:rPr>
          <w:rFonts w:hint="eastAsia" w:ascii="新宋体" w:hAnsi="新宋体" w:eastAsia="新宋体"/>
          <w:b w:val="0"/>
          <w:sz w:val="22"/>
        </w:rPr>
        <w:t>本合同经双方授权代表签署，买卖双方加盖印章后生效。</w:t>
      </w:r>
    </w:p>
    <w:p>
      <w:pPr>
        <w:spacing w:line="400" w:lineRule="exact"/>
        <w:ind w:firstLine="539" w:firstLineChars="245"/>
        <w:rPr>
          <w:rFonts w:hint="eastAsia" w:ascii="新宋体" w:hAnsi="新宋体" w:eastAsia="新宋体"/>
          <w:b w:val="0"/>
          <w:sz w:val="22"/>
        </w:rPr>
      </w:pPr>
      <w:r>
        <w:rPr>
          <w:rFonts w:hint="eastAsia" w:ascii="新宋体" w:hAnsi="新宋体" w:eastAsia="新宋体"/>
          <w:b w:val="0"/>
          <w:sz w:val="22"/>
        </w:rPr>
        <w:t>买方：（印章）                        卖方：（印章）</w:t>
      </w:r>
    </w:p>
    <w:p>
      <w:pPr>
        <w:spacing w:line="400" w:lineRule="exact"/>
        <w:ind w:firstLine="539" w:firstLineChars="245"/>
        <w:rPr>
          <w:rFonts w:hint="eastAsia" w:ascii="新宋体" w:hAnsi="新宋体" w:eastAsia="新宋体"/>
          <w:b w:val="0"/>
          <w:sz w:val="22"/>
        </w:rPr>
      </w:pPr>
      <w:r>
        <w:rPr>
          <w:rFonts w:hint="eastAsia" w:ascii="新宋体" w:hAnsi="新宋体" w:eastAsia="新宋体"/>
          <w:b w:val="0"/>
          <w:sz w:val="22"/>
        </w:rPr>
        <w:t>全权代表:（签字）                    全权代表:（签字）</w:t>
      </w:r>
    </w:p>
    <w:p>
      <w:pPr>
        <w:spacing w:line="400" w:lineRule="exact"/>
        <w:ind w:firstLine="539" w:firstLineChars="245"/>
        <w:rPr>
          <w:rFonts w:hint="eastAsia" w:ascii="新宋体" w:hAnsi="新宋体" w:eastAsia="新宋体"/>
          <w:b w:val="0"/>
          <w:sz w:val="22"/>
        </w:rPr>
      </w:pPr>
      <w:r>
        <w:rPr>
          <w:rFonts w:hint="eastAsia" w:ascii="新宋体" w:hAnsi="新宋体" w:eastAsia="新宋体"/>
          <w:b w:val="0"/>
          <w:sz w:val="22"/>
        </w:rPr>
        <w:t>地址：                               地址：</w:t>
      </w:r>
    </w:p>
    <w:p>
      <w:pPr>
        <w:spacing w:line="400" w:lineRule="exact"/>
        <w:ind w:firstLine="539" w:firstLineChars="245"/>
        <w:rPr>
          <w:rFonts w:hint="eastAsia" w:ascii="新宋体" w:hAnsi="新宋体" w:eastAsia="新宋体"/>
          <w:b w:val="0"/>
          <w:sz w:val="22"/>
        </w:rPr>
      </w:pPr>
      <w:r>
        <w:rPr>
          <w:rFonts w:hint="eastAsia" w:ascii="新宋体" w:hAnsi="新宋体" w:eastAsia="新宋体"/>
          <w:b w:val="0"/>
          <w:sz w:val="22"/>
        </w:rPr>
        <w:t>邮政编码：                           邮政编码：</w:t>
      </w:r>
    </w:p>
    <w:p>
      <w:pPr>
        <w:spacing w:line="400" w:lineRule="exact"/>
        <w:ind w:firstLine="539" w:firstLineChars="245"/>
        <w:rPr>
          <w:rFonts w:hint="eastAsia" w:ascii="新宋体" w:hAnsi="新宋体" w:eastAsia="新宋体"/>
          <w:b w:val="0"/>
          <w:sz w:val="22"/>
        </w:rPr>
      </w:pPr>
      <w:r>
        <w:rPr>
          <w:rFonts w:hint="eastAsia" w:ascii="新宋体" w:hAnsi="新宋体" w:eastAsia="新宋体"/>
          <w:b w:val="0"/>
          <w:sz w:val="22"/>
        </w:rPr>
        <w:t>电话：                               电话：</w:t>
      </w:r>
    </w:p>
    <w:p>
      <w:pPr>
        <w:spacing w:line="400" w:lineRule="exact"/>
        <w:ind w:firstLine="539" w:firstLineChars="245"/>
        <w:rPr>
          <w:rFonts w:hint="eastAsia" w:ascii="新宋体" w:hAnsi="新宋体" w:eastAsia="新宋体"/>
          <w:b w:val="0"/>
          <w:sz w:val="22"/>
        </w:rPr>
      </w:pPr>
      <w:r>
        <w:rPr>
          <w:rFonts w:hint="eastAsia" w:ascii="新宋体" w:hAnsi="新宋体" w:eastAsia="新宋体"/>
          <w:b w:val="0"/>
          <w:sz w:val="22"/>
        </w:rPr>
        <w:t>传真：                               传真：</w:t>
      </w:r>
    </w:p>
    <w:p>
      <w:pPr>
        <w:spacing w:line="400" w:lineRule="exact"/>
        <w:ind w:firstLine="539" w:firstLineChars="245"/>
        <w:rPr>
          <w:rFonts w:hint="eastAsia" w:ascii="新宋体" w:hAnsi="新宋体" w:eastAsia="新宋体"/>
          <w:b w:val="0"/>
          <w:sz w:val="22"/>
        </w:rPr>
      </w:pPr>
      <w:r>
        <w:rPr>
          <w:rFonts w:hint="eastAsia" w:ascii="新宋体" w:hAnsi="新宋体" w:eastAsia="新宋体"/>
          <w:b w:val="0"/>
          <w:sz w:val="22"/>
        </w:rPr>
        <w:t>开户银行：                           开户银行：</w:t>
      </w:r>
    </w:p>
    <w:p>
      <w:pPr>
        <w:spacing w:line="400" w:lineRule="exact"/>
        <w:ind w:firstLine="539" w:firstLineChars="245"/>
        <w:rPr>
          <w:rFonts w:hint="eastAsia" w:ascii="新宋体" w:hAnsi="新宋体" w:eastAsia="新宋体"/>
          <w:b w:val="0"/>
          <w:sz w:val="22"/>
        </w:rPr>
      </w:pPr>
      <w:r>
        <w:rPr>
          <w:rFonts w:hint="eastAsia" w:ascii="新宋体" w:hAnsi="新宋体" w:eastAsia="新宋体"/>
          <w:b w:val="0"/>
          <w:sz w:val="22"/>
        </w:rPr>
        <w:t>帐号：                               帐号：</w:t>
      </w:r>
    </w:p>
    <w:p>
      <w:pPr>
        <w:spacing w:line="400" w:lineRule="exact"/>
        <w:ind w:firstLine="539" w:firstLineChars="245"/>
        <w:rPr>
          <w:rFonts w:hint="eastAsia" w:ascii="新宋体" w:hAnsi="新宋体" w:eastAsia="新宋体"/>
          <w:b w:val="0"/>
          <w:sz w:val="22"/>
        </w:rPr>
      </w:pPr>
      <w:r>
        <w:rPr>
          <w:rFonts w:hint="eastAsia" w:ascii="新宋体" w:hAnsi="新宋体" w:eastAsia="新宋体"/>
          <w:b w:val="0"/>
          <w:sz w:val="22"/>
        </w:rPr>
        <w:t>日期：                               日期：</w:t>
      </w:r>
    </w:p>
    <w:p>
      <w:pPr>
        <w:spacing w:line="460" w:lineRule="exact"/>
      </w:pPr>
    </w:p>
    <w:p>
      <w:pPr>
        <w:spacing w:line="460" w:lineRule="exact"/>
      </w:pPr>
    </w:p>
    <w:p>
      <w:pPr>
        <w:spacing w:line="460" w:lineRule="exact"/>
        <w:jc w:val="center"/>
        <w:rPr>
          <w:b/>
          <w:bCs/>
          <w:sz w:val="36"/>
          <w:szCs w:val="36"/>
        </w:rPr>
      </w:pPr>
      <w:r>
        <w:rPr>
          <w:rFonts w:hint="eastAsia" w:ascii="黑体" w:hAnsi="宋体" w:eastAsia="黑体"/>
          <w:b/>
          <w:bCs/>
          <w:sz w:val="36"/>
          <w:szCs w:val="36"/>
        </w:rPr>
        <w:t>第五部分    附件</w:t>
      </w:r>
    </w:p>
    <w:p>
      <w:pPr>
        <w:spacing w:line="460" w:lineRule="exact"/>
      </w:pPr>
    </w:p>
    <w:p>
      <w:pPr>
        <w:spacing w:line="460" w:lineRule="exact"/>
      </w:pPr>
      <w:r>
        <w:rPr>
          <w:rFonts w:hint="eastAsia"/>
        </w:rPr>
        <w:t>附件一</w:t>
      </w:r>
    </w:p>
    <w:p>
      <w:pPr>
        <w:spacing w:line="460" w:lineRule="exact"/>
        <w:rPr>
          <w:sz w:val="36"/>
          <w:szCs w:val="36"/>
        </w:rPr>
      </w:pPr>
      <w:r>
        <w:rPr>
          <w:rFonts w:hint="eastAsia"/>
          <w:sz w:val="36"/>
          <w:szCs w:val="36"/>
        </w:rPr>
        <w:t xml:space="preserve">                       投 标 函</w:t>
      </w:r>
    </w:p>
    <w:p>
      <w:pPr>
        <w:spacing w:line="460" w:lineRule="exact"/>
      </w:pPr>
    </w:p>
    <w:p>
      <w:pPr>
        <w:spacing w:line="460" w:lineRule="exact"/>
        <w:rPr>
          <w:rFonts w:eastAsia="新宋体"/>
          <w:sz w:val="22"/>
          <w:szCs w:val="22"/>
        </w:rPr>
      </w:pPr>
      <w:r>
        <w:rPr>
          <w:rFonts w:hint="eastAsia"/>
        </w:rPr>
        <w:t>致：</w:t>
      </w:r>
      <w:r>
        <w:rPr>
          <w:rFonts w:hint="eastAsia" w:eastAsia="新宋体"/>
          <w:sz w:val="22"/>
          <w:u w:val="single"/>
        </w:rPr>
        <w:t>温州市公安局交通管理局</w:t>
      </w:r>
      <w:r>
        <w:rPr>
          <w:rFonts w:hint="eastAsia" w:eastAsia="新宋体"/>
          <w:sz w:val="22"/>
          <w:szCs w:val="22"/>
          <w:u w:val="single"/>
        </w:rPr>
        <w:t>：</w:t>
      </w:r>
    </w:p>
    <w:p>
      <w:pPr>
        <w:spacing w:line="460" w:lineRule="exact"/>
      </w:pPr>
      <w:r>
        <w:rPr>
          <w:rFonts w:hint="eastAsia"/>
        </w:rPr>
        <w:t xml:space="preserve">      根据贵方为</w:t>
      </w:r>
      <w:r>
        <w:rPr>
          <w:rFonts w:hint="eastAsia"/>
          <w:u w:val="single"/>
        </w:rPr>
        <w:t xml:space="preserve">             </w:t>
      </w:r>
      <w:r>
        <w:rPr>
          <w:rFonts w:hint="eastAsia"/>
        </w:rPr>
        <w:t>项目（招标编号：            ）的投标邀请，我方</w:t>
      </w:r>
      <w:r>
        <w:rPr>
          <w:rFonts w:hint="eastAsia"/>
          <w:u w:val="single"/>
        </w:rPr>
        <w:t xml:space="preserve">           　　</w:t>
      </w:r>
      <w:r>
        <w:rPr>
          <w:rFonts w:hint="eastAsia"/>
        </w:rPr>
        <w:t>（投标人名称）作为投标人正式授权</w:t>
      </w:r>
      <w:r>
        <w:rPr>
          <w:rFonts w:hint="eastAsia"/>
          <w:u w:val="single"/>
        </w:rPr>
        <w:t xml:space="preserve">　           </w:t>
      </w:r>
      <w:r>
        <w:rPr>
          <w:rFonts w:hint="eastAsia"/>
        </w:rPr>
        <w:t>（授权代表全名，职务）代表我方处理有关本投标的一切事宜。</w:t>
      </w:r>
    </w:p>
    <w:p>
      <w:pPr>
        <w:spacing w:line="460" w:lineRule="exact"/>
      </w:pPr>
      <w:r>
        <w:rPr>
          <w:rFonts w:hint="eastAsia"/>
        </w:rPr>
        <w:t>在此提交的投标文件中，包括如下内容，并已分别单独密封装袋：</w:t>
      </w:r>
    </w:p>
    <w:p>
      <w:pPr>
        <w:spacing w:line="460" w:lineRule="exact"/>
      </w:pPr>
      <w:r>
        <w:rPr>
          <w:rFonts w:hint="eastAsia"/>
        </w:rPr>
        <w:t>（—）按“投标人须知”要求编制的投标文件技术资信标；</w:t>
      </w:r>
    </w:p>
    <w:p>
      <w:pPr>
        <w:spacing w:line="460" w:lineRule="exact"/>
        <w:rPr>
          <w:rFonts w:hint="eastAsia" w:eastAsia="宋体"/>
          <w:lang w:eastAsia="zh-CN"/>
        </w:rPr>
      </w:pPr>
      <w:r>
        <w:rPr>
          <w:rFonts w:hint="eastAsia"/>
        </w:rPr>
        <w:t>（二）按“投标人须知”要求编制的投标文件商务标</w:t>
      </w:r>
      <w:r>
        <w:rPr>
          <w:rFonts w:hint="eastAsia"/>
          <w:lang w:eastAsia="zh-CN"/>
        </w:rPr>
        <w:t>。</w:t>
      </w:r>
    </w:p>
    <w:p>
      <w:pPr>
        <w:spacing w:line="460" w:lineRule="exact"/>
      </w:pPr>
      <w:r>
        <w:rPr>
          <w:rFonts w:hint="eastAsia"/>
        </w:rPr>
        <w:t>我方己完全明白采购文件的所有条款要求，并重申以下几点：</w:t>
      </w:r>
    </w:p>
    <w:p>
      <w:pPr>
        <w:spacing w:line="460" w:lineRule="exact"/>
      </w:pPr>
      <w:r>
        <w:rPr>
          <w:rFonts w:hint="eastAsia"/>
        </w:rPr>
        <w:t>（一）本投标文件的有效期自投标截止日起  90 天内有效，如中标，有效期将延至合同终止日为止；</w:t>
      </w:r>
    </w:p>
    <w:p>
      <w:pPr>
        <w:spacing w:line="460" w:lineRule="exact"/>
      </w:pPr>
      <w:r>
        <w:rPr>
          <w:rFonts w:hint="eastAsia"/>
        </w:rPr>
        <w:t>（二）我方已详细研究了采购文件的所有内容包括修改书（如有）和所有已提供的参考资料以及有关附件，我方完全理解并同意放弃在此方面提出含糊意见或误解的一切权力；</w:t>
      </w:r>
    </w:p>
    <w:p>
      <w:pPr>
        <w:spacing w:line="460" w:lineRule="exact"/>
      </w:pPr>
      <w:r>
        <w:rPr>
          <w:rFonts w:hint="eastAsia"/>
        </w:rPr>
        <w:t>（三）我方同意提供按照贵方可能要求的与投标有关的一切数据或资料；</w:t>
      </w:r>
    </w:p>
    <w:p>
      <w:pPr>
        <w:spacing w:line="460" w:lineRule="exact"/>
      </w:pPr>
      <w:r>
        <w:rPr>
          <w:rFonts w:hint="eastAsia"/>
        </w:rPr>
        <w:t>（四）我方理解贵方不一定接受最低报价。</w:t>
      </w:r>
    </w:p>
    <w:p>
      <w:pPr>
        <w:spacing w:line="460" w:lineRule="exact"/>
      </w:pPr>
      <w:r>
        <w:rPr>
          <w:rFonts w:hint="eastAsia"/>
        </w:rPr>
        <w:t>（五）我方如果中标，将保证履行采购文件以及采购文件修改书（如有）中的全部责任和义务，按质、按量、按期完成《合同书》中的全部任务。</w:t>
      </w:r>
    </w:p>
    <w:p>
      <w:pPr>
        <w:spacing w:line="460" w:lineRule="exact"/>
      </w:pPr>
      <w:r>
        <w:rPr>
          <w:rFonts w:hint="eastAsia"/>
        </w:rPr>
        <w:t>（六）所有与本投标有关的函件请发往下列地址：</w:t>
      </w:r>
    </w:p>
    <w:p>
      <w:pPr>
        <w:spacing w:line="460" w:lineRule="exact"/>
      </w:pPr>
      <w:r>
        <w:rPr>
          <w:rFonts w:hint="eastAsia"/>
        </w:rPr>
        <w:t xml:space="preserve">   地址                           </w:t>
      </w:r>
    </w:p>
    <w:p>
      <w:pPr>
        <w:spacing w:line="460" w:lineRule="exact"/>
      </w:pPr>
      <w:r>
        <w:rPr>
          <w:rFonts w:hint="eastAsia"/>
        </w:rPr>
        <w:t xml:space="preserve">   电话                           </w:t>
      </w:r>
    </w:p>
    <w:p>
      <w:pPr>
        <w:spacing w:line="460" w:lineRule="exact"/>
      </w:pPr>
      <w:r>
        <w:rPr>
          <w:rFonts w:hint="eastAsia"/>
        </w:rPr>
        <w:t xml:space="preserve">   传真                           </w:t>
      </w:r>
    </w:p>
    <w:p>
      <w:pPr>
        <w:spacing w:line="460" w:lineRule="exact"/>
      </w:pPr>
      <w:r>
        <w:rPr>
          <w:rFonts w:hint="eastAsia"/>
        </w:rPr>
        <w:t xml:space="preserve">电子邮件                    </w:t>
      </w:r>
    </w:p>
    <w:p>
      <w:pPr>
        <w:spacing w:line="460" w:lineRule="exact"/>
      </w:pPr>
      <w:r>
        <w:rPr>
          <w:rFonts w:hint="eastAsia"/>
        </w:rPr>
        <w:t xml:space="preserve">              投标人名称                          授权代表                            </w:t>
      </w:r>
    </w:p>
    <w:p>
      <w:pPr>
        <w:spacing w:line="460" w:lineRule="exact"/>
      </w:pPr>
      <w:r>
        <w:rPr>
          <w:rFonts w:hint="eastAsia"/>
        </w:rPr>
        <w:t xml:space="preserve">              日期                                 公章</w:t>
      </w:r>
    </w:p>
    <w:p>
      <w:pPr>
        <w:spacing w:line="460" w:lineRule="exact"/>
      </w:pPr>
    </w:p>
    <w:p>
      <w:pPr>
        <w:spacing w:line="460" w:lineRule="exact"/>
      </w:pPr>
    </w:p>
    <w:p>
      <w:pPr>
        <w:spacing w:line="460" w:lineRule="exact"/>
      </w:pPr>
    </w:p>
    <w:p>
      <w:pPr>
        <w:spacing w:line="460" w:lineRule="exact"/>
        <w:rPr>
          <w:rFonts w:hint="eastAsia"/>
        </w:rPr>
      </w:pPr>
    </w:p>
    <w:p>
      <w:pPr>
        <w:spacing w:line="460" w:lineRule="exact"/>
      </w:pPr>
      <w:r>
        <w:rPr>
          <w:rFonts w:hint="eastAsia"/>
        </w:rPr>
        <w:t xml:space="preserve">附件二 </w:t>
      </w:r>
    </w:p>
    <w:p>
      <w:pPr>
        <w:spacing w:line="460" w:lineRule="exact"/>
        <w:jc w:val="center"/>
      </w:pPr>
      <w:r>
        <w:rPr>
          <w:rFonts w:hint="eastAsia"/>
        </w:rPr>
        <w:t>开标一览表</w:t>
      </w:r>
    </w:p>
    <w:p>
      <w:pPr>
        <w:spacing w:line="460" w:lineRule="exact"/>
      </w:pPr>
      <w:r>
        <w:rPr>
          <w:rFonts w:hint="eastAsia"/>
        </w:rPr>
        <w:t>招标编号：                                      （</w:t>
      </w:r>
      <w:r>
        <w:t>价格单位：人民币元）</w:t>
      </w:r>
    </w:p>
    <w:tbl>
      <w:tblPr>
        <w:tblStyle w:val="69"/>
        <w:tblW w:w="98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5"/>
        <w:gridCol w:w="3458"/>
        <w:gridCol w:w="1854"/>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155" w:type="dxa"/>
            <w:vAlign w:val="center"/>
          </w:tcPr>
          <w:p>
            <w:pPr>
              <w:spacing w:line="460" w:lineRule="exact"/>
              <w:jc w:val="center"/>
            </w:pPr>
            <w:r>
              <w:rPr>
                <w:rFonts w:hint="eastAsia"/>
              </w:rPr>
              <w:t>投标</w:t>
            </w:r>
            <w:r>
              <w:t>项目</w:t>
            </w:r>
          </w:p>
        </w:tc>
        <w:tc>
          <w:tcPr>
            <w:tcW w:w="3458" w:type="dxa"/>
            <w:vAlign w:val="center"/>
          </w:tcPr>
          <w:p>
            <w:pPr>
              <w:spacing w:line="460" w:lineRule="exact"/>
              <w:jc w:val="center"/>
            </w:pPr>
            <w:r>
              <w:rPr>
                <w:rFonts w:hint="eastAsia"/>
              </w:rPr>
              <w:t>完成期限</w:t>
            </w:r>
          </w:p>
        </w:tc>
        <w:tc>
          <w:tcPr>
            <w:tcW w:w="1854" w:type="dxa"/>
            <w:vAlign w:val="center"/>
          </w:tcPr>
          <w:p>
            <w:pPr>
              <w:spacing w:line="460" w:lineRule="exact"/>
              <w:jc w:val="center"/>
            </w:pPr>
            <w:r>
              <w:rPr>
                <w:rFonts w:hint="eastAsia"/>
              </w:rPr>
              <w:t>交货地点</w:t>
            </w:r>
          </w:p>
        </w:tc>
        <w:tc>
          <w:tcPr>
            <w:tcW w:w="1341" w:type="dxa"/>
            <w:vAlign w:val="center"/>
          </w:tcPr>
          <w:p>
            <w:pPr>
              <w:spacing w:line="460" w:lineRule="exact"/>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3155" w:type="dxa"/>
            <w:vAlign w:val="center"/>
          </w:tcPr>
          <w:p>
            <w:pPr>
              <w:spacing w:line="460" w:lineRule="exact"/>
            </w:pPr>
          </w:p>
        </w:tc>
        <w:tc>
          <w:tcPr>
            <w:tcW w:w="3458" w:type="dxa"/>
            <w:vAlign w:val="center"/>
          </w:tcPr>
          <w:p>
            <w:pPr>
              <w:spacing w:line="460" w:lineRule="exact"/>
              <w:jc w:val="center"/>
            </w:pPr>
            <w:r>
              <w:rPr>
                <w:rFonts w:hint="eastAsia" w:eastAsia="新宋体"/>
                <w:bCs/>
                <w:sz w:val="22"/>
                <w:szCs w:val="22"/>
              </w:rPr>
              <w:t xml:space="preserve"> </w:t>
            </w:r>
          </w:p>
        </w:tc>
        <w:tc>
          <w:tcPr>
            <w:tcW w:w="1854" w:type="dxa"/>
            <w:vAlign w:val="center"/>
          </w:tcPr>
          <w:p>
            <w:pPr>
              <w:spacing w:line="460" w:lineRule="exact"/>
            </w:pPr>
          </w:p>
        </w:tc>
        <w:tc>
          <w:tcPr>
            <w:tcW w:w="1341" w:type="dxa"/>
            <w:vAlign w:val="center"/>
          </w:tcPr>
          <w:p>
            <w:pPr>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155" w:type="dxa"/>
            <w:vAlign w:val="center"/>
          </w:tcPr>
          <w:p>
            <w:pPr>
              <w:spacing w:line="460" w:lineRule="exact"/>
            </w:pPr>
            <w:r>
              <w:rPr>
                <w:rFonts w:hint="eastAsia"/>
              </w:rPr>
              <w:t>投标总报价</w:t>
            </w:r>
            <w:r>
              <w:rPr>
                <w:rFonts w:hint="eastAsia" w:hAnsi="宋体" w:cs="宋体"/>
                <w:bCs/>
              </w:rPr>
              <w:t>（小写）</w:t>
            </w:r>
          </w:p>
        </w:tc>
        <w:tc>
          <w:tcPr>
            <w:tcW w:w="6653" w:type="dxa"/>
            <w:gridSpan w:val="3"/>
            <w:vAlign w:val="center"/>
          </w:tcPr>
          <w:p>
            <w:pPr>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155" w:type="dxa"/>
            <w:vAlign w:val="center"/>
          </w:tcPr>
          <w:p>
            <w:pPr>
              <w:spacing w:line="460" w:lineRule="exact"/>
            </w:pPr>
            <w:r>
              <w:rPr>
                <w:rFonts w:hint="eastAsia"/>
              </w:rPr>
              <w:t>投标</w:t>
            </w:r>
            <w:r>
              <w:t>总</w:t>
            </w:r>
            <w:r>
              <w:rPr>
                <w:rFonts w:hint="eastAsia"/>
              </w:rPr>
              <w:t>报</w:t>
            </w:r>
            <w:r>
              <w:t>价（大写）</w:t>
            </w:r>
          </w:p>
        </w:tc>
        <w:tc>
          <w:tcPr>
            <w:tcW w:w="6653" w:type="dxa"/>
            <w:gridSpan w:val="3"/>
            <w:vAlign w:val="center"/>
          </w:tcPr>
          <w:p>
            <w:pPr>
              <w:spacing w:line="460" w:lineRule="exact"/>
            </w:pPr>
          </w:p>
        </w:tc>
      </w:tr>
    </w:tbl>
    <w:p>
      <w:pPr>
        <w:spacing w:line="460" w:lineRule="exact"/>
      </w:pPr>
      <w:r>
        <w:rPr>
          <w:rFonts w:hint="eastAsia"/>
        </w:rPr>
        <w:t>说明：（分</w:t>
      </w:r>
      <w:r>
        <w:t>项报价要注明</w:t>
      </w:r>
      <w:r>
        <w:rPr>
          <w:rFonts w:hint="eastAsia"/>
        </w:rPr>
        <w:t>）</w:t>
      </w:r>
    </w:p>
    <w:p>
      <w:pPr>
        <w:spacing w:line="460" w:lineRule="exact"/>
      </w:pPr>
      <w:r>
        <w:rPr>
          <w:rFonts w:hint="eastAsia"/>
        </w:rPr>
        <w:t>1. “开标一览表”投标总价=附件三“（1）硬件设备分项报价表”中合计总价+（2）系统维保服务分项报价表”中合计总价。</w:t>
      </w:r>
    </w:p>
    <w:p>
      <w:pPr>
        <w:spacing w:line="460" w:lineRule="exact"/>
      </w:pPr>
      <w:r>
        <w:rPr>
          <w:rFonts w:hint="eastAsia"/>
        </w:rPr>
        <w:t>2．</w:t>
      </w:r>
      <w:r>
        <w:rPr>
          <w:rFonts w:hint="eastAsia"/>
          <w:u w:val="single"/>
        </w:rPr>
        <w:t>▲</w:t>
      </w:r>
      <w:r>
        <w:rPr>
          <w:rFonts w:hint="eastAsia"/>
          <w:b/>
          <w:bCs/>
          <w:u w:val="single"/>
        </w:rPr>
        <w:t>不提供此表格将被视为没有实质性响应招标文件</w:t>
      </w:r>
      <w:r>
        <w:rPr>
          <w:rFonts w:hint="eastAsia"/>
        </w:rPr>
        <w:t>。</w:t>
      </w:r>
    </w:p>
    <w:p>
      <w:pPr>
        <w:spacing w:line="460" w:lineRule="exact"/>
      </w:pPr>
      <w:r>
        <w:rPr>
          <w:rFonts w:hint="eastAsia"/>
        </w:rPr>
        <w:t>3．投标报价包括招标代理服务费。</w:t>
      </w:r>
    </w:p>
    <w:p>
      <w:pPr>
        <w:spacing w:line="460" w:lineRule="exact"/>
      </w:pPr>
    </w:p>
    <w:p>
      <w:pPr>
        <w:spacing w:line="460" w:lineRule="exact"/>
      </w:pPr>
    </w:p>
    <w:p>
      <w:pPr>
        <w:spacing w:line="460" w:lineRule="exact"/>
      </w:pPr>
    </w:p>
    <w:p>
      <w:pPr>
        <w:spacing w:line="460" w:lineRule="exact"/>
      </w:pPr>
    </w:p>
    <w:p>
      <w:pPr>
        <w:spacing w:line="460" w:lineRule="exact"/>
      </w:pPr>
    </w:p>
    <w:p>
      <w:pPr>
        <w:spacing w:line="460" w:lineRule="exact"/>
      </w:pPr>
    </w:p>
    <w:p>
      <w:pPr>
        <w:spacing w:line="460" w:lineRule="exact"/>
      </w:pPr>
    </w:p>
    <w:p>
      <w:pPr>
        <w:spacing w:line="460" w:lineRule="exact"/>
      </w:pPr>
    </w:p>
    <w:p>
      <w:pPr>
        <w:spacing w:line="460" w:lineRule="exact"/>
      </w:pPr>
      <w:r>
        <w:rPr>
          <w:rFonts w:hint="eastAsia"/>
        </w:rPr>
        <w:t>投标人全称（公章）：</w:t>
      </w:r>
    </w:p>
    <w:p>
      <w:pPr>
        <w:spacing w:line="460" w:lineRule="exact"/>
      </w:pPr>
      <w:r>
        <w:rPr>
          <w:rFonts w:hint="eastAsia"/>
        </w:rPr>
        <w:t>法定代表人或授权代表（签字或盖章）：</w:t>
      </w:r>
    </w:p>
    <w:p>
      <w:pPr>
        <w:spacing w:line="460" w:lineRule="exact"/>
        <w:rPr>
          <w:rFonts w:ascii="宋体" w:hAnsi="宋体"/>
          <w:bCs/>
          <w:szCs w:val="21"/>
        </w:rPr>
        <w:sectPr>
          <w:headerReference r:id="rId8" w:type="default"/>
          <w:pgSz w:w="11906" w:h="16838"/>
          <w:pgMar w:top="1134" w:right="1134" w:bottom="1134" w:left="1134" w:header="851" w:footer="992" w:gutter="0"/>
          <w:cols w:space="720" w:num="1"/>
          <w:docGrid w:linePitch="312" w:charSpace="0"/>
        </w:sectPr>
      </w:pPr>
      <w:r>
        <w:rPr>
          <w:rFonts w:hint="eastAsia"/>
        </w:rPr>
        <w:t>日期</w:t>
      </w:r>
    </w:p>
    <w:p>
      <w:pPr>
        <w:spacing w:line="460" w:lineRule="exact"/>
      </w:pPr>
      <w:r>
        <w:rPr>
          <w:rFonts w:hint="eastAsia"/>
        </w:rPr>
        <w:t>附件三</w:t>
      </w:r>
    </w:p>
    <w:p>
      <w:pPr>
        <w:spacing w:line="460" w:lineRule="exact"/>
        <w:jc w:val="center"/>
        <w:rPr>
          <w:rFonts w:ascii="黑体" w:eastAsia="黑体" w:cs="黑体"/>
          <w:b/>
          <w:color w:val="000000"/>
          <w:sz w:val="36"/>
          <w:szCs w:val="36"/>
        </w:rPr>
      </w:pPr>
      <w:r>
        <w:rPr>
          <w:rFonts w:hint="eastAsia" w:ascii="黑体" w:eastAsia="黑体" w:cs="黑体"/>
          <w:b/>
          <w:color w:val="000000"/>
          <w:sz w:val="36"/>
          <w:szCs w:val="36"/>
        </w:rPr>
        <w:t>投标分项报价表</w:t>
      </w:r>
    </w:p>
    <w:p>
      <w:pPr>
        <w:spacing w:line="460" w:lineRule="exact"/>
        <w:jc w:val="center"/>
        <w:rPr>
          <w:rFonts w:ascii="黑体" w:eastAsia="黑体" w:cs="黑体"/>
          <w:b/>
          <w:color w:val="000000"/>
          <w:sz w:val="36"/>
          <w:szCs w:val="36"/>
        </w:rPr>
      </w:pPr>
      <w:r>
        <w:rPr>
          <w:rFonts w:hint="eastAsia" w:ascii="黑体" w:eastAsia="黑体" w:cs="黑体"/>
          <w:b/>
          <w:color w:val="000000"/>
          <w:sz w:val="36"/>
          <w:szCs w:val="36"/>
        </w:rPr>
        <w:t>（</w:t>
      </w:r>
      <w:r>
        <w:rPr>
          <w:rFonts w:ascii="黑体" w:eastAsia="黑体" w:cs="黑体"/>
          <w:b/>
          <w:color w:val="000000"/>
          <w:sz w:val="36"/>
          <w:szCs w:val="36"/>
        </w:rPr>
        <w:t>1</w:t>
      </w:r>
      <w:r>
        <w:rPr>
          <w:rFonts w:hint="eastAsia" w:ascii="黑体" w:eastAsia="黑体" w:cs="黑体"/>
          <w:b/>
          <w:color w:val="000000"/>
          <w:sz w:val="36"/>
          <w:szCs w:val="36"/>
        </w:rPr>
        <w:t>）硬件设备分项报价表</w:t>
      </w:r>
    </w:p>
    <w:p>
      <w:pPr>
        <w:rPr>
          <w:b/>
          <w:color w:val="000000"/>
          <w:sz w:val="32"/>
        </w:rPr>
      </w:pPr>
      <w:r>
        <w:rPr>
          <w:rFonts w:hint="eastAsia" w:cs="宋体"/>
          <w:color w:val="000000"/>
        </w:rPr>
        <w:t>招标编号：</w:t>
      </w:r>
      <w:r>
        <w:rPr>
          <w:rFonts w:hint="eastAsia" w:ascii="宋体" w:hAnsi="宋体" w:cs="宋体"/>
          <w:color w:val="000000"/>
        </w:rPr>
        <w:t>（价格单位：人民币元）</w:t>
      </w:r>
    </w:p>
    <w:tbl>
      <w:tblPr>
        <w:tblStyle w:val="6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1605"/>
        <w:gridCol w:w="1477"/>
        <w:gridCol w:w="1570"/>
        <w:gridCol w:w="708"/>
        <w:gridCol w:w="1143"/>
        <w:gridCol w:w="1000"/>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tcBorders>
              <w:top w:val="single" w:color="auto" w:sz="12" w:space="0"/>
              <w:left w:val="single" w:color="auto" w:sz="12" w:space="0"/>
              <w:bottom w:val="single" w:color="auto" w:sz="12" w:space="0"/>
            </w:tcBorders>
            <w:vAlign w:val="center"/>
          </w:tcPr>
          <w:p>
            <w:pPr>
              <w:ind w:right="-11"/>
              <w:jc w:val="center"/>
              <w:rPr>
                <w:rFonts w:ascii="Arial" w:hAnsi="Arial" w:cs="Arial"/>
                <w:b/>
                <w:color w:val="000000"/>
              </w:rPr>
            </w:pPr>
            <w:r>
              <w:rPr>
                <w:rFonts w:hint="eastAsia" w:ascii="Arial" w:hAnsi="Arial" w:cs="Arial"/>
                <w:b/>
                <w:color w:val="000000"/>
              </w:rPr>
              <w:t>项目</w:t>
            </w:r>
          </w:p>
        </w:tc>
        <w:tc>
          <w:tcPr>
            <w:tcW w:w="1605" w:type="dxa"/>
            <w:tcBorders>
              <w:top w:val="single" w:color="auto" w:sz="12" w:space="0"/>
              <w:bottom w:val="single" w:color="auto" w:sz="12" w:space="0"/>
            </w:tcBorders>
            <w:vAlign w:val="center"/>
          </w:tcPr>
          <w:p>
            <w:pPr>
              <w:ind w:right="-11"/>
              <w:jc w:val="center"/>
              <w:rPr>
                <w:rFonts w:ascii="Arial" w:hAnsi="Arial" w:cs="Arial"/>
                <w:b/>
                <w:color w:val="000000"/>
              </w:rPr>
            </w:pPr>
            <w:r>
              <w:rPr>
                <w:rFonts w:hint="eastAsia" w:ascii="Arial" w:hAnsi="Arial" w:cs="Arial"/>
                <w:b/>
                <w:color w:val="000000"/>
              </w:rPr>
              <w:t>货物名称</w:t>
            </w:r>
          </w:p>
        </w:tc>
        <w:tc>
          <w:tcPr>
            <w:tcW w:w="1477" w:type="dxa"/>
            <w:tcBorders>
              <w:top w:val="single" w:color="auto" w:sz="12" w:space="0"/>
              <w:bottom w:val="single" w:color="auto" w:sz="12" w:space="0"/>
            </w:tcBorders>
            <w:vAlign w:val="center"/>
          </w:tcPr>
          <w:p>
            <w:pPr>
              <w:ind w:right="-11"/>
              <w:jc w:val="center"/>
              <w:rPr>
                <w:rFonts w:ascii="Arial" w:hAnsi="Arial" w:cs="Arial"/>
                <w:b/>
                <w:color w:val="000000"/>
              </w:rPr>
            </w:pPr>
            <w:r>
              <w:rPr>
                <w:rFonts w:hint="eastAsia" w:ascii="Arial" w:hAnsi="Arial" w:cs="Arial"/>
                <w:b/>
                <w:color w:val="000000"/>
              </w:rPr>
              <w:t>品牌型号规格、产地</w:t>
            </w:r>
          </w:p>
        </w:tc>
        <w:tc>
          <w:tcPr>
            <w:tcW w:w="1570" w:type="dxa"/>
            <w:tcBorders>
              <w:top w:val="single" w:color="auto" w:sz="12" w:space="0"/>
              <w:bottom w:val="single" w:color="auto" w:sz="12" w:space="0"/>
            </w:tcBorders>
            <w:vAlign w:val="center"/>
          </w:tcPr>
          <w:p>
            <w:pPr>
              <w:ind w:right="-11"/>
              <w:jc w:val="center"/>
              <w:rPr>
                <w:rFonts w:ascii="Arial" w:hAnsi="Arial" w:cs="Arial"/>
                <w:b/>
                <w:color w:val="000000"/>
              </w:rPr>
            </w:pPr>
            <w:r>
              <w:rPr>
                <w:rFonts w:hint="eastAsia" w:ascii="Arial" w:hAnsi="Arial" w:cs="Arial"/>
                <w:b/>
                <w:color w:val="000000"/>
              </w:rPr>
              <w:t>制造厂商名称</w:t>
            </w:r>
          </w:p>
        </w:tc>
        <w:tc>
          <w:tcPr>
            <w:tcW w:w="708" w:type="dxa"/>
            <w:tcBorders>
              <w:top w:val="single" w:color="auto" w:sz="12" w:space="0"/>
              <w:bottom w:val="single" w:color="auto" w:sz="12" w:space="0"/>
            </w:tcBorders>
            <w:vAlign w:val="center"/>
          </w:tcPr>
          <w:p>
            <w:pPr>
              <w:ind w:right="-11"/>
              <w:jc w:val="center"/>
              <w:rPr>
                <w:rFonts w:ascii="Arial" w:hAnsi="Arial" w:cs="Arial"/>
                <w:b/>
                <w:color w:val="000000"/>
              </w:rPr>
            </w:pPr>
            <w:r>
              <w:rPr>
                <w:rFonts w:hint="eastAsia" w:ascii="Arial" w:hAnsi="Arial" w:cs="Arial"/>
                <w:b/>
                <w:color w:val="000000"/>
              </w:rPr>
              <w:t>数量</w:t>
            </w:r>
          </w:p>
        </w:tc>
        <w:tc>
          <w:tcPr>
            <w:tcW w:w="1143" w:type="dxa"/>
            <w:tcBorders>
              <w:top w:val="single" w:color="auto" w:sz="12" w:space="0"/>
              <w:bottom w:val="single" w:color="auto" w:sz="12" w:space="0"/>
            </w:tcBorders>
            <w:vAlign w:val="center"/>
          </w:tcPr>
          <w:p>
            <w:pPr>
              <w:ind w:right="-11"/>
              <w:jc w:val="center"/>
              <w:rPr>
                <w:rFonts w:ascii="Arial" w:hAnsi="Arial" w:cs="Arial"/>
                <w:b/>
                <w:color w:val="000000"/>
              </w:rPr>
            </w:pPr>
            <w:r>
              <w:rPr>
                <w:rFonts w:hint="eastAsia" w:ascii="Arial" w:hAnsi="Arial" w:cs="Arial"/>
                <w:b/>
                <w:color w:val="000000"/>
              </w:rPr>
              <w:t>出厂单价</w:t>
            </w:r>
          </w:p>
          <w:p>
            <w:pPr>
              <w:ind w:right="-11"/>
              <w:jc w:val="center"/>
              <w:rPr>
                <w:rFonts w:ascii="Arial" w:hAnsi="Arial" w:cs="Arial"/>
                <w:color w:val="000000"/>
              </w:rPr>
            </w:pPr>
            <w:r>
              <w:rPr>
                <w:rFonts w:hint="eastAsia" w:ascii="Arial" w:hAnsi="Arial" w:cs="Arial"/>
                <w:color w:val="000000"/>
              </w:rPr>
              <w:t>（含税）</w:t>
            </w:r>
          </w:p>
        </w:tc>
        <w:tc>
          <w:tcPr>
            <w:tcW w:w="1000" w:type="dxa"/>
            <w:tcBorders>
              <w:top w:val="single" w:color="auto" w:sz="12" w:space="0"/>
              <w:bottom w:val="single" w:color="auto" w:sz="12" w:space="0"/>
            </w:tcBorders>
            <w:vAlign w:val="center"/>
          </w:tcPr>
          <w:p>
            <w:pPr>
              <w:ind w:right="-11"/>
              <w:jc w:val="center"/>
              <w:rPr>
                <w:rFonts w:ascii="Arial" w:hAnsi="Arial" w:cs="Arial"/>
                <w:b/>
                <w:color w:val="000000"/>
              </w:rPr>
            </w:pPr>
            <w:r>
              <w:rPr>
                <w:rFonts w:hint="eastAsia" w:ascii="Arial" w:hAnsi="Arial" w:cs="Arial"/>
                <w:b/>
                <w:color w:val="000000"/>
              </w:rPr>
              <w:t>总价</w:t>
            </w:r>
          </w:p>
          <w:p>
            <w:pPr>
              <w:ind w:right="-11"/>
              <w:jc w:val="center"/>
              <w:rPr>
                <w:rFonts w:ascii="Arial" w:hAnsi="Arial" w:cs="Arial"/>
                <w:color w:val="000000"/>
              </w:rPr>
            </w:pPr>
            <w:r>
              <w:rPr>
                <w:rFonts w:hint="eastAsia" w:ascii="Arial" w:hAnsi="Arial" w:cs="Arial"/>
                <w:color w:val="000000"/>
              </w:rPr>
              <w:t>（含税）</w:t>
            </w:r>
          </w:p>
        </w:tc>
        <w:tc>
          <w:tcPr>
            <w:tcW w:w="1159" w:type="dxa"/>
            <w:tcBorders>
              <w:top w:val="single" w:color="auto" w:sz="12" w:space="0"/>
              <w:bottom w:val="single" w:color="auto" w:sz="12" w:space="0"/>
              <w:right w:val="single" w:color="auto" w:sz="12" w:space="0"/>
            </w:tcBorders>
            <w:vAlign w:val="center"/>
          </w:tcPr>
          <w:p>
            <w:pPr>
              <w:ind w:right="-11"/>
              <w:jc w:val="center"/>
              <w:rPr>
                <w:rFonts w:ascii="Arial" w:hAnsi="Arial" w:cs="Arial"/>
                <w:b/>
                <w:color w:val="000000"/>
              </w:rPr>
            </w:pPr>
            <w:r>
              <w:rPr>
                <w:rFonts w:hint="eastAsia" w:ascii="Arial" w:hAnsi="Arial" w:cs="Arial"/>
                <w:b/>
                <w:color w:val="000000"/>
              </w:rPr>
              <w:t>免费</w:t>
            </w:r>
          </w:p>
          <w:p>
            <w:pPr>
              <w:ind w:right="-11"/>
              <w:jc w:val="center"/>
              <w:rPr>
                <w:rFonts w:ascii="Arial" w:hAnsi="Arial" w:cs="Arial"/>
                <w:b/>
                <w:color w:val="000000"/>
              </w:rPr>
            </w:pPr>
            <w:r>
              <w:rPr>
                <w:rFonts w:hint="eastAsia" w:ascii="Arial" w:hAnsi="Arial" w:cs="Arial"/>
                <w:b/>
                <w:color w:val="000000"/>
              </w:rPr>
              <w:t>保修期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tcBorders>
              <w:left w:val="single" w:color="auto" w:sz="12" w:space="0"/>
            </w:tcBorders>
            <w:vAlign w:val="center"/>
          </w:tcPr>
          <w:p>
            <w:pPr>
              <w:ind w:right="-11"/>
              <w:jc w:val="center"/>
              <w:rPr>
                <w:rFonts w:ascii="Arial" w:hAnsi="Arial" w:cs="Arial"/>
                <w:color w:val="000000"/>
              </w:rPr>
            </w:pPr>
          </w:p>
        </w:tc>
        <w:tc>
          <w:tcPr>
            <w:tcW w:w="1605" w:type="dxa"/>
            <w:vAlign w:val="center"/>
          </w:tcPr>
          <w:p>
            <w:pPr>
              <w:rPr>
                <w:rFonts w:ascii="Arial" w:hAnsi="Arial" w:cs="Arial"/>
                <w:color w:val="000000"/>
              </w:rPr>
            </w:pPr>
          </w:p>
        </w:tc>
        <w:tc>
          <w:tcPr>
            <w:tcW w:w="1477" w:type="dxa"/>
            <w:vAlign w:val="center"/>
          </w:tcPr>
          <w:p>
            <w:pPr>
              <w:jc w:val="center"/>
              <w:rPr>
                <w:rFonts w:ascii="Arial" w:hAnsi="Arial" w:cs="Arial"/>
                <w:color w:val="000000"/>
              </w:rPr>
            </w:pPr>
          </w:p>
        </w:tc>
        <w:tc>
          <w:tcPr>
            <w:tcW w:w="1570" w:type="dxa"/>
            <w:vAlign w:val="center"/>
          </w:tcPr>
          <w:p>
            <w:pPr>
              <w:ind w:right="-11"/>
              <w:jc w:val="center"/>
              <w:rPr>
                <w:rFonts w:ascii="Arial" w:hAnsi="Arial" w:cs="Arial"/>
                <w:color w:val="000000"/>
              </w:rPr>
            </w:pPr>
          </w:p>
        </w:tc>
        <w:tc>
          <w:tcPr>
            <w:tcW w:w="708" w:type="dxa"/>
            <w:vAlign w:val="center"/>
          </w:tcPr>
          <w:p>
            <w:pPr>
              <w:jc w:val="center"/>
              <w:rPr>
                <w:rFonts w:ascii="Arial" w:hAnsi="Arial" w:cs="Arial"/>
                <w:color w:val="000000"/>
              </w:rPr>
            </w:pPr>
          </w:p>
        </w:tc>
        <w:tc>
          <w:tcPr>
            <w:tcW w:w="1143" w:type="dxa"/>
            <w:vAlign w:val="center"/>
          </w:tcPr>
          <w:p>
            <w:pPr>
              <w:ind w:right="-11"/>
              <w:jc w:val="center"/>
              <w:rPr>
                <w:rFonts w:ascii="Arial" w:hAnsi="Arial" w:cs="Arial"/>
                <w:color w:val="000000"/>
              </w:rPr>
            </w:pPr>
          </w:p>
        </w:tc>
        <w:tc>
          <w:tcPr>
            <w:tcW w:w="1000" w:type="dxa"/>
            <w:vAlign w:val="center"/>
          </w:tcPr>
          <w:p>
            <w:pPr>
              <w:ind w:right="-11"/>
              <w:jc w:val="center"/>
              <w:rPr>
                <w:rFonts w:ascii="Arial" w:hAnsi="Arial" w:cs="Arial"/>
                <w:color w:val="000000"/>
              </w:rPr>
            </w:pPr>
          </w:p>
        </w:tc>
        <w:tc>
          <w:tcPr>
            <w:tcW w:w="1159" w:type="dxa"/>
            <w:tcBorders>
              <w:right w:val="single" w:color="auto" w:sz="12" w:space="0"/>
            </w:tcBorders>
            <w:vAlign w:val="center"/>
          </w:tcPr>
          <w:p>
            <w:pPr>
              <w:ind w:right="-11"/>
              <w:jc w:val="center"/>
              <w:rPr>
                <w:rFonts w:ascii="Arial" w:hAnsi="Arial" w:cs="Ari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tcBorders>
              <w:left w:val="single" w:color="auto" w:sz="12" w:space="0"/>
            </w:tcBorders>
            <w:vAlign w:val="center"/>
          </w:tcPr>
          <w:p>
            <w:pPr>
              <w:ind w:right="-11"/>
              <w:jc w:val="center"/>
              <w:rPr>
                <w:rFonts w:ascii="Arial" w:hAnsi="Arial" w:cs="Arial"/>
                <w:color w:val="000000"/>
              </w:rPr>
            </w:pPr>
          </w:p>
        </w:tc>
        <w:tc>
          <w:tcPr>
            <w:tcW w:w="1605" w:type="dxa"/>
            <w:vAlign w:val="center"/>
          </w:tcPr>
          <w:p>
            <w:pPr>
              <w:rPr>
                <w:rFonts w:ascii="Arial" w:hAnsi="Arial" w:cs="Arial"/>
                <w:color w:val="000000"/>
              </w:rPr>
            </w:pPr>
          </w:p>
        </w:tc>
        <w:tc>
          <w:tcPr>
            <w:tcW w:w="1477" w:type="dxa"/>
            <w:vAlign w:val="center"/>
          </w:tcPr>
          <w:p>
            <w:pPr>
              <w:jc w:val="center"/>
              <w:rPr>
                <w:rFonts w:ascii="Arial" w:hAnsi="Arial" w:cs="Arial"/>
                <w:color w:val="000000"/>
              </w:rPr>
            </w:pPr>
          </w:p>
        </w:tc>
        <w:tc>
          <w:tcPr>
            <w:tcW w:w="1570" w:type="dxa"/>
            <w:vAlign w:val="center"/>
          </w:tcPr>
          <w:p>
            <w:pPr>
              <w:ind w:right="-11"/>
              <w:jc w:val="center"/>
              <w:rPr>
                <w:rFonts w:ascii="Arial" w:hAnsi="Arial" w:cs="Arial"/>
                <w:color w:val="000000"/>
              </w:rPr>
            </w:pPr>
          </w:p>
        </w:tc>
        <w:tc>
          <w:tcPr>
            <w:tcW w:w="708" w:type="dxa"/>
            <w:vAlign w:val="center"/>
          </w:tcPr>
          <w:p>
            <w:pPr>
              <w:jc w:val="center"/>
              <w:rPr>
                <w:rFonts w:ascii="Arial" w:hAnsi="Arial" w:cs="Arial"/>
                <w:color w:val="000000"/>
              </w:rPr>
            </w:pPr>
          </w:p>
        </w:tc>
        <w:tc>
          <w:tcPr>
            <w:tcW w:w="1143" w:type="dxa"/>
            <w:vAlign w:val="center"/>
          </w:tcPr>
          <w:p>
            <w:pPr>
              <w:ind w:right="-11"/>
              <w:jc w:val="center"/>
              <w:rPr>
                <w:rFonts w:ascii="Arial" w:hAnsi="Arial" w:cs="Arial"/>
                <w:color w:val="000000"/>
              </w:rPr>
            </w:pPr>
          </w:p>
        </w:tc>
        <w:tc>
          <w:tcPr>
            <w:tcW w:w="1000" w:type="dxa"/>
            <w:vAlign w:val="center"/>
          </w:tcPr>
          <w:p>
            <w:pPr>
              <w:ind w:right="-11"/>
              <w:jc w:val="center"/>
              <w:rPr>
                <w:rFonts w:ascii="Arial" w:hAnsi="Arial" w:cs="Arial"/>
                <w:color w:val="000000"/>
              </w:rPr>
            </w:pPr>
          </w:p>
        </w:tc>
        <w:tc>
          <w:tcPr>
            <w:tcW w:w="1159" w:type="dxa"/>
            <w:tcBorders>
              <w:right w:val="single" w:color="auto" w:sz="12" w:space="0"/>
            </w:tcBorders>
            <w:vAlign w:val="center"/>
          </w:tcPr>
          <w:p>
            <w:pPr>
              <w:ind w:right="-11"/>
              <w:jc w:val="center"/>
              <w:rPr>
                <w:rFonts w:ascii="Arial" w:hAnsi="Arial" w:cs="Ari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tcBorders>
              <w:left w:val="single" w:color="auto" w:sz="12" w:space="0"/>
            </w:tcBorders>
            <w:vAlign w:val="center"/>
          </w:tcPr>
          <w:p>
            <w:pPr>
              <w:ind w:right="-11"/>
              <w:jc w:val="center"/>
              <w:rPr>
                <w:rFonts w:ascii="Arial" w:hAnsi="Arial" w:cs="Arial"/>
                <w:color w:val="000000"/>
              </w:rPr>
            </w:pPr>
          </w:p>
        </w:tc>
        <w:tc>
          <w:tcPr>
            <w:tcW w:w="1605" w:type="dxa"/>
            <w:vAlign w:val="center"/>
          </w:tcPr>
          <w:p>
            <w:pPr>
              <w:rPr>
                <w:rFonts w:ascii="Arial" w:hAnsi="Arial" w:cs="Arial"/>
                <w:color w:val="000000"/>
              </w:rPr>
            </w:pPr>
          </w:p>
        </w:tc>
        <w:tc>
          <w:tcPr>
            <w:tcW w:w="1477" w:type="dxa"/>
            <w:vAlign w:val="center"/>
          </w:tcPr>
          <w:p>
            <w:pPr>
              <w:jc w:val="center"/>
              <w:rPr>
                <w:rFonts w:ascii="Arial" w:hAnsi="Arial" w:cs="Arial"/>
                <w:color w:val="000000"/>
              </w:rPr>
            </w:pPr>
          </w:p>
        </w:tc>
        <w:tc>
          <w:tcPr>
            <w:tcW w:w="1570" w:type="dxa"/>
            <w:vAlign w:val="center"/>
          </w:tcPr>
          <w:p>
            <w:pPr>
              <w:ind w:right="-11"/>
              <w:jc w:val="center"/>
              <w:rPr>
                <w:rFonts w:ascii="Arial" w:hAnsi="Arial" w:cs="Arial"/>
                <w:color w:val="000000"/>
              </w:rPr>
            </w:pPr>
          </w:p>
        </w:tc>
        <w:tc>
          <w:tcPr>
            <w:tcW w:w="708" w:type="dxa"/>
            <w:vAlign w:val="center"/>
          </w:tcPr>
          <w:p>
            <w:pPr>
              <w:jc w:val="center"/>
              <w:rPr>
                <w:rFonts w:ascii="Arial" w:hAnsi="Arial" w:cs="Arial"/>
                <w:color w:val="000000"/>
              </w:rPr>
            </w:pPr>
          </w:p>
        </w:tc>
        <w:tc>
          <w:tcPr>
            <w:tcW w:w="1143" w:type="dxa"/>
            <w:vAlign w:val="center"/>
          </w:tcPr>
          <w:p>
            <w:pPr>
              <w:ind w:right="-11"/>
              <w:jc w:val="center"/>
              <w:rPr>
                <w:rFonts w:ascii="Arial" w:hAnsi="Arial" w:cs="Arial"/>
                <w:color w:val="000000"/>
              </w:rPr>
            </w:pPr>
          </w:p>
        </w:tc>
        <w:tc>
          <w:tcPr>
            <w:tcW w:w="1000" w:type="dxa"/>
            <w:vAlign w:val="center"/>
          </w:tcPr>
          <w:p>
            <w:pPr>
              <w:ind w:right="-11"/>
              <w:jc w:val="center"/>
              <w:rPr>
                <w:rFonts w:ascii="Arial" w:hAnsi="Arial" w:cs="Arial"/>
                <w:color w:val="000000"/>
              </w:rPr>
            </w:pPr>
          </w:p>
        </w:tc>
        <w:tc>
          <w:tcPr>
            <w:tcW w:w="1159" w:type="dxa"/>
            <w:tcBorders>
              <w:right w:val="single" w:color="auto" w:sz="12" w:space="0"/>
            </w:tcBorders>
            <w:vAlign w:val="center"/>
          </w:tcPr>
          <w:p>
            <w:pPr>
              <w:ind w:right="-11"/>
              <w:jc w:val="center"/>
              <w:rPr>
                <w:rFonts w:ascii="Arial" w:hAnsi="Arial" w:cs="Ari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tcBorders>
              <w:left w:val="single" w:color="auto" w:sz="12" w:space="0"/>
            </w:tcBorders>
            <w:vAlign w:val="center"/>
          </w:tcPr>
          <w:p>
            <w:pPr>
              <w:ind w:right="-11"/>
              <w:jc w:val="center"/>
              <w:rPr>
                <w:rFonts w:ascii="Arial" w:hAnsi="Arial" w:cs="Arial"/>
                <w:color w:val="000000"/>
              </w:rPr>
            </w:pPr>
          </w:p>
        </w:tc>
        <w:tc>
          <w:tcPr>
            <w:tcW w:w="1605" w:type="dxa"/>
            <w:vAlign w:val="center"/>
          </w:tcPr>
          <w:p>
            <w:pPr>
              <w:rPr>
                <w:rFonts w:ascii="Arial" w:hAnsi="Arial" w:cs="Arial"/>
                <w:color w:val="000000"/>
              </w:rPr>
            </w:pPr>
          </w:p>
        </w:tc>
        <w:tc>
          <w:tcPr>
            <w:tcW w:w="1477" w:type="dxa"/>
            <w:vAlign w:val="center"/>
          </w:tcPr>
          <w:p>
            <w:pPr>
              <w:jc w:val="center"/>
              <w:rPr>
                <w:rFonts w:ascii="Arial" w:hAnsi="Arial" w:cs="Arial"/>
                <w:color w:val="000000"/>
              </w:rPr>
            </w:pPr>
          </w:p>
        </w:tc>
        <w:tc>
          <w:tcPr>
            <w:tcW w:w="1570" w:type="dxa"/>
            <w:vAlign w:val="center"/>
          </w:tcPr>
          <w:p>
            <w:pPr>
              <w:ind w:right="-11"/>
              <w:jc w:val="center"/>
              <w:rPr>
                <w:rFonts w:ascii="Arial" w:hAnsi="Arial" w:cs="Arial"/>
                <w:color w:val="000000"/>
              </w:rPr>
            </w:pPr>
          </w:p>
        </w:tc>
        <w:tc>
          <w:tcPr>
            <w:tcW w:w="708" w:type="dxa"/>
            <w:vAlign w:val="center"/>
          </w:tcPr>
          <w:p>
            <w:pPr>
              <w:rPr>
                <w:rFonts w:ascii="Arial" w:hAnsi="Arial" w:cs="Arial"/>
                <w:color w:val="000000"/>
              </w:rPr>
            </w:pPr>
          </w:p>
        </w:tc>
        <w:tc>
          <w:tcPr>
            <w:tcW w:w="1143" w:type="dxa"/>
            <w:vAlign w:val="center"/>
          </w:tcPr>
          <w:p>
            <w:pPr>
              <w:ind w:right="-11"/>
              <w:jc w:val="center"/>
              <w:rPr>
                <w:rFonts w:ascii="Arial" w:hAnsi="Arial" w:cs="Arial"/>
                <w:color w:val="000000"/>
              </w:rPr>
            </w:pPr>
          </w:p>
        </w:tc>
        <w:tc>
          <w:tcPr>
            <w:tcW w:w="1000" w:type="dxa"/>
            <w:vAlign w:val="center"/>
          </w:tcPr>
          <w:p>
            <w:pPr>
              <w:ind w:right="-11"/>
              <w:jc w:val="center"/>
              <w:rPr>
                <w:rFonts w:ascii="Arial" w:hAnsi="Arial" w:cs="Arial"/>
                <w:color w:val="000000"/>
              </w:rPr>
            </w:pPr>
          </w:p>
        </w:tc>
        <w:tc>
          <w:tcPr>
            <w:tcW w:w="1159" w:type="dxa"/>
            <w:tcBorders>
              <w:right w:val="single" w:color="auto" w:sz="12" w:space="0"/>
            </w:tcBorders>
            <w:vAlign w:val="center"/>
          </w:tcPr>
          <w:p>
            <w:pPr>
              <w:ind w:right="-11"/>
              <w:jc w:val="center"/>
              <w:rPr>
                <w:rFonts w:ascii="Arial" w:hAnsi="Arial" w:cs="Ari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tcBorders>
              <w:left w:val="single" w:color="auto" w:sz="12" w:space="0"/>
            </w:tcBorders>
            <w:vAlign w:val="center"/>
          </w:tcPr>
          <w:p>
            <w:pPr>
              <w:ind w:right="-11"/>
              <w:jc w:val="center"/>
              <w:rPr>
                <w:rFonts w:ascii="Arial" w:hAnsi="Arial" w:cs="Arial"/>
                <w:color w:val="000000"/>
              </w:rPr>
            </w:pPr>
          </w:p>
        </w:tc>
        <w:tc>
          <w:tcPr>
            <w:tcW w:w="1605" w:type="dxa"/>
            <w:vAlign w:val="center"/>
          </w:tcPr>
          <w:p>
            <w:pPr>
              <w:rPr>
                <w:rFonts w:ascii="Arial" w:hAnsi="Arial" w:cs="Arial"/>
                <w:color w:val="000000"/>
              </w:rPr>
            </w:pPr>
          </w:p>
        </w:tc>
        <w:tc>
          <w:tcPr>
            <w:tcW w:w="1477" w:type="dxa"/>
            <w:vAlign w:val="center"/>
          </w:tcPr>
          <w:p>
            <w:pPr>
              <w:jc w:val="center"/>
              <w:rPr>
                <w:rFonts w:ascii="Arial" w:hAnsi="Arial" w:cs="Arial"/>
                <w:color w:val="000000"/>
              </w:rPr>
            </w:pPr>
          </w:p>
        </w:tc>
        <w:tc>
          <w:tcPr>
            <w:tcW w:w="1570" w:type="dxa"/>
            <w:vAlign w:val="center"/>
          </w:tcPr>
          <w:p>
            <w:pPr>
              <w:ind w:right="-11"/>
              <w:jc w:val="center"/>
              <w:rPr>
                <w:rFonts w:ascii="Arial" w:hAnsi="Arial" w:cs="Arial"/>
                <w:color w:val="000000"/>
              </w:rPr>
            </w:pPr>
          </w:p>
        </w:tc>
        <w:tc>
          <w:tcPr>
            <w:tcW w:w="708" w:type="dxa"/>
            <w:vAlign w:val="center"/>
          </w:tcPr>
          <w:p>
            <w:pPr>
              <w:jc w:val="center"/>
              <w:rPr>
                <w:rFonts w:ascii="Arial" w:hAnsi="Arial" w:cs="Arial"/>
                <w:color w:val="000000"/>
              </w:rPr>
            </w:pPr>
          </w:p>
        </w:tc>
        <w:tc>
          <w:tcPr>
            <w:tcW w:w="1143" w:type="dxa"/>
            <w:vAlign w:val="center"/>
          </w:tcPr>
          <w:p>
            <w:pPr>
              <w:ind w:right="-11"/>
              <w:jc w:val="center"/>
              <w:rPr>
                <w:rFonts w:ascii="Arial" w:hAnsi="Arial" w:cs="Arial"/>
                <w:color w:val="000000"/>
              </w:rPr>
            </w:pPr>
          </w:p>
        </w:tc>
        <w:tc>
          <w:tcPr>
            <w:tcW w:w="1000" w:type="dxa"/>
            <w:vAlign w:val="center"/>
          </w:tcPr>
          <w:p>
            <w:pPr>
              <w:ind w:right="-11"/>
              <w:jc w:val="center"/>
              <w:rPr>
                <w:rFonts w:ascii="Arial" w:hAnsi="Arial" w:cs="Arial"/>
                <w:color w:val="000000"/>
              </w:rPr>
            </w:pPr>
          </w:p>
        </w:tc>
        <w:tc>
          <w:tcPr>
            <w:tcW w:w="1159" w:type="dxa"/>
            <w:tcBorders>
              <w:right w:val="single" w:color="auto" w:sz="12" w:space="0"/>
            </w:tcBorders>
            <w:vAlign w:val="center"/>
          </w:tcPr>
          <w:p>
            <w:pPr>
              <w:ind w:right="-11"/>
              <w:jc w:val="center"/>
              <w:rPr>
                <w:rFonts w:ascii="Arial" w:hAnsi="Arial" w:cs="Ari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tcBorders>
              <w:left w:val="single" w:color="auto" w:sz="12" w:space="0"/>
            </w:tcBorders>
            <w:vAlign w:val="center"/>
          </w:tcPr>
          <w:p>
            <w:pPr>
              <w:ind w:right="-11"/>
              <w:jc w:val="center"/>
              <w:rPr>
                <w:rFonts w:ascii="Arial" w:hAnsi="Arial" w:cs="Arial"/>
                <w:color w:val="000000"/>
              </w:rPr>
            </w:pPr>
          </w:p>
        </w:tc>
        <w:tc>
          <w:tcPr>
            <w:tcW w:w="1605" w:type="dxa"/>
            <w:vAlign w:val="center"/>
          </w:tcPr>
          <w:p>
            <w:pPr>
              <w:rPr>
                <w:rFonts w:ascii="Arial" w:hAnsi="Arial" w:cs="Arial"/>
                <w:color w:val="000000"/>
              </w:rPr>
            </w:pPr>
          </w:p>
        </w:tc>
        <w:tc>
          <w:tcPr>
            <w:tcW w:w="1477" w:type="dxa"/>
            <w:vAlign w:val="center"/>
          </w:tcPr>
          <w:p>
            <w:pPr>
              <w:jc w:val="center"/>
              <w:rPr>
                <w:rFonts w:ascii="Arial" w:hAnsi="Arial" w:cs="Arial"/>
                <w:color w:val="000000"/>
              </w:rPr>
            </w:pPr>
          </w:p>
        </w:tc>
        <w:tc>
          <w:tcPr>
            <w:tcW w:w="1570" w:type="dxa"/>
            <w:vAlign w:val="center"/>
          </w:tcPr>
          <w:p>
            <w:pPr>
              <w:ind w:right="-11"/>
              <w:jc w:val="center"/>
              <w:rPr>
                <w:rFonts w:ascii="Arial" w:hAnsi="Arial" w:cs="Arial"/>
                <w:color w:val="000000"/>
              </w:rPr>
            </w:pPr>
          </w:p>
        </w:tc>
        <w:tc>
          <w:tcPr>
            <w:tcW w:w="708" w:type="dxa"/>
            <w:vAlign w:val="center"/>
          </w:tcPr>
          <w:p>
            <w:pPr>
              <w:jc w:val="center"/>
              <w:rPr>
                <w:rFonts w:ascii="Arial" w:hAnsi="Arial" w:cs="Arial"/>
                <w:color w:val="000000"/>
              </w:rPr>
            </w:pPr>
          </w:p>
        </w:tc>
        <w:tc>
          <w:tcPr>
            <w:tcW w:w="1143" w:type="dxa"/>
            <w:vAlign w:val="center"/>
          </w:tcPr>
          <w:p>
            <w:pPr>
              <w:ind w:right="-11"/>
              <w:jc w:val="center"/>
              <w:rPr>
                <w:rFonts w:ascii="Arial" w:hAnsi="Arial" w:cs="Arial"/>
                <w:color w:val="000000"/>
              </w:rPr>
            </w:pPr>
          </w:p>
        </w:tc>
        <w:tc>
          <w:tcPr>
            <w:tcW w:w="1000" w:type="dxa"/>
            <w:vAlign w:val="center"/>
          </w:tcPr>
          <w:p>
            <w:pPr>
              <w:ind w:right="-11"/>
              <w:jc w:val="center"/>
              <w:rPr>
                <w:rFonts w:ascii="Arial" w:hAnsi="Arial" w:cs="Arial"/>
                <w:color w:val="000000"/>
              </w:rPr>
            </w:pPr>
          </w:p>
        </w:tc>
        <w:tc>
          <w:tcPr>
            <w:tcW w:w="1159" w:type="dxa"/>
            <w:tcBorders>
              <w:right w:val="single" w:color="auto" w:sz="12" w:space="0"/>
            </w:tcBorders>
            <w:vAlign w:val="center"/>
          </w:tcPr>
          <w:p>
            <w:pPr>
              <w:ind w:right="-11"/>
              <w:jc w:val="center"/>
              <w:rPr>
                <w:rFonts w:ascii="Arial" w:hAnsi="Arial" w:cs="Ari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tcBorders>
              <w:left w:val="single" w:color="auto" w:sz="12" w:space="0"/>
            </w:tcBorders>
            <w:vAlign w:val="center"/>
          </w:tcPr>
          <w:p>
            <w:pPr>
              <w:ind w:right="-11"/>
              <w:jc w:val="center"/>
              <w:rPr>
                <w:rFonts w:ascii="Arial" w:hAnsi="Arial" w:cs="Arial"/>
                <w:color w:val="000000"/>
              </w:rPr>
            </w:pPr>
          </w:p>
        </w:tc>
        <w:tc>
          <w:tcPr>
            <w:tcW w:w="1605" w:type="dxa"/>
            <w:vAlign w:val="center"/>
          </w:tcPr>
          <w:p>
            <w:pPr>
              <w:rPr>
                <w:rFonts w:ascii="Arial" w:hAnsi="Arial" w:cs="Arial"/>
                <w:color w:val="000000"/>
              </w:rPr>
            </w:pPr>
          </w:p>
        </w:tc>
        <w:tc>
          <w:tcPr>
            <w:tcW w:w="1477" w:type="dxa"/>
            <w:vAlign w:val="center"/>
          </w:tcPr>
          <w:p>
            <w:pPr>
              <w:jc w:val="center"/>
              <w:rPr>
                <w:rFonts w:ascii="Arial" w:hAnsi="Arial" w:cs="Arial"/>
                <w:color w:val="000000"/>
              </w:rPr>
            </w:pPr>
          </w:p>
        </w:tc>
        <w:tc>
          <w:tcPr>
            <w:tcW w:w="1570" w:type="dxa"/>
            <w:vAlign w:val="center"/>
          </w:tcPr>
          <w:p>
            <w:pPr>
              <w:ind w:right="-11"/>
              <w:jc w:val="center"/>
              <w:rPr>
                <w:rFonts w:ascii="Arial" w:hAnsi="Arial" w:cs="Arial"/>
                <w:color w:val="000000"/>
              </w:rPr>
            </w:pPr>
          </w:p>
        </w:tc>
        <w:tc>
          <w:tcPr>
            <w:tcW w:w="708" w:type="dxa"/>
            <w:vAlign w:val="center"/>
          </w:tcPr>
          <w:p>
            <w:pPr>
              <w:jc w:val="center"/>
              <w:rPr>
                <w:rFonts w:ascii="Arial" w:hAnsi="Arial" w:cs="Arial"/>
                <w:color w:val="000000"/>
              </w:rPr>
            </w:pPr>
          </w:p>
        </w:tc>
        <w:tc>
          <w:tcPr>
            <w:tcW w:w="1143" w:type="dxa"/>
            <w:vAlign w:val="center"/>
          </w:tcPr>
          <w:p>
            <w:pPr>
              <w:ind w:right="-11"/>
              <w:jc w:val="center"/>
              <w:rPr>
                <w:rFonts w:ascii="Arial" w:hAnsi="Arial" w:cs="Arial"/>
                <w:color w:val="000000"/>
              </w:rPr>
            </w:pPr>
          </w:p>
        </w:tc>
        <w:tc>
          <w:tcPr>
            <w:tcW w:w="1000" w:type="dxa"/>
            <w:vAlign w:val="center"/>
          </w:tcPr>
          <w:p>
            <w:pPr>
              <w:ind w:right="-11"/>
              <w:jc w:val="center"/>
              <w:rPr>
                <w:rFonts w:ascii="Arial" w:hAnsi="Arial" w:cs="Arial"/>
                <w:color w:val="000000"/>
              </w:rPr>
            </w:pPr>
          </w:p>
        </w:tc>
        <w:tc>
          <w:tcPr>
            <w:tcW w:w="1159" w:type="dxa"/>
            <w:tcBorders>
              <w:right w:val="single" w:color="auto" w:sz="12" w:space="0"/>
            </w:tcBorders>
            <w:vAlign w:val="center"/>
          </w:tcPr>
          <w:p>
            <w:pPr>
              <w:ind w:right="-11"/>
              <w:jc w:val="center"/>
              <w:rPr>
                <w:rFonts w:ascii="Arial" w:hAnsi="Arial" w:cs="Ari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tcBorders>
              <w:left w:val="single" w:color="auto" w:sz="12" w:space="0"/>
            </w:tcBorders>
            <w:vAlign w:val="center"/>
          </w:tcPr>
          <w:p>
            <w:pPr>
              <w:ind w:right="-11"/>
              <w:jc w:val="center"/>
              <w:rPr>
                <w:rFonts w:ascii="Arial" w:hAnsi="Arial" w:cs="Arial"/>
                <w:color w:val="000000"/>
              </w:rPr>
            </w:pPr>
          </w:p>
        </w:tc>
        <w:tc>
          <w:tcPr>
            <w:tcW w:w="1605" w:type="dxa"/>
            <w:vAlign w:val="center"/>
          </w:tcPr>
          <w:p>
            <w:pPr>
              <w:rPr>
                <w:rFonts w:ascii="Arial" w:hAnsi="Arial" w:cs="Arial"/>
                <w:color w:val="000000"/>
              </w:rPr>
            </w:pPr>
          </w:p>
        </w:tc>
        <w:tc>
          <w:tcPr>
            <w:tcW w:w="1477" w:type="dxa"/>
            <w:vAlign w:val="center"/>
          </w:tcPr>
          <w:p>
            <w:pPr>
              <w:jc w:val="center"/>
              <w:rPr>
                <w:rFonts w:ascii="Arial" w:hAnsi="Arial" w:cs="Arial"/>
                <w:color w:val="000000"/>
              </w:rPr>
            </w:pPr>
          </w:p>
        </w:tc>
        <w:tc>
          <w:tcPr>
            <w:tcW w:w="1570" w:type="dxa"/>
            <w:vAlign w:val="center"/>
          </w:tcPr>
          <w:p>
            <w:pPr>
              <w:ind w:right="-11"/>
              <w:jc w:val="center"/>
              <w:rPr>
                <w:rFonts w:ascii="Arial" w:hAnsi="Arial" w:cs="Arial"/>
                <w:color w:val="000000"/>
              </w:rPr>
            </w:pPr>
          </w:p>
        </w:tc>
        <w:tc>
          <w:tcPr>
            <w:tcW w:w="708" w:type="dxa"/>
            <w:vAlign w:val="center"/>
          </w:tcPr>
          <w:p>
            <w:pPr>
              <w:jc w:val="center"/>
              <w:rPr>
                <w:rFonts w:ascii="Arial" w:hAnsi="Arial" w:cs="Arial"/>
                <w:color w:val="000000"/>
              </w:rPr>
            </w:pPr>
          </w:p>
        </w:tc>
        <w:tc>
          <w:tcPr>
            <w:tcW w:w="1143" w:type="dxa"/>
            <w:vAlign w:val="center"/>
          </w:tcPr>
          <w:p>
            <w:pPr>
              <w:ind w:right="-11"/>
              <w:jc w:val="center"/>
              <w:rPr>
                <w:rFonts w:ascii="Arial" w:hAnsi="Arial" w:cs="Arial"/>
                <w:color w:val="000000"/>
              </w:rPr>
            </w:pPr>
          </w:p>
        </w:tc>
        <w:tc>
          <w:tcPr>
            <w:tcW w:w="1000" w:type="dxa"/>
            <w:vAlign w:val="center"/>
          </w:tcPr>
          <w:p>
            <w:pPr>
              <w:ind w:right="-11"/>
              <w:jc w:val="center"/>
              <w:rPr>
                <w:rFonts w:ascii="Arial" w:hAnsi="Arial" w:cs="Arial"/>
                <w:color w:val="000000"/>
              </w:rPr>
            </w:pPr>
          </w:p>
        </w:tc>
        <w:tc>
          <w:tcPr>
            <w:tcW w:w="1159" w:type="dxa"/>
            <w:tcBorders>
              <w:right w:val="single" w:color="auto" w:sz="12" w:space="0"/>
            </w:tcBorders>
            <w:vAlign w:val="center"/>
          </w:tcPr>
          <w:p>
            <w:pPr>
              <w:ind w:right="-11"/>
              <w:jc w:val="center"/>
              <w:rPr>
                <w:rFonts w:ascii="Arial" w:hAnsi="Arial" w:cs="Ari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7" w:type="dxa"/>
            <w:gridSpan w:val="3"/>
            <w:tcBorders>
              <w:left w:val="single" w:color="auto" w:sz="12" w:space="0"/>
              <w:bottom w:val="single" w:color="auto" w:sz="12" w:space="0"/>
            </w:tcBorders>
            <w:vAlign w:val="center"/>
          </w:tcPr>
          <w:p>
            <w:pPr>
              <w:ind w:right="-10"/>
              <w:jc w:val="center"/>
              <w:rPr>
                <w:rFonts w:ascii="Arial" w:hAnsi="Arial" w:cs="Arial"/>
                <w:b/>
                <w:color w:val="000000"/>
              </w:rPr>
            </w:pPr>
            <w:r>
              <w:rPr>
                <w:rFonts w:hint="eastAsia" w:ascii="Arial" w:hAnsi="Arial" w:cs="Arial"/>
                <w:b/>
                <w:color w:val="000000"/>
              </w:rPr>
              <w:t>设备总价</w:t>
            </w:r>
          </w:p>
        </w:tc>
        <w:tc>
          <w:tcPr>
            <w:tcW w:w="5580" w:type="dxa"/>
            <w:gridSpan w:val="5"/>
            <w:tcBorders>
              <w:bottom w:val="single" w:color="auto" w:sz="12" w:space="0"/>
              <w:right w:val="single" w:color="auto" w:sz="12" w:space="0"/>
            </w:tcBorders>
            <w:vAlign w:val="center"/>
          </w:tcPr>
          <w:p>
            <w:pPr>
              <w:ind w:right="-10"/>
              <w:jc w:val="center"/>
              <w:rPr>
                <w:rFonts w:ascii="Arial" w:hAnsi="Arial" w:cs="Ari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7" w:type="dxa"/>
            <w:gridSpan w:val="3"/>
            <w:tcBorders>
              <w:top w:val="single" w:color="auto" w:sz="12" w:space="0"/>
              <w:left w:val="single" w:color="auto" w:sz="12" w:space="0"/>
            </w:tcBorders>
            <w:vAlign w:val="center"/>
          </w:tcPr>
          <w:p>
            <w:pPr>
              <w:ind w:right="-11"/>
              <w:rPr>
                <w:rFonts w:ascii="Arial" w:hAnsi="Arial" w:cs="Arial"/>
                <w:color w:val="000000"/>
              </w:rPr>
            </w:pPr>
            <w:r>
              <w:rPr>
                <w:rFonts w:hint="eastAsia" w:ascii="Arial" w:hAnsi="Arial" w:cs="Arial"/>
                <w:color w:val="000000"/>
              </w:rPr>
              <w:t>运杂及保险费（含卸货）</w:t>
            </w:r>
          </w:p>
        </w:tc>
        <w:tc>
          <w:tcPr>
            <w:tcW w:w="5580" w:type="dxa"/>
            <w:gridSpan w:val="5"/>
            <w:tcBorders>
              <w:top w:val="single" w:color="auto" w:sz="12" w:space="0"/>
              <w:right w:val="single" w:color="auto" w:sz="12" w:space="0"/>
            </w:tcBorders>
          </w:tcPr>
          <w:p>
            <w:pPr>
              <w:spacing w:line="340" w:lineRule="exact"/>
              <w:rPr>
                <w:rFonts w:eastAsia="新宋体"/>
                <w:bCs/>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7" w:type="dxa"/>
            <w:gridSpan w:val="3"/>
            <w:tcBorders>
              <w:left w:val="single" w:color="auto" w:sz="12" w:space="0"/>
            </w:tcBorders>
            <w:vAlign w:val="center"/>
          </w:tcPr>
          <w:p>
            <w:pPr>
              <w:ind w:right="-11"/>
              <w:rPr>
                <w:rFonts w:ascii="Arial" w:hAnsi="Arial" w:cs="Arial"/>
                <w:color w:val="000000"/>
              </w:rPr>
            </w:pPr>
            <w:r>
              <w:rPr>
                <w:rFonts w:hint="eastAsia" w:cs="宋体"/>
                <w:color w:val="000000"/>
              </w:rPr>
              <w:t>安装调试费（</w:t>
            </w:r>
            <w:r>
              <w:rPr>
                <w:rFonts w:hint="eastAsia" w:eastAsia="楷体_GB2312" w:cs="楷体_GB2312"/>
                <w:color w:val="000000"/>
              </w:rPr>
              <w:t>包括设备的测试、调试、验收等费用）</w:t>
            </w:r>
          </w:p>
        </w:tc>
        <w:tc>
          <w:tcPr>
            <w:tcW w:w="5580" w:type="dxa"/>
            <w:gridSpan w:val="5"/>
            <w:tcBorders>
              <w:right w:val="single" w:color="auto" w:sz="12" w:space="0"/>
            </w:tcBorders>
          </w:tcPr>
          <w:p>
            <w:pPr>
              <w:spacing w:line="340" w:lineRule="exact"/>
              <w:rPr>
                <w:rFonts w:eastAsia="新宋体"/>
                <w:bCs/>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7" w:type="dxa"/>
            <w:gridSpan w:val="3"/>
            <w:tcBorders>
              <w:left w:val="single" w:color="auto" w:sz="12" w:space="0"/>
            </w:tcBorders>
            <w:vAlign w:val="center"/>
          </w:tcPr>
          <w:p>
            <w:pPr>
              <w:ind w:right="-11"/>
              <w:rPr>
                <w:rFonts w:ascii="Arial" w:hAnsi="Arial" w:cs="Arial"/>
                <w:color w:val="000000"/>
              </w:rPr>
            </w:pPr>
            <w:r>
              <w:rPr>
                <w:rFonts w:hint="eastAsia" w:ascii="Arial" w:hAnsi="Arial" w:cs="Arial"/>
                <w:color w:val="000000"/>
              </w:rPr>
              <w:t>培训费、技术服务费、售后服务费等</w:t>
            </w:r>
          </w:p>
        </w:tc>
        <w:tc>
          <w:tcPr>
            <w:tcW w:w="5580" w:type="dxa"/>
            <w:gridSpan w:val="5"/>
            <w:tcBorders>
              <w:right w:val="single" w:color="auto" w:sz="12" w:space="0"/>
            </w:tcBorders>
          </w:tcPr>
          <w:p>
            <w:pPr>
              <w:spacing w:line="340" w:lineRule="exact"/>
              <w:rPr>
                <w:rFonts w:eastAsia="新宋体"/>
                <w:bCs/>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7" w:type="dxa"/>
            <w:gridSpan w:val="3"/>
            <w:tcBorders>
              <w:left w:val="single" w:color="auto" w:sz="12" w:space="0"/>
            </w:tcBorders>
            <w:vAlign w:val="center"/>
          </w:tcPr>
          <w:p>
            <w:pPr>
              <w:ind w:right="-11"/>
              <w:rPr>
                <w:rFonts w:ascii="Arial" w:hAnsi="Arial" w:cs="Arial"/>
                <w:color w:val="000000"/>
              </w:rPr>
            </w:pPr>
            <w:r>
              <w:rPr>
                <w:rFonts w:hint="eastAsia" w:ascii="Arial" w:hAnsi="Arial" w:cs="Arial"/>
                <w:color w:val="000000"/>
              </w:rPr>
              <w:t>税金</w:t>
            </w:r>
          </w:p>
        </w:tc>
        <w:tc>
          <w:tcPr>
            <w:tcW w:w="5580" w:type="dxa"/>
            <w:gridSpan w:val="5"/>
            <w:tcBorders>
              <w:right w:val="single" w:color="auto" w:sz="12" w:space="0"/>
            </w:tcBorders>
          </w:tcPr>
          <w:p>
            <w:pPr>
              <w:spacing w:line="340" w:lineRule="exact"/>
              <w:rPr>
                <w:rFonts w:eastAsia="新宋体"/>
                <w:bCs/>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7" w:type="dxa"/>
            <w:gridSpan w:val="3"/>
            <w:tcBorders>
              <w:left w:val="single" w:color="auto" w:sz="12" w:space="0"/>
            </w:tcBorders>
            <w:vAlign w:val="center"/>
          </w:tcPr>
          <w:p>
            <w:pPr>
              <w:ind w:right="-11"/>
              <w:rPr>
                <w:rFonts w:ascii="Arial" w:hAnsi="Arial" w:cs="Arial"/>
                <w:color w:val="000000"/>
              </w:rPr>
            </w:pPr>
            <w:r>
              <w:rPr>
                <w:rFonts w:hint="eastAsia" w:ascii="Arial" w:hAnsi="Arial" w:cs="Arial"/>
                <w:color w:val="000000"/>
              </w:rPr>
              <w:t>其他相关费用</w:t>
            </w:r>
          </w:p>
        </w:tc>
        <w:tc>
          <w:tcPr>
            <w:tcW w:w="5580" w:type="dxa"/>
            <w:gridSpan w:val="5"/>
            <w:tcBorders>
              <w:right w:val="single" w:color="auto" w:sz="12" w:space="0"/>
            </w:tcBorders>
          </w:tcPr>
          <w:p>
            <w:pPr>
              <w:spacing w:line="340" w:lineRule="exact"/>
              <w:rPr>
                <w:rFonts w:eastAsia="新宋体"/>
                <w:bCs/>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7" w:type="dxa"/>
            <w:gridSpan w:val="3"/>
            <w:tcBorders>
              <w:left w:val="single" w:color="auto" w:sz="12" w:space="0"/>
              <w:bottom w:val="single" w:color="auto" w:sz="12" w:space="0"/>
            </w:tcBorders>
            <w:vAlign w:val="center"/>
          </w:tcPr>
          <w:p>
            <w:pPr>
              <w:ind w:right="-11"/>
              <w:rPr>
                <w:rFonts w:ascii="Arial" w:hAnsi="Arial" w:cs="Arial"/>
                <w:color w:val="000000"/>
              </w:rPr>
            </w:pPr>
            <w:r>
              <w:rPr>
                <w:rFonts w:hint="eastAsia" w:ascii="Arial" w:hAnsi="Arial" w:cs="Arial"/>
                <w:color w:val="000000"/>
              </w:rPr>
              <w:t>合计总价</w:t>
            </w:r>
          </w:p>
          <w:p>
            <w:pPr>
              <w:ind w:right="-11"/>
              <w:rPr>
                <w:rFonts w:ascii="Arial" w:hAnsi="Arial" w:cs="Arial"/>
                <w:color w:val="000000"/>
              </w:rPr>
            </w:pPr>
          </w:p>
        </w:tc>
        <w:tc>
          <w:tcPr>
            <w:tcW w:w="5580" w:type="dxa"/>
            <w:gridSpan w:val="5"/>
            <w:tcBorders>
              <w:bottom w:val="single" w:color="auto" w:sz="12" w:space="0"/>
              <w:right w:val="single" w:color="auto" w:sz="12" w:space="0"/>
            </w:tcBorders>
          </w:tcPr>
          <w:p>
            <w:pPr>
              <w:spacing w:line="340" w:lineRule="exact"/>
              <w:rPr>
                <w:rFonts w:eastAsia="新宋体"/>
                <w:bCs/>
                <w:color w:val="000000"/>
                <w:sz w:val="22"/>
              </w:rPr>
            </w:pPr>
          </w:p>
        </w:tc>
      </w:tr>
    </w:tbl>
    <w:p>
      <w:pPr>
        <w:rPr>
          <w:rFonts w:ascii="Arial" w:hAnsi="Arial" w:eastAsia="楷体_GB2312" w:cs="Arial"/>
          <w:color w:val="000000"/>
          <w:szCs w:val="21"/>
        </w:rPr>
      </w:pPr>
      <w:r>
        <w:rPr>
          <w:rFonts w:hint="eastAsia" w:ascii="Arial" w:hAnsi="Arial" w:eastAsia="楷体_GB2312" w:cs="Arial"/>
          <w:bCs/>
          <w:color w:val="000000"/>
          <w:szCs w:val="21"/>
        </w:rPr>
        <w:t>附注：</w:t>
      </w:r>
      <w:r>
        <w:rPr>
          <w:rFonts w:ascii="Arial" w:hAnsi="Arial" w:eastAsia="楷体_GB2312" w:cs="Arial"/>
          <w:color w:val="000000"/>
          <w:szCs w:val="21"/>
        </w:rPr>
        <w:t xml:space="preserve">1. </w:t>
      </w:r>
      <w:r>
        <w:rPr>
          <w:rFonts w:hint="eastAsia" w:ascii="Arial" w:hAnsi="Arial" w:eastAsia="楷体_GB2312" w:cs="Arial"/>
          <w:color w:val="000000"/>
          <w:szCs w:val="21"/>
        </w:rPr>
        <w:t>不提供详细分项报价表将视为没有实质性响应招标文件，货物名称按采购设备清单内容。</w:t>
      </w:r>
    </w:p>
    <w:p>
      <w:pPr>
        <w:ind w:left="945" w:leftChars="300" w:hanging="315" w:hangingChars="150"/>
        <w:rPr>
          <w:rFonts w:ascii="Arial" w:hAnsi="Arial" w:eastAsia="楷体_GB2312" w:cs="Arial"/>
          <w:color w:val="000000"/>
          <w:szCs w:val="21"/>
        </w:rPr>
      </w:pPr>
      <w:r>
        <w:rPr>
          <w:rFonts w:ascii="Arial" w:hAnsi="Arial" w:eastAsia="楷体_GB2312" w:cs="Arial"/>
          <w:color w:val="000000"/>
          <w:szCs w:val="21"/>
        </w:rPr>
        <w:t xml:space="preserve">2. </w:t>
      </w:r>
      <w:r>
        <w:rPr>
          <w:rFonts w:hint="eastAsia" w:ascii="Arial" w:hAnsi="Arial" w:eastAsia="楷体_GB2312" w:cs="Arial"/>
          <w:color w:val="000000"/>
          <w:szCs w:val="21"/>
        </w:rPr>
        <w:t>此表的合计总价</w:t>
      </w:r>
      <w:r>
        <w:rPr>
          <w:rFonts w:ascii="Arial" w:hAnsi="Arial" w:eastAsia="楷体_GB2312" w:cs="Arial"/>
          <w:color w:val="000000"/>
          <w:szCs w:val="21"/>
        </w:rPr>
        <w:t>+</w:t>
      </w:r>
      <w:r>
        <w:rPr>
          <w:rFonts w:hint="eastAsia" w:ascii="Arial" w:hAnsi="Arial" w:eastAsia="楷体_GB2312" w:cs="Arial"/>
          <w:color w:val="000000"/>
          <w:szCs w:val="21"/>
        </w:rPr>
        <w:t>“（</w:t>
      </w:r>
      <w:r>
        <w:rPr>
          <w:rFonts w:ascii="Arial" w:hAnsi="Arial" w:eastAsia="楷体_GB2312" w:cs="Arial"/>
          <w:color w:val="000000"/>
          <w:szCs w:val="21"/>
        </w:rPr>
        <w:t>2</w:t>
      </w:r>
      <w:r>
        <w:rPr>
          <w:rFonts w:hint="eastAsia" w:ascii="Arial" w:hAnsi="Arial" w:eastAsia="楷体_GB2312" w:cs="Arial"/>
          <w:color w:val="000000"/>
          <w:szCs w:val="21"/>
        </w:rPr>
        <w:t>）系统维保服务分项报价表”中合计总价</w:t>
      </w:r>
      <w:r>
        <w:rPr>
          <w:rFonts w:ascii="Arial" w:hAnsi="Arial" w:eastAsia="楷体_GB2312" w:cs="Arial"/>
          <w:color w:val="000000"/>
          <w:szCs w:val="21"/>
        </w:rPr>
        <w:t>=</w:t>
      </w:r>
      <w:r>
        <w:rPr>
          <w:rFonts w:hint="eastAsia" w:ascii="Arial" w:hAnsi="Arial" w:eastAsia="楷体_GB2312" w:cs="Arial"/>
          <w:color w:val="000000"/>
          <w:szCs w:val="21"/>
        </w:rPr>
        <w:t>附</w:t>
      </w:r>
      <w:r>
        <w:rPr>
          <w:rFonts w:hint="eastAsia" w:ascii="楷体_GB2312" w:hAnsi="Arial" w:eastAsia="楷体_GB2312" w:cs="Arial"/>
          <w:color w:val="000000"/>
          <w:szCs w:val="21"/>
        </w:rPr>
        <w:t>件二“开标一览表”投标总价</w:t>
      </w:r>
      <w:r>
        <w:rPr>
          <w:rFonts w:hint="eastAsia" w:ascii="Arial" w:hAnsi="Arial" w:eastAsia="楷体_GB2312" w:cs="Arial"/>
          <w:color w:val="000000"/>
          <w:szCs w:val="21"/>
        </w:rPr>
        <w:t>。</w:t>
      </w:r>
    </w:p>
    <w:p>
      <w:pPr>
        <w:ind w:left="900" w:leftChars="300" w:hanging="270"/>
        <w:rPr>
          <w:rFonts w:ascii="Arial" w:hAnsi="Arial" w:eastAsia="楷体_GB2312" w:cs="Arial"/>
          <w:color w:val="000000"/>
          <w:szCs w:val="21"/>
        </w:rPr>
      </w:pPr>
      <w:r>
        <w:rPr>
          <w:rFonts w:ascii="Arial" w:hAnsi="Arial" w:eastAsia="楷体_GB2312" w:cs="Arial"/>
          <w:color w:val="000000"/>
          <w:szCs w:val="21"/>
        </w:rPr>
        <w:t xml:space="preserve">3. </w:t>
      </w:r>
      <w:r>
        <w:rPr>
          <w:rFonts w:hint="eastAsia" w:ascii="Arial" w:hAnsi="Arial" w:eastAsia="楷体_GB2312" w:cs="Arial"/>
          <w:color w:val="000000"/>
          <w:szCs w:val="21"/>
        </w:rPr>
        <w:t>如果免费请在该备注栏</w:t>
      </w:r>
      <w:r>
        <w:rPr>
          <w:rFonts w:hint="eastAsia" w:ascii="楷体_GB2312" w:hAnsi="Arial" w:eastAsia="楷体_GB2312" w:cs="Arial"/>
          <w:color w:val="000000"/>
          <w:szCs w:val="21"/>
        </w:rPr>
        <w:t>内注明“免”，如果含在产品价格中则填“含”，如无此项内容则填“无”，不留空白。</w:t>
      </w:r>
    </w:p>
    <w:p>
      <w:pPr>
        <w:ind w:left="900" w:leftChars="300" w:hanging="270"/>
        <w:rPr>
          <w:rFonts w:ascii="Arial" w:hAnsi="Arial" w:eastAsia="楷体_GB2312" w:cs="Arial"/>
          <w:color w:val="000000"/>
        </w:rPr>
      </w:pPr>
      <w:r>
        <w:rPr>
          <w:rFonts w:ascii="Arial" w:hAnsi="Arial" w:eastAsia="楷体_GB2312" w:cs="Arial"/>
          <w:color w:val="000000"/>
          <w:szCs w:val="21"/>
        </w:rPr>
        <w:t xml:space="preserve">4. </w:t>
      </w:r>
      <w:r>
        <w:rPr>
          <w:rFonts w:hint="eastAsia" w:ascii="楷体_GB2312" w:hAnsi="Arial" w:eastAsia="楷体_GB2312" w:cs="Arial"/>
          <w:color w:val="000000"/>
          <w:szCs w:val="21"/>
        </w:rPr>
        <w:t>“设备总价”不应包含：运杂及保险费及其他相关</w:t>
      </w:r>
      <w:r>
        <w:rPr>
          <w:rFonts w:hint="eastAsia" w:ascii="Arial" w:hAnsi="Arial" w:eastAsia="楷体_GB2312" w:cs="Arial"/>
          <w:color w:val="000000"/>
        </w:rPr>
        <w:t>费用。</w:t>
      </w:r>
    </w:p>
    <w:p>
      <w:pPr>
        <w:tabs>
          <w:tab w:val="left" w:pos="1905"/>
        </w:tabs>
        <w:spacing w:line="360" w:lineRule="auto"/>
        <w:ind w:right="-11"/>
        <w:jc w:val="left"/>
        <w:rPr>
          <w:rFonts w:ascii="宋体" w:hAnsi="宋体" w:cs="宋体"/>
          <w:color w:val="000000"/>
          <w:sz w:val="24"/>
        </w:rPr>
      </w:pPr>
      <w:r>
        <w:rPr>
          <w:rFonts w:hint="eastAsia" w:ascii="宋体" w:hAnsi="宋体" w:cs="宋体"/>
          <w:color w:val="000000"/>
          <w:sz w:val="24"/>
        </w:rPr>
        <w:t>投标供应商全称（</w:t>
      </w:r>
      <w:r>
        <w:rPr>
          <w:rFonts w:hint="eastAsia" w:eastAsia="新宋体"/>
          <w:color w:val="000000"/>
          <w:sz w:val="24"/>
        </w:rPr>
        <w:t>公章</w:t>
      </w:r>
      <w:r>
        <w:rPr>
          <w:rFonts w:hint="eastAsia" w:ascii="宋体" w:hAnsi="宋体" w:cs="宋体"/>
          <w:color w:val="000000"/>
          <w:sz w:val="24"/>
        </w:rPr>
        <w:t>）：</w:t>
      </w:r>
    </w:p>
    <w:p>
      <w:pPr>
        <w:spacing w:line="360" w:lineRule="auto"/>
        <w:ind w:right="-10"/>
        <w:jc w:val="left"/>
        <w:rPr>
          <w:rFonts w:ascii="宋体" w:hAnsi="宋体" w:cs="宋体"/>
          <w:color w:val="000000"/>
          <w:sz w:val="24"/>
        </w:rPr>
      </w:pPr>
      <w:r>
        <w:rPr>
          <w:rFonts w:hint="eastAsia" w:ascii="宋体" w:hAnsi="宋体" w:cs="宋体"/>
          <w:color w:val="000000"/>
          <w:sz w:val="24"/>
        </w:rPr>
        <w:t>法定代表人或授权代表（</w:t>
      </w:r>
      <w:r>
        <w:rPr>
          <w:rFonts w:hint="eastAsia" w:eastAsia="新宋体"/>
          <w:color w:val="000000"/>
          <w:sz w:val="24"/>
        </w:rPr>
        <w:t>签字或盖章</w:t>
      </w:r>
      <w:r>
        <w:rPr>
          <w:rFonts w:hint="eastAsia" w:ascii="宋体" w:hAnsi="宋体" w:cs="宋体"/>
          <w:color w:val="000000"/>
          <w:sz w:val="24"/>
        </w:rPr>
        <w:t>）：</w:t>
      </w:r>
    </w:p>
    <w:p>
      <w:pPr>
        <w:spacing w:line="360" w:lineRule="auto"/>
        <w:ind w:left="-357" w:leftChars="-170" w:firstLine="360" w:firstLineChars="150"/>
        <w:rPr>
          <w:rFonts w:ascii="宋体" w:hAnsi="宋体" w:cs="宋体"/>
          <w:color w:val="000000"/>
          <w:sz w:val="24"/>
        </w:rPr>
      </w:pPr>
      <w:r>
        <w:rPr>
          <w:rFonts w:hint="eastAsia" w:ascii="宋体" w:hAnsi="宋体" w:cs="宋体"/>
          <w:color w:val="000000"/>
          <w:sz w:val="24"/>
        </w:rPr>
        <w:t>日期：</w:t>
      </w:r>
      <w:r>
        <w:rPr>
          <w:rFonts w:ascii="宋体" w:hAnsi="宋体" w:cs="宋体"/>
          <w:color w:val="000000"/>
          <w:sz w:val="24"/>
        </w:rPr>
        <w:t xml:space="preserve">  </w:t>
      </w:r>
      <w:r>
        <w:rPr>
          <w:rFonts w:hint="eastAsia" w:ascii="宋体" w:hAnsi="宋体" w:cs="宋体"/>
          <w:color w:val="000000"/>
          <w:sz w:val="24"/>
        </w:rPr>
        <w:t>年</w:t>
      </w:r>
      <w:r>
        <w:rPr>
          <w:rFonts w:ascii="宋体" w:hAnsi="宋体" w:cs="宋体"/>
          <w:color w:val="000000"/>
          <w:sz w:val="24"/>
        </w:rPr>
        <w:t xml:space="preserve">   </w:t>
      </w:r>
      <w:r>
        <w:rPr>
          <w:rFonts w:hint="eastAsia" w:ascii="宋体" w:hAnsi="宋体" w:cs="宋体"/>
          <w:color w:val="000000"/>
          <w:sz w:val="24"/>
        </w:rPr>
        <w:t>月</w:t>
      </w:r>
      <w:r>
        <w:rPr>
          <w:rFonts w:ascii="宋体" w:hAnsi="宋体" w:cs="宋体"/>
          <w:color w:val="000000"/>
          <w:sz w:val="24"/>
        </w:rPr>
        <w:t xml:space="preserve">  </w:t>
      </w:r>
      <w:r>
        <w:rPr>
          <w:rFonts w:hint="eastAsia" w:ascii="宋体" w:hAnsi="宋体" w:cs="宋体"/>
          <w:color w:val="000000"/>
          <w:sz w:val="24"/>
        </w:rPr>
        <w:t>日</w:t>
      </w:r>
    </w:p>
    <w:p>
      <w:pPr>
        <w:spacing w:line="380" w:lineRule="exact"/>
        <w:ind w:left="-359" w:leftChars="-171" w:firstLine="211" w:firstLineChars="100"/>
        <w:rPr>
          <w:rFonts w:eastAsia="新宋体"/>
          <w:b/>
          <w:color w:val="000000"/>
          <w:szCs w:val="21"/>
        </w:rPr>
      </w:pPr>
    </w:p>
    <w:p>
      <w:pPr>
        <w:spacing w:line="380" w:lineRule="exact"/>
        <w:ind w:left="-359" w:leftChars="-171" w:firstLine="211" w:firstLineChars="100"/>
        <w:rPr>
          <w:rFonts w:eastAsia="新宋体"/>
          <w:b/>
          <w:color w:val="000000"/>
          <w:szCs w:val="21"/>
        </w:rPr>
      </w:pPr>
    </w:p>
    <w:p>
      <w:pPr>
        <w:spacing w:line="460" w:lineRule="exact"/>
        <w:jc w:val="center"/>
        <w:rPr>
          <w:rFonts w:ascii="黑体" w:eastAsia="黑体" w:cs="黑体"/>
          <w:b/>
          <w:color w:val="000000"/>
          <w:sz w:val="36"/>
          <w:szCs w:val="36"/>
        </w:rPr>
      </w:pPr>
      <w:r>
        <w:rPr>
          <w:rFonts w:hint="eastAsia" w:ascii="黑体" w:eastAsia="黑体" w:cs="黑体"/>
          <w:b/>
          <w:color w:val="000000"/>
          <w:sz w:val="36"/>
          <w:szCs w:val="36"/>
        </w:rPr>
        <w:t>（</w:t>
      </w:r>
      <w:r>
        <w:rPr>
          <w:rFonts w:ascii="黑体" w:eastAsia="黑体" w:cs="黑体"/>
          <w:b/>
          <w:color w:val="000000"/>
          <w:sz w:val="36"/>
          <w:szCs w:val="36"/>
        </w:rPr>
        <w:t>2</w:t>
      </w:r>
      <w:r>
        <w:rPr>
          <w:rFonts w:hint="eastAsia" w:ascii="黑体" w:eastAsia="黑体" w:cs="黑体"/>
          <w:b/>
          <w:color w:val="000000"/>
          <w:sz w:val="36"/>
          <w:szCs w:val="36"/>
        </w:rPr>
        <w:t>）系统维保分项报价表</w:t>
      </w:r>
    </w:p>
    <w:p>
      <w:pPr>
        <w:rPr>
          <w:color w:val="000000"/>
        </w:rPr>
      </w:pPr>
    </w:p>
    <w:p>
      <w:pPr>
        <w:rPr>
          <w:rFonts w:ascii="宋体" w:hAnsi="宋体" w:cs="宋体"/>
          <w:color w:val="000000"/>
        </w:rPr>
      </w:pPr>
      <w:r>
        <w:rPr>
          <w:rFonts w:hint="eastAsia" w:cs="宋体"/>
          <w:color w:val="000000"/>
        </w:rPr>
        <w:t>招标编号：</w:t>
      </w:r>
      <w:r>
        <w:rPr>
          <w:rFonts w:hint="eastAsia" w:ascii="宋体" w:hAnsi="宋体" w:cs="宋体"/>
          <w:color w:val="000000"/>
        </w:rPr>
        <w:t>（价格单位：人民币元）</w:t>
      </w:r>
    </w:p>
    <w:tbl>
      <w:tblPr>
        <w:tblStyle w:val="69"/>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13"/>
        <w:gridCol w:w="3033"/>
        <w:gridCol w:w="2104"/>
        <w:gridCol w:w="1204"/>
        <w:gridCol w:w="223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0" w:hRule="atLeast"/>
          <w:jc w:val="center"/>
        </w:trPr>
        <w:tc>
          <w:tcPr>
            <w:tcW w:w="713" w:type="dxa"/>
            <w:tcBorders>
              <w:top w:val="single" w:color="auto" w:sz="12" w:space="0"/>
            </w:tcBorders>
            <w:vAlign w:val="center"/>
          </w:tcPr>
          <w:p>
            <w:pPr>
              <w:jc w:val="center"/>
              <w:rPr>
                <w:rFonts w:ascii="宋体" w:hAnsi="宋体" w:cs="宋体"/>
                <w:color w:val="000000"/>
                <w:sz w:val="22"/>
                <w:szCs w:val="22"/>
              </w:rPr>
            </w:pPr>
            <w:r>
              <w:rPr>
                <w:rFonts w:hint="eastAsia" w:ascii="宋体" w:hAnsi="宋体" w:cs="宋体"/>
                <w:color w:val="000000"/>
                <w:sz w:val="22"/>
                <w:szCs w:val="22"/>
              </w:rPr>
              <w:t>序号</w:t>
            </w:r>
          </w:p>
        </w:tc>
        <w:tc>
          <w:tcPr>
            <w:tcW w:w="3033" w:type="dxa"/>
            <w:tcBorders>
              <w:top w:val="single" w:color="auto" w:sz="12" w:space="0"/>
            </w:tcBorders>
            <w:vAlign w:val="center"/>
          </w:tcPr>
          <w:p>
            <w:pPr>
              <w:spacing w:before="240"/>
              <w:jc w:val="center"/>
              <w:rPr>
                <w:rFonts w:ascii="宋体" w:hAnsi="宋体" w:cs="宋体"/>
                <w:color w:val="000000"/>
                <w:sz w:val="22"/>
                <w:szCs w:val="22"/>
              </w:rPr>
            </w:pPr>
            <w:r>
              <w:rPr>
                <w:rFonts w:hint="eastAsia" w:ascii="宋体" w:hAnsi="宋体" w:cs="宋体"/>
                <w:color w:val="000000"/>
                <w:sz w:val="22"/>
                <w:szCs w:val="22"/>
              </w:rPr>
              <w:t>分项名称</w:t>
            </w:r>
          </w:p>
        </w:tc>
        <w:tc>
          <w:tcPr>
            <w:tcW w:w="3308" w:type="dxa"/>
            <w:gridSpan w:val="2"/>
            <w:tcBorders>
              <w:top w:val="single" w:color="auto" w:sz="12" w:space="0"/>
            </w:tcBorders>
            <w:vAlign w:val="center"/>
          </w:tcPr>
          <w:p>
            <w:pPr>
              <w:jc w:val="center"/>
              <w:rPr>
                <w:rFonts w:ascii="宋体" w:hAnsi="宋体" w:cs="宋体"/>
                <w:color w:val="000000"/>
                <w:sz w:val="22"/>
                <w:szCs w:val="22"/>
              </w:rPr>
            </w:pPr>
            <w:r>
              <w:rPr>
                <w:rFonts w:hint="eastAsia" w:ascii="宋体" w:hAnsi="宋体" w:cs="宋体"/>
                <w:color w:val="000000"/>
                <w:sz w:val="22"/>
                <w:szCs w:val="22"/>
              </w:rPr>
              <w:t>费用（元）</w:t>
            </w:r>
          </w:p>
        </w:tc>
        <w:tc>
          <w:tcPr>
            <w:tcW w:w="2233" w:type="dxa"/>
            <w:tcBorders>
              <w:top w:val="single" w:color="auto" w:sz="12" w:space="0"/>
            </w:tcBorders>
            <w:vAlign w:val="center"/>
          </w:tcPr>
          <w:p>
            <w:pPr>
              <w:jc w:val="center"/>
              <w:rPr>
                <w:rFonts w:ascii="宋体" w:hAnsi="宋体" w:cs="宋体"/>
                <w:color w:val="000000"/>
                <w:sz w:val="22"/>
                <w:szCs w:val="22"/>
              </w:rPr>
            </w:pPr>
            <w:r>
              <w:rPr>
                <w:rFonts w:hint="eastAsia" w:ascii="宋体" w:hAnsi="宋体" w:cs="宋体"/>
                <w:color w:val="000000"/>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4" w:hRule="atLeast"/>
          <w:jc w:val="center"/>
        </w:trPr>
        <w:tc>
          <w:tcPr>
            <w:tcW w:w="713" w:type="dxa"/>
            <w:vAlign w:val="center"/>
          </w:tcPr>
          <w:p>
            <w:pPr>
              <w:jc w:val="center"/>
              <w:rPr>
                <w:rFonts w:ascii="宋体" w:hAnsi="宋体" w:cs="宋体"/>
                <w:color w:val="000000"/>
                <w:sz w:val="22"/>
                <w:szCs w:val="22"/>
              </w:rPr>
            </w:pPr>
            <w:r>
              <w:rPr>
                <w:rFonts w:ascii="宋体" w:hAnsi="宋体" w:cs="宋体"/>
                <w:color w:val="000000"/>
                <w:sz w:val="22"/>
                <w:szCs w:val="22"/>
              </w:rPr>
              <w:t>1</w:t>
            </w:r>
          </w:p>
        </w:tc>
        <w:tc>
          <w:tcPr>
            <w:tcW w:w="3033" w:type="dxa"/>
            <w:vAlign w:val="center"/>
          </w:tcPr>
          <w:p>
            <w:pPr>
              <w:ind w:firstLine="48" w:firstLineChars="22"/>
              <w:jc w:val="center"/>
              <w:rPr>
                <w:rFonts w:ascii="宋体" w:hAnsi="宋体" w:cs="宋体"/>
                <w:color w:val="000000"/>
                <w:sz w:val="22"/>
                <w:szCs w:val="22"/>
              </w:rPr>
            </w:pPr>
            <w:r>
              <w:rPr>
                <w:rFonts w:hint="eastAsia" w:ascii="宋体" w:hAnsi="宋体" w:cs="宋体"/>
                <w:color w:val="000000"/>
                <w:sz w:val="22"/>
                <w:szCs w:val="22"/>
              </w:rPr>
              <w:t>人工费</w:t>
            </w:r>
          </w:p>
        </w:tc>
        <w:tc>
          <w:tcPr>
            <w:tcW w:w="3308" w:type="dxa"/>
            <w:gridSpan w:val="2"/>
            <w:vAlign w:val="center"/>
          </w:tcPr>
          <w:p>
            <w:pPr>
              <w:jc w:val="center"/>
              <w:rPr>
                <w:rFonts w:ascii="宋体" w:hAnsi="宋体" w:cs="宋体"/>
                <w:color w:val="000000"/>
                <w:sz w:val="22"/>
                <w:szCs w:val="22"/>
              </w:rPr>
            </w:pPr>
          </w:p>
        </w:tc>
        <w:tc>
          <w:tcPr>
            <w:tcW w:w="2233" w:type="dxa"/>
            <w:vAlign w:val="center"/>
          </w:tcPr>
          <w:p>
            <w:pPr>
              <w:jc w:val="center"/>
              <w:rPr>
                <w:rFonts w:ascii="宋体" w:hAnsi="宋体" w:cs="宋体"/>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5" w:hRule="atLeast"/>
          <w:jc w:val="center"/>
        </w:trPr>
        <w:tc>
          <w:tcPr>
            <w:tcW w:w="713" w:type="dxa"/>
            <w:vAlign w:val="center"/>
          </w:tcPr>
          <w:p>
            <w:pPr>
              <w:jc w:val="center"/>
              <w:rPr>
                <w:rFonts w:ascii="宋体" w:hAnsi="宋体" w:cs="宋体"/>
                <w:color w:val="000000"/>
                <w:sz w:val="22"/>
                <w:szCs w:val="22"/>
              </w:rPr>
            </w:pPr>
            <w:r>
              <w:rPr>
                <w:rFonts w:ascii="宋体" w:hAnsi="宋体" w:cs="宋体"/>
                <w:color w:val="000000"/>
                <w:sz w:val="22"/>
                <w:szCs w:val="22"/>
              </w:rPr>
              <w:t>2</w:t>
            </w:r>
          </w:p>
        </w:tc>
        <w:tc>
          <w:tcPr>
            <w:tcW w:w="3033" w:type="dxa"/>
            <w:vAlign w:val="center"/>
          </w:tcPr>
          <w:p>
            <w:pPr>
              <w:ind w:firstLine="48" w:firstLineChars="22"/>
              <w:jc w:val="center"/>
              <w:rPr>
                <w:rFonts w:ascii="宋体" w:hAnsi="宋体" w:cs="宋体"/>
                <w:color w:val="000000"/>
                <w:sz w:val="22"/>
                <w:szCs w:val="22"/>
              </w:rPr>
            </w:pPr>
            <w:r>
              <w:rPr>
                <w:rFonts w:hint="eastAsia" w:ascii="宋体" w:hAnsi="宋体" w:cs="宋体"/>
                <w:color w:val="000000"/>
                <w:sz w:val="22"/>
                <w:szCs w:val="22"/>
              </w:rPr>
              <w:t>税金</w:t>
            </w:r>
          </w:p>
        </w:tc>
        <w:tc>
          <w:tcPr>
            <w:tcW w:w="3308" w:type="dxa"/>
            <w:gridSpan w:val="2"/>
            <w:vAlign w:val="center"/>
          </w:tcPr>
          <w:p>
            <w:pPr>
              <w:jc w:val="center"/>
              <w:rPr>
                <w:rFonts w:ascii="宋体" w:hAnsi="宋体" w:cs="宋体"/>
                <w:color w:val="000000"/>
                <w:sz w:val="22"/>
                <w:szCs w:val="22"/>
              </w:rPr>
            </w:pPr>
          </w:p>
        </w:tc>
        <w:tc>
          <w:tcPr>
            <w:tcW w:w="2233" w:type="dxa"/>
            <w:vAlign w:val="center"/>
          </w:tcPr>
          <w:p>
            <w:pPr>
              <w:jc w:val="center"/>
              <w:rPr>
                <w:rFonts w:ascii="宋体" w:hAnsi="宋体" w:cs="宋体"/>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5" w:hRule="atLeast"/>
          <w:jc w:val="center"/>
        </w:trPr>
        <w:tc>
          <w:tcPr>
            <w:tcW w:w="713" w:type="dxa"/>
            <w:vAlign w:val="center"/>
          </w:tcPr>
          <w:p>
            <w:pPr>
              <w:jc w:val="center"/>
              <w:rPr>
                <w:rFonts w:ascii="宋体" w:hAnsi="宋体" w:cs="宋体"/>
                <w:color w:val="000000"/>
                <w:sz w:val="22"/>
                <w:szCs w:val="22"/>
              </w:rPr>
            </w:pPr>
            <w:r>
              <w:rPr>
                <w:rFonts w:ascii="宋体" w:hAnsi="宋体" w:cs="宋体"/>
                <w:color w:val="000000"/>
                <w:sz w:val="22"/>
                <w:szCs w:val="22"/>
              </w:rPr>
              <w:t>3</w:t>
            </w:r>
          </w:p>
        </w:tc>
        <w:tc>
          <w:tcPr>
            <w:tcW w:w="3033" w:type="dxa"/>
            <w:vAlign w:val="center"/>
          </w:tcPr>
          <w:p>
            <w:pPr>
              <w:ind w:firstLine="48" w:firstLineChars="22"/>
              <w:jc w:val="center"/>
              <w:rPr>
                <w:rFonts w:ascii="宋体" w:hAnsi="宋体" w:cs="宋体"/>
                <w:color w:val="000000"/>
                <w:sz w:val="22"/>
                <w:szCs w:val="22"/>
              </w:rPr>
            </w:pPr>
            <w:r>
              <w:rPr>
                <w:rFonts w:hint="eastAsia" w:ascii="宋体" w:hAnsi="宋体" w:cs="宋体"/>
                <w:color w:val="000000"/>
                <w:sz w:val="22"/>
                <w:szCs w:val="22"/>
              </w:rPr>
              <w:t>劳动保障费</w:t>
            </w:r>
          </w:p>
        </w:tc>
        <w:tc>
          <w:tcPr>
            <w:tcW w:w="3308" w:type="dxa"/>
            <w:gridSpan w:val="2"/>
            <w:vAlign w:val="center"/>
          </w:tcPr>
          <w:p>
            <w:pPr>
              <w:jc w:val="center"/>
              <w:rPr>
                <w:rFonts w:ascii="宋体" w:hAnsi="宋体" w:cs="宋体"/>
                <w:color w:val="000000"/>
                <w:sz w:val="22"/>
                <w:szCs w:val="22"/>
              </w:rPr>
            </w:pPr>
          </w:p>
        </w:tc>
        <w:tc>
          <w:tcPr>
            <w:tcW w:w="2233" w:type="dxa"/>
            <w:vAlign w:val="center"/>
          </w:tcPr>
          <w:p>
            <w:pPr>
              <w:jc w:val="center"/>
              <w:rPr>
                <w:rFonts w:ascii="宋体" w:hAnsi="宋体" w:cs="宋体"/>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5" w:hRule="atLeast"/>
          <w:jc w:val="center"/>
        </w:trPr>
        <w:tc>
          <w:tcPr>
            <w:tcW w:w="713" w:type="dxa"/>
            <w:vAlign w:val="center"/>
          </w:tcPr>
          <w:p>
            <w:pPr>
              <w:jc w:val="center"/>
              <w:rPr>
                <w:rFonts w:ascii="宋体" w:hAnsi="宋体" w:cs="宋体"/>
                <w:color w:val="000000"/>
                <w:sz w:val="22"/>
                <w:szCs w:val="22"/>
              </w:rPr>
            </w:pPr>
            <w:r>
              <w:rPr>
                <w:rFonts w:ascii="宋体" w:hAnsi="宋体" w:cs="宋体"/>
                <w:color w:val="000000"/>
                <w:sz w:val="22"/>
                <w:szCs w:val="22"/>
              </w:rPr>
              <w:t>4</w:t>
            </w:r>
          </w:p>
        </w:tc>
        <w:tc>
          <w:tcPr>
            <w:tcW w:w="3033" w:type="dxa"/>
            <w:vAlign w:val="center"/>
          </w:tcPr>
          <w:p>
            <w:pPr>
              <w:ind w:firstLine="48" w:firstLineChars="22"/>
              <w:jc w:val="center"/>
              <w:rPr>
                <w:rFonts w:ascii="宋体" w:hAnsi="宋体" w:cs="宋体"/>
                <w:color w:val="000000"/>
                <w:sz w:val="22"/>
                <w:szCs w:val="22"/>
              </w:rPr>
            </w:pPr>
            <w:r>
              <w:rPr>
                <w:rFonts w:hint="eastAsia" w:ascii="宋体" w:hAnsi="宋体" w:cs="宋体"/>
                <w:color w:val="000000"/>
                <w:sz w:val="22"/>
                <w:szCs w:val="22"/>
              </w:rPr>
              <w:t>管理费</w:t>
            </w:r>
          </w:p>
        </w:tc>
        <w:tc>
          <w:tcPr>
            <w:tcW w:w="3308" w:type="dxa"/>
            <w:gridSpan w:val="2"/>
            <w:vAlign w:val="center"/>
          </w:tcPr>
          <w:p>
            <w:pPr>
              <w:jc w:val="center"/>
              <w:rPr>
                <w:rFonts w:ascii="宋体" w:hAnsi="宋体" w:cs="宋体"/>
                <w:color w:val="000000"/>
                <w:sz w:val="22"/>
                <w:szCs w:val="22"/>
              </w:rPr>
            </w:pPr>
          </w:p>
        </w:tc>
        <w:tc>
          <w:tcPr>
            <w:tcW w:w="2233" w:type="dxa"/>
            <w:vAlign w:val="center"/>
          </w:tcPr>
          <w:p>
            <w:pPr>
              <w:jc w:val="center"/>
              <w:rPr>
                <w:rFonts w:ascii="宋体" w:hAnsi="宋体" w:cs="宋体"/>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5" w:hRule="atLeast"/>
          <w:jc w:val="center"/>
        </w:trPr>
        <w:tc>
          <w:tcPr>
            <w:tcW w:w="713" w:type="dxa"/>
            <w:vAlign w:val="center"/>
          </w:tcPr>
          <w:p>
            <w:pPr>
              <w:jc w:val="center"/>
              <w:rPr>
                <w:rFonts w:ascii="宋体" w:hAnsi="宋体" w:cs="宋体"/>
                <w:color w:val="000000"/>
                <w:sz w:val="22"/>
                <w:szCs w:val="22"/>
              </w:rPr>
            </w:pPr>
            <w:r>
              <w:rPr>
                <w:rFonts w:ascii="宋体" w:hAnsi="宋体" w:cs="宋体"/>
                <w:color w:val="000000"/>
                <w:sz w:val="22"/>
                <w:szCs w:val="22"/>
              </w:rPr>
              <w:t>5</w:t>
            </w:r>
          </w:p>
        </w:tc>
        <w:tc>
          <w:tcPr>
            <w:tcW w:w="3033" w:type="dxa"/>
            <w:vAlign w:val="center"/>
          </w:tcPr>
          <w:p>
            <w:pPr>
              <w:ind w:firstLine="48" w:firstLineChars="22"/>
              <w:jc w:val="center"/>
              <w:rPr>
                <w:rFonts w:ascii="宋体" w:hAnsi="宋体" w:cs="宋体"/>
                <w:color w:val="000000"/>
                <w:sz w:val="22"/>
                <w:szCs w:val="22"/>
              </w:rPr>
            </w:pPr>
            <w:r>
              <w:rPr>
                <w:rFonts w:hint="eastAsia" w:ascii="宋体" w:hAnsi="宋体" w:cs="宋体"/>
                <w:color w:val="000000"/>
                <w:sz w:val="22"/>
                <w:szCs w:val="22"/>
              </w:rPr>
              <w:t>不可预见费</w:t>
            </w:r>
          </w:p>
        </w:tc>
        <w:tc>
          <w:tcPr>
            <w:tcW w:w="3308" w:type="dxa"/>
            <w:gridSpan w:val="2"/>
            <w:vAlign w:val="center"/>
          </w:tcPr>
          <w:p>
            <w:pPr>
              <w:jc w:val="center"/>
              <w:rPr>
                <w:rFonts w:ascii="宋体" w:hAnsi="宋体" w:cs="宋体"/>
                <w:color w:val="000000"/>
                <w:sz w:val="22"/>
                <w:szCs w:val="22"/>
              </w:rPr>
            </w:pPr>
          </w:p>
        </w:tc>
        <w:tc>
          <w:tcPr>
            <w:tcW w:w="2233" w:type="dxa"/>
            <w:vAlign w:val="center"/>
          </w:tcPr>
          <w:p>
            <w:pPr>
              <w:jc w:val="center"/>
              <w:rPr>
                <w:rFonts w:ascii="宋体" w:hAnsi="宋体" w:cs="宋体"/>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5" w:hRule="atLeast"/>
          <w:jc w:val="center"/>
        </w:trPr>
        <w:tc>
          <w:tcPr>
            <w:tcW w:w="713" w:type="dxa"/>
            <w:vAlign w:val="center"/>
          </w:tcPr>
          <w:p>
            <w:pPr>
              <w:jc w:val="center"/>
              <w:rPr>
                <w:rFonts w:ascii="宋体" w:hAnsi="宋体" w:cs="宋体"/>
                <w:color w:val="000000"/>
                <w:sz w:val="22"/>
                <w:szCs w:val="22"/>
              </w:rPr>
            </w:pPr>
            <w:r>
              <w:rPr>
                <w:rFonts w:ascii="宋体" w:hAnsi="宋体" w:cs="宋体"/>
                <w:color w:val="000000"/>
                <w:sz w:val="22"/>
                <w:szCs w:val="22"/>
              </w:rPr>
              <w:t>6</w:t>
            </w:r>
          </w:p>
        </w:tc>
        <w:tc>
          <w:tcPr>
            <w:tcW w:w="3033" w:type="dxa"/>
            <w:vAlign w:val="center"/>
          </w:tcPr>
          <w:p>
            <w:pPr>
              <w:ind w:firstLine="48" w:firstLineChars="22"/>
              <w:jc w:val="center"/>
              <w:rPr>
                <w:rFonts w:ascii="宋体" w:hAnsi="宋体" w:cs="宋体"/>
                <w:color w:val="000000"/>
                <w:sz w:val="22"/>
                <w:szCs w:val="22"/>
              </w:rPr>
            </w:pPr>
            <w:r>
              <w:rPr>
                <w:rFonts w:hint="eastAsia" w:ascii="宋体" w:hAnsi="宋体" w:cs="宋体"/>
                <w:color w:val="000000"/>
                <w:sz w:val="22"/>
                <w:szCs w:val="22"/>
              </w:rPr>
              <w:t>……</w:t>
            </w:r>
          </w:p>
        </w:tc>
        <w:tc>
          <w:tcPr>
            <w:tcW w:w="3308" w:type="dxa"/>
            <w:gridSpan w:val="2"/>
            <w:vAlign w:val="center"/>
          </w:tcPr>
          <w:p>
            <w:pPr>
              <w:jc w:val="center"/>
              <w:rPr>
                <w:rFonts w:ascii="宋体" w:hAnsi="宋体" w:cs="宋体"/>
                <w:color w:val="000000"/>
                <w:sz w:val="22"/>
                <w:szCs w:val="22"/>
              </w:rPr>
            </w:pPr>
          </w:p>
        </w:tc>
        <w:tc>
          <w:tcPr>
            <w:tcW w:w="2233" w:type="dxa"/>
            <w:vAlign w:val="center"/>
          </w:tcPr>
          <w:p>
            <w:pPr>
              <w:jc w:val="center"/>
              <w:rPr>
                <w:rFonts w:ascii="宋体" w:hAnsi="宋体" w:cs="宋体"/>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5" w:hRule="atLeast"/>
          <w:jc w:val="center"/>
        </w:trPr>
        <w:tc>
          <w:tcPr>
            <w:tcW w:w="713" w:type="dxa"/>
            <w:vAlign w:val="center"/>
          </w:tcPr>
          <w:p>
            <w:pPr>
              <w:jc w:val="center"/>
              <w:rPr>
                <w:rFonts w:ascii="宋体" w:hAnsi="宋体" w:cs="宋体"/>
                <w:color w:val="000000"/>
                <w:sz w:val="22"/>
                <w:szCs w:val="22"/>
              </w:rPr>
            </w:pPr>
            <w:r>
              <w:rPr>
                <w:rFonts w:ascii="宋体" w:hAnsi="宋体" w:cs="宋体"/>
                <w:color w:val="000000"/>
                <w:sz w:val="22"/>
                <w:szCs w:val="22"/>
              </w:rPr>
              <w:t>7</w:t>
            </w:r>
          </w:p>
        </w:tc>
        <w:tc>
          <w:tcPr>
            <w:tcW w:w="3033" w:type="dxa"/>
            <w:vAlign w:val="center"/>
          </w:tcPr>
          <w:p>
            <w:pPr>
              <w:ind w:firstLine="48" w:firstLineChars="22"/>
              <w:jc w:val="center"/>
              <w:rPr>
                <w:rFonts w:ascii="宋体" w:hAnsi="宋体" w:cs="宋体"/>
                <w:color w:val="000000"/>
                <w:sz w:val="22"/>
                <w:szCs w:val="22"/>
              </w:rPr>
            </w:pPr>
            <w:r>
              <w:rPr>
                <w:rFonts w:hint="eastAsia" w:ascii="宋体" w:hAnsi="宋体" w:cs="宋体"/>
                <w:color w:val="000000"/>
                <w:sz w:val="22"/>
                <w:szCs w:val="22"/>
              </w:rPr>
              <w:t>……</w:t>
            </w:r>
          </w:p>
        </w:tc>
        <w:tc>
          <w:tcPr>
            <w:tcW w:w="3308" w:type="dxa"/>
            <w:gridSpan w:val="2"/>
            <w:vAlign w:val="center"/>
          </w:tcPr>
          <w:p>
            <w:pPr>
              <w:jc w:val="center"/>
              <w:rPr>
                <w:rFonts w:ascii="宋体" w:hAnsi="宋体" w:cs="宋体"/>
                <w:color w:val="000000"/>
                <w:sz w:val="22"/>
                <w:szCs w:val="22"/>
              </w:rPr>
            </w:pPr>
          </w:p>
        </w:tc>
        <w:tc>
          <w:tcPr>
            <w:tcW w:w="2233" w:type="dxa"/>
            <w:vAlign w:val="center"/>
          </w:tcPr>
          <w:p>
            <w:pPr>
              <w:jc w:val="center"/>
              <w:rPr>
                <w:rFonts w:ascii="宋体" w:hAnsi="宋体" w:cs="宋体"/>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5" w:hRule="atLeast"/>
          <w:jc w:val="center"/>
        </w:trPr>
        <w:tc>
          <w:tcPr>
            <w:tcW w:w="713" w:type="dxa"/>
            <w:vAlign w:val="center"/>
          </w:tcPr>
          <w:p>
            <w:pPr>
              <w:jc w:val="center"/>
              <w:rPr>
                <w:rFonts w:ascii="宋体" w:hAnsi="宋体" w:cs="宋体"/>
                <w:color w:val="000000"/>
                <w:sz w:val="22"/>
                <w:szCs w:val="22"/>
              </w:rPr>
            </w:pPr>
            <w:r>
              <w:rPr>
                <w:rFonts w:ascii="宋体" w:hAnsi="宋体" w:cs="宋体"/>
                <w:color w:val="000000"/>
                <w:sz w:val="22"/>
                <w:szCs w:val="22"/>
              </w:rPr>
              <w:t>8</w:t>
            </w:r>
          </w:p>
        </w:tc>
        <w:tc>
          <w:tcPr>
            <w:tcW w:w="3033" w:type="dxa"/>
            <w:vAlign w:val="center"/>
          </w:tcPr>
          <w:p>
            <w:pPr>
              <w:jc w:val="center"/>
              <w:rPr>
                <w:rFonts w:ascii="宋体" w:hAnsi="宋体" w:cs="宋体"/>
                <w:color w:val="000000"/>
                <w:sz w:val="22"/>
                <w:szCs w:val="22"/>
              </w:rPr>
            </w:pPr>
            <w:r>
              <w:rPr>
                <w:rFonts w:hint="eastAsia" w:ascii="宋体" w:hAnsi="宋体" w:cs="宋体"/>
                <w:color w:val="000000"/>
                <w:sz w:val="22"/>
                <w:szCs w:val="22"/>
              </w:rPr>
              <w:t>其他</w:t>
            </w:r>
          </w:p>
        </w:tc>
        <w:tc>
          <w:tcPr>
            <w:tcW w:w="3308" w:type="dxa"/>
            <w:gridSpan w:val="2"/>
            <w:vAlign w:val="center"/>
          </w:tcPr>
          <w:p>
            <w:pPr>
              <w:jc w:val="center"/>
              <w:rPr>
                <w:rFonts w:ascii="宋体" w:hAnsi="宋体" w:cs="宋体"/>
                <w:color w:val="000000"/>
                <w:sz w:val="22"/>
                <w:szCs w:val="22"/>
              </w:rPr>
            </w:pPr>
          </w:p>
        </w:tc>
        <w:tc>
          <w:tcPr>
            <w:tcW w:w="2233" w:type="dxa"/>
            <w:vAlign w:val="center"/>
          </w:tcPr>
          <w:p>
            <w:pPr>
              <w:jc w:val="center"/>
              <w:rPr>
                <w:rFonts w:ascii="宋体" w:hAnsi="宋体" w:cs="宋体"/>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87" w:hRule="atLeast"/>
          <w:jc w:val="center"/>
        </w:trPr>
        <w:tc>
          <w:tcPr>
            <w:tcW w:w="5850" w:type="dxa"/>
            <w:gridSpan w:val="3"/>
            <w:tcBorders>
              <w:bottom w:val="single" w:color="auto" w:sz="12" w:space="0"/>
            </w:tcBorders>
            <w:vAlign w:val="center"/>
          </w:tcPr>
          <w:p>
            <w:pPr>
              <w:rPr>
                <w:rFonts w:ascii="宋体" w:hAnsi="宋体" w:cs="宋体"/>
                <w:color w:val="000000"/>
                <w:sz w:val="22"/>
                <w:szCs w:val="22"/>
              </w:rPr>
            </w:pPr>
            <w:r>
              <w:rPr>
                <w:rFonts w:hint="eastAsia" w:ascii="宋体" w:hAnsi="宋体" w:cs="宋体"/>
                <w:color w:val="000000"/>
                <w:sz w:val="22"/>
                <w:szCs w:val="22"/>
              </w:rPr>
              <w:t>合计总价（大写）</w:t>
            </w:r>
            <w:r>
              <w:rPr>
                <w:rFonts w:ascii="宋体" w:hAnsi="宋体" w:cs="宋体"/>
                <w:color w:val="000000"/>
                <w:sz w:val="22"/>
                <w:szCs w:val="22"/>
              </w:rPr>
              <w:t xml:space="preserve">                </w:t>
            </w:r>
            <w:r>
              <w:rPr>
                <w:rFonts w:hint="eastAsia" w:ascii="宋体" w:hAnsi="宋体" w:cs="宋体"/>
                <w:color w:val="000000"/>
                <w:sz w:val="22"/>
                <w:szCs w:val="22"/>
              </w:rPr>
              <w:t>元人民币</w:t>
            </w:r>
            <w:r>
              <w:rPr>
                <w:rFonts w:ascii="宋体" w:hAnsi="宋体" w:cs="宋体"/>
                <w:color w:val="000000"/>
                <w:sz w:val="22"/>
                <w:szCs w:val="22"/>
              </w:rPr>
              <w:t xml:space="preserve"> </w:t>
            </w:r>
          </w:p>
        </w:tc>
        <w:tc>
          <w:tcPr>
            <w:tcW w:w="3437" w:type="dxa"/>
            <w:gridSpan w:val="2"/>
            <w:tcBorders>
              <w:bottom w:val="single" w:color="auto" w:sz="12" w:space="0"/>
            </w:tcBorders>
            <w:vAlign w:val="center"/>
          </w:tcPr>
          <w:p>
            <w:pPr>
              <w:rPr>
                <w:rFonts w:ascii="宋体" w:hAnsi="宋体" w:cs="宋体"/>
                <w:color w:val="000000"/>
                <w:sz w:val="22"/>
                <w:szCs w:val="22"/>
              </w:rPr>
            </w:pPr>
            <w:r>
              <w:rPr>
                <w:rFonts w:hint="eastAsia" w:ascii="宋体" w:hAnsi="宋体" w:cs="宋体"/>
                <w:color w:val="000000"/>
                <w:sz w:val="22"/>
                <w:szCs w:val="22"/>
              </w:rPr>
              <w:t>（小写）</w:t>
            </w:r>
          </w:p>
        </w:tc>
      </w:tr>
    </w:tbl>
    <w:p>
      <w:pPr>
        <w:rPr>
          <w:rFonts w:ascii="Arial" w:hAnsi="Arial" w:eastAsia="楷体_GB2312" w:cs="Arial"/>
          <w:color w:val="000000"/>
          <w:szCs w:val="21"/>
        </w:rPr>
      </w:pPr>
      <w:r>
        <w:rPr>
          <w:rFonts w:hint="eastAsia" w:ascii="Arial" w:hAnsi="Arial" w:eastAsia="楷体_GB2312" w:cs="Arial"/>
          <w:bCs/>
          <w:color w:val="000000"/>
          <w:szCs w:val="21"/>
        </w:rPr>
        <w:t>附注：</w:t>
      </w:r>
      <w:r>
        <w:rPr>
          <w:rFonts w:ascii="Arial" w:hAnsi="Arial" w:eastAsia="楷体_GB2312" w:cs="Arial"/>
          <w:color w:val="000000"/>
          <w:szCs w:val="21"/>
        </w:rPr>
        <w:t xml:space="preserve">1. </w:t>
      </w:r>
      <w:r>
        <w:rPr>
          <w:rFonts w:hint="eastAsia" w:ascii="Arial" w:hAnsi="Arial" w:eastAsia="楷体_GB2312" w:cs="Arial"/>
          <w:color w:val="000000"/>
          <w:szCs w:val="21"/>
        </w:rPr>
        <w:t>不提供详细分项报价表将视为没有实质性响应招标文件；</w:t>
      </w:r>
    </w:p>
    <w:p>
      <w:pPr>
        <w:ind w:left="945" w:leftChars="300" w:hanging="315" w:hangingChars="150"/>
        <w:rPr>
          <w:rFonts w:ascii="Arial" w:hAnsi="Arial" w:eastAsia="楷体_GB2312" w:cs="Arial"/>
          <w:color w:val="000000"/>
          <w:szCs w:val="21"/>
        </w:rPr>
      </w:pPr>
      <w:r>
        <w:rPr>
          <w:rFonts w:ascii="Arial" w:hAnsi="Arial" w:eastAsia="楷体_GB2312" w:cs="Arial"/>
          <w:color w:val="000000"/>
          <w:szCs w:val="21"/>
        </w:rPr>
        <w:t xml:space="preserve">2. </w:t>
      </w:r>
      <w:r>
        <w:rPr>
          <w:rFonts w:hint="eastAsia" w:ascii="Arial" w:hAnsi="Arial" w:eastAsia="楷体_GB2312" w:cs="Arial"/>
          <w:color w:val="000000"/>
          <w:szCs w:val="21"/>
        </w:rPr>
        <w:t>此表的合计总价</w:t>
      </w:r>
      <w:r>
        <w:rPr>
          <w:rFonts w:ascii="Arial" w:hAnsi="Arial" w:eastAsia="楷体_GB2312" w:cs="Arial"/>
          <w:color w:val="000000"/>
          <w:szCs w:val="21"/>
        </w:rPr>
        <w:t>+</w:t>
      </w:r>
      <w:r>
        <w:rPr>
          <w:rFonts w:hint="eastAsia" w:ascii="Arial" w:hAnsi="Arial" w:eastAsia="楷体_GB2312" w:cs="Arial"/>
          <w:color w:val="000000"/>
          <w:szCs w:val="21"/>
        </w:rPr>
        <w:t>“（</w:t>
      </w:r>
      <w:r>
        <w:rPr>
          <w:rFonts w:ascii="Arial" w:hAnsi="Arial" w:eastAsia="楷体_GB2312" w:cs="Arial"/>
          <w:color w:val="000000"/>
          <w:szCs w:val="21"/>
        </w:rPr>
        <w:t>1</w:t>
      </w:r>
      <w:r>
        <w:rPr>
          <w:rFonts w:hint="eastAsia" w:ascii="Arial" w:hAnsi="Arial" w:eastAsia="楷体_GB2312" w:cs="Arial"/>
          <w:color w:val="000000"/>
          <w:szCs w:val="21"/>
        </w:rPr>
        <w:t>）硬件设备分项报价表”中的合计总价</w:t>
      </w:r>
      <w:r>
        <w:rPr>
          <w:rFonts w:ascii="Arial" w:hAnsi="Arial" w:eastAsia="楷体_GB2312" w:cs="Arial"/>
          <w:color w:val="000000"/>
          <w:szCs w:val="21"/>
        </w:rPr>
        <w:t>=</w:t>
      </w:r>
      <w:r>
        <w:rPr>
          <w:rFonts w:hint="eastAsia" w:ascii="Arial" w:hAnsi="Arial" w:eastAsia="楷体_GB2312" w:cs="Arial"/>
          <w:color w:val="000000"/>
          <w:szCs w:val="21"/>
        </w:rPr>
        <w:t>附件二“开标一览表”投标总价。</w:t>
      </w:r>
    </w:p>
    <w:p>
      <w:pPr>
        <w:ind w:left="900" w:leftChars="300" w:hanging="270"/>
        <w:rPr>
          <w:rFonts w:ascii="Arial" w:hAnsi="Arial" w:eastAsia="楷体_GB2312" w:cs="Arial"/>
          <w:color w:val="000000"/>
          <w:szCs w:val="21"/>
        </w:rPr>
      </w:pPr>
      <w:r>
        <w:rPr>
          <w:rFonts w:ascii="Arial" w:hAnsi="Arial" w:eastAsia="楷体_GB2312" w:cs="Arial"/>
          <w:color w:val="000000"/>
          <w:szCs w:val="21"/>
        </w:rPr>
        <w:t xml:space="preserve">3. </w:t>
      </w:r>
      <w:r>
        <w:rPr>
          <w:rFonts w:hint="eastAsia" w:ascii="Arial" w:hAnsi="Arial" w:eastAsia="楷体_GB2312" w:cs="Arial"/>
          <w:color w:val="000000"/>
          <w:szCs w:val="21"/>
        </w:rPr>
        <w:t>如果免费请在该备注栏</w:t>
      </w:r>
      <w:r>
        <w:rPr>
          <w:rFonts w:hint="eastAsia" w:ascii="楷体_GB2312" w:hAnsi="Arial" w:eastAsia="楷体_GB2312" w:cs="Arial"/>
          <w:color w:val="000000"/>
          <w:szCs w:val="21"/>
        </w:rPr>
        <w:t>内注明“免”，如果含在产品价格中则填“含”，如无此项内容则填“无”，不留空白。</w:t>
      </w:r>
    </w:p>
    <w:p>
      <w:pPr>
        <w:tabs>
          <w:tab w:val="left" w:pos="1905"/>
        </w:tabs>
        <w:spacing w:line="360" w:lineRule="auto"/>
        <w:ind w:right="-11"/>
        <w:jc w:val="left"/>
        <w:rPr>
          <w:rFonts w:ascii="Arial" w:hAnsi="Arial" w:eastAsia="楷体_GB2312" w:cs="Arial"/>
          <w:color w:val="000000"/>
          <w:szCs w:val="21"/>
        </w:rPr>
      </w:pPr>
    </w:p>
    <w:p>
      <w:pPr>
        <w:tabs>
          <w:tab w:val="left" w:pos="1905"/>
        </w:tabs>
        <w:spacing w:line="360" w:lineRule="auto"/>
        <w:ind w:right="-11"/>
        <w:jc w:val="left"/>
        <w:rPr>
          <w:rFonts w:ascii="宋体" w:hAnsi="宋体" w:cs="宋体"/>
          <w:color w:val="000000"/>
          <w:sz w:val="24"/>
        </w:rPr>
      </w:pPr>
      <w:r>
        <w:rPr>
          <w:rFonts w:hint="eastAsia" w:ascii="宋体" w:hAnsi="宋体" w:cs="宋体"/>
          <w:color w:val="000000"/>
          <w:sz w:val="24"/>
        </w:rPr>
        <w:t>投标供应商全称（</w:t>
      </w:r>
      <w:r>
        <w:rPr>
          <w:rFonts w:hint="eastAsia" w:eastAsia="新宋体"/>
          <w:color w:val="000000"/>
          <w:sz w:val="24"/>
        </w:rPr>
        <w:t>公章</w:t>
      </w:r>
      <w:r>
        <w:rPr>
          <w:rFonts w:hint="eastAsia" w:ascii="宋体" w:hAnsi="宋体" w:cs="宋体"/>
          <w:color w:val="000000"/>
          <w:sz w:val="24"/>
        </w:rPr>
        <w:t>）：</w:t>
      </w:r>
    </w:p>
    <w:p>
      <w:pPr>
        <w:spacing w:line="360" w:lineRule="auto"/>
        <w:ind w:right="-10"/>
        <w:jc w:val="left"/>
        <w:rPr>
          <w:rFonts w:ascii="宋体" w:hAnsi="宋体" w:cs="宋体"/>
          <w:color w:val="000000"/>
          <w:sz w:val="24"/>
        </w:rPr>
      </w:pPr>
      <w:r>
        <w:rPr>
          <w:rFonts w:hint="eastAsia" w:ascii="宋体" w:hAnsi="宋体" w:cs="宋体"/>
          <w:color w:val="000000"/>
          <w:sz w:val="24"/>
        </w:rPr>
        <w:t>法定代表人或授权代表（</w:t>
      </w:r>
      <w:r>
        <w:rPr>
          <w:rFonts w:hint="eastAsia" w:eastAsia="新宋体"/>
          <w:color w:val="000000"/>
          <w:sz w:val="24"/>
        </w:rPr>
        <w:t>签字或盖章</w:t>
      </w:r>
      <w:r>
        <w:rPr>
          <w:rFonts w:hint="eastAsia" w:ascii="宋体" w:hAnsi="宋体" w:cs="宋体"/>
          <w:color w:val="000000"/>
          <w:sz w:val="24"/>
        </w:rPr>
        <w:t>）：</w:t>
      </w:r>
    </w:p>
    <w:p>
      <w:pPr>
        <w:spacing w:line="360" w:lineRule="auto"/>
        <w:ind w:left="-357" w:leftChars="-170" w:firstLine="360" w:firstLineChars="150"/>
        <w:rPr>
          <w:rFonts w:ascii="宋体" w:hAnsi="宋体" w:cs="宋体"/>
          <w:color w:val="000000"/>
          <w:sz w:val="24"/>
        </w:rPr>
      </w:pPr>
      <w:r>
        <w:rPr>
          <w:rFonts w:hint="eastAsia" w:ascii="宋体" w:hAnsi="宋体" w:cs="宋体"/>
          <w:color w:val="000000"/>
          <w:sz w:val="24"/>
        </w:rPr>
        <w:t>日期：</w:t>
      </w:r>
      <w:r>
        <w:rPr>
          <w:rFonts w:ascii="宋体" w:hAnsi="宋体" w:cs="宋体"/>
          <w:color w:val="000000"/>
          <w:sz w:val="24"/>
        </w:rPr>
        <w:t xml:space="preserve">   </w:t>
      </w:r>
      <w:r>
        <w:rPr>
          <w:rFonts w:hint="eastAsia" w:ascii="宋体" w:hAnsi="宋体" w:cs="宋体"/>
          <w:color w:val="000000"/>
          <w:sz w:val="24"/>
        </w:rPr>
        <w:t>年</w:t>
      </w:r>
      <w:r>
        <w:rPr>
          <w:rFonts w:ascii="宋体" w:hAnsi="宋体" w:cs="宋体"/>
          <w:color w:val="000000"/>
          <w:sz w:val="24"/>
        </w:rPr>
        <w:t xml:space="preserve">   </w:t>
      </w:r>
      <w:r>
        <w:rPr>
          <w:rFonts w:hint="eastAsia" w:ascii="宋体" w:hAnsi="宋体" w:cs="宋体"/>
          <w:color w:val="000000"/>
          <w:sz w:val="24"/>
        </w:rPr>
        <w:t>月</w:t>
      </w:r>
      <w:r>
        <w:rPr>
          <w:rFonts w:ascii="宋体" w:hAnsi="宋体" w:cs="宋体"/>
          <w:color w:val="000000"/>
          <w:sz w:val="24"/>
        </w:rPr>
        <w:t xml:space="preserve">   </w:t>
      </w:r>
      <w:r>
        <w:rPr>
          <w:rFonts w:hint="eastAsia" w:ascii="宋体" w:hAnsi="宋体" w:cs="宋体"/>
          <w:color w:val="000000"/>
          <w:sz w:val="24"/>
        </w:rPr>
        <w:t>日</w:t>
      </w:r>
    </w:p>
    <w:p>
      <w:r>
        <w:rPr>
          <w:rFonts w:hint="eastAsia"/>
        </w:rPr>
        <w:br w:type="page"/>
      </w:r>
    </w:p>
    <w:p>
      <w:pPr>
        <w:spacing w:line="460" w:lineRule="exact"/>
      </w:pPr>
      <w:r>
        <w:rPr>
          <w:rFonts w:hint="eastAsia"/>
        </w:rPr>
        <w:t>附件四</w:t>
      </w:r>
    </w:p>
    <w:p>
      <w:pPr>
        <w:rPr>
          <w:rFonts w:ascii="宋体" w:hAnsi="宋体" w:cs="宋体"/>
          <w:b/>
          <w:bCs/>
          <w:sz w:val="22"/>
          <w:szCs w:val="22"/>
        </w:rPr>
      </w:pPr>
    </w:p>
    <w:p>
      <w:pPr>
        <w:spacing w:line="400" w:lineRule="exact"/>
        <w:jc w:val="center"/>
        <w:outlineLvl w:val="2"/>
        <w:rPr>
          <w:rFonts w:ascii="新宋体" w:hAnsi="新宋体" w:eastAsia="新宋体"/>
          <w:b/>
          <w:bCs/>
          <w:sz w:val="28"/>
          <w:szCs w:val="28"/>
        </w:rPr>
      </w:pPr>
      <w:r>
        <w:rPr>
          <w:rFonts w:hint="eastAsia" w:ascii="新宋体" w:hAnsi="新宋体" w:eastAsia="新宋体"/>
          <w:b/>
          <w:bCs/>
          <w:sz w:val="28"/>
          <w:szCs w:val="28"/>
          <w:lang w:val="zh-CN"/>
        </w:rPr>
        <w:t>偏离表</w:t>
      </w:r>
    </w:p>
    <w:p>
      <w:pPr>
        <w:spacing w:line="560" w:lineRule="exact"/>
        <w:ind w:firstLine="433" w:firstLineChars="196"/>
        <w:rPr>
          <w:rFonts w:ascii="新宋体" w:hAnsi="新宋体" w:eastAsia="新宋体"/>
          <w:b/>
          <w:bCs/>
          <w:sz w:val="22"/>
          <w:szCs w:val="22"/>
        </w:rPr>
      </w:pPr>
      <w:r>
        <w:rPr>
          <w:rFonts w:hint="eastAsia" w:ascii="新宋体" w:hAnsi="新宋体" w:eastAsia="新宋体"/>
          <w:b/>
          <w:sz w:val="22"/>
          <w:szCs w:val="22"/>
        </w:rPr>
        <w:t>项目名称：                                          项目编号：</w:t>
      </w:r>
    </w:p>
    <w:tbl>
      <w:tblPr>
        <w:tblStyle w:val="69"/>
        <w:tblW w:w="0" w:type="auto"/>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4"/>
        <w:gridCol w:w="1754"/>
        <w:gridCol w:w="1754"/>
        <w:gridCol w:w="1755"/>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754" w:type="dxa"/>
            <w:shd w:val="clear" w:color="auto" w:fill="FFFFFF"/>
            <w:vAlign w:val="center"/>
          </w:tcPr>
          <w:p>
            <w:pPr>
              <w:jc w:val="center"/>
              <w:rPr>
                <w:rFonts w:ascii="新宋体" w:hAnsi="新宋体" w:eastAsia="新宋体"/>
                <w:b/>
                <w:sz w:val="22"/>
                <w:szCs w:val="22"/>
              </w:rPr>
            </w:pPr>
            <w:r>
              <w:rPr>
                <w:rFonts w:hint="eastAsia" w:ascii="新宋体" w:hAnsi="新宋体" w:eastAsia="新宋体"/>
                <w:b/>
                <w:sz w:val="22"/>
                <w:szCs w:val="22"/>
              </w:rPr>
              <w:t>序  号</w:t>
            </w:r>
          </w:p>
        </w:tc>
        <w:tc>
          <w:tcPr>
            <w:tcW w:w="1754" w:type="dxa"/>
            <w:shd w:val="clear" w:color="auto" w:fill="FFFFFF"/>
            <w:vAlign w:val="center"/>
          </w:tcPr>
          <w:p>
            <w:pPr>
              <w:jc w:val="center"/>
              <w:rPr>
                <w:rFonts w:ascii="新宋体" w:hAnsi="新宋体" w:eastAsia="新宋体"/>
                <w:b/>
                <w:sz w:val="22"/>
                <w:szCs w:val="22"/>
              </w:rPr>
            </w:pPr>
            <w:r>
              <w:rPr>
                <w:rFonts w:hint="eastAsia" w:ascii="新宋体" w:hAnsi="新宋体" w:eastAsia="新宋体"/>
                <w:b/>
                <w:sz w:val="22"/>
                <w:szCs w:val="22"/>
              </w:rPr>
              <w:t>招标文件</w:t>
            </w:r>
          </w:p>
          <w:p>
            <w:pPr>
              <w:jc w:val="center"/>
              <w:rPr>
                <w:rFonts w:ascii="新宋体" w:hAnsi="新宋体" w:eastAsia="新宋体"/>
                <w:b/>
                <w:sz w:val="22"/>
                <w:szCs w:val="22"/>
              </w:rPr>
            </w:pPr>
            <w:r>
              <w:rPr>
                <w:rFonts w:hint="eastAsia" w:ascii="新宋体" w:hAnsi="新宋体" w:eastAsia="新宋体"/>
                <w:b/>
                <w:sz w:val="22"/>
                <w:szCs w:val="22"/>
              </w:rPr>
              <w:t>条目</w:t>
            </w:r>
          </w:p>
        </w:tc>
        <w:tc>
          <w:tcPr>
            <w:tcW w:w="1754" w:type="dxa"/>
            <w:shd w:val="clear" w:color="auto" w:fill="FFFFFF"/>
            <w:vAlign w:val="center"/>
          </w:tcPr>
          <w:p>
            <w:pPr>
              <w:jc w:val="center"/>
              <w:rPr>
                <w:rFonts w:ascii="新宋体" w:hAnsi="新宋体" w:eastAsia="新宋体"/>
                <w:b/>
                <w:sz w:val="22"/>
                <w:szCs w:val="22"/>
              </w:rPr>
            </w:pPr>
            <w:r>
              <w:rPr>
                <w:rFonts w:hint="eastAsia" w:ascii="新宋体" w:hAnsi="新宋体" w:eastAsia="新宋体"/>
                <w:b/>
                <w:sz w:val="22"/>
                <w:szCs w:val="22"/>
              </w:rPr>
              <w:t>招标文件</w:t>
            </w:r>
          </w:p>
          <w:p>
            <w:pPr>
              <w:jc w:val="center"/>
              <w:rPr>
                <w:rFonts w:ascii="新宋体" w:hAnsi="新宋体" w:eastAsia="新宋体"/>
                <w:b/>
                <w:sz w:val="22"/>
                <w:szCs w:val="22"/>
              </w:rPr>
            </w:pPr>
            <w:r>
              <w:rPr>
                <w:rFonts w:hint="eastAsia" w:ascii="新宋体" w:hAnsi="新宋体" w:eastAsia="新宋体"/>
                <w:b/>
                <w:sz w:val="22"/>
                <w:szCs w:val="22"/>
              </w:rPr>
              <w:t>规格要求</w:t>
            </w:r>
          </w:p>
        </w:tc>
        <w:tc>
          <w:tcPr>
            <w:tcW w:w="1755" w:type="dxa"/>
            <w:shd w:val="clear" w:color="auto" w:fill="FFFFFF"/>
            <w:vAlign w:val="center"/>
          </w:tcPr>
          <w:p>
            <w:pPr>
              <w:jc w:val="center"/>
              <w:rPr>
                <w:rFonts w:ascii="新宋体" w:hAnsi="新宋体" w:eastAsia="新宋体"/>
                <w:b/>
                <w:sz w:val="22"/>
                <w:szCs w:val="22"/>
              </w:rPr>
            </w:pPr>
            <w:r>
              <w:rPr>
                <w:rFonts w:hint="eastAsia" w:ascii="新宋体" w:hAnsi="新宋体" w:eastAsia="新宋体"/>
                <w:b/>
                <w:sz w:val="22"/>
                <w:szCs w:val="22"/>
              </w:rPr>
              <w:t>投标文件</w:t>
            </w:r>
          </w:p>
          <w:p>
            <w:pPr>
              <w:jc w:val="center"/>
              <w:rPr>
                <w:rFonts w:ascii="新宋体" w:hAnsi="新宋体" w:eastAsia="新宋体"/>
                <w:b/>
                <w:sz w:val="22"/>
                <w:szCs w:val="22"/>
              </w:rPr>
            </w:pPr>
            <w:r>
              <w:rPr>
                <w:rFonts w:hint="eastAsia" w:ascii="新宋体" w:hAnsi="新宋体" w:eastAsia="新宋体"/>
                <w:b/>
                <w:sz w:val="22"/>
                <w:szCs w:val="22"/>
              </w:rPr>
              <w:t>对应规格</w:t>
            </w:r>
          </w:p>
        </w:tc>
        <w:tc>
          <w:tcPr>
            <w:tcW w:w="1755" w:type="dxa"/>
            <w:shd w:val="clear" w:color="auto" w:fill="FFFFFF"/>
            <w:vAlign w:val="center"/>
          </w:tcPr>
          <w:p>
            <w:pPr>
              <w:jc w:val="center"/>
              <w:rPr>
                <w:rFonts w:ascii="新宋体" w:hAnsi="新宋体" w:eastAsia="新宋体"/>
                <w:b/>
                <w:sz w:val="22"/>
                <w:szCs w:val="22"/>
              </w:rPr>
            </w:pPr>
            <w:r>
              <w:rPr>
                <w:rFonts w:hint="eastAsia" w:ascii="新宋体" w:hAnsi="新宋体" w:eastAsia="新宋体"/>
                <w:b/>
                <w:sz w:val="22"/>
                <w:szCs w:val="22"/>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1754" w:type="dxa"/>
            <w:vAlign w:val="center"/>
          </w:tcPr>
          <w:p>
            <w:pPr>
              <w:ind w:firstLine="220" w:firstLineChars="100"/>
              <w:rPr>
                <w:rFonts w:ascii="新宋体" w:hAnsi="新宋体" w:eastAsia="新宋体"/>
                <w:sz w:val="22"/>
                <w:szCs w:val="22"/>
              </w:rPr>
            </w:pPr>
            <w:r>
              <w:rPr>
                <w:rFonts w:hint="eastAsia" w:ascii="新宋体" w:hAnsi="新宋体" w:eastAsia="新宋体"/>
                <w:sz w:val="22"/>
                <w:szCs w:val="22"/>
              </w:rPr>
              <w:t xml:space="preserve"> </w:t>
            </w:r>
          </w:p>
        </w:tc>
        <w:tc>
          <w:tcPr>
            <w:tcW w:w="1754" w:type="dxa"/>
            <w:vAlign w:val="center"/>
          </w:tcPr>
          <w:p>
            <w:pPr>
              <w:jc w:val="center"/>
              <w:rPr>
                <w:rFonts w:ascii="新宋体" w:hAnsi="新宋体" w:eastAsia="新宋体"/>
                <w:sz w:val="22"/>
                <w:szCs w:val="22"/>
              </w:rPr>
            </w:pPr>
          </w:p>
        </w:tc>
        <w:tc>
          <w:tcPr>
            <w:tcW w:w="1754" w:type="dxa"/>
            <w:vAlign w:val="center"/>
          </w:tcPr>
          <w:p>
            <w:pPr>
              <w:jc w:val="center"/>
              <w:rPr>
                <w:rFonts w:ascii="新宋体" w:hAnsi="新宋体" w:eastAsia="新宋体"/>
                <w:sz w:val="22"/>
                <w:szCs w:val="22"/>
              </w:rPr>
            </w:pPr>
          </w:p>
        </w:tc>
        <w:tc>
          <w:tcPr>
            <w:tcW w:w="1755" w:type="dxa"/>
            <w:vAlign w:val="center"/>
          </w:tcPr>
          <w:p>
            <w:pPr>
              <w:jc w:val="center"/>
              <w:rPr>
                <w:rFonts w:ascii="新宋体" w:hAnsi="新宋体" w:eastAsia="新宋体"/>
                <w:sz w:val="22"/>
                <w:szCs w:val="22"/>
              </w:rPr>
            </w:pPr>
          </w:p>
        </w:tc>
        <w:tc>
          <w:tcPr>
            <w:tcW w:w="1755" w:type="dxa"/>
            <w:vAlign w:val="center"/>
          </w:tcPr>
          <w:p>
            <w:pPr>
              <w:jc w:val="center"/>
              <w:rPr>
                <w:rFonts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754" w:type="dxa"/>
            <w:vAlign w:val="center"/>
          </w:tcPr>
          <w:p>
            <w:pPr>
              <w:jc w:val="center"/>
              <w:rPr>
                <w:rFonts w:ascii="新宋体" w:hAnsi="新宋体" w:eastAsia="新宋体"/>
                <w:sz w:val="22"/>
                <w:szCs w:val="22"/>
              </w:rPr>
            </w:pPr>
          </w:p>
        </w:tc>
        <w:tc>
          <w:tcPr>
            <w:tcW w:w="1754" w:type="dxa"/>
            <w:vAlign w:val="center"/>
          </w:tcPr>
          <w:p>
            <w:pPr>
              <w:jc w:val="center"/>
              <w:rPr>
                <w:rFonts w:ascii="新宋体" w:hAnsi="新宋体" w:eastAsia="新宋体"/>
                <w:sz w:val="22"/>
                <w:szCs w:val="22"/>
              </w:rPr>
            </w:pPr>
          </w:p>
        </w:tc>
        <w:tc>
          <w:tcPr>
            <w:tcW w:w="1754" w:type="dxa"/>
            <w:vAlign w:val="center"/>
          </w:tcPr>
          <w:p>
            <w:pPr>
              <w:jc w:val="center"/>
              <w:rPr>
                <w:rFonts w:ascii="新宋体" w:hAnsi="新宋体" w:eastAsia="新宋体"/>
                <w:sz w:val="22"/>
                <w:szCs w:val="22"/>
              </w:rPr>
            </w:pPr>
          </w:p>
        </w:tc>
        <w:tc>
          <w:tcPr>
            <w:tcW w:w="1755" w:type="dxa"/>
            <w:vAlign w:val="center"/>
          </w:tcPr>
          <w:p>
            <w:pPr>
              <w:jc w:val="center"/>
              <w:rPr>
                <w:rFonts w:ascii="新宋体" w:hAnsi="新宋体" w:eastAsia="新宋体"/>
                <w:sz w:val="22"/>
                <w:szCs w:val="22"/>
              </w:rPr>
            </w:pPr>
          </w:p>
        </w:tc>
        <w:tc>
          <w:tcPr>
            <w:tcW w:w="1755" w:type="dxa"/>
            <w:vAlign w:val="center"/>
          </w:tcPr>
          <w:p>
            <w:pPr>
              <w:jc w:val="center"/>
              <w:rPr>
                <w:rFonts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754" w:type="dxa"/>
            <w:vAlign w:val="center"/>
          </w:tcPr>
          <w:p>
            <w:pPr>
              <w:jc w:val="center"/>
              <w:rPr>
                <w:rFonts w:ascii="新宋体" w:hAnsi="新宋体" w:eastAsia="新宋体"/>
                <w:sz w:val="22"/>
                <w:szCs w:val="22"/>
              </w:rPr>
            </w:pPr>
          </w:p>
        </w:tc>
        <w:tc>
          <w:tcPr>
            <w:tcW w:w="1754" w:type="dxa"/>
            <w:vAlign w:val="center"/>
          </w:tcPr>
          <w:p>
            <w:pPr>
              <w:jc w:val="center"/>
              <w:rPr>
                <w:rFonts w:ascii="新宋体" w:hAnsi="新宋体" w:eastAsia="新宋体"/>
                <w:sz w:val="22"/>
                <w:szCs w:val="22"/>
              </w:rPr>
            </w:pPr>
          </w:p>
        </w:tc>
        <w:tc>
          <w:tcPr>
            <w:tcW w:w="1754" w:type="dxa"/>
            <w:vAlign w:val="center"/>
          </w:tcPr>
          <w:p>
            <w:pPr>
              <w:jc w:val="center"/>
              <w:rPr>
                <w:rFonts w:ascii="新宋体" w:hAnsi="新宋体" w:eastAsia="新宋体"/>
                <w:sz w:val="22"/>
                <w:szCs w:val="22"/>
              </w:rPr>
            </w:pPr>
          </w:p>
        </w:tc>
        <w:tc>
          <w:tcPr>
            <w:tcW w:w="1755" w:type="dxa"/>
            <w:vAlign w:val="center"/>
          </w:tcPr>
          <w:p>
            <w:pPr>
              <w:jc w:val="center"/>
              <w:rPr>
                <w:rFonts w:ascii="新宋体" w:hAnsi="新宋体" w:eastAsia="新宋体"/>
                <w:sz w:val="22"/>
                <w:szCs w:val="22"/>
              </w:rPr>
            </w:pPr>
          </w:p>
        </w:tc>
        <w:tc>
          <w:tcPr>
            <w:tcW w:w="1755" w:type="dxa"/>
            <w:vAlign w:val="center"/>
          </w:tcPr>
          <w:p>
            <w:pPr>
              <w:jc w:val="center"/>
              <w:rPr>
                <w:rFonts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754" w:type="dxa"/>
            <w:vAlign w:val="center"/>
          </w:tcPr>
          <w:p>
            <w:pPr>
              <w:jc w:val="center"/>
              <w:rPr>
                <w:rFonts w:ascii="新宋体" w:hAnsi="新宋体" w:eastAsia="新宋体"/>
                <w:sz w:val="22"/>
                <w:szCs w:val="22"/>
              </w:rPr>
            </w:pPr>
          </w:p>
        </w:tc>
        <w:tc>
          <w:tcPr>
            <w:tcW w:w="1754" w:type="dxa"/>
            <w:vAlign w:val="center"/>
          </w:tcPr>
          <w:p>
            <w:pPr>
              <w:jc w:val="center"/>
              <w:rPr>
                <w:rFonts w:ascii="新宋体" w:hAnsi="新宋体" w:eastAsia="新宋体"/>
                <w:sz w:val="22"/>
                <w:szCs w:val="22"/>
              </w:rPr>
            </w:pPr>
          </w:p>
        </w:tc>
        <w:tc>
          <w:tcPr>
            <w:tcW w:w="1754" w:type="dxa"/>
            <w:vAlign w:val="center"/>
          </w:tcPr>
          <w:p>
            <w:pPr>
              <w:jc w:val="center"/>
              <w:rPr>
                <w:rFonts w:ascii="新宋体" w:hAnsi="新宋体" w:eastAsia="新宋体"/>
                <w:sz w:val="22"/>
                <w:szCs w:val="22"/>
              </w:rPr>
            </w:pPr>
          </w:p>
        </w:tc>
        <w:tc>
          <w:tcPr>
            <w:tcW w:w="1755" w:type="dxa"/>
            <w:vAlign w:val="center"/>
          </w:tcPr>
          <w:p>
            <w:pPr>
              <w:jc w:val="center"/>
              <w:rPr>
                <w:rFonts w:ascii="新宋体" w:hAnsi="新宋体" w:eastAsia="新宋体"/>
                <w:sz w:val="22"/>
                <w:szCs w:val="22"/>
              </w:rPr>
            </w:pPr>
          </w:p>
        </w:tc>
        <w:tc>
          <w:tcPr>
            <w:tcW w:w="1755" w:type="dxa"/>
            <w:vAlign w:val="center"/>
          </w:tcPr>
          <w:p>
            <w:pPr>
              <w:jc w:val="center"/>
              <w:rPr>
                <w:rFonts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754" w:type="dxa"/>
            <w:vAlign w:val="center"/>
          </w:tcPr>
          <w:p>
            <w:pPr>
              <w:jc w:val="center"/>
              <w:rPr>
                <w:rFonts w:ascii="新宋体" w:hAnsi="新宋体" w:eastAsia="新宋体"/>
                <w:sz w:val="22"/>
                <w:szCs w:val="22"/>
              </w:rPr>
            </w:pPr>
          </w:p>
        </w:tc>
        <w:tc>
          <w:tcPr>
            <w:tcW w:w="1754" w:type="dxa"/>
            <w:vAlign w:val="center"/>
          </w:tcPr>
          <w:p>
            <w:pPr>
              <w:jc w:val="center"/>
              <w:rPr>
                <w:rFonts w:ascii="新宋体" w:hAnsi="新宋体" w:eastAsia="新宋体"/>
                <w:sz w:val="22"/>
                <w:szCs w:val="22"/>
              </w:rPr>
            </w:pPr>
          </w:p>
        </w:tc>
        <w:tc>
          <w:tcPr>
            <w:tcW w:w="1754" w:type="dxa"/>
            <w:vAlign w:val="center"/>
          </w:tcPr>
          <w:p>
            <w:pPr>
              <w:jc w:val="center"/>
              <w:rPr>
                <w:rFonts w:ascii="新宋体" w:hAnsi="新宋体" w:eastAsia="新宋体"/>
                <w:sz w:val="22"/>
                <w:szCs w:val="22"/>
              </w:rPr>
            </w:pPr>
          </w:p>
        </w:tc>
        <w:tc>
          <w:tcPr>
            <w:tcW w:w="1755" w:type="dxa"/>
            <w:vAlign w:val="center"/>
          </w:tcPr>
          <w:p>
            <w:pPr>
              <w:jc w:val="center"/>
              <w:rPr>
                <w:rFonts w:ascii="新宋体" w:hAnsi="新宋体" w:eastAsia="新宋体"/>
                <w:sz w:val="22"/>
                <w:szCs w:val="22"/>
              </w:rPr>
            </w:pPr>
          </w:p>
        </w:tc>
        <w:tc>
          <w:tcPr>
            <w:tcW w:w="1755" w:type="dxa"/>
            <w:vAlign w:val="center"/>
          </w:tcPr>
          <w:p>
            <w:pPr>
              <w:jc w:val="center"/>
              <w:rPr>
                <w:rFonts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754" w:type="dxa"/>
            <w:vAlign w:val="center"/>
          </w:tcPr>
          <w:p>
            <w:pPr>
              <w:ind w:firstLine="220" w:firstLineChars="100"/>
              <w:rPr>
                <w:rFonts w:ascii="新宋体" w:hAnsi="新宋体" w:eastAsia="新宋体"/>
                <w:sz w:val="22"/>
                <w:szCs w:val="22"/>
              </w:rPr>
            </w:pPr>
            <w:r>
              <w:rPr>
                <w:rFonts w:hint="eastAsia" w:ascii="新宋体" w:hAnsi="新宋体" w:eastAsia="新宋体"/>
                <w:sz w:val="22"/>
                <w:szCs w:val="22"/>
              </w:rPr>
              <w:t xml:space="preserve"> </w:t>
            </w:r>
          </w:p>
        </w:tc>
        <w:tc>
          <w:tcPr>
            <w:tcW w:w="1754" w:type="dxa"/>
            <w:vAlign w:val="center"/>
          </w:tcPr>
          <w:p>
            <w:pPr>
              <w:jc w:val="center"/>
              <w:rPr>
                <w:rFonts w:ascii="新宋体" w:hAnsi="新宋体" w:eastAsia="新宋体"/>
                <w:sz w:val="22"/>
                <w:szCs w:val="22"/>
              </w:rPr>
            </w:pPr>
          </w:p>
        </w:tc>
        <w:tc>
          <w:tcPr>
            <w:tcW w:w="1754" w:type="dxa"/>
            <w:vAlign w:val="center"/>
          </w:tcPr>
          <w:p>
            <w:pPr>
              <w:jc w:val="center"/>
              <w:rPr>
                <w:rFonts w:ascii="新宋体" w:hAnsi="新宋体" w:eastAsia="新宋体"/>
                <w:sz w:val="22"/>
                <w:szCs w:val="22"/>
              </w:rPr>
            </w:pPr>
          </w:p>
        </w:tc>
        <w:tc>
          <w:tcPr>
            <w:tcW w:w="1755" w:type="dxa"/>
            <w:vAlign w:val="center"/>
          </w:tcPr>
          <w:p>
            <w:pPr>
              <w:jc w:val="center"/>
              <w:rPr>
                <w:rFonts w:ascii="新宋体" w:hAnsi="新宋体" w:eastAsia="新宋体"/>
                <w:sz w:val="22"/>
                <w:szCs w:val="22"/>
              </w:rPr>
            </w:pPr>
          </w:p>
        </w:tc>
        <w:tc>
          <w:tcPr>
            <w:tcW w:w="1755" w:type="dxa"/>
            <w:vAlign w:val="center"/>
          </w:tcPr>
          <w:p>
            <w:pPr>
              <w:jc w:val="center"/>
              <w:rPr>
                <w:rFonts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754" w:type="dxa"/>
            <w:vAlign w:val="center"/>
          </w:tcPr>
          <w:p>
            <w:pPr>
              <w:jc w:val="center"/>
              <w:rPr>
                <w:rFonts w:ascii="新宋体" w:hAnsi="新宋体" w:eastAsia="新宋体"/>
                <w:sz w:val="22"/>
                <w:szCs w:val="22"/>
              </w:rPr>
            </w:pPr>
          </w:p>
        </w:tc>
        <w:tc>
          <w:tcPr>
            <w:tcW w:w="1754" w:type="dxa"/>
            <w:vAlign w:val="center"/>
          </w:tcPr>
          <w:p>
            <w:pPr>
              <w:jc w:val="center"/>
              <w:rPr>
                <w:rFonts w:ascii="新宋体" w:hAnsi="新宋体" w:eastAsia="新宋体"/>
                <w:sz w:val="22"/>
                <w:szCs w:val="22"/>
              </w:rPr>
            </w:pPr>
          </w:p>
        </w:tc>
        <w:tc>
          <w:tcPr>
            <w:tcW w:w="1754" w:type="dxa"/>
            <w:vAlign w:val="center"/>
          </w:tcPr>
          <w:p>
            <w:pPr>
              <w:jc w:val="center"/>
              <w:rPr>
                <w:rFonts w:ascii="新宋体" w:hAnsi="新宋体" w:eastAsia="新宋体"/>
                <w:sz w:val="22"/>
                <w:szCs w:val="22"/>
              </w:rPr>
            </w:pPr>
          </w:p>
        </w:tc>
        <w:tc>
          <w:tcPr>
            <w:tcW w:w="1755" w:type="dxa"/>
            <w:vAlign w:val="center"/>
          </w:tcPr>
          <w:p>
            <w:pPr>
              <w:jc w:val="center"/>
              <w:rPr>
                <w:rFonts w:ascii="新宋体" w:hAnsi="新宋体" w:eastAsia="新宋体"/>
                <w:sz w:val="22"/>
                <w:szCs w:val="22"/>
              </w:rPr>
            </w:pPr>
          </w:p>
        </w:tc>
        <w:tc>
          <w:tcPr>
            <w:tcW w:w="1755" w:type="dxa"/>
            <w:vAlign w:val="center"/>
          </w:tcPr>
          <w:p>
            <w:pPr>
              <w:jc w:val="center"/>
              <w:rPr>
                <w:rFonts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754" w:type="dxa"/>
            <w:vAlign w:val="center"/>
          </w:tcPr>
          <w:p>
            <w:pPr>
              <w:jc w:val="center"/>
              <w:rPr>
                <w:rFonts w:ascii="新宋体" w:hAnsi="新宋体" w:eastAsia="新宋体"/>
                <w:sz w:val="22"/>
                <w:szCs w:val="22"/>
              </w:rPr>
            </w:pPr>
          </w:p>
        </w:tc>
        <w:tc>
          <w:tcPr>
            <w:tcW w:w="1754" w:type="dxa"/>
            <w:vAlign w:val="center"/>
          </w:tcPr>
          <w:p>
            <w:pPr>
              <w:jc w:val="center"/>
              <w:rPr>
                <w:rFonts w:ascii="新宋体" w:hAnsi="新宋体" w:eastAsia="新宋体"/>
                <w:sz w:val="22"/>
                <w:szCs w:val="22"/>
              </w:rPr>
            </w:pPr>
          </w:p>
        </w:tc>
        <w:tc>
          <w:tcPr>
            <w:tcW w:w="1754" w:type="dxa"/>
            <w:vAlign w:val="center"/>
          </w:tcPr>
          <w:p>
            <w:pPr>
              <w:jc w:val="center"/>
              <w:rPr>
                <w:rFonts w:ascii="新宋体" w:hAnsi="新宋体" w:eastAsia="新宋体"/>
                <w:sz w:val="22"/>
                <w:szCs w:val="22"/>
              </w:rPr>
            </w:pPr>
          </w:p>
        </w:tc>
        <w:tc>
          <w:tcPr>
            <w:tcW w:w="1755" w:type="dxa"/>
            <w:vAlign w:val="center"/>
          </w:tcPr>
          <w:p>
            <w:pPr>
              <w:jc w:val="center"/>
              <w:rPr>
                <w:rFonts w:ascii="新宋体" w:hAnsi="新宋体" w:eastAsia="新宋体"/>
                <w:sz w:val="22"/>
                <w:szCs w:val="22"/>
              </w:rPr>
            </w:pPr>
          </w:p>
        </w:tc>
        <w:tc>
          <w:tcPr>
            <w:tcW w:w="1755" w:type="dxa"/>
            <w:vAlign w:val="center"/>
          </w:tcPr>
          <w:p>
            <w:pPr>
              <w:jc w:val="center"/>
              <w:rPr>
                <w:rFonts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754" w:type="dxa"/>
            <w:vAlign w:val="center"/>
          </w:tcPr>
          <w:p>
            <w:pPr>
              <w:jc w:val="center"/>
              <w:rPr>
                <w:rFonts w:ascii="新宋体" w:hAnsi="新宋体" w:eastAsia="新宋体"/>
                <w:sz w:val="22"/>
                <w:szCs w:val="22"/>
              </w:rPr>
            </w:pPr>
          </w:p>
        </w:tc>
        <w:tc>
          <w:tcPr>
            <w:tcW w:w="1754" w:type="dxa"/>
            <w:vAlign w:val="center"/>
          </w:tcPr>
          <w:p>
            <w:pPr>
              <w:jc w:val="center"/>
              <w:rPr>
                <w:rFonts w:ascii="新宋体" w:hAnsi="新宋体" w:eastAsia="新宋体"/>
                <w:sz w:val="22"/>
                <w:szCs w:val="22"/>
              </w:rPr>
            </w:pPr>
          </w:p>
        </w:tc>
        <w:tc>
          <w:tcPr>
            <w:tcW w:w="1754" w:type="dxa"/>
            <w:vAlign w:val="center"/>
          </w:tcPr>
          <w:p>
            <w:pPr>
              <w:jc w:val="center"/>
              <w:rPr>
                <w:rFonts w:ascii="新宋体" w:hAnsi="新宋体" w:eastAsia="新宋体"/>
                <w:sz w:val="22"/>
                <w:szCs w:val="22"/>
              </w:rPr>
            </w:pPr>
          </w:p>
        </w:tc>
        <w:tc>
          <w:tcPr>
            <w:tcW w:w="1755" w:type="dxa"/>
            <w:vAlign w:val="center"/>
          </w:tcPr>
          <w:p>
            <w:pPr>
              <w:jc w:val="center"/>
              <w:rPr>
                <w:rFonts w:ascii="新宋体" w:hAnsi="新宋体" w:eastAsia="新宋体"/>
                <w:sz w:val="22"/>
                <w:szCs w:val="22"/>
              </w:rPr>
            </w:pPr>
          </w:p>
        </w:tc>
        <w:tc>
          <w:tcPr>
            <w:tcW w:w="1755" w:type="dxa"/>
            <w:vAlign w:val="center"/>
          </w:tcPr>
          <w:p>
            <w:pPr>
              <w:jc w:val="center"/>
              <w:rPr>
                <w:rFonts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754" w:type="dxa"/>
            <w:vAlign w:val="center"/>
          </w:tcPr>
          <w:p>
            <w:pPr>
              <w:jc w:val="center"/>
              <w:rPr>
                <w:rFonts w:ascii="新宋体" w:hAnsi="新宋体" w:eastAsia="新宋体"/>
                <w:sz w:val="22"/>
                <w:szCs w:val="22"/>
              </w:rPr>
            </w:pPr>
          </w:p>
        </w:tc>
        <w:tc>
          <w:tcPr>
            <w:tcW w:w="1754" w:type="dxa"/>
            <w:vAlign w:val="center"/>
          </w:tcPr>
          <w:p>
            <w:pPr>
              <w:jc w:val="center"/>
              <w:rPr>
                <w:rFonts w:ascii="新宋体" w:hAnsi="新宋体" w:eastAsia="新宋体"/>
                <w:sz w:val="22"/>
                <w:szCs w:val="22"/>
              </w:rPr>
            </w:pPr>
          </w:p>
        </w:tc>
        <w:tc>
          <w:tcPr>
            <w:tcW w:w="1754" w:type="dxa"/>
            <w:vAlign w:val="center"/>
          </w:tcPr>
          <w:p>
            <w:pPr>
              <w:jc w:val="center"/>
              <w:rPr>
                <w:rFonts w:ascii="新宋体" w:hAnsi="新宋体" w:eastAsia="新宋体"/>
                <w:sz w:val="22"/>
                <w:szCs w:val="22"/>
              </w:rPr>
            </w:pPr>
          </w:p>
        </w:tc>
        <w:tc>
          <w:tcPr>
            <w:tcW w:w="1755" w:type="dxa"/>
            <w:vAlign w:val="center"/>
          </w:tcPr>
          <w:p>
            <w:pPr>
              <w:jc w:val="center"/>
              <w:rPr>
                <w:rFonts w:ascii="新宋体" w:hAnsi="新宋体" w:eastAsia="新宋体"/>
                <w:sz w:val="22"/>
                <w:szCs w:val="22"/>
              </w:rPr>
            </w:pPr>
          </w:p>
        </w:tc>
        <w:tc>
          <w:tcPr>
            <w:tcW w:w="1755" w:type="dxa"/>
            <w:vAlign w:val="center"/>
          </w:tcPr>
          <w:p>
            <w:pPr>
              <w:jc w:val="center"/>
              <w:rPr>
                <w:rFonts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754" w:type="dxa"/>
            <w:vAlign w:val="center"/>
          </w:tcPr>
          <w:p>
            <w:pPr>
              <w:jc w:val="center"/>
              <w:rPr>
                <w:rFonts w:ascii="新宋体" w:hAnsi="新宋体" w:eastAsia="新宋体"/>
                <w:sz w:val="22"/>
                <w:szCs w:val="22"/>
              </w:rPr>
            </w:pPr>
          </w:p>
        </w:tc>
        <w:tc>
          <w:tcPr>
            <w:tcW w:w="1754" w:type="dxa"/>
            <w:vAlign w:val="center"/>
          </w:tcPr>
          <w:p>
            <w:pPr>
              <w:jc w:val="center"/>
              <w:rPr>
                <w:rFonts w:ascii="新宋体" w:hAnsi="新宋体" w:eastAsia="新宋体"/>
                <w:sz w:val="22"/>
                <w:szCs w:val="22"/>
              </w:rPr>
            </w:pPr>
          </w:p>
        </w:tc>
        <w:tc>
          <w:tcPr>
            <w:tcW w:w="1754" w:type="dxa"/>
            <w:vAlign w:val="center"/>
          </w:tcPr>
          <w:p>
            <w:pPr>
              <w:jc w:val="center"/>
              <w:rPr>
                <w:rFonts w:ascii="新宋体" w:hAnsi="新宋体" w:eastAsia="新宋体"/>
                <w:sz w:val="22"/>
                <w:szCs w:val="22"/>
              </w:rPr>
            </w:pPr>
          </w:p>
        </w:tc>
        <w:tc>
          <w:tcPr>
            <w:tcW w:w="1755" w:type="dxa"/>
            <w:vAlign w:val="center"/>
          </w:tcPr>
          <w:p>
            <w:pPr>
              <w:jc w:val="center"/>
              <w:rPr>
                <w:rFonts w:ascii="新宋体" w:hAnsi="新宋体" w:eastAsia="新宋体"/>
                <w:sz w:val="22"/>
                <w:szCs w:val="22"/>
              </w:rPr>
            </w:pPr>
          </w:p>
        </w:tc>
        <w:tc>
          <w:tcPr>
            <w:tcW w:w="1755" w:type="dxa"/>
            <w:vAlign w:val="center"/>
          </w:tcPr>
          <w:p>
            <w:pPr>
              <w:jc w:val="center"/>
              <w:rPr>
                <w:rFonts w:ascii="新宋体" w:hAnsi="新宋体" w:eastAsia="新宋体"/>
                <w:sz w:val="22"/>
                <w:szCs w:val="22"/>
              </w:rPr>
            </w:pPr>
          </w:p>
        </w:tc>
      </w:tr>
    </w:tbl>
    <w:p>
      <w:pPr>
        <w:rPr>
          <w:rFonts w:ascii="新宋体" w:hAnsi="新宋体" w:eastAsia="新宋体"/>
          <w:sz w:val="22"/>
          <w:szCs w:val="22"/>
        </w:rPr>
      </w:pPr>
      <w:r>
        <w:rPr>
          <w:rFonts w:hint="eastAsia" w:ascii="新宋体" w:hAnsi="新宋体" w:eastAsia="新宋体"/>
          <w:sz w:val="22"/>
          <w:szCs w:val="22"/>
        </w:rPr>
        <w:t xml:space="preserve"> </w:t>
      </w:r>
    </w:p>
    <w:p>
      <w:pPr>
        <w:spacing w:line="460" w:lineRule="exact"/>
        <w:ind w:firstLine="4400" w:firstLineChars="2000"/>
        <w:rPr>
          <w:rFonts w:ascii="新宋体" w:hAnsi="新宋体" w:eastAsia="新宋体"/>
          <w:sz w:val="22"/>
          <w:szCs w:val="22"/>
        </w:rPr>
      </w:pPr>
      <w:r>
        <w:rPr>
          <w:rFonts w:hint="eastAsia" w:ascii="新宋体" w:hAnsi="新宋体" w:eastAsia="新宋体"/>
          <w:sz w:val="22"/>
          <w:szCs w:val="22"/>
        </w:rPr>
        <w:t>投标人全称（盖章）：</w:t>
      </w:r>
    </w:p>
    <w:p>
      <w:pPr>
        <w:spacing w:line="460" w:lineRule="exact"/>
        <w:ind w:firstLine="4400" w:firstLineChars="2000"/>
        <w:rPr>
          <w:rFonts w:ascii="新宋体" w:hAnsi="新宋体" w:eastAsia="新宋体"/>
          <w:sz w:val="22"/>
          <w:szCs w:val="22"/>
        </w:rPr>
      </w:pPr>
      <w:r>
        <w:rPr>
          <w:rFonts w:hint="eastAsia" w:ascii="新宋体" w:hAnsi="新宋体" w:eastAsia="新宋体"/>
          <w:sz w:val="22"/>
          <w:szCs w:val="22"/>
        </w:rPr>
        <w:t>投标人代表（签字）：</w:t>
      </w:r>
    </w:p>
    <w:p>
      <w:pPr>
        <w:spacing w:line="460" w:lineRule="exact"/>
        <w:ind w:firstLine="4400" w:firstLineChars="2000"/>
        <w:rPr>
          <w:rFonts w:ascii="新宋体" w:hAnsi="新宋体" w:eastAsia="新宋体"/>
          <w:sz w:val="22"/>
          <w:szCs w:val="22"/>
        </w:rPr>
      </w:pPr>
      <w:r>
        <w:rPr>
          <w:rFonts w:hint="eastAsia" w:ascii="新宋体" w:hAnsi="新宋体" w:eastAsia="新宋体"/>
          <w:sz w:val="22"/>
          <w:szCs w:val="22"/>
        </w:rPr>
        <w:t>日期：    年   月   日</w:t>
      </w:r>
    </w:p>
    <w:p>
      <w:pPr>
        <w:spacing w:line="460" w:lineRule="exact"/>
      </w:pPr>
      <w:r>
        <w:rPr>
          <w:rFonts w:hint="eastAsia"/>
        </w:rPr>
        <w:br w:type="page"/>
      </w:r>
      <w:r>
        <w:rPr>
          <w:rFonts w:hint="eastAsia"/>
        </w:rPr>
        <w:t>附件五</w:t>
      </w:r>
    </w:p>
    <w:p>
      <w:pPr>
        <w:spacing w:line="460" w:lineRule="exact"/>
      </w:pPr>
      <w:r>
        <w:rPr>
          <w:rFonts w:hint="eastAsia"/>
        </w:rPr>
        <w:t xml:space="preserve">资格证明文件 </w:t>
      </w:r>
    </w:p>
    <w:p>
      <w:pPr>
        <w:spacing w:line="460" w:lineRule="exact"/>
        <w:jc w:val="center"/>
        <w:rPr>
          <w:rFonts w:ascii="黑体" w:eastAsia="黑体" w:cs="黑体"/>
          <w:b/>
          <w:sz w:val="36"/>
          <w:szCs w:val="36"/>
        </w:rPr>
      </w:pPr>
      <w:r>
        <w:rPr>
          <w:rFonts w:hint="eastAsia" w:ascii="黑体" w:eastAsia="黑体" w:cs="黑体"/>
          <w:b/>
          <w:sz w:val="36"/>
          <w:szCs w:val="36"/>
        </w:rPr>
        <w:t>（1）法定代表人授权书</w:t>
      </w:r>
    </w:p>
    <w:p>
      <w:pPr>
        <w:spacing w:line="460" w:lineRule="exact"/>
        <w:jc w:val="center"/>
        <w:rPr>
          <w:rFonts w:ascii="黑体" w:eastAsia="黑体" w:cs="黑体"/>
          <w:b/>
          <w:sz w:val="32"/>
          <w:szCs w:val="32"/>
        </w:rPr>
      </w:pPr>
    </w:p>
    <w:p>
      <w:pPr>
        <w:spacing w:line="460" w:lineRule="exact"/>
        <w:rPr>
          <w:rFonts w:eastAsia="新宋体"/>
          <w:sz w:val="22"/>
          <w:szCs w:val="22"/>
        </w:rPr>
      </w:pPr>
      <w:r>
        <w:rPr>
          <w:rFonts w:hint="eastAsia" w:eastAsia="新宋体"/>
          <w:sz w:val="22"/>
        </w:rPr>
        <w:t>温州市公安局交通管理局</w:t>
      </w:r>
      <w:r>
        <w:rPr>
          <w:rFonts w:hint="eastAsia" w:eastAsia="新宋体"/>
          <w:sz w:val="22"/>
          <w:szCs w:val="22"/>
        </w:rPr>
        <w:t>：</w:t>
      </w:r>
    </w:p>
    <w:p>
      <w:pPr>
        <w:spacing w:line="460" w:lineRule="exact"/>
        <w:rPr>
          <w:rFonts w:eastAsia="新宋体"/>
          <w:sz w:val="22"/>
          <w:szCs w:val="22"/>
          <w:u w:val="single"/>
        </w:rPr>
      </w:pPr>
    </w:p>
    <w:p>
      <w:pPr>
        <w:spacing w:line="460" w:lineRule="exact"/>
        <w:ind w:firstLine="550" w:firstLineChars="250"/>
        <w:rPr>
          <w:rFonts w:eastAsia="新宋体"/>
          <w:sz w:val="22"/>
          <w:szCs w:val="22"/>
        </w:rPr>
      </w:pPr>
      <w:r>
        <w:rPr>
          <w:rFonts w:hint="eastAsia" w:eastAsia="新宋体"/>
          <w:sz w:val="22"/>
          <w:szCs w:val="22"/>
        </w:rPr>
        <w:t>（投标供应商全称）法定代表人授权（全权代表姓名）为全权代表，参加贵方组织的（招标项目名称、编号）的招标活动，全权代表我方处理招标活动中的一切事宜。</w:t>
      </w:r>
    </w:p>
    <w:p>
      <w:pPr>
        <w:spacing w:line="460" w:lineRule="exact"/>
        <w:ind w:firstLine="2955"/>
        <w:rPr>
          <w:rFonts w:eastAsia="新宋体"/>
          <w:sz w:val="22"/>
          <w:szCs w:val="22"/>
        </w:rPr>
      </w:pPr>
    </w:p>
    <w:p>
      <w:pPr>
        <w:spacing w:line="460" w:lineRule="exact"/>
        <w:ind w:firstLine="2955"/>
        <w:rPr>
          <w:rFonts w:eastAsia="新宋体"/>
          <w:sz w:val="22"/>
          <w:szCs w:val="22"/>
        </w:rPr>
      </w:pPr>
    </w:p>
    <w:p>
      <w:pPr>
        <w:spacing w:line="460" w:lineRule="exact"/>
        <w:ind w:firstLine="4081" w:firstLineChars="1855"/>
        <w:rPr>
          <w:rFonts w:eastAsia="新宋体"/>
          <w:sz w:val="22"/>
          <w:szCs w:val="22"/>
        </w:rPr>
      </w:pPr>
      <w:r>
        <w:rPr>
          <w:rFonts w:hint="eastAsia" w:eastAsia="新宋体"/>
          <w:sz w:val="22"/>
          <w:szCs w:val="22"/>
        </w:rPr>
        <w:t>法定代表人(签字或盖章)：</w:t>
      </w:r>
    </w:p>
    <w:p>
      <w:pPr>
        <w:spacing w:line="460" w:lineRule="exact"/>
        <w:ind w:firstLine="2955"/>
        <w:rPr>
          <w:rFonts w:eastAsia="新宋体"/>
          <w:sz w:val="22"/>
          <w:szCs w:val="22"/>
        </w:rPr>
      </w:pPr>
      <w:r>
        <w:rPr>
          <w:rFonts w:hint="eastAsia" w:eastAsia="新宋体"/>
          <w:sz w:val="22"/>
          <w:szCs w:val="22"/>
        </w:rPr>
        <w:t xml:space="preserve">          投标供应商全称（公章）：</w:t>
      </w:r>
    </w:p>
    <w:p>
      <w:pPr>
        <w:spacing w:line="460" w:lineRule="exact"/>
        <w:ind w:firstLine="2955"/>
        <w:rPr>
          <w:rFonts w:eastAsia="新宋体"/>
          <w:sz w:val="22"/>
          <w:szCs w:val="22"/>
        </w:rPr>
      </w:pPr>
      <w:r>
        <w:rPr>
          <w:rFonts w:hint="eastAsia" w:eastAsia="新宋体"/>
          <w:sz w:val="22"/>
          <w:szCs w:val="22"/>
        </w:rPr>
        <w:t xml:space="preserve">          日期：     年    月   日</w:t>
      </w:r>
    </w:p>
    <w:p>
      <w:pPr>
        <w:spacing w:line="460" w:lineRule="exact"/>
        <w:rPr>
          <w:rFonts w:eastAsia="新宋体"/>
          <w:sz w:val="22"/>
          <w:szCs w:val="22"/>
        </w:rPr>
      </w:pPr>
    </w:p>
    <w:p>
      <w:pPr>
        <w:spacing w:line="460" w:lineRule="exact"/>
        <w:rPr>
          <w:rFonts w:eastAsia="新宋体"/>
          <w:sz w:val="22"/>
          <w:szCs w:val="22"/>
        </w:rPr>
      </w:pPr>
    </w:p>
    <w:p>
      <w:pPr>
        <w:spacing w:line="460" w:lineRule="exact"/>
        <w:ind w:firstLine="110" w:firstLineChars="50"/>
        <w:rPr>
          <w:rFonts w:eastAsia="新宋体"/>
          <w:sz w:val="22"/>
          <w:szCs w:val="22"/>
        </w:rPr>
      </w:pPr>
      <w:r>
        <w:rPr>
          <w:rFonts w:hint="eastAsia" w:eastAsia="新宋体"/>
          <w:sz w:val="22"/>
          <w:szCs w:val="22"/>
        </w:rPr>
        <w:t>附：</w:t>
      </w:r>
    </w:p>
    <w:p>
      <w:pPr>
        <w:spacing w:line="460" w:lineRule="exact"/>
        <w:ind w:firstLine="220" w:firstLineChars="100"/>
        <w:rPr>
          <w:rFonts w:eastAsia="新宋体"/>
          <w:sz w:val="22"/>
          <w:szCs w:val="22"/>
        </w:rPr>
      </w:pPr>
      <w:r>
        <w:rPr>
          <w:rFonts w:hint="eastAsia" w:eastAsia="新宋体"/>
          <w:sz w:val="22"/>
          <w:szCs w:val="22"/>
        </w:rPr>
        <w:t>授权代表（签字或盖章）：</w:t>
      </w:r>
    </w:p>
    <w:p>
      <w:pPr>
        <w:spacing w:line="460" w:lineRule="exact"/>
        <w:ind w:firstLine="220" w:firstLineChars="100"/>
        <w:rPr>
          <w:rFonts w:eastAsia="新宋体"/>
          <w:sz w:val="22"/>
          <w:szCs w:val="22"/>
        </w:rPr>
      </w:pPr>
      <w:r>
        <w:rPr>
          <w:rFonts w:hint="eastAsia" w:eastAsia="新宋体"/>
          <w:sz w:val="22"/>
          <w:szCs w:val="22"/>
        </w:rPr>
        <w:t>职务：</w:t>
      </w:r>
    </w:p>
    <w:p>
      <w:pPr>
        <w:spacing w:line="460" w:lineRule="exact"/>
        <w:ind w:firstLine="220" w:firstLineChars="100"/>
        <w:rPr>
          <w:rFonts w:eastAsia="新宋体"/>
          <w:sz w:val="22"/>
          <w:szCs w:val="22"/>
        </w:rPr>
      </w:pPr>
      <w:r>
        <w:rPr>
          <w:rFonts w:hint="eastAsia" w:eastAsia="新宋体"/>
          <w:sz w:val="22"/>
          <w:szCs w:val="22"/>
        </w:rPr>
        <w:t>详细通讯地址：</w:t>
      </w:r>
    </w:p>
    <w:p>
      <w:pPr>
        <w:spacing w:line="460" w:lineRule="exact"/>
        <w:ind w:firstLine="220" w:firstLineChars="100"/>
        <w:rPr>
          <w:rFonts w:eastAsia="新宋体"/>
          <w:sz w:val="22"/>
          <w:szCs w:val="22"/>
        </w:rPr>
      </w:pPr>
      <w:r>
        <w:rPr>
          <w:rFonts w:hint="eastAsia" w:eastAsia="新宋体"/>
          <w:sz w:val="22"/>
          <w:szCs w:val="22"/>
        </w:rPr>
        <w:t>电话：</w:t>
      </w:r>
    </w:p>
    <w:p>
      <w:pPr>
        <w:spacing w:line="460" w:lineRule="exact"/>
        <w:ind w:firstLine="220" w:firstLineChars="100"/>
        <w:rPr>
          <w:rFonts w:eastAsia="新宋体"/>
          <w:sz w:val="22"/>
          <w:szCs w:val="22"/>
        </w:rPr>
      </w:pPr>
      <w:r>
        <w:rPr>
          <w:rFonts w:hint="eastAsia" w:eastAsia="新宋体"/>
          <w:sz w:val="22"/>
          <w:szCs w:val="22"/>
        </w:rPr>
        <w:t>传真：</w:t>
      </w:r>
    </w:p>
    <w:p>
      <w:pPr>
        <w:spacing w:line="460" w:lineRule="exact"/>
        <w:ind w:firstLine="220" w:firstLineChars="100"/>
        <w:rPr>
          <w:rFonts w:eastAsia="新宋体"/>
          <w:sz w:val="22"/>
          <w:szCs w:val="22"/>
        </w:rPr>
      </w:pPr>
      <w:r>
        <w:rPr>
          <w:rFonts w:hint="eastAsia" w:eastAsia="新宋体"/>
          <w:sz w:val="22"/>
          <w:szCs w:val="22"/>
        </w:rPr>
        <w:t>邮政编码:</w:t>
      </w:r>
    </w:p>
    <w:p>
      <w:pPr>
        <w:spacing w:line="460" w:lineRule="exact"/>
        <w:rPr>
          <w:rFonts w:eastAsia="新宋体"/>
          <w:sz w:val="22"/>
          <w:szCs w:val="22"/>
        </w:rPr>
      </w:pPr>
    </w:p>
    <w:p>
      <w:pPr>
        <w:spacing w:line="460" w:lineRule="exact"/>
      </w:pPr>
      <w:r>
        <w:rPr>
          <w:rFonts w:hint="eastAsia"/>
        </w:rPr>
        <w:t>a法定代表人授权书</w:t>
      </w:r>
    </w:p>
    <w:p>
      <w:pPr>
        <w:spacing w:line="460" w:lineRule="exact"/>
      </w:pPr>
      <w:r>
        <w:rPr>
          <w:rFonts w:hint="eastAsia"/>
        </w:rPr>
        <w:t>b企业有效营业执照（复印件盖公章）</w:t>
      </w:r>
    </w:p>
    <w:p>
      <w:r>
        <w:rPr>
          <w:rFonts w:hint="eastAsia"/>
        </w:rPr>
        <w:t>c</w:t>
      </w:r>
      <w:r>
        <w:rPr>
          <w:rFonts w:hint="eastAsia" w:ascii="宋体" w:hAnsi="宋体"/>
          <w:szCs w:val="21"/>
        </w:rPr>
        <w:t>至本项目投标截止时间止未列入失信被执行人、重大税收违法案件当事人名单、政府</w:t>
      </w:r>
      <w:r>
        <w:rPr>
          <w:rFonts w:hint="eastAsia" w:ascii="Arial" w:hAnsi="Arial" w:cs="Arial"/>
          <w:szCs w:val="21"/>
        </w:rPr>
        <w:t>采购严重违法失信行为记录名单的证明材料：出具“信用中国”网站（www.creditchina.gov.cn）、中国政府采购网（www.ccgp.gov.cn）查询结果的网页截图</w:t>
      </w:r>
    </w:p>
    <w:p>
      <w:r>
        <w:rPr>
          <w:rFonts w:hint="eastAsia"/>
        </w:rPr>
        <w:br w:type="page"/>
      </w:r>
      <w:r>
        <w:rPr>
          <w:rFonts w:hint="eastAsia"/>
        </w:rPr>
        <w:t>附件六</w:t>
      </w:r>
    </w:p>
    <w:p>
      <w:pPr>
        <w:numPr>
          <w:ilvl w:val="0"/>
          <w:numId w:val="44"/>
        </w:numPr>
        <w:spacing w:line="460" w:lineRule="exact"/>
        <w:jc w:val="center"/>
        <w:rPr>
          <w:rFonts w:ascii="黑体" w:eastAsia="黑体" w:cs="黑体"/>
          <w:b/>
          <w:color w:val="000000"/>
          <w:sz w:val="36"/>
          <w:szCs w:val="36"/>
        </w:rPr>
      </w:pPr>
      <w:r>
        <w:rPr>
          <w:rFonts w:hint="eastAsia" w:ascii="黑体" w:eastAsia="黑体" w:cs="黑体"/>
          <w:b/>
          <w:color w:val="000000"/>
          <w:sz w:val="36"/>
          <w:szCs w:val="36"/>
        </w:rPr>
        <w:t>硬件设备供货清单及技术响应表</w:t>
      </w:r>
    </w:p>
    <w:p>
      <w:pPr>
        <w:spacing w:line="460" w:lineRule="exact"/>
        <w:jc w:val="center"/>
        <w:rPr>
          <w:rFonts w:ascii="黑体" w:eastAsia="黑体" w:cs="黑体"/>
          <w:b/>
          <w:color w:val="000000"/>
          <w:sz w:val="36"/>
          <w:szCs w:val="36"/>
        </w:rPr>
      </w:pPr>
      <w:r>
        <w:rPr>
          <w:rFonts w:ascii="黑体" w:eastAsia="黑体" w:cs="黑体"/>
          <w:bCs/>
          <w:color w:val="000000"/>
          <w:sz w:val="30"/>
          <w:szCs w:val="30"/>
        </w:rPr>
        <w:t xml:space="preserve">  </w:t>
      </w:r>
      <w:r>
        <w:rPr>
          <w:rFonts w:hint="eastAsia" w:ascii="黑体" w:eastAsia="黑体" w:cs="黑体"/>
          <w:bCs/>
          <w:color w:val="000000"/>
          <w:sz w:val="30"/>
          <w:szCs w:val="30"/>
        </w:rPr>
        <w:t>（不含价格）</w:t>
      </w:r>
    </w:p>
    <w:p>
      <w:pPr>
        <w:spacing w:line="460" w:lineRule="exact"/>
        <w:rPr>
          <w:rFonts w:ascii="黑体" w:eastAsia="黑体" w:cs="黑体"/>
          <w:bCs/>
          <w:color w:val="000000"/>
          <w:sz w:val="36"/>
          <w:szCs w:val="36"/>
        </w:rPr>
      </w:pPr>
      <w:r>
        <w:rPr>
          <w:rFonts w:hint="eastAsia" w:eastAsia="新宋体"/>
          <w:bCs/>
          <w:color w:val="000000"/>
          <w:sz w:val="22"/>
          <w:szCs w:val="22"/>
        </w:rPr>
        <w:t>招标编号：</w:t>
      </w:r>
      <w:r>
        <w:rPr>
          <w:rFonts w:eastAsia="新宋体"/>
          <w:bCs/>
          <w:color w:val="000000"/>
          <w:sz w:val="22"/>
          <w:szCs w:val="22"/>
        </w:rPr>
        <w:t xml:space="preserve">                                                           </w:t>
      </w:r>
    </w:p>
    <w:tbl>
      <w:tblPr>
        <w:tblStyle w:val="69"/>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2544"/>
        <w:gridCol w:w="876"/>
        <w:gridCol w:w="876"/>
        <w:gridCol w:w="4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9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2544"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设备名称</w:t>
            </w:r>
          </w:p>
        </w:tc>
        <w:tc>
          <w:tcPr>
            <w:tcW w:w="8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单位</w:t>
            </w:r>
          </w:p>
        </w:tc>
        <w:tc>
          <w:tcPr>
            <w:tcW w:w="8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数量</w:t>
            </w:r>
          </w:p>
        </w:tc>
        <w:tc>
          <w:tcPr>
            <w:tcW w:w="4402"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投标设备品牌型号、技术参数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6" w:type="dxa"/>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2544" w:type="dxa"/>
            <w:vAlign w:val="center"/>
          </w:tcPr>
          <w:p>
            <w:pPr>
              <w:widowControl/>
              <w:jc w:val="left"/>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p>
        </w:tc>
        <w:tc>
          <w:tcPr>
            <w:tcW w:w="4402" w:type="dxa"/>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6" w:type="dxa"/>
            <w:vAlign w:val="center"/>
          </w:tcPr>
          <w:p>
            <w:pPr>
              <w:widowControl/>
              <w:jc w:val="center"/>
              <w:rPr>
                <w:rFonts w:ascii="宋体" w:hAnsi="宋体" w:cs="宋体"/>
                <w:color w:val="000000"/>
                <w:kern w:val="0"/>
                <w:szCs w:val="21"/>
              </w:rPr>
            </w:pPr>
            <w:r>
              <w:rPr>
                <w:rFonts w:ascii="宋体" w:hAnsi="宋体" w:cs="宋体"/>
                <w:color w:val="000000"/>
                <w:kern w:val="0"/>
                <w:szCs w:val="21"/>
              </w:rPr>
              <w:t>2</w:t>
            </w:r>
          </w:p>
        </w:tc>
        <w:tc>
          <w:tcPr>
            <w:tcW w:w="2544" w:type="dxa"/>
            <w:vAlign w:val="center"/>
          </w:tcPr>
          <w:p>
            <w:pPr>
              <w:widowControl/>
              <w:jc w:val="left"/>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p>
        </w:tc>
        <w:tc>
          <w:tcPr>
            <w:tcW w:w="4402" w:type="dxa"/>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6" w:type="dxa"/>
            <w:vAlign w:val="center"/>
          </w:tcPr>
          <w:p>
            <w:pPr>
              <w:widowControl/>
              <w:jc w:val="center"/>
              <w:rPr>
                <w:rFonts w:ascii="宋体" w:hAnsi="宋体" w:cs="宋体"/>
                <w:color w:val="000000"/>
                <w:kern w:val="0"/>
                <w:szCs w:val="21"/>
              </w:rPr>
            </w:pPr>
            <w:r>
              <w:rPr>
                <w:rFonts w:ascii="宋体" w:hAnsi="宋体" w:cs="宋体"/>
                <w:color w:val="000000"/>
                <w:kern w:val="0"/>
                <w:szCs w:val="21"/>
              </w:rPr>
              <w:t>3</w:t>
            </w:r>
          </w:p>
        </w:tc>
        <w:tc>
          <w:tcPr>
            <w:tcW w:w="2544" w:type="dxa"/>
            <w:vAlign w:val="center"/>
          </w:tcPr>
          <w:p>
            <w:pPr>
              <w:widowControl/>
              <w:jc w:val="left"/>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p>
        </w:tc>
        <w:tc>
          <w:tcPr>
            <w:tcW w:w="4402" w:type="dxa"/>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6" w:type="dxa"/>
            <w:vAlign w:val="center"/>
          </w:tcPr>
          <w:p>
            <w:pPr>
              <w:widowControl/>
              <w:jc w:val="center"/>
              <w:rPr>
                <w:rFonts w:ascii="宋体" w:hAnsi="宋体" w:cs="宋体"/>
                <w:color w:val="000000"/>
                <w:kern w:val="0"/>
                <w:szCs w:val="21"/>
              </w:rPr>
            </w:pPr>
            <w:r>
              <w:rPr>
                <w:rFonts w:ascii="宋体" w:hAnsi="宋体" w:cs="宋体"/>
                <w:color w:val="000000"/>
                <w:kern w:val="0"/>
                <w:szCs w:val="21"/>
              </w:rPr>
              <w:t>4</w:t>
            </w:r>
          </w:p>
        </w:tc>
        <w:tc>
          <w:tcPr>
            <w:tcW w:w="2544" w:type="dxa"/>
            <w:vAlign w:val="center"/>
          </w:tcPr>
          <w:p>
            <w:pPr>
              <w:widowControl/>
              <w:jc w:val="left"/>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p>
        </w:tc>
        <w:tc>
          <w:tcPr>
            <w:tcW w:w="4402" w:type="dxa"/>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6" w:type="dxa"/>
            <w:vAlign w:val="center"/>
          </w:tcPr>
          <w:p>
            <w:pPr>
              <w:widowControl/>
              <w:jc w:val="center"/>
              <w:rPr>
                <w:rFonts w:ascii="宋体" w:hAnsi="宋体" w:cs="宋体"/>
                <w:color w:val="000000"/>
                <w:kern w:val="0"/>
                <w:szCs w:val="21"/>
              </w:rPr>
            </w:pPr>
            <w:r>
              <w:rPr>
                <w:rFonts w:ascii="宋体" w:hAnsi="宋体" w:cs="宋体"/>
                <w:color w:val="000000"/>
                <w:kern w:val="0"/>
                <w:szCs w:val="21"/>
              </w:rPr>
              <w:t>5</w:t>
            </w:r>
          </w:p>
        </w:tc>
        <w:tc>
          <w:tcPr>
            <w:tcW w:w="2544" w:type="dxa"/>
            <w:vAlign w:val="center"/>
          </w:tcPr>
          <w:p>
            <w:pPr>
              <w:widowControl/>
              <w:jc w:val="left"/>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p>
        </w:tc>
        <w:tc>
          <w:tcPr>
            <w:tcW w:w="4402" w:type="dxa"/>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6" w:type="dxa"/>
            <w:vAlign w:val="center"/>
          </w:tcPr>
          <w:p>
            <w:pPr>
              <w:widowControl/>
              <w:jc w:val="center"/>
              <w:rPr>
                <w:rFonts w:ascii="宋体" w:hAnsi="宋体" w:cs="宋体"/>
                <w:color w:val="000000"/>
                <w:kern w:val="0"/>
                <w:szCs w:val="21"/>
              </w:rPr>
            </w:pPr>
            <w:r>
              <w:rPr>
                <w:rFonts w:ascii="宋体" w:hAnsi="宋体" w:cs="宋体"/>
                <w:color w:val="000000"/>
                <w:kern w:val="0"/>
                <w:szCs w:val="21"/>
              </w:rPr>
              <w:t>6</w:t>
            </w:r>
          </w:p>
        </w:tc>
        <w:tc>
          <w:tcPr>
            <w:tcW w:w="2544" w:type="dxa"/>
            <w:vAlign w:val="center"/>
          </w:tcPr>
          <w:p>
            <w:pPr>
              <w:widowControl/>
              <w:jc w:val="left"/>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p>
        </w:tc>
        <w:tc>
          <w:tcPr>
            <w:tcW w:w="4402" w:type="dxa"/>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6" w:type="dxa"/>
            <w:vAlign w:val="center"/>
          </w:tcPr>
          <w:p>
            <w:pPr>
              <w:widowControl/>
              <w:jc w:val="center"/>
              <w:rPr>
                <w:rFonts w:ascii="宋体" w:hAnsi="宋体" w:cs="宋体"/>
                <w:color w:val="000000"/>
                <w:kern w:val="0"/>
                <w:szCs w:val="21"/>
              </w:rPr>
            </w:pPr>
            <w:r>
              <w:rPr>
                <w:rFonts w:ascii="宋体" w:hAnsi="宋体" w:cs="宋体"/>
                <w:color w:val="000000"/>
                <w:kern w:val="0"/>
                <w:szCs w:val="21"/>
              </w:rPr>
              <w:t>7</w:t>
            </w:r>
          </w:p>
        </w:tc>
        <w:tc>
          <w:tcPr>
            <w:tcW w:w="2544" w:type="dxa"/>
            <w:vAlign w:val="center"/>
          </w:tcPr>
          <w:p>
            <w:pPr>
              <w:widowControl/>
              <w:jc w:val="left"/>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p>
        </w:tc>
        <w:tc>
          <w:tcPr>
            <w:tcW w:w="4402" w:type="dxa"/>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6" w:type="dxa"/>
            <w:vAlign w:val="center"/>
          </w:tcPr>
          <w:p>
            <w:pPr>
              <w:widowControl/>
              <w:jc w:val="center"/>
              <w:rPr>
                <w:rFonts w:ascii="宋体" w:hAnsi="宋体" w:cs="宋体"/>
                <w:color w:val="000000"/>
                <w:kern w:val="0"/>
                <w:szCs w:val="21"/>
              </w:rPr>
            </w:pPr>
            <w:r>
              <w:rPr>
                <w:rFonts w:ascii="宋体" w:hAnsi="宋体" w:cs="宋体"/>
                <w:color w:val="000000"/>
                <w:kern w:val="0"/>
                <w:szCs w:val="21"/>
              </w:rPr>
              <w:t>8</w:t>
            </w:r>
          </w:p>
        </w:tc>
        <w:tc>
          <w:tcPr>
            <w:tcW w:w="2544" w:type="dxa"/>
            <w:vAlign w:val="center"/>
          </w:tcPr>
          <w:p>
            <w:pPr>
              <w:widowControl/>
              <w:jc w:val="left"/>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p>
        </w:tc>
        <w:tc>
          <w:tcPr>
            <w:tcW w:w="4402" w:type="dxa"/>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6" w:type="dxa"/>
            <w:vAlign w:val="center"/>
          </w:tcPr>
          <w:p>
            <w:pPr>
              <w:widowControl/>
              <w:jc w:val="center"/>
              <w:rPr>
                <w:rFonts w:ascii="宋体" w:hAnsi="宋体" w:cs="宋体"/>
                <w:color w:val="000000"/>
                <w:kern w:val="0"/>
                <w:szCs w:val="21"/>
              </w:rPr>
            </w:pPr>
            <w:r>
              <w:rPr>
                <w:rFonts w:ascii="宋体" w:hAnsi="宋体" w:cs="宋体"/>
                <w:color w:val="000000"/>
                <w:kern w:val="0"/>
                <w:szCs w:val="21"/>
              </w:rPr>
              <w:t>9</w:t>
            </w:r>
          </w:p>
        </w:tc>
        <w:tc>
          <w:tcPr>
            <w:tcW w:w="2544" w:type="dxa"/>
            <w:vAlign w:val="center"/>
          </w:tcPr>
          <w:p>
            <w:pPr>
              <w:widowControl/>
              <w:jc w:val="left"/>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p>
        </w:tc>
        <w:tc>
          <w:tcPr>
            <w:tcW w:w="4402" w:type="dxa"/>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6" w:type="dxa"/>
            <w:vAlign w:val="center"/>
          </w:tcPr>
          <w:p>
            <w:pPr>
              <w:widowControl/>
              <w:jc w:val="center"/>
              <w:rPr>
                <w:rFonts w:ascii="宋体" w:hAnsi="宋体" w:cs="宋体"/>
                <w:color w:val="000000"/>
                <w:kern w:val="0"/>
                <w:szCs w:val="21"/>
              </w:rPr>
            </w:pPr>
            <w:r>
              <w:rPr>
                <w:rFonts w:ascii="宋体" w:hAnsi="宋体" w:cs="宋体"/>
                <w:color w:val="000000"/>
                <w:kern w:val="0"/>
                <w:szCs w:val="21"/>
              </w:rPr>
              <w:t>10</w:t>
            </w:r>
          </w:p>
        </w:tc>
        <w:tc>
          <w:tcPr>
            <w:tcW w:w="2544" w:type="dxa"/>
            <w:vAlign w:val="center"/>
          </w:tcPr>
          <w:p>
            <w:pPr>
              <w:widowControl/>
              <w:jc w:val="left"/>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p>
        </w:tc>
        <w:tc>
          <w:tcPr>
            <w:tcW w:w="4402" w:type="dxa"/>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6" w:type="dxa"/>
            <w:vAlign w:val="center"/>
          </w:tcPr>
          <w:p>
            <w:pPr>
              <w:widowControl/>
              <w:jc w:val="center"/>
              <w:rPr>
                <w:rFonts w:ascii="宋体" w:hAnsi="宋体" w:cs="宋体"/>
                <w:color w:val="000000"/>
                <w:kern w:val="0"/>
                <w:szCs w:val="21"/>
              </w:rPr>
            </w:pPr>
            <w:r>
              <w:rPr>
                <w:rFonts w:ascii="宋体" w:hAnsi="宋体" w:cs="宋体"/>
                <w:color w:val="000000"/>
                <w:kern w:val="0"/>
                <w:szCs w:val="21"/>
              </w:rPr>
              <w:t>11</w:t>
            </w:r>
          </w:p>
        </w:tc>
        <w:tc>
          <w:tcPr>
            <w:tcW w:w="2544" w:type="dxa"/>
            <w:vAlign w:val="center"/>
          </w:tcPr>
          <w:p>
            <w:pPr>
              <w:widowControl/>
              <w:jc w:val="left"/>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p>
        </w:tc>
        <w:tc>
          <w:tcPr>
            <w:tcW w:w="4402" w:type="dxa"/>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6" w:type="dxa"/>
            <w:vAlign w:val="center"/>
          </w:tcPr>
          <w:p>
            <w:pPr>
              <w:widowControl/>
              <w:jc w:val="center"/>
              <w:rPr>
                <w:rFonts w:ascii="宋体" w:hAnsi="宋体" w:cs="宋体"/>
                <w:color w:val="000000"/>
                <w:kern w:val="0"/>
                <w:szCs w:val="21"/>
              </w:rPr>
            </w:pPr>
            <w:r>
              <w:rPr>
                <w:rFonts w:ascii="宋体" w:hAnsi="宋体" w:cs="宋体"/>
                <w:color w:val="000000"/>
                <w:kern w:val="0"/>
                <w:szCs w:val="21"/>
              </w:rPr>
              <w:t>12</w:t>
            </w:r>
          </w:p>
        </w:tc>
        <w:tc>
          <w:tcPr>
            <w:tcW w:w="2544" w:type="dxa"/>
            <w:vAlign w:val="center"/>
          </w:tcPr>
          <w:p>
            <w:pPr>
              <w:widowControl/>
              <w:jc w:val="left"/>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p>
        </w:tc>
        <w:tc>
          <w:tcPr>
            <w:tcW w:w="4402" w:type="dxa"/>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6" w:type="dxa"/>
            <w:vAlign w:val="center"/>
          </w:tcPr>
          <w:p>
            <w:pPr>
              <w:widowControl/>
              <w:jc w:val="center"/>
              <w:rPr>
                <w:rFonts w:ascii="宋体" w:hAnsi="宋体" w:cs="宋体"/>
                <w:color w:val="000000"/>
                <w:kern w:val="0"/>
                <w:szCs w:val="21"/>
              </w:rPr>
            </w:pPr>
            <w:r>
              <w:rPr>
                <w:rFonts w:ascii="宋体" w:hAnsi="宋体" w:cs="宋体"/>
                <w:color w:val="000000"/>
                <w:kern w:val="0"/>
                <w:szCs w:val="21"/>
              </w:rPr>
              <w:t>13</w:t>
            </w:r>
          </w:p>
        </w:tc>
        <w:tc>
          <w:tcPr>
            <w:tcW w:w="2544" w:type="dxa"/>
            <w:vAlign w:val="center"/>
          </w:tcPr>
          <w:p>
            <w:pPr>
              <w:widowControl/>
              <w:jc w:val="left"/>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p>
        </w:tc>
        <w:tc>
          <w:tcPr>
            <w:tcW w:w="4402" w:type="dxa"/>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6" w:type="dxa"/>
            <w:vAlign w:val="center"/>
          </w:tcPr>
          <w:p>
            <w:pPr>
              <w:widowControl/>
              <w:jc w:val="center"/>
              <w:rPr>
                <w:rFonts w:ascii="宋体" w:hAnsi="宋体" w:cs="宋体"/>
                <w:color w:val="000000"/>
                <w:kern w:val="0"/>
                <w:szCs w:val="21"/>
              </w:rPr>
            </w:pPr>
            <w:r>
              <w:rPr>
                <w:rFonts w:ascii="宋体" w:hAnsi="宋体" w:cs="宋体"/>
                <w:color w:val="000000"/>
                <w:kern w:val="0"/>
                <w:szCs w:val="21"/>
              </w:rPr>
              <w:t>14</w:t>
            </w:r>
          </w:p>
        </w:tc>
        <w:tc>
          <w:tcPr>
            <w:tcW w:w="2544" w:type="dxa"/>
            <w:vAlign w:val="center"/>
          </w:tcPr>
          <w:p>
            <w:pPr>
              <w:widowControl/>
              <w:jc w:val="left"/>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p>
        </w:tc>
        <w:tc>
          <w:tcPr>
            <w:tcW w:w="4402" w:type="dxa"/>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6" w:type="dxa"/>
            <w:vAlign w:val="center"/>
          </w:tcPr>
          <w:p>
            <w:pPr>
              <w:widowControl/>
              <w:jc w:val="center"/>
              <w:rPr>
                <w:rFonts w:ascii="宋体" w:hAnsi="宋体" w:cs="宋体"/>
                <w:color w:val="000000"/>
                <w:kern w:val="0"/>
                <w:szCs w:val="21"/>
              </w:rPr>
            </w:pPr>
            <w:r>
              <w:rPr>
                <w:rFonts w:ascii="宋体" w:hAnsi="宋体" w:cs="宋体"/>
                <w:color w:val="000000"/>
                <w:kern w:val="0"/>
                <w:szCs w:val="21"/>
              </w:rPr>
              <w:t>15</w:t>
            </w:r>
          </w:p>
        </w:tc>
        <w:tc>
          <w:tcPr>
            <w:tcW w:w="2544" w:type="dxa"/>
            <w:vAlign w:val="center"/>
          </w:tcPr>
          <w:p>
            <w:pPr>
              <w:widowControl/>
              <w:jc w:val="left"/>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p>
        </w:tc>
        <w:tc>
          <w:tcPr>
            <w:tcW w:w="4402"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6" w:type="dxa"/>
            <w:vAlign w:val="center"/>
          </w:tcPr>
          <w:p>
            <w:pPr>
              <w:widowControl/>
              <w:jc w:val="center"/>
              <w:rPr>
                <w:rFonts w:ascii="宋体" w:hAnsi="宋体" w:cs="宋体"/>
                <w:color w:val="000000"/>
                <w:kern w:val="0"/>
                <w:szCs w:val="21"/>
              </w:rPr>
            </w:pPr>
            <w:r>
              <w:rPr>
                <w:rFonts w:ascii="宋体" w:hAnsi="宋体" w:cs="宋体"/>
                <w:color w:val="000000"/>
                <w:kern w:val="0"/>
                <w:szCs w:val="21"/>
              </w:rPr>
              <w:t>16</w:t>
            </w:r>
          </w:p>
        </w:tc>
        <w:tc>
          <w:tcPr>
            <w:tcW w:w="2544" w:type="dxa"/>
            <w:vAlign w:val="center"/>
          </w:tcPr>
          <w:p>
            <w:pPr>
              <w:widowControl/>
              <w:jc w:val="left"/>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p>
        </w:tc>
        <w:tc>
          <w:tcPr>
            <w:tcW w:w="4402" w:type="dxa"/>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6" w:type="dxa"/>
            <w:vAlign w:val="center"/>
          </w:tcPr>
          <w:p>
            <w:pPr>
              <w:widowControl/>
              <w:jc w:val="center"/>
              <w:rPr>
                <w:rFonts w:ascii="宋体" w:hAnsi="宋体" w:cs="宋体"/>
                <w:color w:val="000000"/>
                <w:kern w:val="0"/>
                <w:szCs w:val="21"/>
              </w:rPr>
            </w:pPr>
            <w:r>
              <w:rPr>
                <w:rFonts w:ascii="宋体" w:hAnsi="宋体" w:cs="宋体"/>
                <w:color w:val="000000"/>
                <w:kern w:val="0"/>
                <w:szCs w:val="21"/>
              </w:rPr>
              <w:t>17</w:t>
            </w:r>
          </w:p>
        </w:tc>
        <w:tc>
          <w:tcPr>
            <w:tcW w:w="2544" w:type="dxa"/>
            <w:vAlign w:val="center"/>
          </w:tcPr>
          <w:p>
            <w:pPr>
              <w:widowControl/>
              <w:jc w:val="left"/>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p>
        </w:tc>
        <w:tc>
          <w:tcPr>
            <w:tcW w:w="4402" w:type="dxa"/>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6" w:type="dxa"/>
            <w:vAlign w:val="center"/>
          </w:tcPr>
          <w:p>
            <w:pPr>
              <w:widowControl/>
              <w:jc w:val="center"/>
              <w:rPr>
                <w:rFonts w:ascii="宋体" w:hAnsi="宋体" w:cs="宋体"/>
                <w:color w:val="000000"/>
                <w:kern w:val="0"/>
                <w:szCs w:val="21"/>
              </w:rPr>
            </w:pPr>
            <w:r>
              <w:rPr>
                <w:rFonts w:ascii="宋体" w:hAnsi="宋体" w:cs="宋体"/>
                <w:color w:val="000000"/>
                <w:kern w:val="0"/>
                <w:szCs w:val="21"/>
              </w:rPr>
              <w:t>18</w:t>
            </w:r>
          </w:p>
        </w:tc>
        <w:tc>
          <w:tcPr>
            <w:tcW w:w="2544" w:type="dxa"/>
            <w:vAlign w:val="center"/>
          </w:tcPr>
          <w:p>
            <w:pPr>
              <w:widowControl/>
              <w:jc w:val="left"/>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p>
        </w:tc>
        <w:tc>
          <w:tcPr>
            <w:tcW w:w="4402" w:type="dxa"/>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6" w:type="dxa"/>
            <w:vAlign w:val="center"/>
          </w:tcPr>
          <w:p>
            <w:pPr>
              <w:widowControl/>
              <w:jc w:val="center"/>
              <w:rPr>
                <w:rFonts w:ascii="宋体" w:hAnsi="宋体" w:cs="宋体"/>
                <w:color w:val="000000"/>
                <w:kern w:val="0"/>
                <w:szCs w:val="21"/>
              </w:rPr>
            </w:pPr>
            <w:r>
              <w:rPr>
                <w:rFonts w:ascii="宋体" w:hAnsi="宋体" w:cs="宋体"/>
                <w:color w:val="000000"/>
                <w:kern w:val="0"/>
                <w:szCs w:val="21"/>
              </w:rPr>
              <w:t>19</w:t>
            </w:r>
          </w:p>
        </w:tc>
        <w:tc>
          <w:tcPr>
            <w:tcW w:w="2544" w:type="dxa"/>
            <w:vAlign w:val="center"/>
          </w:tcPr>
          <w:p>
            <w:pPr>
              <w:widowControl/>
              <w:jc w:val="left"/>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p>
        </w:tc>
        <w:tc>
          <w:tcPr>
            <w:tcW w:w="4402" w:type="dxa"/>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6" w:type="dxa"/>
            <w:vAlign w:val="center"/>
          </w:tcPr>
          <w:p>
            <w:pPr>
              <w:widowControl/>
              <w:jc w:val="center"/>
              <w:rPr>
                <w:rFonts w:ascii="宋体" w:hAnsi="宋体" w:cs="宋体"/>
                <w:color w:val="000000"/>
                <w:kern w:val="0"/>
                <w:szCs w:val="21"/>
              </w:rPr>
            </w:pPr>
            <w:r>
              <w:rPr>
                <w:rFonts w:ascii="宋体" w:hAnsi="宋体" w:cs="宋体"/>
                <w:color w:val="000000"/>
                <w:kern w:val="0"/>
                <w:szCs w:val="21"/>
              </w:rPr>
              <w:t>20</w:t>
            </w:r>
          </w:p>
        </w:tc>
        <w:tc>
          <w:tcPr>
            <w:tcW w:w="2544" w:type="dxa"/>
            <w:vAlign w:val="center"/>
          </w:tcPr>
          <w:p>
            <w:pPr>
              <w:widowControl/>
              <w:jc w:val="left"/>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p>
        </w:tc>
        <w:tc>
          <w:tcPr>
            <w:tcW w:w="4402" w:type="dxa"/>
          </w:tcPr>
          <w:p>
            <w:pPr>
              <w:widowControl/>
              <w:jc w:val="center"/>
              <w:rPr>
                <w:rFonts w:ascii="宋体" w:hAnsi="宋体" w:cs="宋体"/>
                <w:color w:val="000000"/>
                <w:kern w:val="0"/>
                <w:szCs w:val="21"/>
              </w:rPr>
            </w:pPr>
          </w:p>
        </w:tc>
      </w:tr>
    </w:tbl>
    <w:p>
      <w:pPr>
        <w:spacing w:line="360" w:lineRule="auto"/>
        <w:rPr>
          <w:rFonts w:ascii="黑体" w:eastAsia="黑体" w:cs="黑体"/>
          <w:b/>
          <w:color w:val="000000"/>
          <w:sz w:val="36"/>
          <w:szCs w:val="36"/>
        </w:rPr>
      </w:pPr>
      <w:r>
        <w:rPr>
          <w:rFonts w:hint="eastAsia" w:ascii="楷体_GB2312" w:eastAsia="楷体_GB2312" w:cs="楷体_GB2312"/>
          <w:color w:val="000000"/>
          <w:szCs w:val="21"/>
        </w:rPr>
        <w:t>附注：本表必须根据第五部分“招标内容及要求”的第二点“采购内容及要求”的内容详细填写及说明，除清单内容外的设备，投标供应商可增项。</w:t>
      </w:r>
    </w:p>
    <w:p>
      <w:pPr>
        <w:spacing w:line="360" w:lineRule="auto"/>
        <w:ind w:leftChars="-85" w:hanging="178" w:hangingChars="81"/>
        <w:rPr>
          <w:rFonts w:eastAsia="新宋体"/>
          <w:color w:val="000000"/>
          <w:sz w:val="22"/>
          <w:szCs w:val="22"/>
        </w:rPr>
      </w:pPr>
      <w:r>
        <w:rPr>
          <w:rFonts w:hint="eastAsia" w:eastAsia="新宋体"/>
          <w:color w:val="000000"/>
          <w:sz w:val="22"/>
          <w:szCs w:val="22"/>
        </w:rPr>
        <w:t>投标供应商全称（公章）：</w:t>
      </w:r>
    </w:p>
    <w:p>
      <w:pPr>
        <w:spacing w:line="360" w:lineRule="auto"/>
        <w:ind w:leftChars="-85" w:hanging="178" w:hangingChars="81"/>
        <w:rPr>
          <w:rFonts w:eastAsia="新宋体"/>
          <w:color w:val="000000"/>
          <w:sz w:val="22"/>
          <w:szCs w:val="22"/>
        </w:rPr>
      </w:pPr>
      <w:r>
        <w:rPr>
          <w:rFonts w:hint="eastAsia" w:eastAsia="新宋体"/>
          <w:color w:val="000000"/>
          <w:sz w:val="22"/>
          <w:szCs w:val="22"/>
        </w:rPr>
        <w:t>法定代表人或授权代表（签字或盖章）：</w:t>
      </w:r>
    </w:p>
    <w:p>
      <w:pPr>
        <w:spacing w:line="360" w:lineRule="auto"/>
        <w:ind w:leftChars="-85" w:hanging="178" w:hangingChars="81"/>
        <w:rPr>
          <w:rFonts w:eastAsia="新宋体"/>
          <w:color w:val="000000"/>
          <w:sz w:val="22"/>
          <w:szCs w:val="22"/>
        </w:rPr>
      </w:pPr>
      <w:r>
        <w:rPr>
          <w:rFonts w:hint="eastAsia" w:eastAsia="新宋体"/>
          <w:color w:val="000000"/>
          <w:sz w:val="22"/>
          <w:szCs w:val="22"/>
        </w:rPr>
        <w:t>日期：</w:t>
      </w:r>
      <w:r>
        <w:rPr>
          <w:rFonts w:eastAsia="新宋体"/>
          <w:color w:val="000000"/>
          <w:sz w:val="22"/>
          <w:szCs w:val="22"/>
        </w:rPr>
        <w:t xml:space="preserve">  </w:t>
      </w:r>
      <w:r>
        <w:rPr>
          <w:rFonts w:hint="eastAsia" w:eastAsia="新宋体"/>
          <w:color w:val="000000"/>
          <w:sz w:val="22"/>
          <w:szCs w:val="22"/>
        </w:rPr>
        <w:t>年</w:t>
      </w:r>
      <w:r>
        <w:rPr>
          <w:rFonts w:eastAsia="新宋体"/>
          <w:color w:val="000000"/>
          <w:sz w:val="22"/>
          <w:szCs w:val="22"/>
        </w:rPr>
        <w:t xml:space="preserve">   </w:t>
      </w:r>
      <w:r>
        <w:rPr>
          <w:rFonts w:hint="eastAsia" w:eastAsia="新宋体"/>
          <w:color w:val="000000"/>
          <w:sz w:val="22"/>
          <w:szCs w:val="22"/>
        </w:rPr>
        <w:t>月</w:t>
      </w:r>
      <w:r>
        <w:rPr>
          <w:rFonts w:eastAsia="新宋体"/>
          <w:color w:val="000000"/>
          <w:sz w:val="22"/>
          <w:szCs w:val="22"/>
        </w:rPr>
        <w:t xml:space="preserve">  </w:t>
      </w:r>
      <w:r>
        <w:rPr>
          <w:rFonts w:hint="eastAsia" w:eastAsia="新宋体"/>
          <w:color w:val="000000"/>
          <w:sz w:val="22"/>
          <w:szCs w:val="22"/>
        </w:rPr>
        <w:t>日</w:t>
      </w:r>
    </w:p>
    <w:p>
      <w:pPr>
        <w:spacing w:line="380" w:lineRule="exact"/>
        <w:ind w:leftChars="-85" w:hanging="178" w:hangingChars="81"/>
        <w:rPr>
          <w:rFonts w:eastAsia="新宋体"/>
          <w:color w:val="000000"/>
          <w:sz w:val="22"/>
          <w:szCs w:val="22"/>
        </w:rPr>
      </w:pPr>
    </w:p>
    <w:p>
      <w:pPr>
        <w:spacing w:line="460" w:lineRule="exact"/>
        <w:jc w:val="center"/>
        <w:rPr>
          <w:rFonts w:ascii="黑体" w:eastAsia="黑体" w:cs="黑体"/>
          <w:b/>
          <w:color w:val="000000"/>
          <w:sz w:val="36"/>
          <w:szCs w:val="36"/>
        </w:rPr>
      </w:pPr>
      <w:r>
        <w:rPr>
          <w:rFonts w:hint="eastAsia" w:ascii="黑体" w:eastAsia="黑体" w:cs="黑体"/>
          <w:b/>
          <w:color w:val="000000"/>
          <w:sz w:val="36"/>
          <w:szCs w:val="36"/>
        </w:rPr>
        <w:t>（</w:t>
      </w:r>
      <w:r>
        <w:rPr>
          <w:rFonts w:ascii="黑体" w:eastAsia="黑体" w:cs="黑体"/>
          <w:b/>
          <w:color w:val="000000"/>
          <w:sz w:val="36"/>
          <w:szCs w:val="36"/>
        </w:rPr>
        <w:t>2</w:t>
      </w:r>
      <w:r>
        <w:rPr>
          <w:rFonts w:hint="eastAsia" w:ascii="黑体" w:eastAsia="黑体" w:cs="黑体"/>
          <w:b/>
          <w:color w:val="000000"/>
          <w:sz w:val="36"/>
          <w:szCs w:val="36"/>
        </w:rPr>
        <w:t>）随机备品备件和专用工具清单（如有）</w:t>
      </w:r>
    </w:p>
    <w:p>
      <w:pPr>
        <w:spacing w:line="460" w:lineRule="exact"/>
        <w:rPr>
          <w:rFonts w:eastAsia="新宋体"/>
          <w:bCs/>
          <w:color w:val="000000"/>
          <w:sz w:val="22"/>
          <w:szCs w:val="22"/>
        </w:rPr>
      </w:pPr>
    </w:p>
    <w:p>
      <w:pPr>
        <w:spacing w:line="460" w:lineRule="exact"/>
        <w:rPr>
          <w:rFonts w:ascii="黑体" w:eastAsia="黑体" w:cs="黑体"/>
          <w:bCs/>
          <w:color w:val="000000"/>
          <w:sz w:val="32"/>
          <w:szCs w:val="32"/>
        </w:rPr>
      </w:pPr>
      <w:r>
        <w:rPr>
          <w:rFonts w:hint="eastAsia" w:eastAsia="新宋体"/>
          <w:bCs/>
          <w:color w:val="000000"/>
          <w:sz w:val="22"/>
          <w:szCs w:val="22"/>
        </w:rPr>
        <w:t>招标编号：</w:t>
      </w:r>
      <w:r>
        <w:rPr>
          <w:rFonts w:eastAsia="新宋体"/>
          <w:bCs/>
          <w:color w:val="000000"/>
          <w:sz w:val="22"/>
          <w:szCs w:val="22"/>
        </w:rPr>
        <w:t xml:space="preserve">                                                     </w:t>
      </w:r>
    </w:p>
    <w:tbl>
      <w:tblPr>
        <w:tblStyle w:val="6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328"/>
        <w:gridCol w:w="1470"/>
        <w:gridCol w:w="2205"/>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380" w:lineRule="exact"/>
              <w:jc w:val="center"/>
              <w:rPr>
                <w:rFonts w:eastAsia="新宋体"/>
                <w:b/>
                <w:color w:val="000000"/>
                <w:sz w:val="22"/>
                <w:szCs w:val="22"/>
              </w:rPr>
            </w:pPr>
            <w:r>
              <w:rPr>
                <w:rFonts w:hint="eastAsia" w:eastAsia="新宋体"/>
                <w:b/>
                <w:color w:val="000000"/>
                <w:sz w:val="22"/>
                <w:szCs w:val="22"/>
              </w:rPr>
              <w:t>序号</w:t>
            </w:r>
          </w:p>
        </w:tc>
        <w:tc>
          <w:tcPr>
            <w:tcW w:w="2328" w:type="dxa"/>
            <w:vAlign w:val="center"/>
          </w:tcPr>
          <w:p>
            <w:pPr>
              <w:spacing w:line="380" w:lineRule="exact"/>
              <w:jc w:val="center"/>
              <w:rPr>
                <w:rFonts w:eastAsia="新宋体"/>
                <w:b/>
                <w:color w:val="000000"/>
                <w:sz w:val="22"/>
                <w:szCs w:val="22"/>
              </w:rPr>
            </w:pPr>
            <w:r>
              <w:rPr>
                <w:rFonts w:hint="eastAsia" w:eastAsia="新宋体"/>
                <w:b/>
                <w:color w:val="000000"/>
                <w:sz w:val="22"/>
                <w:szCs w:val="22"/>
              </w:rPr>
              <w:t>名</w:t>
            </w:r>
            <w:r>
              <w:rPr>
                <w:rFonts w:eastAsia="新宋体"/>
                <w:b/>
                <w:color w:val="000000"/>
                <w:sz w:val="22"/>
                <w:szCs w:val="22"/>
              </w:rPr>
              <w:t xml:space="preserve">  </w:t>
            </w:r>
            <w:r>
              <w:rPr>
                <w:rFonts w:hint="eastAsia" w:eastAsia="新宋体"/>
                <w:b/>
                <w:color w:val="000000"/>
                <w:sz w:val="22"/>
                <w:szCs w:val="22"/>
              </w:rPr>
              <w:t>称</w:t>
            </w:r>
          </w:p>
        </w:tc>
        <w:tc>
          <w:tcPr>
            <w:tcW w:w="1470" w:type="dxa"/>
            <w:vAlign w:val="center"/>
          </w:tcPr>
          <w:p>
            <w:pPr>
              <w:spacing w:line="380" w:lineRule="exact"/>
              <w:jc w:val="center"/>
              <w:rPr>
                <w:rFonts w:eastAsia="新宋体"/>
                <w:b/>
                <w:color w:val="000000"/>
                <w:sz w:val="22"/>
                <w:szCs w:val="22"/>
              </w:rPr>
            </w:pPr>
            <w:r>
              <w:rPr>
                <w:rFonts w:hint="eastAsia" w:eastAsia="新宋体"/>
                <w:b/>
                <w:color w:val="000000"/>
                <w:sz w:val="22"/>
                <w:szCs w:val="22"/>
              </w:rPr>
              <w:t>单位</w:t>
            </w:r>
          </w:p>
        </w:tc>
        <w:tc>
          <w:tcPr>
            <w:tcW w:w="2205" w:type="dxa"/>
            <w:vAlign w:val="center"/>
          </w:tcPr>
          <w:p>
            <w:pPr>
              <w:spacing w:line="380" w:lineRule="exact"/>
              <w:jc w:val="center"/>
              <w:rPr>
                <w:rFonts w:eastAsia="新宋体"/>
                <w:b/>
                <w:color w:val="000000"/>
                <w:sz w:val="22"/>
                <w:szCs w:val="22"/>
              </w:rPr>
            </w:pPr>
            <w:r>
              <w:rPr>
                <w:rFonts w:hint="eastAsia" w:eastAsia="新宋体"/>
                <w:b/>
                <w:color w:val="000000"/>
                <w:sz w:val="22"/>
                <w:szCs w:val="22"/>
              </w:rPr>
              <w:t>数量</w:t>
            </w:r>
            <w:r>
              <w:rPr>
                <w:rFonts w:eastAsia="新宋体"/>
                <w:b/>
                <w:color w:val="000000"/>
                <w:sz w:val="22"/>
                <w:szCs w:val="22"/>
              </w:rPr>
              <w:t>/</w:t>
            </w:r>
            <w:r>
              <w:rPr>
                <w:rFonts w:hint="eastAsia" w:eastAsia="新宋体"/>
                <w:b/>
                <w:color w:val="000000"/>
                <w:sz w:val="22"/>
                <w:szCs w:val="22"/>
              </w:rPr>
              <w:t>台</w:t>
            </w:r>
          </w:p>
        </w:tc>
        <w:tc>
          <w:tcPr>
            <w:tcW w:w="2636" w:type="dxa"/>
            <w:vAlign w:val="center"/>
          </w:tcPr>
          <w:p>
            <w:pPr>
              <w:spacing w:line="380" w:lineRule="exact"/>
              <w:jc w:val="center"/>
              <w:rPr>
                <w:rFonts w:eastAsia="新宋体"/>
                <w:b/>
                <w:color w:val="000000"/>
                <w:sz w:val="22"/>
                <w:szCs w:val="22"/>
              </w:rPr>
            </w:pPr>
            <w:r>
              <w:rPr>
                <w:rFonts w:hint="eastAsia" w:eastAsia="新宋体"/>
                <w:b/>
                <w:color w:val="00000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380" w:lineRule="exact"/>
              <w:jc w:val="center"/>
              <w:rPr>
                <w:rFonts w:eastAsia="新宋体"/>
                <w:b/>
                <w:color w:val="000000"/>
                <w:sz w:val="22"/>
                <w:szCs w:val="22"/>
              </w:rPr>
            </w:pPr>
          </w:p>
        </w:tc>
        <w:tc>
          <w:tcPr>
            <w:tcW w:w="2328" w:type="dxa"/>
            <w:vAlign w:val="center"/>
          </w:tcPr>
          <w:p>
            <w:pPr>
              <w:spacing w:line="380" w:lineRule="exact"/>
              <w:jc w:val="center"/>
              <w:rPr>
                <w:rFonts w:eastAsia="新宋体"/>
                <w:b/>
                <w:color w:val="000000"/>
                <w:sz w:val="22"/>
                <w:szCs w:val="22"/>
              </w:rPr>
            </w:pPr>
          </w:p>
        </w:tc>
        <w:tc>
          <w:tcPr>
            <w:tcW w:w="1470" w:type="dxa"/>
            <w:vAlign w:val="center"/>
          </w:tcPr>
          <w:p>
            <w:pPr>
              <w:spacing w:line="380" w:lineRule="exact"/>
              <w:jc w:val="center"/>
              <w:rPr>
                <w:rFonts w:eastAsia="新宋体"/>
                <w:b/>
                <w:color w:val="000000"/>
                <w:sz w:val="22"/>
                <w:szCs w:val="22"/>
              </w:rPr>
            </w:pPr>
          </w:p>
        </w:tc>
        <w:tc>
          <w:tcPr>
            <w:tcW w:w="2205" w:type="dxa"/>
            <w:vAlign w:val="center"/>
          </w:tcPr>
          <w:p>
            <w:pPr>
              <w:spacing w:line="380" w:lineRule="exact"/>
              <w:jc w:val="center"/>
              <w:rPr>
                <w:rFonts w:eastAsia="新宋体"/>
                <w:b/>
                <w:color w:val="000000"/>
                <w:sz w:val="22"/>
                <w:szCs w:val="22"/>
              </w:rPr>
            </w:pPr>
          </w:p>
        </w:tc>
        <w:tc>
          <w:tcPr>
            <w:tcW w:w="2636" w:type="dxa"/>
            <w:vAlign w:val="center"/>
          </w:tcPr>
          <w:p>
            <w:pPr>
              <w:spacing w:line="380" w:lineRule="exact"/>
              <w:jc w:val="center"/>
              <w:rPr>
                <w:rFonts w:eastAsia="新宋体"/>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380" w:lineRule="exact"/>
              <w:jc w:val="center"/>
              <w:rPr>
                <w:rFonts w:eastAsia="新宋体"/>
                <w:b/>
                <w:color w:val="000000"/>
                <w:sz w:val="22"/>
                <w:szCs w:val="22"/>
              </w:rPr>
            </w:pPr>
          </w:p>
        </w:tc>
        <w:tc>
          <w:tcPr>
            <w:tcW w:w="2328" w:type="dxa"/>
            <w:vAlign w:val="center"/>
          </w:tcPr>
          <w:p>
            <w:pPr>
              <w:spacing w:line="380" w:lineRule="exact"/>
              <w:jc w:val="center"/>
              <w:rPr>
                <w:rFonts w:eastAsia="新宋体"/>
                <w:b/>
                <w:color w:val="000000"/>
                <w:sz w:val="22"/>
                <w:szCs w:val="22"/>
              </w:rPr>
            </w:pPr>
          </w:p>
        </w:tc>
        <w:tc>
          <w:tcPr>
            <w:tcW w:w="1470" w:type="dxa"/>
            <w:vAlign w:val="center"/>
          </w:tcPr>
          <w:p>
            <w:pPr>
              <w:spacing w:line="380" w:lineRule="exact"/>
              <w:jc w:val="center"/>
              <w:rPr>
                <w:rFonts w:eastAsia="新宋体"/>
                <w:b/>
                <w:color w:val="000000"/>
                <w:sz w:val="22"/>
                <w:szCs w:val="22"/>
              </w:rPr>
            </w:pPr>
          </w:p>
        </w:tc>
        <w:tc>
          <w:tcPr>
            <w:tcW w:w="2205" w:type="dxa"/>
            <w:vAlign w:val="center"/>
          </w:tcPr>
          <w:p>
            <w:pPr>
              <w:spacing w:line="380" w:lineRule="exact"/>
              <w:jc w:val="center"/>
              <w:rPr>
                <w:rFonts w:eastAsia="新宋体"/>
                <w:b/>
                <w:color w:val="000000"/>
                <w:sz w:val="22"/>
                <w:szCs w:val="22"/>
              </w:rPr>
            </w:pPr>
          </w:p>
        </w:tc>
        <w:tc>
          <w:tcPr>
            <w:tcW w:w="2636" w:type="dxa"/>
            <w:vAlign w:val="center"/>
          </w:tcPr>
          <w:p>
            <w:pPr>
              <w:spacing w:line="380" w:lineRule="exact"/>
              <w:jc w:val="center"/>
              <w:rPr>
                <w:rFonts w:eastAsia="新宋体"/>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380" w:lineRule="exact"/>
              <w:jc w:val="center"/>
              <w:rPr>
                <w:rFonts w:eastAsia="新宋体"/>
                <w:b/>
                <w:color w:val="000000"/>
                <w:sz w:val="22"/>
                <w:szCs w:val="22"/>
              </w:rPr>
            </w:pPr>
          </w:p>
        </w:tc>
        <w:tc>
          <w:tcPr>
            <w:tcW w:w="2328" w:type="dxa"/>
            <w:vAlign w:val="center"/>
          </w:tcPr>
          <w:p>
            <w:pPr>
              <w:spacing w:line="380" w:lineRule="exact"/>
              <w:jc w:val="center"/>
              <w:rPr>
                <w:rFonts w:eastAsia="新宋体"/>
                <w:b/>
                <w:color w:val="000000"/>
                <w:sz w:val="22"/>
                <w:szCs w:val="22"/>
              </w:rPr>
            </w:pPr>
          </w:p>
        </w:tc>
        <w:tc>
          <w:tcPr>
            <w:tcW w:w="1470" w:type="dxa"/>
            <w:vAlign w:val="center"/>
          </w:tcPr>
          <w:p>
            <w:pPr>
              <w:spacing w:line="380" w:lineRule="exact"/>
              <w:jc w:val="center"/>
              <w:rPr>
                <w:rFonts w:eastAsia="新宋体"/>
                <w:b/>
                <w:color w:val="000000"/>
                <w:sz w:val="22"/>
                <w:szCs w:val="22"/>
              </w:rPr>
            </w:pPr>
          </w:p>
        </w:tc>
        <w:tc>
          <w:tcPr>
            <w:tcW w:w="2205" w:type="dxa"/>
            <w:vAlign w:val="center"/>
          </w:tcPr>
          <w:p>
            <w:pPr>
              <w:spacing w:line="380" w:lineRule="exact"/>
              <w:jc w:val="center"/>
              <w:rPr>
                <w:rFonts w:eastAsia="新宋体"/>
                <w:b/>
                <w:color w:val="000000"/>
                <w:sz w:val="22"/>
                <w:szCs w:val="22"/>
              </w:rPr>
            </w:pPr>
          </w:p>
        </w:tc>
        <w:tc>
          <w:tcPr>
            <w:tcW w:w="2636" w:type="dxa"/>
            <w:vAlign w:val="center"/>
          </w:tcPr>
          <w:p>
            <w:pPr>
              <w:spacing w:line="380" w:lineRule="exact"/>
              <w:jc w:val="center"/>
              <w:rPr>
                <w:rFonts w:eastAsia="新宋体"/>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380" w:lineRule="exact"/>
              <w:jc w:val="center"/>
              <w:rPr>
                <w:rFonts w:eastAsia="新宋体"/>
                <w:b/>
                <w:color w:val="000000"/>
                <w:sz w:val="22"/>
                <w:szCs w:val="22"/>
              </w:rPr>
            </w:pPr>
          </w:p>
        </w:tc>
        <w:tc>
          <w:tcPr>
            <w:tcW w:w="2328" w:type="dxa"/>
            <w:vAlign w:val="center"/>
          </w:tcPr>
          <w:p>
            <w:pPr>
              <w:spacing w:line="380" w:lineRule="exact"/>
              <w:jc w:val="center"/>
              <w:rPr>
                <w:rFonts w:eastAsia="新宋体"/>
                <w:b/>
                <w:color w:val="000000"/>
                <w:sz w:val="22"/>
                <w:szCs w:val="22"/>
              </w:rPr>
            </w:pPr>
          </w:p>
        </w:tc>
        <w:tc>
          <w:tcPr>
            <w:tcW w:w="1470" w:type="dxa"/>
            <w:vAlign w:val="center"/>
          </w:tcPr>
          <w:p>
            <w:pPr>
              <w:spacing w:line="380" w:lineRule="exact"/>
              <w:jc w:val="center"/>
              <w:rPr>
                <w:rFonts w:eastAsia="新宋体"/>
                <w:b/>
                <w:color w:val="000000"/>
                <w:sz w:val="22"/>
                <w:szCs w:val="22"/>
              </w:rPr>
            </w:pPr>
          </w:p>
        </w:tc>
        <w:tc>
          <w:tcPr>
            <w:tcW w:w="2205" w:type="dxa"/>
            <w:vAlign w:val="center"/>
          </w:tcPr>
          <w:p>
            <w:pPr>
              <w:spacing w:line="380" w:lineRule="exact"/>
              <w:jc w:val="center"/>
              <w:rPr>
                <w:rFonts w:eastAsia="新宋体"/>
                <w:b/>
                <w:color w:val="000000"/>
                <w:sz w:val="22"/>
                <w:szCs w:val="22"/>
              </w:rPr>
            </w:pPr>
          </w:p>
        </w:tc>
        <w:tc>
          <w:tcPr>
            <w:tcW w:w="2636" w:type="dxa"/>
            <w:vAlign w:val="center"/>
          </w:tcPr>
          <w:p>
            <w:pPr>
              <w:spacing w:line="380" w:lineRule="exact"/>
              <w:jc w:val="center"/>
              <w:rPr>
                <w:rFonts w:eastAsia="新宋体"/>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380" w:lineRule="exact"/>
              <w:jc w:val="center"/>
              <w:rPr>
                <w:rFonts w:eastAsia="新宋体"/>
                <w:b/>
                <w:color w:val="000000"/>
                <w:sz w:val="22"/>
                <w:szCs w:val="22"/>
              </w:rPr>
            </w:pPr>
          </w:p>
        </w:tc>
        <w:tc>
          <w:tcPr>
            <w:tcW w:w="2328" w:type="dxa"/>
            <w:vAlign w:val="center"/>
          </w:tcPr>
          <w:p>
            <w:pPr>
              <w:spacing w:line="380" w:lineRule="exact"/>
              <w:jc w:val="center"/>
              <w:rPr>
                <w:rFonts w:eastAsia="新宋体"/>
                <w:b/>
                <w:color w:val="000000"/>
                <w:sz w:val="22"/>
                <w:szCs w:val="22"/>
              </w:rPr>
            </w:pPr>
          </w:p>
        </w:tc>
        <w:tc>
          <w:tcPr>
            <w:tcW w:w="1470" w:type="dxa"/>
            <w:vAlign w:val="center"/>
          </w:tcPr>
          <w:p>
            <w:pPr>
              <w:spacing w:line="380" w:lineRule="exact"/>
              <w:jc w:val="center"/>
              <w:rPr>
                <w:rFonts w:eastAsia="新宋体"/>
                <w:b/>
                <w:color w:val="000000"/>
                <w:sz w:val="22"/>
                <w:szCs w:val="22"/>
              </w:rPr>
            </w:pPr>
          </w:p>
        </w:tc>
        <w:tc>
          <w:tcPr>
            <w:tcW w:w="2205" w:type="dxa"/>
            <w:vAlign w:val="center"/>
          </w:tcPr>
          <w:p>
            <w:pPr>
              <w:spacing w:line="380" w:lineRule="exact"/>
              <w:jc w:val="center"/>
              <w:rPr>
                <w:rFonts w:eastAsia="新宋体"/>
                <w:b/>
                <w:color w:val="000000"/>
                <w:sz w:val="22"/>
                <w:szCs w:val="22"/>
              </w:rPr>
            </w:pPr>
          </w:p>
        </w:tc>
        <w:tc>
          <w:tcPr>
            <w:tcW w:w="2636" w:type="dxa"/>
            <w:vAlign w:val="center"/>
          </w:tcPr>
          <w:p>
            <w:pPr>
              <w:spacing w:line="380" w:lineRule="exact"/>
              <w:jc w:val="center"/>
              <w:rPr>
                <w:rFonts w:eastAsia="新宋体"/>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380" w:lineRule="exact"/>
              <w:jc w:val="center"/>
              <w:rPr>
                <w:rFonts w:eastAsia="新宋体"/>
                <w:b/>
                <w:color w:val="000000"/>
                <w:sz w:val="22"/>
                <w:szCs w:val="22"/>
              </w:rPr>
            </w:pPr>
          </w:p>
        </w:tc>
        <w:tc>
          <w:tcPr>
            <w:tcW w:w="2328" w:type="dxa"/>
            <w:vAlign w:val="center"/>
          </w:tcPr>
          <w:p>
            <w:pPr>
              <w:spacing w:line="380" w:lineRule="exact"/>
              <w:jc w:val="center"/>
              <w:rPr>
                <w:rFonts w:eastAsia="新宋体"/>
                <w:b/>
                <w:color w:val="000000"/>
                <w:sz w:val="22"/>
                <w:szCs w:val="22"/>
              </w:rPr>
            </w:pPr>
          </w:p>
        </w:tc>
        <w:tc>
          <w:tcPr>
            <w:tcW w:w="1470" w:type="dxa"/>
            <w:vAlign w:val="center"/>
          </w:tcPr>
          <w:p>
            <w:pPr>
              <w:spacing w:line="380" w:lineRule="exact"/>
              <w:jc w:val="center"/>
              <w:rPr>
                <w:rFonts w:eastAsia="新宋体"/>
                <w:b/>
                <w:color w:val="000000"/>
                <w:sz w:val="22"/>
                <w:szCs w:val="22"/>
              </w:rPr>
            </w:pPr>
          </w:p>
        </w:tc>
        <w:tc>
          <w:tcPr>
            <w:tcW w:w="2205" w:type="dxa"/>
            <w:vAlign w:val="center"/>
          </w:tcPr>
          <w:p>
            <w:pPr>
              <w:spacing w:line="380" w:lineRule="exact"/>
              <w:jc w:val="center"/>
              <w:rPr>
                <w:rFonts w:eastAsia="新宋体"/>
                <w:b/>
                <w:color w:val="000000"/>
                <w:sz w:val="22"/>
                <w:szCs w:val="22"/>
              </w:rPr>
            </w:pPr>
          </w:p>
        </w:tc>
        <w:tc>
          <w:tcPr>
            <w:tcW w:w="2636" w:type="dxa"/>
            <w:vAlign w:val="center"/>
          </w:tcPr>
          <w:p>
            <w:pPr>
              <w:spacing w:line="380" w:lineRule="exact"/>
              <w:jc w:val="center"/>
              <w:rPr>
                <w:rFonts w:eastAsia="新宋体"/>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380" w:lineRule="exact"/>
              <w:jc w:val="center"/>
              <w:rPr>
                <w:rFonts w:eastAsia="新宋体"/>
                <w:b/>
                <w:color w:val="000000"/>
                <w:sz w:val="22"/>
                <w:szCs w:val="22"/>
              </w:rPr>
            </w:pPr>
          </w:p>
        </w:tc>
        <w:tc>
          <w:tcPr>
            <w:tcW w:w="2328" w:type="dxa"/>
            <w:vAlign w:val="center"/>
          </w:tcPr>
          <w:p>
            <w:pPr>
              <w:spacing w:line="380" w:lineRule="exact"/>
              <w:jc w:val="center"/>
              <w:rPr>
                <w:rFonts w:eastAsia="新宋体"/>
                <w:b/>
                <w:color w:val="000000"/>
                <w:sz w:val="22"/>
                <w:szCs w:val="22"/>
              </w:rPr>
            </w:pPr>
          </w:p>
        </w:tc>
        <w:tc>
          <w:tcPr>
            <w:tcW w:w="1470" w:type="dxa"/>
            <w:vAlign w:val="center"/>
          </w:tcPr>
          <w:p>
            <w:pPr>
              <w:spacing w:line="380" w:lineRule="exact"/>
              <w:jc w:val="center"/>
              <w:rPr>
                <w:rFonts w:eastAsia="新宋体"/>
                <w:b/>
                <w:color w:val="000000"/>
                <w:sz w:val="22"/>
                <w:szCs w:val="22"/>
              </w:rPr>
            </w:pPr>
          </w:p>
        </w:tc>
        <w:tc>
          <w:tcPr>
            <w:tcW w:w="2205" w:type="dxa"/>
            <w:vAlign w:val="center"/>
          </w:tcPr>
          <w:p>
            <w:pPr>
              <w:spacing w:line="380" w:lineRule="exact"/>
              <w:jc w:val="center"/>
              <w:rPr>
                <w:rFonts w:eastAsia="新宋体"/>
                <w:b/>
                <w:color w:val="000000"/>
                <w:sz w:val="22"/>
                <w:szCs w:val="22"/>
              </w:rPr>
            </w:pPr>
          </w:p>
        </w:tc>
        <w:tc>
          <w:tcPr>
            <w:tcW w:w="2636" w:type="dxa"/>
            <w:vAlign w:val="center"/>
          </w:tcPr>
          <w:p>
            <w:pPr>
              <w:spacing w:line="380" w:lineRule="exact"/>
              <w:jc w:val="center"/>
              <w:rPr>
                <w:rFonts w:eastAsia="新宋体"/>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380" w:lineRule="exact"/>
              <w:jc w:val="center"/>
              <w:rPr>
                <w:rFonts w:eastAsia="新宋体"/>
                <w:b/>
                <w:color w:val="000000"/>
                <w:sz w:val="22"/>
                <w:szCs w:val="22"/>
              </w:rPr>
            </w:pPr>
          </w:p>
        </w:tc>
        <w:tc>
          <w:tcPr>
            <w:tcW w:w="2328" w:type="dxa"/>
            <w:vAlign w:val="center"/>
          </w:tcPr>
          <w:p>
            <w:pPr>
              <w:spacing w:line="380" w:lineRule="exact"/>
              <w:jc w:val="center"/>
              <w:rPr>
                <w:rFonts w:eastAsia="新宋体"/>
                <w:b/>
                <w:color w:val="000000"/>
                <w:sz w:val="22"/>
                <w:szCs w:val="22"/>
              </w:rPr>
            </w:pPr>
          </w:p>
        </w:tc>
        <w:tc>
          <w:tcPr>
            <w:tcW w:w="1470" w:type="dxa"/>
            <w:vAlign w:val="center"/>
          </w:tcPr>
          <w:p>
            <w:pPr>
              <w:spacing w:line="380" w:lineRule="exact"/>
              <w:jc w:val="center"/>
              <w:rPr>
                <w:rFonts w:eastAsia="新宋体"/>
                <w:b/>
                <w:color w:val="000000"/>
                <w:sz w:val="22"/>
                <w:szCs w:val="22"/>
              </w:rPr>
            </w:pPr>
          </w:p>
        </w:tc>
        <w:tc>
          <w:tcPr>
            <w:tcW w:w="2205" w:type="dxa"/>
            <w:vAlign w:val="center"/>
          </w:tcPr>
          <w:p>
            <w:pPr>
              <w:spacing w:line="380" w:lineRule="exact"/>
              <w:jc w:val="center"/>
              <w:rPr>
                <w:rFonts w:eastAsia="新宋体"/>
                <w:b/>
                <w:color w:val="000000"/>
                <w:sz w:val="22"/>
                <w:szCs w:val="22"/>
              </w:rPr>
            </w:pPr>
          </w:p>
        </w:tc>
        <w:tc>
          <w:tcPr>
            <w:tcW w:w="2636" w:type="dxa"/>
            <w:vAlign w:val="center"/>
          </w:tcPr>
          <w:p>
            <w:pPr>
              <w:spacing w:line="380" w:lineRule="exact"/>
              <w:jc w:val="center"/>
              <w:rPr>
                <w:rFonts w:eastAsia="新宋体"/>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380" w:lineRule="exact"/>
              <w:jc w:val="center"/>
              <w:rPr>
                <w:rFonts w:eastAsia="新宋体"/>
                <w:b/>
                <w:color w:val="000000"/>
                <w:sz w:val="22"/>
                <w:szCs w:val="22"/>
              </w:rPr>
            </w:pPr>
          </w:p>
        </w:tc>
        <w:tc>
          <w:tcPr>
            <w:tcW w:w="2328" w:type="dxa"/>
            <w:vAlign w:val="center"/>
          </w:tcPr>
          <w:p>
            <w:pPr>
              <w:spacing w:line="380" w:lineRule="exact"/>
              <w:jc w:val="center"/>
              <w:rPr>
                <w:rFonts w:eastAsia="新宋体"/>
                <w:b/>
                <w:color w:val="000000"/>
                <w:sz w:val="22"/>
                <w:szCs w:val="22"/>
              </w:rPr>
            </w:pPr>
          </w:p>
        </w:tc>
        <w:tc>
          <w:tcPr>
            <w:tcW w:w="1470" w:type="dxa"/>
            <w:vAlign w:val="center"/>
          </w:tcPr>
          <w:p>
            <w:pPr>
              <w:spacing w:line="380" w:lineRule="exact"/>
              <w:jc w:val="center"/>
              <w:rPr>
                <w:rFonts w:eastAsia="新宋体"/>
                <w:b/>
                <w:color w:val="000000"/>
                <w:sz w:val="22"/>
                <w:szCs w:val="22"/>
              </w:rPr>
            </w:pPr>
          </w:p>
        </w:tc>
        <w:tc>
          <w:tcPr>
            <w:tcW w:w="2205" w:type="dxa"/>
            <w:vAlign w:val="center"/>
          </w:tcPr>
          <w:p>
            <w:pPr>
              <w:spacing w:line="380" w:lineRule="exact"/>
              <w:jc w:val="center"/>
              <w:rPr>
                <w:rFonts w:eastAsia="新宋体"/>
                <w:b/>
                <w:color w:val="000000"/>
                <w:sz w:val="22"/>
                <w:szCs w:val="22"/>
              </w:rPr>
            </w:pPr>
          </w:p>
        </w:tc>
        <w:tc>
          <w:tcPr>
            <w:tcW w:w="2636" w:type="dxa"/>
            <w:vAlign w:val="center"/>
          </w:tcPr>
          <w:p>
            <w:pPr>
              <w:spacing w:line="380" w:lineRule="exact"/>
              <w:jc w:val="center"/>
              <w:rPr>
                <w:rFonts w:eastAsia="新宋体"/>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380" w:lineRule="exact"/>
              <w:jc w:val="center"/>
              <w:rPr>
                <w:rFonts w:eastAsia="新宋体"/>
                <w:b/>
                <w:color w:val="000000"/>
                <w:sz w:val="22"/>
                <w:szCs w:val="22"/>
              </w:rPr>
            </w:pPr>
          </w:p>
        </w:tc>
        <w:tc>
          <w:tcPr>
            <w:tcW w:w="2328" w:type="dxa"/>
            <w:vAlign w:val="center"/>
          </w:tcPr>
          <w:p>
            <w:pPr>
              <w:spacing w:line="380" w:lineRule="exact"/>
              <w:jc w:val="center"/>
              <w:rPr>
                <w:rFonts w:eastAsia="新宋体"/>
                <w:b/>
                <w:color w:val="000000"/>
                <w:sz w:val="22"/>
                <w:szCs w:val="22"/>
              </w:rPr>
            </w:pPr>
          </w:p>
        </w:tc>
        <w:tc>
          <w:tcPr>
            <w:tcW w:w="1470" w:type="dxa"/>
            <w:vAlign w:val="center"/>
          </w:tcPr>
          <w:p>
            <w:pPr>
              <w:spacing w:line="380" w:lineRule="exact"/>
              <w:jc w:val="center"/>
              <w:rPr>
                <w:rFonts w:eastAsia="新宋体"/>
                <w:b/>
                <w:color w:val="000000"/>
                <w:sz w:val="22"/>
                <w:szCs w:val="22"/>
              </w:rPr>
            </w:pPr>
          </w:p>
        </w:tc>
        <w:tc>
          <w:tcPr>
            <w:tcW w:w="2205" w:type="dxa"/>
            <w:vAlign w:val="center"/>
          </w:tcPr>
          <w:p>
            <w:pPr>
              <w:spacing w:line="380" w:lineRule="exact"/>
              <w:jc w:val="center"/>
              <w:rPr>
                <w:rFonts w:eastAsia="新宋体"/>
                <w:b/>
                <w:color w:val="000000"/>
                <w:sz w:val="22"/>
                <w:szCs w:val="22"/>
              </w:rPr>
            </w:pPr>
          </w:p>
        </w:tc>
        <w:tc>
          <w:tcPr>
            <w:tcW w:w="2636" w:type="dxa"/>
            <w:vAlign w:val="center"/>
          </w:tcPr>
          <w:p>
            <w:pPr>
              <w:spacing w:line="380" w:lineRule="exact"/>
              <w:jc w:val="center"/>
              <w:rPr>
                <w:rFonts w:eastAsia="新宋体"/>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vAlign w:val="center"/>
          </w:tcPr>
          <w:p>
            <w:pPr>
              <w:spacing w:line="380" w:lineRule="exact"/>
              <w:jc w:val="center"/>
              <w:rPr>
                <w:rFonts w:eastAsia="新宋体"/>
                <w:b/>
                <w:color w:val="000000"/>
                <w:sz w:val="22"/>
                <w:szCs w:val="22"/>
              </w:rPr>
            </w:pPr>
          </w:p>
        </w:tc>
        <w:tc>
          <w:tcPr>
            <w:tcW w:w="2328" w:type="dxa"/>
            <w:vAlign w:val="center"/>
          </w:tcPr>
          <w:p>
            <w:pPr>
              <w:spacing w:line="380" w:lineRule="exact"/>
              <w:jc w:val="center"/>
              <w:rPr>
                <w:rFonts w:eastAsia="新宋体"/>
                <w:b/>
                <w:color w:val="000000"/>
                <w:sz w:val="22"/>
                <w:szCs w:val="22"/>
              </w:rPr>
            </w:pPr>
          </w:p>
        </w:tc>
        <w:tc>
          <w:tcPr>
            <w:tcW w:w="1470" w:type="dxa"/>
            <w:vAlign w:val="center"/>
          </w:tcPr>
          <w:p>
            <w:pPr>
              <w:spacing w:line="380" w:lineRule="exact"/>
              <w:jc w:val="center"/>
              <w:rPr>
                <w:rFonts w:eastAsia="新宋体"/>
                <w:b/>
                <w:color w:val="000000"/>
                <w:sz w:val="22"/>
                <w:szCs w:val="22"/>
              </w:rPr>
            </w:pPr>
          </w:p>
        </w:tc>
        <w:tc>
          <w:tcPr>
            <w:tcW w:w="2205" w:type="dxa"/>
            <w:vAlign w:val="center"/>
          </w:tcPr>
          <w:p>
            <w:pPr>
              <w:spacing w:line="380" w:lineRule="exact"/>
              <w:jc w:val="center"/>
              <w:rPr>
                <w:rFonts w:eastAsia="新宋体"/>
                <w:b/>
                <w:color w:val="000000"/>
                <w:sz w:val="22"/>
                <w:szCs w:val="22"/>
              </w:rPr>
            </w:pPr>
          </w:p>
        </w:tc>
        <w:tc>
          <w:tcPr>
            <w:tcW w:w="2636" w:type="dxa"/>
            <w:vAlign w:val="center"/>
          </w:tcPr>
          <w:p>
            <w:pPr>
              <w:spacing w:line="380" w:lineRule="exact"/>
              <w:jc w:val="center"/>
              <w:rPr>
                <w:rFonts w:eastAsia="新宋体"/>
                <w:b/>
                <w:color w:val="000000"/>
                <w:sz w:val="22"/>
                <w:szCs w:val="22"/>
              </w:rPr>
            </w:pPr>
          </w:p>
        </w:tc>
      </w:tr>
    </w:tbl>
    <w:p>
      <w:pPr>
        <w:spacing w:line="380" w:lineRule="exact"/>
        <w:jc w:val="left"/>
        <w:rPr>
          <w:rFonts w:ascii="楷体_GB2312" w:eastAsia="楷体_GB2312" w:cs="楷体_GB2312"/>
          <w:bCs/>
          <w:color w:val="000000"/>
          <w:szCs w:val="21"/>
        </w:rPr>
      </w:pPr>
      <w:r>
        <w:rPr>
          <w:rFonts w:hint="eastAsia" w:ascii="楷体_GB2312" w:eastAsia="楷体_GB2312" w:cs="楷体_GB2312"/>
          <w:bCs/>
          <w:color w:val="000000"/>
          <w:szCs w:val="21"/>
        </w:rPr>
        <w:t>附注：投标供应商可按以上表格形式进行复制。</w:t>
      </w:r>
    </w:p>
    <w:p>
      <w:pPr>
        <w:spacing w:line="240" w:lineRule="exact"/>
        <w:ind w:firstLine="5280" w:firstLineChars="2400"/>
        <w:rPr>
          <w:rFonts w:eastAsia="新宋体"/>
          <w:color w:val="000000"/>
          <w:sz w:val="22"/>
          <w:szCs w:val="22"/>
        </w:rPr>
      </w:pPr>
    </w:p>
    <w:p>
      <w:pPr>
        <w:spacing w:line="360" w:lineRule="auto"/>
        <w:ind w:firstLine="3630" w:firstLineChars="1650"/>
        <w:rPr>
          <w:rFonts w:eastAsia="新宋体"/>
          <w:color w:val="000000"/>
          <w:sz w:val="22"/>
          <w:szCs w:val="22"/>
        </w:rPr>
      </w:pPr>
    </w:p>
    <w:p>
      <w:pPr>
        <w:spacing w:line="360" w:lineRule="auto"/>
        <w:rPr>
          <w:rFonts w:eastAsia="新宋体"/>
          <w:color w:val="000000"/>
          <w:sz w:val="22"/>
          <w:szCs w:val="22"/>
        </w:rPr>
      </w:pPr>
      <w:r>
        <w:rPr>
          <w:rFonts w:hint="eastAsia" w:eastAsia="新宋体"/>
          <w:color w:val="000000"/>
          <w:sz w:val="22"/>
          <w:szCs w:val="22"/>
        </w:rPr>
        <w:t>投标供应商全称（公章）：</w:t>
      </w:r>
    </w:p>
    <w:p>
      <w:pPr>
        <w:spacing w:line="360" w:lineRule="auto"/>
        <w:rPr>
          <w:rFonts w:eastAsia="新宋体"/>
          <w:color w:val="000000"/>
          <w:sz w:val="22"/>
          <w:szCs w:val="22"/>
        </w:rPr>
      </w:pPr>
      <w:r>
        <w:rPr>
          <w:rFonts w:hint="eastAsia" w:eastAsia="新宋体"/>
          <w:color w:val="000000"/>
          <w:sz w:val="22"/>
          <w:szCs w:val="22"/>
        </w:rPr>
        <w:t>法定代表人或授权代表（签字或盖章）：</w:t>
      </w:r>
    </w:p>
    <w:p>
      <w:pPr>
        <w:spacing w:line="360" w:lineRule="auto"/>
        <w:rPr>
          <w:rFonts w:eastAsia="新宋体"/>
          <w:color w:val="000000"/>
          <w:sz w:val="22"/>
          <w:szCs w:val="22"/>
        </w:rPr>
      </w:pPr>
      <w:r>
        <w:rPr>
          <w:rFonts w:hint="eastAsia" w:eastAsia="新宋体"/>
          <w:color w:val="000000"/>
          <w:sz w:val="22"/>
          <w:szCs w:val="22"/>
        </w:rPr>
        <w:t>日</w:t>
      </w:r>
      <w:r>
        <w:rPr>
          <w:rFonts w:eastAsia="新宋体"/>
          <w:color w:val="000000"/>
          <w:sz w:val="22"/>
          <w:szCs w:val="22"/>
        </w:rPr>
        <w:t xml:space="preserve">  </w:t>
      </w:r>
      <w:r>
        <w:rPr>
          <w:rFonts w:hint="eastAsia" w:eastAsia="新宋体"/>
          <w:color w:val="000000"/>
          <w:sz w:val="22"/>
          <w:szCs w:val="22"/>
        </w:rPr>
        <w:t>期：</w:t>
      </w:r>
      <w:r>
        <w:rPr>
          <w:rFonts w:eastAsia="新宋体"/>
          <w:color w:val="000000"/>
          <w:sz w:val="22"/>
          <w:szCs w:val="22"/>
        </w:rPr>
        <w:t xml:space="preserve">  </w:t>
      </w:r>
      <w:r>
        <w:rPr>
          <w:rFonts w:hint="eastAsia" w:eastAsia="新宋体"/>
          <w:color w:val="000000"/>
          <w:sz w:val="22"/>
          <w:szCs w:val="22"/>
        </w:rPr>
        <w:t>年</w:t>
      </w:r>
      <w:r>
        <w:rPr>
          <w:rFonts w:eastAsia="新宋体"/>
          <w:color w:val="000000"/>
          <w:sz w:val="22"/>
          <w:szCs w:val="22"/>
        </w:rPr>
        <w:t xml:space="preserve">  </w:t>
      </w:r>
      <w:r>
        <w:rPr>
          <w:rFonts w:hint="eastAsia" w:eastAsia="新宋体"/>
          <w:color w:val="000000"/>
          <w:sz w:val="22"/>
          <w:szCs w:val="22"/>
        </w:rPr>
        <w:t>月</w:t>
      </w:r>
      <w:r>
        <w:rPr>
          <w:rFonts w:eastAsia="新宋体"/>
          <w:color w:val="000000"/>
          <w:sz w:val="22"/>
          <w:szCs w:val="22"/>
        </w:rPr>
        <w:t xml:space="preserve">  </w:t>
      </w:r>
      <w:r>
        <w:rPr>
          <w:rFonts w:hint="eastAsia" w:eastAsia="新宋体"/>
          <w:color w:val="000000"/>
          <w:sz w:val="22"/>
          <w:szCs w:val="22"/>
        </w:rPr>
        <w:t>日</w:t>
      </w:r>
    </w:p>
    <w:p>
      <w:r>
        <w:rPr>
          <w:rFonts w:hint="eastAsia"/>
        </w:rPr>
        <w:br w:type="page"/>
      </w:r>
    </w:p>
    <w:p>
      <w:r>
        <w:rPr>
          <w:rFonts w:hint="eastAsia"/>
        </w:rPr>
        <w:t>附件七</w:t>
      </w:r>
    </w:p>
    <w:p>
      <w:pPr>
        <w:spacing w:line="560" w:lineRule="exact"/>
        <w:ind w:firstLine="435"/>
        <w:jc w:val="center"/>
        <w:outlineLvl w:val="2"/>
        <w:rPr>
          <w:rFonts w:ascii="新宋体" w:hAnsi="新宋体" w:eastAsia="新宋体"/>
          <w:b/>
          <w:bCs/>
          <w:sz w:val="28"/>
          <w:szCs w:val="28"/>
        </w:rPr>
      </w:pPr>
      <w:r>
        <w:rPr>
          <w:rFonts w:hint="eastAsia" w:ascii="新宋体" w:hAnsi="新宋体" w:eastAsia="新宋体"/>
          <w:b/>
          <w:bCs/>
          <w:sz w:val="28"/>
          <w:szCs w:val="28"/>
        </w:rPr>
        <w:t>续维服务技术方案合理、完整、可行性</w:t>
      </w:r>
    </w:p>
    <w:p>
      <w:pPr>
        <w:spacing w:line="460" w:lineRule="exact"/>
        <w:rPr>
          <w:rFonts w:ascii="新宋体" w:hAnsi="新宋体" w:eastAsia="新宋体" w:cs="新宋体"/>
          <w:sz w:val="22"/>
          <w:szCs w:val="22"/>
        </w:rPr>
      </w:pPr>
      <w:r>
        <w:rPr>
          <w:rFonts w:hint="eastAsia" w:ascii="新宋体" w:hAnsi="新宋体" w:eastAsia="新宋体" w:cs="新宋体"/>
          <w:b/>
          <w:bCs/>
          <w:sz w:val="22"/>
          <w:szCs w:val="22"/>
        </w:rPr>
        <w:t>项目名称：                                                 项目编号：</w:t>
      </w:r>
      <w:r>
        <w:rPr>
          <w:rFonts w:hint="eastAsia" w:ascii="新宋体" w:hAnsi="新宋体" w:eastAsia="新宋体" w:cs="新宋体"/>
          <w:sz w:val="22"/>
          <w:szCs w:val="22"/>
        </w:rPr>
        <w:t xml:space="preserve"> </w:t>
      </w:r>
    </w:p>
    <w:tbl>
      <w:tblPr>
        <w:tblStyle w:val="69"/>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7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33" w:hRule="atLeast"/>
          <w:jc w:val="center"/>
        </w:trPr>
        <w:tc>
          <w:tcPr>
            <w:tcW w:w="9576" w:type="dxa"/>
            <w:vAlign w:val="center"/>
          </w:tcPr>
          <w:p>
            <w:pPr>
              <w:spacing w:line="460" w:lineRule="exact"/>
              <w:jc w:val="center"/>
              <w:rPr>
                <w:rFonts w:ascii="新宋体" w:hAnsi="新宋体" w:eastAsia="新宋体" w:cs="新宋体"/>
                <w:b/>
                <w:bCs/>
                <w:sz w:val="22"/>
                <w:szCs w:val="22"/>
              </w:rPr>
            </w:pPr>
          </w:p>
        </w:tc>
      </w:tr>
    </w:tbl>
    <w:p>
      <w:pPr>
        <w:pStyle w:val="714"/>
        <w:widowControl w:val="0"/>
        <w:pBdr>
          <w:left w:val="none" w:color="auto" w:sz="0" w:space="0"/>
          <w:bottom w:val="none" w:color="auto" w:sz="0" w:space="0"/>
          <w:right w:val="none" w:color="auto" w:sz="0" w:space="0"/>
        </w:pBdr>
        <w:spacing w:before="0" w:beforeAutospacing="0" w:after="0" w:afterAutospacing="0" w:line="460" w:lineRule="exact"/>
        <w:textAlignment w:val="auto"/>
        <w:rPr>
          <w:rFonts w:ascii="新宋体" w:hAnsi="新宋体" w:eastAsia="新宋体" w:cs="新宋体"/>
          <w:kern w:val="2"/>
          <w:sz w:val="22"/>
        </w:rPr>
      </w:pPr>
    </w:p>
    <w:p>
      <w:pPr>
        <w:spacing w:line="460" w:lineRule="exact"/>
        <w:ind w:firstLine="4400" w:firstLineChars="2000"/>
        <w:rPr>
          <w:rFonts w:ascii="新宋体" w:hAnsi="新宋体" w:eastAsia="新宋体"/>
          <w:sz w:val="22"/>
          <w:szCs w:val="22"/>
        </w:rPr>
      </w:pPr>
      <w:r>
        <w:rPr>
          <w:rFonts w:hint="eastAsia" w:ascii="新宋体" w:hAnsi="新宋体" w:eastAsia="新宋体"/>
          <w:sz w:val="22"/>
          <w:szCs w:val="22"/>
        </w:rPr>
        <w:t>投标人全称（盖章）：</w:t>
      </w:r>
    </w:p>
    <w:p>
      <w:pPr>
        <w:spacing w:line="460" w:lineRule="exact"/>
        <w:ind w:firstLine="4400" w:firstLineChars="2000"/>
        <w:rPr>
          <w:rFonts w:ascii="新宋体" w:hAnsi="新宋体" w:eastAsia="新宋体"/>
          <w:sz w:val="22"/>
          <w:szCs w:val="22"/>
        </w:rPr>
      </w:pPr>
      <w:r>
        <w:rPr>
          <w:rFonts w:hint="eastAsia" w:ascii="新宋体" w:hAnsi="新宋体" w:eastAsia="新宋体"/>
          <w:sz w:val="22"/>
          <w:szCs w:val="22"/>
        </w:rPr>
        <w:t>投标人代表（签字）：</w:t>
      </w:r>
    </w:p>
    <w:p>
      <w:pPr>
        <w:spacing w:line="460" w:lineRule="exact"/>
        <w:ind w:firstLine="4400" w:firstLineChars="2000"/>
        <w:rPr>
          <w:rFonts w:ascii="新宋体" w:hAnsi="新宋体" w:eastAsia="新宋体"/>
          <w:sz w:val="22"/>
          <w:szCs w:val="22"/>
        </w:rPr>
      </w:pPr>
      <w:r>
        <w:rPr>
          <w:rFonts w:hint="eastAsia" w:ascii="新宋体" w:hAnsi="新宋体" w:eastAsia="新宋体"/>
          <w:sz w:val="22"/>
          <w:szCs w:val="22"/>
        </w:rPr>
        <w:t>日期：    年   月   日</w:t>
      </w:r>
    </w:p>
    <w:p>
      <w:pPr>
        <w:spacing w:line="460" w:lineRule="exact"/>
        <w:ind w:firstLine="541" w:firstLineChars="245"/>
        <w:rPr>
          <w:rFonts w:ascii="宋体" w:hAnsi="宋体" w:cs="宋体"/>
          <w:b/>
          <w:bCs/>
          <w:sz w:val="22"/>
          <w:szCs w:val="22"/>
        </w:rPr>
      </w:pPr>
    </w:p>
    <w:p>
      <w:pPr>
        <w:rPr>
          <w:rFonts w:hint="eastAsia"/>
        </w:rPr>
      </w:pPr>
      <w:r>
        <w:rPr>
          <w:rFonts w:hint="eastAsia"/>
        </w:rPr>
        <w:br w:type="page"/>
      </w:r>
    </w:p>
    <w:p>
      <w:pPr>
        <w:rPr>
          <w:rFonts w:hint="eastAsia" w:eastAsia="宋体"/>
          <w:lang w:eastAsia="zh-CN"/>
        </w:rPr>
      </w:pPr>
      <w:r>
        <w:rPr>
          <w:rFonts w:hint="eastAsia"/>
        </w:rPr>
        <w:t>附件</w:t>
      </w:r>
      <w:r>
        <w:rPr>
          <w:rFonts w:hint="eastAsia"/>
          <w:lang w:eastAsia="zh-CN"/>
        </w:rPr>
        <w:t>八</w:t>
      </w:r>
    </w:p>
    <w:p>
      <w:pPr>
        <w:spacing w:line="560" w:lineRule="exact"/>
        <w:ind w:firstLine="435"/>
        <w:jc w:val="center"/>
        <w:outlineLvl w:val="2"/>
        <w:rPr>
          <w:rFonts w:ascii="新宋体" w:hAnsi="新宋体" w:eastAsia="新宋体"/>
          <w:b/>
          <w:bCs/>
          <w:sz w:val="28"/>
          <w:szCs w:val="28"/>
        </w:rPr>
      </w:pPr>
      <w:r>
        <w:rPr>
          <w:rFonts w:hint="eastAsia" w:ascii="新宋体" w:hAnsi="新宋体" w:eastAsia="新宋体"/>
          <w:b/>
          <w:bCs/>
          <w:sz w:val="28"/>
          <w:szCs w:val="28"/>
        </w:rPr>
        <w:t>施工组织计划</w:t>
      </w:r>
    </w:p>
    <w:p>
      <w:pPr>
        <w:spacing w:line="460" w:lineRule="exact"/>
        <w:rPr>
          <w:rFonts w:ascii="新宋体" w:hAnsi="新宋体" w:eastAsia="新宋体" w:cs="新宋体"/>
          <w:sz w:val="22"/>
          <w:szCs w:val="22"/>
        </w:rPr>
      </w:pPr>
      <w:r>
        <w:rPr>
          <w:rFonts w:hint="eastAsia" w:ascii="新宋体" w:hAnsi="新宋体" w:eastAsia="新宋体" w:cs="新宋体"/>
          <w:b/>
          <w:bCs/>
          <w:sz w:val="22"/>
          <w:szCs w:val="22"/>
        </w:rPr>
        <w:t>项目名称：                                                 项目编号：</w:t>
      </w:r>
      <w:r>
        <w:rPr>
          <w:rFonts w:hint="eastAsia" w:ascii="新宋体" w:hAnsi="新宋体" w:eastAsia="新宋体" w:cs="新宋体"/>
          <w:sz w:val="22"/>
          <w:szCs w:val="22"/>
        </w:rPr>
        <w:t xml:space="preserve"> </w:t>
      </w:r>
    </w:p>
    <w:tbl>
      <w:tblPr>
        <w:tblStyle w:val="69"/>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7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33" w:hRule="atLeast"/>
          <w:jc w:val="center"/>
        </w:trPr>
        <w:tc>
          <w:tcPr>
            <w:tcW w:w="9576" w:type="dxa"/>
            <w:vAlign w:val="center"/>
          </w:tcPr>
          <w:p>
            <w:pPr>
              <w:spacing w:line="460" w:lineRule="exact"/>
              <w:jc w:val="center"/>
              <w:rPr>
                <w:rFonts w:ascii="新宋体" w:hAnsi="新宋体" w:eastAsia="新宋体" w:cs="新宋体"/>
                <w:b/>
                <w:bCs/>
                <w:sz w:val="22"/>
                <w:szCs w:val="22"/>
              </w:rPr>
            </w:pPr>
          </w:p>
        </w:tc>
      </w:tr>
    </w:tbl>
    <w:p>
      <w:pPr>
        <w:pStyle w:val="714"/>
        <w:widowControl w:val="0"/>
        <w:pBdr>
          <w:left w:val="none" w:color="auto" w:sz="0" w:space="0"/>
          <w:bottom w:val="none" w:color="auto" w:sz="0" w:space="0"/>
          <w:right w:val="none" w:color="auto" w:sz="0" w:space="0"/>
        </w:pBdr>
        <w:spacing w:before="0" w:beforeAutospacing="0" w:after="0" w:afterAutospacing="0" w:line="460" w:lineRule="exact"/>
        <w:textAlignment w:val="auto"/>
        <w:rPr>
          <w:rFonts w:ascii="新宋体" w:hAnsi="新宋体" w:eastAsia="新宋体" w:cs="新宋体"/>
          <w:kern w:val="2"/>
          <w:sz w:val="22"/>
        </w:rPr>
      </w:pPr>
    </w:p>
    <w:p>
      <w:pPr>
        <w:spacing w:line="460" w:lineRule="exact"/>
        <w:ind w:firstLine="4400" w:firstLineChars="2000"/>
        <w:rPr>
          <w:rFonts w:ascii="新宋体" w:hAnsi="新宋体" w:eastAsia="新宋体"/>
          <w:sz w:val="22"/>
          <w:szCs w:val="22"/>
        </w:rPr>
      </w:pPr>
      <w:r>
        <w:rPr>
          <w:rFonts w:hint="eastAsia" w:ascii="新宋体" w:hAnsi="新宋体" w:eastAsia="新宋体"/>
          <w:sz w:val="22"/>
          <w:szCs w:val="22"/>
        </w:rPr>
        <w:t>投标人全称（盖章）：</w:t>
      </w:r>
    </w:p>
    <w:p>
      <w:pPr>
        <w:spacing w:line="460" w:lineRule="exact"/>
        <w:ind w:firstLine="4400" w:firstLineChars="2000"/>
        <w:rPr>
          <w:rFonts w:ascii="新宋体" w:hAnsi="新宋体" w:eastAsia="新宋体"/>
          <w:sz w:val="22"/>
          <w:szCs w:val="22"/>
        </w:rPr>
      </w:pPr>
      <w:r>
        <w:rPr>
          <w:rFonts w:hint="eastAsia" w:ascii="新宋体" w:hAnsi="新宋体" w:eastAsia="新宋体"/>
          <w:sz w:val="22"/>
          <w:szCs w:val="22"/>
        </w:rPr>
        <w:t>投标人代表（签字）：</w:t>
      </w:r>
    </w:p>
    <w:p>
      <w:pPr>
        <w:spacing w:line="460" w:lineRule="exact"/>
        <w:ind w:firstLine="4400" w:firstLineChars="2000"/>
        <w:rPr>
          <w:rFonts w:ascii="新宋体" w:hAnsi="新宋体" w:eastAsia="新宋体"/>
          <w:sz w:val="22"/>
          <w:szCs w:val="22"/>
        </w:rPr>
      </w:pPr>
      <w:r>
        <w:rPr>
          <w:rFonts w:hint="eastAsia" w:ascii="新宋体" w:hAnsi="新宋体" w:eastAsia="新宋体"/>
          <w:sz w:val="22"/>
          <w:szCs w:val="22"/>
        </w:rPr>
        <w:t>日期：    年   月   日</w:t>
      </w:r>
    </w:p>
    <w:p>
      <w:pPr>
        <w:rPr>
          <w:rFonts w:hint="eastAsia" w:eastAsia="宋体"/>
          <w:lang w:eastAsia="zh-CN"/>
        </w:rPr>
      </w:pPr>
      <w:r>
        <w:rPr>
          <w:rFonts w:hint="eastAsia"/>
        </w:rPr>
        <w:br w:type="page"/>
      </w:r>
      <w:r>
        <w:rPr>
          <w:rFonts w:hint="eastAsia"/>
        </w:rPr>
        <w:t>附件</w:t>
      </w:r>
      <w:r>
        <w:rPr>
          <w:rFonts w:hint="eastAsia"/>
          <w:lang w:eastAsia="zh-CN"/>
        </w:rPr>
        <w:t>九</w:t>
      </w:r>
    </w:p>
    <w:p>
      <w:pPr>
        <w:spacing w:line="560" w:lineRule="exact"/>
        <w:ind w:firstLine="435"/>
        <w:jc w:val="center"/>
        <w:outlineLvl w:val="2"/>
        <w:rPr>
          <w:rFonts w:hint="eastAsia" w:ascii="新宋体" w:hAnsi="新宋体" w:eastAsia="新宋体"/>
          <w:b/>
          <w:bCs/>
          <w:sz w:val="28"/>
          <w:szCs w:val="28"/>
          <w:lang w:val="zh-CN"/>
        </w:rPr>
      </w:pPr>
      <w:r>
        <w:rPr>
          <w:rFonts w:hint="eastAsia" w:ascii="新宋体" w:hAnsi="新宋体" w:eastAsia="新宋体"/>
          <w:b/>
          <w:bCs/>
          <w:sz w:val="28"/>
          <w:szCs w:val="28"/>
          <w:lang w:val="zh-CN"/>
        </w:rPr>
        <w:t>售后服务支持能力</w:t>
      </w:r>
    </w:p>
    <w:p>
      <w:pPr>
        <w:spacing w:line="460" w:lineRule="exact"/>
        <w:rPr>
          <w:rFonts w:ascii="新宋体" w:hAnsi="新宋体" w:eastAsia="新宋体" w:cs="新宋体"/>
          <w:sz w:val="22"/>
          <w:szCs w:val="22"/>
        </w:rPr>
      </w:pPr>
      <w:r>
        <w:rPr>
          <w:rFonts w:hint="eastAsia" w:ascii="新宋体" w:hAnsi="新宋体" w:eastAsia="新宋体" w:cs="新宋体"/>
          <w:b/>
          <w:bCs/>
          <w:sz w:val="22"/>
          <w:szCs w:val="22"/>
        </w:rPr>
        <w:t>项目名称：                                                 项目编号：</w:t>
      </w:r>
      <w:r>
        <w:rPr>
          <w:rFonts w:hint="eastAsia" w:ascii="新宋体" w:hAnsi="新宋体" w:eastAsia="新宋体" w:cs="新宋体"/>
          <w:sz w:val="22"/>
          <w:szCs w:val="22"/>
        </w:rPr>
        <w:t xml:space="preserve"> </w:t>
      </w:r>
    </w:p>
    <w:tbl>
      <w:tblPr>
        <w:tblStyle w:val="69"/>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7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33" w:hRule="atLeast"/>
          <w:jc w:val="center"/>
        </w:trPr>
        <w:tc>
          <w:tcPr>
            <w:tcW w:w="9576" w:type="dxa"/>
            <w:vAlign w:val="center"/>
          </w:tcPr>
          <w:p>
            <w:pPr>
              <w:spacing w:line="460" w:lineRule="exact"/>
              <w:jc w:val="center"/>
              <w:rPr>
                <w:rFonts w:ascii="新宋体" w:hAnsi="新宋体" w:eastAsia="新宋体" w:cs="新宋体"/>
                <w:b/>
                <w:bCs/>
                <w:sz w:val="22"/>
                <w:szCs w:val="22"/>
              </w:rPr>
            </w:pPr>
          </w:p>
        </w:tc>
      </w:tr>
    </w:tbl>
    <w:p>
      <w:pPr>
        <w:pStyle w:val="714"/>
        <w:widowControl w:val="0"/>
        <w:pBdr>
          <w:left w:val="none" w:color="auto" w:sz="0" w:space="0"/>
          <w:bottom w:val="none" w:color="auto" w:sz="0" w:space="0"/>
          <w:right w:val="none" w:color="auto" w:sz="0" w:space="0"/>
        </w:pBdr>
        <w:spacing w:before="0" w:beforeAutospacing="0" w:after="0" w:afterAutospacing="0" w:line="460" w:lineRule="exact"/>
        <w:textAlignment w:val="auto"/>
        <w:rPr>
          <w:rFonts w:ascii="新宋体" w:hAnsi="新宋体" w:eastAsia="新宋体" w:cs="新宋体"/>
          <w:kern w:val="2"/>
          <w:sz w:val="22"/>
        </w:rPr>
      </w:pPr>
    </w:p>
    <w:p>
      <w:pPr>
        <w:spacing w:line="460" w:lineRule="exact"/>
        <w:ind w:firstLine="4400" w:firstLineChars="2000"/>
        <w:rPr>
          <w:rFonts w:ascii="新宋体" w:hAnsi="新宋体" w:eastAsia="新宋体"/>
          <w:sz w:val="22"/>
          <w:szCs w:val="22"/>
        </w:rPr>
      </w:pPr>
      <w:r>
        <w:rPr>
          <w:rFonts w:hint="eastAsia" w:ascii="新宋体" w:hAnsi="新宋体" w:eastAsia="新宋体"/>
          <w:sz w:val="22"/>
          <w:szCs w:val="22"/>
        </w:rPr>
        <w:t>投标人全称（盖章）：</w:t>
      </w:r>
    </w:p>
    <w:p>
      <w:pPr>
        <w:spacing w:line="460" w:lineRule="exact"/>
        <w:ind w:firstLine="4400" w:firstLineChars="2000"/>
        <w:rPr>
          <w:rFonts w:ascii="新宋体" w:hAnsi="新宋体" w:eastAsia="新宋体"/>
          <w:sz w:val="22"/>
          <w:szCs w:val="22"/>
        </w:rPr>
      </w:pPr>
      <w:r>
        <w:rPr>
          <w:rFonts w:hint="eastAsia" w:ascii="新宋体" w:hAnsi="新宋体" w:eastAsia="新宋体"/>
          <w:sz w:val="22"/>
          <w:szCs w:val="22"/>
        </w:rPr>
        <w:t>投标人代表（签字）：</w:t>
      </w:r>
    </w:p>
    <w:p>
      <w:pPr>
        <w:spacing w:line="460" w:lineRule="exact"/>
        <w:ind w:firstLine="4400" w:firstLineChars="2000"/>
        <w:rPr>
          <w:rFonts w:ascii="新宋体" w:hAnsi="新宋体" w:eastAsia="新宋体"/>
          <w:sz w:val="22"/>
          <w:szCs w:val="22"/>
        </w:rPr>
      </w:pPr>
      <w:r>
        <w:rPr>
          <w:rFonts w:hint="eastAsia" w:ascii="新宋体" w:hAnsi="新宋体" w:eastAsia="新宋体"/>
          <w:sz w:val="22"/>
          <w:szCs w:val="22"/>
        </w:rPr>
        <w:t>日期：    年   月   日</w:t>
      </w:r>
    </w:p>
    <w:p>
      <w:pPr>
        <w:spacing w:line="460" w:lineRule="exact"/>
        <w:ind w:firstLine="541" w:firstLineChars="245"/>
        <w:rPr>
          <w:rFonts w:ascii="宋体" w:hAnsi="宋体" w:cs="宋体"/>
          <w:b/>
          <w:bCs/>
          <w:sz w:val="22"/>
          <w:szCs w:val="22"/>
        </w:rPr>
      </w:pPr>
    </w:p>
    <w:p>
      <w:pPr>
        <w:rPr>
          <w:rFonts w:hint="eastAsia" w:eastAsia="宋体"/>
          <w:lang w:eastAsia="zh-CN"/>
        </w:rPr>
      </w:pPr>
      <w:r>
        <w:br w:type="page"/>
      </w:r>
      <w:r>
        <w:rPr>
          <w:rFonts w:hint="eastAsia"/>
        </w:rPr>
        <w:t>附件</w:t>
      </w:r>
      <w:r>
        <w:rPr>
          <w:rFonts w:hint="eastAsia"/>
          <w:lang w:eastAsia="zh-CN"/>
        </w:rPr>
        <w:t>十</w:t>
      </w:r>
    </w:p>
    <w:p>
      <w:pPr>
        <w:spacing w:beforeLines="100" w:afterLines="50"/>
        <w:jc w:val="center"/>
        <w:rPr>
          <w:rFonts w:ascii="黑体" w:eastAsia="黑体" w:cs="黑体"/>
          <w:b/>
          <w:color w:val="000000"/>
          <w:sz w:val="36"/>
          <w:szCs w:val="36"/>
        </w:rPr>
      </w:pPr>
      <w:r>
        <w:rPr>
          <w:rFonts w:hint="eastAsia" w:ascii="黑体" w:eastAsia="黑体" w:cs="黑体"/>
          <w:b/>
          <w:color w:val="000000"/>
          <w:sz w:val="36"/>
          <w:szCs w:val="36"/>
        </w:rPr>
        <w:t>项目服务人员汇总表</w:t>
      </w:r>
    </w:p>
    <w:p>
      <w:pPr>
        <w:spacing w:line="360" w:lineRule="auto"/>
        <w:rPr>
          <w:bCs/>
          <w:color w:val="000000"/>
        </w:rPr>
      </w:pPr>
      <w:r>
        <w:rPr>
          <w:rFonts w:hint="eastAsia" w:cs="宋体"/>
          <w:color w:val="000000"/>
        </w:rPr>
        <w:t>招标编号：</w:t>
      </w:r>
    </w:p>
    <w:tbl>
      <w:tblPr>
        <w:tblStyle w:val="6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520"/>
        <w:gridCol w:w="720"/>
        <w:gridCol w:w="720"/>
        <w:gridCol w:w="720"/>
        <w:gridCol w:w="1080"/>
        <w:gridCol w:w="1458"/>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28" w:type="dxa"/>
            <w:vAlign w:val="center"/>
          </w:tcPr>
          <w:p>
            <w:pPr>
              <w:jc w:val="center"/>
              <w:rPr>
                <w:b/>
                <w:color w:val="000000"/>
              </w:rPr>
            </w:pPr>
            <w:r>
              <w:rPr>
                <w:rFonts w:hint="eastAsia" w:cs="宋体"/>
                <w:b/>
                <w:color w:val="000000"/>
              </w:rPr>
              <w:t>姓名</w:t>
            </w:r>
          </w:p>
        </w:tc>
        <w:tc>
          <w:tcPr>
            <w:tcW w:w="2520" w:type="dxa"/>
            <w:vAlign w:val="center"/>
          </w:tcPr>
          <w:p>
            <w:pPr>
              <w:jc w:val="center"/>
              <w:rPr>
                <w:b/>
                <w:color w:val="000000"/>
              </w:rPr>
            </w:pPr>
            <w:r>
              <w:rPr>
                <w:rFonts w:hint="eastAsia" w:cs="宋体"/>
                <w:b/>
                <w:color w:val="000000"/>
              </w:rPr>
              <w:t>本项目主要工作</w:t>
            </w:r>
          </w:p>
        </w:tc>
        <w:tc>
          <w:tcPr>
            <w:tcW w:w="720" w:type="dxa"/>
            <w:vAlign w:val="center"/>
          </w:tcPr>
          <w:p>
            <w:pPr>
              <w:jc w:val="center"/>
              <w:rPr>
                <w:b/>
                <w:color w:val="000000"/>
              </w:rPr>
            </w:pPr>
            <w:r>
              <w:rPr>
                <w:rFonts w:hint="eastAsia" w:cs="宋体"/>
                <w:b/>
                <w:color w:val="000000"/>
              </w:rPr>
              <w:t>年龄</w:t>
            </w:r>
          </w:p>
        </w:tc>
        <w:tc>
          <w:tcPr>
            <w:tcW w:w="720" w:type="dxa"/>
            <w:vAlign w:val="center"/>
          </w:tcPr>
          <w:p>
            <w:pPr>
              <w:jc w:val="center"/>
              <w:rPr>
                <w:b/>
                <w:color w:val="000000"/>
              </w:rPr>
            </w:pPr>
            <w:r>
              <w:rPr>
                <w:rFonts w:hint="eastAsia" w:cs="宋体"/>
                <w:b/>
                <w:color w:val="000000"/>
              </w:rPr>
              <w:t>性别</w:t>
            </w:r>
          </w:p>
        </w:tc>
        <w:tc>
          <w:tcPr>
            <w:tcW w:w="720" w:type="dxa"/>
            <w:vAlign w:val="center"/>
          </w:tcPr>
          <w:p>
            <w:pPr>
              <w:jc w:val="center"/>
              <w:rPr>
                <w:b/>
                <w:color w:val="000000"/>
              </w:rPr>
            </w:pPr>
            <w:r>
              <w:rPr>
                <w:rFonts w:hint="eastAsia" w:cs="宋体"/>
                <w:b/>
                <w:color w:val="000000"/>
              </w:rPr>
              <w:t>专业</w:t>
            </w:r>
          </w:p>
        </w:tc>
        <w:tc>
          <w:tcPr>
            <w:tcW w:w="1080" w:type="dxa"/>
            <w:vAlign w:val="center"/>
          </w:tcPr>
          <w:p>
            <w:pPr>
              <w:jc w:val="center"/>
              <w:rPr>
                <w:b/>
                <w:color w:val="000000"/>
              </w:rPr>
            </w:pPr>
            <w:r>
              <w:rPr>
                <w:rFonts w:hint="eastAsia" w:cs="宋体"/>
                <w:b/>
                <w:color w:val="000000"/>
              </w:rPr>
              <w:t>专业</w:t>
            </w:r>
          </w:p>
          <w:p>
            <w:pPr>
              <w:jc w:val="center"/>
              <w:rPr>
                <w:b/>
                <w:color w:val="000000"/>
              </w:rPr>
            </w:pPr>
            <w:r>
              <w:rPr>
                <w:rFonts w:hint="eastAsia" w:cs="宋体"/>
                <w:b/>
                <w:color w:val="000000"/>
              </w:rPr>
              <w:t>年限</w:t>
            </w:r>
          </w:p>
        </w:tc>
        <w:tc>
          <w:tcPr>
            <w:tcW w:w="1458" w:type="dxa"/>
            <w:vAlign w:val="center"/>
          </w:tcPr>
          <w:p>
            <w:pPr>
              <w:jc w:val="center"/>
              <w:rPr>
                <w:b/>
                <w:color w:val="000000"/>
              </w:rPr>
            </w:pPr>
            <w:r>
              <w:rPr>
                <w:rFonts w:hint="eastAsia" w:cs="宋体"/>
                <w:b/>
                <w:color w:val="000000"/>
              </w:rPr>
              <w:t>职务</w:t>
            </w:r>
          </w:p>
          <w:p>
            <w:pPr>
              <w:jc w:val="center"/>
              <w:rPr>
                <w:b/>
                <w:color w:val="000000"/>
              </w:rPr>
            </w:pPr>
            <w:r>
              <w:rPr>
                <w:rFonts w:hint="eastAsia" w:cs="宋体"/>
                <w:b/>
                <w:color w:val="000000"/>
              </w:rPr>
              <w:t>和职称</w:t>
            </w:r>
            <w:r>
              <w:rPr>
                <w:b/>
                <w:color w:val="000000"/>
              </w:rPr>
              <w:t>/</w:t>
            </w:r>
            <w:r>
              <w:rPr>
                <w:rFonts w:hint="eastAsia" w:cs="宋体"/>
                <w:b/>
                <w:color w:val="000000"/>
              </w:rPr>
              <w:t>认证</w:t>
            </w:r>
          </w:p>
        </w:tc>
        <w:tc>
          <w:tcPr>
            <w:tcW w:w="1422" w:type="dxa"/>
            <w:vAlign w:val="center"/>
          </w:tcPr>
          <w:p>
            <w:pPr>
              <w:jc w:val="center"/>
              <w:rPr>
                <w:b/>
                <w:color w:val="000000"/>
              </w:rPr>
            </w:pPr>
            <w:r>
              <w:rPr>
                <w:rFonts w:hint="eastAsia" w:cs="宋体"/>
                <w:b/>
                <w:color w:val="000000"/>
              </w:rPr>
              <w:t>到现场服务</w:t>
            </w:r>
          </w:p>
          <w:p>
            <w:pPr>
              <w:jc w:val="center"/>
              <w:rPr>
                <w:b/>
                <w:color w:val="000000"/>
              </w:rPr>
            </w:pPr>
            <w:r>
              <w:rPr>
                <w:rFonts w:hint="eastAsia" w:cs="宋体"/>
                <w:b/>
                <w:color w:val="000000"/>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color w:val="000000"/>
                <w:sz w:val="24"/>
              </w:rPr>
            </w:pPr>
          </w:p>
        </w:tc>
        <w:tc>
          <w:tcPr>
            <w:tcW w:w="25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1080" w:type="dxa"/>
            <w:vAlign w:val="center"/>
          </w:tcPr>
          <w:p>
            <w:pPr>
              <w:spacing w:line="360" w:lineRule="auto"/>
              <w:rPr>
                <w:color w:val="000000"/>
                <w:sz w:val="24"/>
              </w:rPr>
            </w:pPr>
          </w:p>
        </w:tc>
        <w:tc>
          <w:tcPr>
            <w:tcW w:w="1458" w:type="dxa"/>
            <w:vAlign w:val="center"/>
          </w:tcPr>
          <w:p>
            <w:pPr>
              <w:spacing w:line="360" w:lineRule="auto"/>
              <w:ind w:left="5250"/>
              <w:rPr>
                <w:color w:val="000000"/>
                <w:spacing w:val="12"/>
                <w:sz w:val="24"/>
                <w:szCs w:val="20"/>
              </w:rPr>
            </w:pPr>
          </w:p>
        </w:tc>
        <w:tc>
          <w:tcPr>
            <w:tcW w:w="1422" w:type="dxa"/>
            <w:vAlign w:val="center"/>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color w:val="000000"/>
                <w:sz w:val="24"/>
              </w:rPr>
            </w:pPr>
          </w:p>
        </w:tc>
        <w:tc>
          <w:tcPr>
            <w:tcW w:w="25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1080" w:type="dxa"/>
            <w:vAlign w:val="center"/>
          </w:tcPr>
          <w:p>
            <w:pPr>
              <w:spacing w:line="360" w:lineRule="auto"/>
              <w:rPr>
                <w:color w:val="000000"/>
                <w:sz w:val="24"/>
              </w:rPr>
            </w:pPr>
          </w:p>
        </w:tc>
        <w:tc>
          <w:tcPr>
            <w:tcW w:w="1458" w:type="dxa"/>
            <w:vAlign w:val="center"/>
          </w:tcPr>
          <w:p>
            <w:pPr>
              <w:spacing w:line="360" w:lineRule="auto"/>
              <w:rPr>
                <w:color w:val="000000"/>
                <w:sz w:val="24"/>
              </w:rPr>
            </w:pPr>
          </w:p>
        </w:tc>
        <w:tc>
          <w:tcPr>
            <w:tcW w:w="1422" w:type="dxa"/>
            <w:vAlign w:val="center"/>
          </w:tcPr>
          <w:p>
            <w:pPr>
              <w:spacing w:line="360" w:lineRule="auto"/>
              <w:ind w:left="5250"/>
              <w:rPr>
                <w:color w:val="000000"/>
                <w:spacing w:val="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color w:val="000000"/>
                <w:sz w:val="24"/>
              </w:rPr>
            </w:pPr>
          </w:p>
        </w:tc>
        <w:tc>
          <w:tcPr>
            <w:tcW w:w="25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1080" w:type="dxa"/>
            <w:vAlign w:val="center"/>
          </w:tcPr>
          <w:p>
            <w:pPr>
              <w:spacing w:line="360" w:lineRule="auto"/>
              <w:rPr>
                <w:color w:val="000000"/>
                <w:sz w:val="24"/>
              </w:rPr>
            </w:pPr>
          </w:p>
        </w:tc>
        <w:tc>
          <w:tcPr>
            <w:tcW w:w="1458" w:type="dxa"/>
            <w:vAlign w:val="center"/>
          </w:tcPr>
          <w:p>
            <w:pPr>
              <w:spacing w:line="360" w:lineRule="auto"/>
              <w:rPr>
                <w:color w:val="000000"/>
                <w:sz w:val="24"/>
              </w:rPr>
            </w:pPr>
          </w:p>
        </w:tc>
        <w:tc>
          <w:tcPr>
            <w:tcW w:w="1422" w:type="dxa"/>
            <w:vAlign w:val="center"/>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color w:val="000000"/>
                <w:sz w:val="24"/>
              </w:rPr>
            </w:pPr>
          </w:p>
        </w:tc>
        <w:tc>
          <w:tcPr>
            <w:tcW w:w="25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1080" w:type="dxa"/>
            <w:vAlign w:val="center"/>
          </w:tcPr>
          <w:p>
            <w:pPr>
              <w:spacing w:line="360" w:lineRule="auto"/>
              <w:rPr>
                <w:color w:val="000000"/>
                <w:sz w:val="24"/>
              </w:rPr>
            </w:pPr>
          </w:p>
        </w:tc>
        <w:tc>
          <w:tcPr>
            <w:tcW w:w="1458" w:type="dxa"/>
            <w:vAlign w:val="center"/>
          </w:tcPr>
          <w:p>
            <w:pPr>
              <w:spacing w:line="360" w:lineRule="auto"/>
              <w:rPr>
                <w:color w:val="000000"/>
                <w:sz w:val="24"/>
              </w:rPr>
            </w:pPr>
          </w:p>
        </w:tc>
        <w:tc>
          <w:tcPr>
            <w:tcW w:w="1422" w:type="dxa"/>
            <w:vAlign w:val="center"/>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color w:val="000000"/>
                <w:sz w:val="24"/>
              </w:rPr>
            </w:pPr>
          </w:p>
        </w:tc>
        <w:tc>
          <w:tcPr>
            <w:tcW w:w="25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1080" w:type="dxa"/>
            <w:vAlign w:val="center"/>
          </w:tcPr>
          <w:p>
            <w:pPr>
              <w:spacing w:line="360" w:lineRule="auto"/>
              <w:rPr>
                <w:color w:val="000000"/>
                <w:sz w:val="24"/>
              </w:rPr>
            </w:pPr>
          </w:p>
        </w:tc>
        <w:tc>
          <w:tcPr>
            <w:tcW w:w="1458" w:type="dxa"/>
            <w:vAlign w:val="center"/>
          </w:tcPr>
          <w:p>
            <w:pPr>
              <w:spacing w:line="360" w:lineRule="auto"/>
              <w:rPr>
                <w:color w:val="000000"/>
                <w:sz w:val="24"/>
              </w:rPr>
            </w:pPr>
          </w:p>
        </w:tc>
        <w:tc>
          <w:tcPr>
            <w:tcW w:w="1422" w:type="dxa"/>
            <w:vAlign w:val="center"/>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color w:val="000000"/>
                <w:sz w:val="24"/>
              </w:rPr>
            </w:pPr>
          </w:p>
        </w:tc>
        <w:tc>
          <w:tcPr>
            <w:tcW w:w="25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1080" w:type="dxa"/>
            <w:vAlign w:val="center"/>
          </w:tcPr>
          <w:p>
            <w:pPr>
              <w:spacing w:line="360" w:lineRule="auto"/>
              <w:rPr>
                <w:color w:val="000000"/>
                <w:sz w:val="24"/>
              </w:rPr>
            </w:pPr>
          </w:p>
        </w:tc>
        <w:tc>
          <w:tcPr>
            <w:tcW w:w="1458" w:type="dxa"/>
            <w:vAlign w:val="center"/>
          </w:tcPr>
          <w:p>
            <w:pPr>
              <w:spacing w:line="360" w:lineRule="auto"/>
              <w:rPr>
                <w:color w:val="000000"/>
                <w:sz w:val="24"/>
              </w:rPr>
            </w:pPr>
          </w:p>
        </w:tc>
        <w:tc>
          <w:tcPr>
            <w:tcW w:w="1422" w:type="dxa"/>
            <w:vAlign w:val="center"/>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color w:val="000000"/>
                <w:sz w:val="24"/>
              </w:rPr>
            </w:pPr>
          </w:p>
        </w:tc>
        <w:tc>
          <w:tcPr>
            <w:tcW w:w="25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1080" w:type="dxa"/>
            <w:vAlign w:val="center"/>
          </w:tcPr>
          <w:p>
            <w:pPr>
              <w:spacing w:line="360" w:lineRule="auto"/>
              <w:rPr>
                <w:color w:val="000000"/>
                <w:sz w:val="24"/>
              </w:rPr>
            </w:pPr>
          </w:p>
        </w:tc>
        <w:tc>
          <w:tcPr>
            <w:tcW w:w="1458" w:type="dxa"/>
            <w:vAlign w:val="center"/>
          </w:tcPr>
          <w:p>
            <w:pPr>
              <w:spacing w:line="360" w:lineRule="auto"/>
              <w:rPr>
                <w:color w:val="000000"/>
                <w:sz w:val="24"/>
              </w:rPr>
            </w:pPr>
          </w:p>
        </w:tc>
        <w:tc>
          <w:tcPr>
            <w:tcW w:w="1422" w:type="dxa"/>
            <w:vAlign w:val="center"/>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color w:val="000000"/>
                <w:sz w:val="24"/>
              </w:rPr>
            </w:pPr>
          </w:p>
        </w:tc>
        <w:tc>
          <w:tcPr>
            <w:tcW w:w="25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1080" w:type="dxa"/>
            <w:vAlign w:val="center"/>
          </w:tcPr>
          <w:p>
            <w:pPr>
              <w:spacing w:line="360" w:lineRule="auto"/>
              <w:rPr>
                <w:color w:val="000000"/>
                <w:sz w:val="24"/>
              </w:rPr>
            </w:pPr>
          </w:p>
        </w:tc>
        <w:tc>
          <w:tcPr>
            <w:tcW w:w="1458" w:type="dxa"/>
            <w:vAlign w:val="center"/>
          </w:tcPr>
          <w:p>
            <w:pPr>
              <w:spacing w:line="360" w:lineRule="auto"/>
              <w:rPr>
                <w:color w:val="000000"/>
                <w:sz w:val="24"/>
              </w:rPr>
            </w:pPr>
          </w:p>
        </w:tc>
        <w:tc>
          <w:tcPr>
            <w:tcW w:w="1422" w:type="dxa"/>
            <w:vAlign w:val="center"/>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color w:val="000000"/>
                <w:sz w:val="24"/>
              </w:rPr>
            </w:pPr>
          </w:p>
        </w:tc>
        <w:tc>
          <w:tcPr>
            <w:tcW w:w="25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1080" w:type="dxa"/>
            <w:vAlign w:val="center"/>
          </w:tcPr>
          <w:p>
            <w:pPr>
              <w:spacing w:line="360" w:lineRule="auto"/>
              <w:rPr>
                <w:color w:val="000000"/>
                <w:sz w:val="24"/>
              </w:rPr>
            </w:pPr>
          </w:p>
        </w:tc>
        <w:tc>
          <w:tcPr>
            <w:tcW w:w="1458" w:type="dxa"/>
            <w:vAlign w:val="center"/>
          </w:tcPr>
          <w:p>
            <w:pPr>
              <w:spacing w:line="360" w:lineRule="auto"/>
              <w:rPr>
                <w:color w:val="000000"/>
                <w:sz w:val="24"/>
              </w:rPr>
            </w:pPr>
          </w:p>
        </w:tc>
        <w:tc>
          <w:tcPr>
            <w:tcW w:w="1422" w:type="dxa"/>
            <w:vAlign w:val="center"/>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color w:val="000000"/>
                <w:sz w:val="24"/>
              </w:rPr>
            </w:pPr>
          </w:p>
        </w:tc>
        <w:tc>
          <w:tcPr>
            <w:tcW w:w="25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1080" w:type="dxa"/>
            <w:vAlign w:val="center"/>
          </w:tcPr>
          <w:p>
            <w:pPr>
              <w:spacing w:line="360" w:lineRule="auto"/>
              <w:rPr>
                <w:color w:val="000000"/>
                <w:sz w:val="24"/>
              </w:rPr>
            </w:pPr>
          </w:p>
        </w:tc>
        <w:tc>
          <w:tcPr>
            <w:tcW w:w="1458" w:type="dxa"/>
            <w:vAlign w:val="center"/>
          </w:tcPr>
          <w:p>
            <w:pPr>
              <w:spacing w:line="360" w:lineRule="auto"/>
              <w:rPr>
                <w:color w:val="000000"/>
                <w:sz w:val="24"/>
              </w:rPr>
            </w:pPr>
          </w:p>
        </w:tc>
        <w:tc>
          <w:tcPr>
            <w:tcW w:w="1422" w:type="dxa"/>
            <w:vAlign w:val="center"/>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color w:val="000000"/>
                <w:sz w:val="24"/>
              </w:rPr>
            </w:pPr>
          </w:p>
        </w:tc>
        <w:tc>
          <w:tcPr>
            <w:tcW w:w="25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1080" w:type="dxa"/>
            <w:vAlign w:val="center"/>
          </w:tcPr>
          <w:p>
            <w:pPr>
              <w:spacing w:line="360" w:lineRule="auto"/>
              <w:rPr>
                <w:color w:val="000000"/>
                <w:sz w:val="24"/>
              </w:rPr>
            </w:pPr>
          </w:p>
        </w:tc>
        <w:tc>
          <w:tcPr>
            <w:tcW w:w="1458" w:type="dxa"/>
            <w:vAlign w:val="center"/>
          </w:tcPr>
          <w:p>
            <w:pPr>
              <w:spacing w:line="360" w:lineRule="auto"/>
              <w:rPr>
                <w:color w:val="000000"/>
                <w:sz w:val="24"/>
              </w:rPr>
            </w:pPr>
          </w:p>
        </w:tc>
        <w:tc>
          <w:tcPr>
            <w:tcW w:w="1422" w:type="dxa"/>
            <w:vAlign w:val="center"/>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color w:val="000000"/>
                <w:sz w:val="24"/>
              </w:rPr>
            </w:pPr>
          </w:p>
        </w:tc>
        <w:tc>
          <w:tcPr>
            <w:tcW w:w="25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1080" w:type="dxa"/>
            <w:vAlign w:val="center"/>
          </w:tcPr>
          <w:p>
            <w:pPr>
              <w:spacing w:line="360" w:lineRule="auto"/>
              <w:rPr>
                <w:color w:val="000000"/>
                <w:sz w:val="24"/>
              </w:rPr>
            </w:pPr>
          </w:p>
        </w:tc>
        <w:tc>
          <w:tcPr>
            <w:tcW w:w="1458" w:type="dxa"/>
            <w:vAlign w:val="center"/>
          </w:tcPr>
          <w:p>
            <w:pPr>
              <w:spacing w:line="360" w:lineRule="auto"/>
              <w:rPr>
                <w:color w:val="000000"/>
                <w:sz w:val="24"/>
              </w:rPr>
            </w:pPr>
          </w:p>
        </w:tc>
        <w:tc>
          <w:tcPr>
            <w:tcW w:w="1422" w:type="dxa"/>
            <w:vAlign w:val="center"/>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color w:val="000000"/>
                <w:sz w:val="24"/>
              </w:rPr>
            </w:pPr>
          </w:p>
        </w:tc>
        <w:tc>
          <w:tcPr>
            <w:tcW w:w="25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1080" w:type="dxa"/>
            <w:vAlign w:val="center"/>
          </w:tcPr>
          <w:p>
            <w:pPr>
              <w:spacing w:line="360" w:lineRule="auto"/>
              <w:rPr>
                <w:color w:val="000000"/>
                <w:sz w:val="24"/>
              </w:rPr>
            </w:pPr>
          </w:p>
        </w:tc>
        <w:tc>
          <w:tcPr>
            <w:tcW w:w="1458" w:type="dxa"/>
            <w:vAlign w:val="center"/>
          </w:tcPr>
          <w:p>
            <w:pPr>
              <w:spacing w:line="360" w:lineRule="auto"/>
              <w:rPr>
                <w:color w:val="000000"/>
                <w:sz w:val="24"/>
              </w:rPr>
            </w:pPr>
          </w:p>
        </w:tc>
        <w:tc>
          <w:tcPr>
            <w:tcW w:w="1422" w:type="dxa"/>
            <w:vAlign w:val="center"/>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color w:val="000000"/>
                <w:sz w:val="24"/>
              </w:rPr>
            </w:pPr>
          </w:p>
        </w:tc>
        <w:tc>
          <w:tcPr>
            <w:tcW w:w="25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1080" w:type="dxa"/>
            <w:vAlign w:val="center"/>
          </w:tcPr>
          <w:p>
            <w:pPr>
              <w:spacing w:line="360" w:lineRule="auto"/>
              <w:rPr>
                <w:color w:val="000000"/>
                <w:sz w:val="24"/>
              </w:rPr>
            </w:pPr>
          </w:p>
        </w:tc>
        <w:tc>
          <w:tcPr>
            <w:tcW w:w="1458" w:type="dxa"/>
            <w:vAlign w:val="center"/>
          </w:tcPr>
          <w:p>
            <w:pPr>
              <w:spacing w:line="360" w:lineRule="auto"/>
              <w:rPr>
                <w:color w:val="000000"/>
                <w:sz w:val="24"/>
              </w:rPr>
            </w:pPr>
          </w:p>
        </w:tc>
        <w:tc>
          <w:tcPr>
            <w:tcW w:w="1422" w:type="dxa"/>
            <w:vAlign w:val="center"/>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color w:val="000000"/>
                <w:sz w:val="24"/>
              </w:rPr>
            </w:pPr>
          </w:p>
        </w:tc>
        <w:tc>
          <w:tcPr>
            <w:tcW w:w="25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1080" w:type="dxa"/>
            <w:vAlign w:val="center"/>
          </w:tcPr>
          <w:p>
            <w:pPr>
              <w:spacing w:line="360" w:lineRule="auto"/>
              <w:rPr>
                <w:color w:val="000000"/>
                <w:sz w:val="24"/>
              </w:rPr>
            </w:pPr>
          </w:p>
        </w:tc>
        <w:tc>
          <w:tcPr>
            <w:tcW w:w="1458" w:type="dxa"/>
            <w:vAlign w:val="center"/>
          </w:tcPr>
          <w:p>
            <w:pPr>
              <w:spacing w:line="360" w:lineRule="auto"/>
              <w:rPr>
                <w:color w:val="000000"/>
                <w:sz w:val="24"/>
              </w:rPr>
            </w:pPr>
          </w:p>
        </w:tc>
        <w:tc>
          <w:tcPr>
            <w:tcW w:w="1422" w:type="dxa"/>
            <w:vAlign w:val="center"/>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color w:val="000000"/>
                <w:sz w:val="24"/>
              </w:rPr>
            </w:pPr>
          </w:p>
        </w:tc>
        <w:tc>
          <w:tcPr>
            <w:tcW w:w="25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1080" w:type="dxa"/>
            <w:vAlign w:val="center"/>
          </w:tcPr>
          <w:p>
            <w:pPr>
              <w:spacing w:line="360" w:lineRule="auto"/>
              <w:rPr>
                <w:color w:val="000000"/>
                <w:sz w:val="24"/>
              </w:rPr>
            </w:pPr>
          </w:p>
        </w:tc>
        <w:tc>
          <w:tcPr>
            <w:tcW w:w="1458" w:type="dxa"/>
            <w:vAlign w:val="center"/>
          </w:tcPr>
          <w:p>
            <w:pPr>
              <w:spacing w:line="360" w:lineRule="auto"/>
              <w:rPr>
                <w:color w:val="000000"/>
                <w:sz w:val="24"/>
              </w:rPr>
            </w:pPr>
          </w:p>
        </w:tc>
        <w:tc>
          <w:tcPr>
            <w:tcW w:w="1422" w:type="dxa"/>
            <w:vAlign w:val="center"/>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color w:val="000000"/>
                <w:sz w:val="24"/>
              </w:rPr>
            </w:pPr>
          </w:p>
        </w:tc>
        <w:tc>
          <w:tcPr>
            <w:tcW w:w="25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1080" w:type="dxa"/>
            <w:vAlign w:val="center"/>
          </w:tcPr>
          <w:p>
            <w:pPr>
              <w:spacing w:line="360" w:lineRule="auto"/>
              <w:rPr>
                <w:color w:val="000000"/>
                <w:sz w:val="24"/>
              </w:rPr>
            </w:pPr>
          </w:p>
        </w:tc>
        <w:tc>
          <w:tcPr>
            <w:tcW w:w="1458" w:type="dxa"/>
            <w:vAlign w:val="center"/>
          </w:tcPr>
          <w:p>
            <w:pPr>
              <w:spacing w:line="360" w:lineRule="auto"/>
              <w:rPr>
                <w:color w:val="000000"/>
                <w:sz w:val="24"/>
              </w:rPr>
            </w:pPr>
          </w:p>
        </w:tc>
        <w:tc>
          <w:tcPr>
            <w:tcW w:w="1422" w:type="dxa"/>
            <w:vAlign w:val="center"/>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color w:val="000000"/>
                <w:sz w:val="24"/>
              </w:rPr>
            </w:pPr>
          </w:p>
        </w:tc>
        <w:tc>
          <w:tcPr>
            <w:tcW w:w="25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1080" w:type="dxa"/>
            <w:vAlign w:val="center"/>
          </w:tcPr>
          <w:p>
            <w:pPr>
              <w:spacing w:line="360" w:lineRule="auto"/>
              <w:rPr>
                <w:color w:val="000000"/>
                <w:sz w:val="24"/>
              </w:rPr>
            </w:pPr>
          </w:p>
        </w:tc>
        <w:tc>
          <w:tcPr>
            <w:tcW w:w="1458" w:type="dxa"/>
            <w:vAlign w:val="center"/>
          </w:tcPr>
          <w:p>
            <w:pPr>
              <w:spacing w:line="360" w:lineRule="auto"/>
              <w:rPr>
                <w:color w:val="000000"/>
                <w:sz w:val="24"/>
              </w:rPr>
            </w:pPr>
          </w:p>
        </w:tc>
        <w:tc>
          <w:tcPr>
            <w:tcW w:w="1422" w:type="dxa"/>
            <w:vAlign w:val="center"/>
          </w:tcPr>
          <w:p>
            <w:pPr>
              <w:spacing w:line="360"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color w:val="000000"/>
                <w:sz w:val="24"/>
              </w:rPr>
            </w:pPr>
          </w:p>
        </w:tc>
        <w:tc>
          <w:tcPr>
            <w:tcW w:w="25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720" w:type="dxa"/>
            <w:vAlign w:val="center"/>
          </w:tcPr>
          <w:p>
            <w:pPr>
              <w:spacing w:line="360" w:lineRule="auto"/>
              <w:rPr>
                <w:color w:val="000000"/>
                <w:sz w:val="24"/>
              </w:rPr>
            </w:pPr>
          </w:p>
        </w:tc>
        <w:tc>
          <w:tcPr>
            <w:tcW w:w="1080" w:type="dxa"/>
            <w:vAlign w:val="center"/>
          </w:tcPr>
          <w:p>
            <w:pPr>
              <w:spacing w:line="360" w:lineRule="auto"/>
              <w:rPr>
                <w:color w:val="000000"/>
                <w:sz w:val="24"/>
              </w:rPr>
            </w:pPr>
          </w:p>
        </w:tc>
        <w:tc>
          <w:tcPr>
            <w:tcW w:w="1458" w:type="dxa"/>
            <w:vAlign w:val="center"/>
          </w:tcPr>
          <w:p>
            <w:pPr>
              <w:spacing w:line="360" w:lineRule="auto"/>
              <w:rPr>
                <w:color w:val="000000"/>
                <w:sz w:val="24"/>
              </w:rPr>
            </w:pPr>
          </w:p>
        </w:tc>
        <w:tc>
          <w:tcPr>
            <w:tcW w:w="1422" w:type="dxa"/>
            <w:vAlign w:val="center"/>
          </w:tcPr>
          <w:p>
            <w:pPr>
              <w:spacing w:line="360" w:lineRule="auto"/>
              <w:rPr>
                <w:color w:val="000000"/>
                <w:sz w:val="24"/>
              </w:rPr>
            </w:pPr>
          </w:p>
        </w:tc>
      </w:tr>
    </w:tbl>
    <w:p>
      <w:pPr>
        <w:spacing w:line="360" w:lineRule="exact"/>
        <w:ind w:left="924" w:hanging="924" w:hangingChars="440"/>
        <w:rPr>
          <w:rFonts w:ascii="Arial" w:hAnsi="Arial" w:eastAsia="楷体_GB2312" w:cs="Arial"/>
          <w:color w:val="000000"/>
        </w:rPr>
      </w:pPr>
      <w:r>
        <w:rPr>
          <w:rFonts w:hint="eastAsia" w:ascii="Arial" w:hAnsi="Arial" w:eastAsia="楷体_GB2312" w:cs="Arial"/>
          <w:color w:val="000000"/>
        </w:rPr>
        <w:t>附注：</w:t>
      </w:r>
      <w:r>
        <w:rPr>
          <w:rFonts w:ascii="Arial" w:hAnsi="Arial" w:eastAsia="楷体_GB2312" w:cs="Arial"/>
          <w:color w:val="000000"/>
        </w:rPr>
        <w:t xml:space="preserve">1. </w:t>
      </w:r>
      <w:r>
        <w:rPr>
          <w:rFonts w:hint="eastAsia" w:ascii="Arial" w:hAnsi="Arial" w:eastAsia="楷体_GB2312" w:cs="Arial"/>
          <w:color w:val="000000"/>
        </w:rPr>
        <w:t>技术负责、施工、设备材料、以及各主要专业工种负责人均应列入；</w:t>
      </w:r>
    </w:p>
    <w:p>
      <w:pPr>
        <w:spacing w:line="360" w:lineRule="exact"/>
        <w:ind w:left="716" w:leftChars="321" w:hanging="42" w:hangingChars="20"/>
        <w:rPr>
          <w:rFonts w:ascii="Arial" w:hAnsi="Arial" w:eastAsia="楷体_GB2312" w:cs="Arial"/>
          <w:color w:val="000000"/>
        </w:rPr>
      </w:pPr>
      <w:r>
        <w:rPr>
          <w:rFonts w:ascii="Arial" w:hAnsi="Arial" w:eastAsia="楷体_GB2312" w:cs="Arial"/>
          <w:color w:val="000000"/>
        </w:rPr>
        <w:t xml:space="preserve">2. </w:t>
      </w:r>
      <w:r>
        <w:rPr>
          <w:rFonts w:hint="eastAsia" w:ascii="Arial" w:hAnsi="Arial" w:eastAsia="楷体_GB2312" w:cs="Arial"/>
          <w:color w:val="000000"/>
        </w:rPr>
        <w:t>列入本表人员如要更换，需经采购人同意，擅自更换或不到位属违约行为；</w:t>
      </w:r>
    </w:p>
    <w:p>
      <w:pPr>
        <w:spacing w:line="360" w:lineRule="exact"/>
        <w:ind w:left="716" w:leftChars="321" w:hanging="42" w:hangingChars="20"/>
        <w:rPr>
          <w:rFonts w:ascii="Arial" w:hAnsi="Arial" w:eastAsia="楷体_GB2312" w:cs="Arial"/>
          <w:color w:val="000000"/>
        </w:rPr>
      </w:pPr>
      <w:r>
        <w:rPr>
          <w:rFonts w:ascii="Arial" w:hAnsi="Arial" w:eastAsia="楷体_GB2312" w:cs="Arial"/>
          <w:color w:val="000000"/>
        </w:rPr>
        <w:t xml:space="preserve">3. </w:t>
      </w:r>
      <w:r>
        <w:rPr>
          <w:rFonts w:hint="eastAsia" w:ascii="Arial" w:hAnsi="Arial" w:eastAsia="楷体_GB2312" w:cs="Arial"/>
          <w:color w:val="000000"/>
        </w:rPr>
        <w:t>职称</w:t>
      </w:r>
      <w:r>
        <w:rPr>
          <w:rFonts w:ascii="Arial" w:hAnsi="Arial" w:eastAsia="楷体_GB2312" w:cs="Arial"/>
          <w:color w:val="000000"/>
        </w:rPr>
        <w:t>/</w:t>
      </w:r>
      <w:r>
        <w:rPr>
          <w:rFonts w:hint="eastAsia" w:ascii="Arial" w:hAnsi="Arial" w:eastAsia="楷体_GB2312" w:cs="Arial"/>
          <w:color w:val="000000"/>
        </w:rPr>
        <w:t>认证证书复印件附后。</w:t>
      </w:r>
    </w:p>
    <w:p>
      <w:pPr>
        <w:spacing w:line="360" w:lineRule="exact"/>
        <w:ind w:left="716" w:leftChars="321" w:hanging="42" w:hangingChars="20"/>
        <w:rPr>
          <w:rFonts w:ascii="Arial" w:hAnsi="Arial" w:eastAsia="楷体_GB2312" w:cs="Arial"/>
          <w:color w:val="000000"/>
        </w:rPr>
      </w:pPr>
      <w:r>
        <w:rPr>
          <w:rFonts w:ascii="Arial" w:hAnsi="Arial" w:eastAsia="楷体_GB2312" w:cs="Arial"/>
          <w:color w:val="000000"/>
        </w:rPr>
        <w:t xml:space="preserve">4. </w:t>
      </w:r>
      <w:r>
        <w:rPr>
          <w:rFonts w:hint="eastAsia" w:ascii="Arial" w:hAnsi="Arial" w:eastAsia="楷体_GB2312" w:cs="Arial"/>
          <w:color w:val="000000"/>
        </w:rPr>
        <w:t>具体内容参照评分细则</w:t>
      </w:r>
    </w:p>
    <w:p>
      <w:pPr>
        <w:spacing w:beforeLines="100" w:line="360" w:lineRule="auto"/>
        <w:ind w:right="-21" w:rightChars="-10"/>
        <w:rPr>
          <w:rFonts w:ascii="宋体" w:hAnsi="宋体" w:cs="宋体"/>
          <w:color w:val="000000"/>
          <w:sz w:val="24"/>
        </w:rPr>
      </w:pPr>
      <w:r>
        <w:rPr>
          <w:rFonts w:hint="eastAsia" w:ascii="宋体" w:hAnsi="宋体" w:cs="宋体"/>
          <w:color w:val="000000"/>
          <w:sz w:val="24"/>
        </w:rPr>
        <w:t>投标供应商全称（公章）：</w:t>
      </w:r>
    </w:p>
    <w:p>
      <w:pPr>
        <w:spacing w:beforeLines="50" w:line="360" w:lineRule="auto"/>
        <w:ind w:right="-10"/>
        <w:rPr>
          <w:rFonts w:ascii="宋体" w:hAnsi="宋体" w:cs="宋体"/>
          <w:color w:val="000000"/>
          <w:sz w:val="24"/>
        </w:rPr>
      </w:pPr>
      <w:r>
        <w:rPr>
          <w:rFonts w:hint="eastAsia" w:ascii="宋体" w:hAnsi="宋体" w:cs="宋体"/>
          <w:color w:val="000000"/>
          <w:sz w:val="24"/>
        </w:rPr>
        <w:t>法定代表人或授权代表（签字或盖章）：</w:t>
      </w:r>
    </w:p>
    <w:p>
      <w:pPr>
        <w:spacing w:before="50" w:line="360" w:lineRule="auto"/>
        <w:rPr>
          <w:color w:val="000000"/>
        </w:rPr>
      </w:pPr>
      <w:r>
        <w:rPr>
          <w:rFonts w:hint="eastAsia" w:ascii="宋体" w:hAnsi="宋体" w:cs="宋体"/>
          <w:color w:val="000000"/>
          <w:sz w:val="24"/>
        </w:rPr>
        <w:t>日期：</w:t>
      </w:r>
      <w:r>
        <w:rPr>
          <w:rFonts w:ascii="宋体" w:hAnsi="宋体" w:cs="宋体"/>
          <w:color w:val="000000"/>
          <w:sz w:val="24"/>
        </w:rPr>
        <w:t xml:space="preserve">  </w:t>
      </w:r>
      <w:r>
        <w:rPr>
          <w:rFonts w:hint="eastAsia" w:ascii="宋体" w:hAnsi="宋体" w:cs="宋体"/>
          <w:color w:val="000000"/>
          <w:sz w:val="24"/>
        </w:rPr>
        <w:t>年</w:t>
      </w:r>
      <w:r>
        <w:rPr>
          <w:rFonts w:ascii="宋体" w:hAnsi="宋体" w:cs="宋体"/>
          <w:color w:val="000000"/>
          <w:sz w:val="24"/>
        </w:rPr>
        <w:t xml:space="preserve">  </w:t>
      </w:r>
      <w:r>
        <w:rPr>
          <w:rFonts w:hint="eastAsia" w:ascii="宋体" w:hAnsi="宋体" w:cs="宋体"/>
          <w:color w:val="000000"/>
          <w:sz w:val="24"/>
        </w:rPr>
        <w:t>月</w:t>
      </w:r>
      <w:r>
        <w:rPr>
          <w:rFonts w:ascii="宋体" w:hAnsi="宋体" w:cs="宋体"/>
          <w:color w:val="000000"/>
          <w:sz w:val="24"/>
        </w:rPr>
        <w:t xml:space="preserve">  </w:t>
      </w:r>
      <w:r>
        <w:rPr>
          <w:rFonts w:hint="eastAsia" w:ascii="宋体" w:hAnsi="宋体" w:cs="宋体"/>
          <w:color w:val="000000"/>
          <w:sz w:val="24"/>
        </w:rPr>
        <w:t>日</w:t>
      </w:r>
    </w:p>
    <w:p>
      <w:pPr>
        <w:rPr>
          <w:rFonts w:ascii="新宋体" w:hAnsi="新宋体" w:eastAsia="新宋体"/>
          <w:sz w:val="22"/>
          <w:szCs w:val="22"/>
        </w:rPr>
      </w:pPr>
    </w:p>
    <w:p>
      <w:pPr>
        <w:rPr>
          <w:rFonts w:ascii="新宋体" w:hAnsi="新宋体" w:eastAsia="新宋体"/>
          <w:b/>
          <w:sz w:val="22"/>
        </w:rPr>
      </w:pPr>
      <w:r>
        <w:rPr>
          <w:rFonts w:hint="eastAsia" w:ascii="新宋体" w:hAnsi="新宋体" w:eastAsia="新宋体"/>
          <w:b/>
          <w:sz w:val="22"/>
        </w:rPr>
        <w:br w:type="page"/>
      </w:r>
    </w:p>
    <w:p/>
    <w:p>
      <w:pPr>
        <w:spacing w:line="360" w:lineRule="auto"/>
        <w:jc w:val="left"/>
        <w:rPr>
          <w:rFonts w:hint="eastAsia" w:eastAsia="宋体"/>
          <w:lang w:eastAsia="zh-CN"/>
        </w:rPr>
      </w:pPr>
      <w:r>
        <w:rPr>
          <w:rFonts w:hint="eastAsia"/>
        </w:rPr>
        <w:t>附件十</w:t>
      </w:r>
      <w:r>
        <w:rPr>
          <w:rFonts w:hint="eastAsia"/>
          <w:lang w:eastAsia="zh-CN"/>
        </w:rPr>
        <w:t>一</w:t>
      </w:r>
    </w:p>
    <w:p>
      <w:pPr>
        <w:widowControl/>
        <w:spacing w:line="460" w:lineRule="exact"/>
        <w:jc w:val="center"/>
        <w:outlineLvl w:val="2"/>
        <w:rPr>
          <w:rFonts w:ascii="新宋体" w:hAnsi="新宋体" w:eastAsia="新宋体"/>
          <w:b/>
          <w:bCs/>
          <w:sz w:val="28"/>
          <w:szCs w:val="28"/>
        </w:rPr>
      </w:pPr>
      <w:r>
        <w:rPr>
          <w:rFonts w:hint="eastAsia" w:ascii="新宋体" w:hAnsi="新宋体" w:eastAsia="新宋体"/>
          <w:b/>
          <w:bCs/>
          <w:sz w:val="28"/>
          <w:szCs w:val="28"/>
        </w:rPr>
        <w:t>类似项目业绩</w:t>
      </w:r>
    </w:p>
    <w:p>
      <w:pPr>
        <w:spacing w:line="460" w:lineRule="exact"/>
        <w:rPr>
          <w:rFonts w:ascii="新宋体" w:hAnsi="新宋体" w:eastAsia="新宋体"/>
          <w:b/>
          <w:bCs/>
          <w:sz w:val="28"/>
          <w:szCs w:val="28"/>
        </w:rPr>
      </w:pPr>
      <w:r>
        <w:rPr>
          <w:rFonts w:hint="eastAsia" w:ascii="新宋体" w:hAnsi="新宋体" w:eastAsia="新宋体"/>
          <w:b/>
        </w:rPr>
        <w:t>项目名称：：                                                   项目编号：</w:t>
      </w:r>
    </w:p>
    <w:tbl>
      <w:tblPr>
        <w:tblStyle w:val="6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2520"/>
        <w:gridCol w:w="2310"/>
        <w:gridCol w:w="1271"/>
        <w:gridCol w:w="1596"/>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ind w:left="442" w:hanging="442" w:hangingChars="200"/>
              <w:jc w:val="center"/>
              <w:rPr>
                <w:rFonts w:ascii="新宋体" w:hAnsi="新宋体" w:eastAsia="新宋体"/>
                <w:b/>
                <w:bCs/>
                <w:sz w:val="22"/>
                <w:szCs w:val="22"/>
              </w:rPr>
            </w:pPr>
            <w:r>
              <w:rPr>
                <w:rFonts w:hint="eastAsia" w:ascii="新宋体" w:hAnsi="新宋体" w:eastAsia="新宋体"/>
                <w:b/>
                <w:bCs/>
                <w:sz w:val="22"/>
                <w:szCs w:val="22"/>
              </w:rPr>
              <w:t>序号</w:t>
            </w:r>
          </w:p>
        </w:tc>
        <w:tc>
          <w:tcPr>
            <w:tcW w:w="2520" w:type="dxa"/>
            <w:vAlign w:val="center"/>
          </w:tcPr>
          <w:p>
            <w:pPr>
              <w:spacing w:line="380" w:lineRule="exact"/>
              <w:ind w:left="442" w:hanging="442" w:hangingChars="200"/>
              <w:jc w:val="center"/>
              <w:rPr>
                <w:rFonts w:ascii="新宋体" w:hAnsi="新宋体" w:eastAsia="新宋体"/>
                <w:b/>
                <w:bCs/>
                <w:sz w:val="22"/>
                <w:szCs w:val="22"/>
              </w:rPr>
            </w:pPr>
            <w:r>
              <w:rPr>
                <w:rFonts w:hint="eastAsia" w:ascii="新宋体" w:hAnsi="新宋体" w:eastAsia="新宋体"/>
                <w:b/>
                <w:bCs/>
                <w:sz w:val="22"/>
                <w:szCs w:val="22"/>
              </w:rPr>
              <w:t>用户名称</w:t>
            </w:r>
          </w:p>
        </w:tc>
        <w:tc>
          <w:tcPr>
            <w:tcW w:w="2310" w:type="dxa"/>
            <w:vAlign w:val="center"/>
          </w:tcPr>
          <w:p>
            <w:pPr>
              <w:spacing w:line="380" w:lineRule="exact"/>
              <w:ind w:left="442" w:hanging="442" w:hangingChars="200"/>
              <w:jc w:val="center"/>
              <w:rPr>
                <w:rFonts w:ascii="新宋体" w:hAnsi="新宋体" w:eastAsia="新宋体"/>
                <w:b/>
                <w:bCs/>
                <w:sz w:val="22"/>
                <w:szCs w:val="22"/>
              </w:rPr>
            </w:pPr>
            <w:r>
              <w:rPr>
                <w:rFonts w:hint="eastAsia" w:ascii="新宋体" w:hAnsi="新宋体" w:eastAsia="新宋体"/>
                <w:b/>
                <w:bCs/>
                <w:sz w:val="22"/>
                <w:szCs w:val="22"/>
              </w:rPr>
              <w:t>项目名称</w:t>
            </w:r>
          </w:p>
        </w:tc>
        <w:tc>
          <w:tcPr>
            <w:tcW w:w="1271" w:type="dxa"/>
            <w:vAlign w:val="center"/>
          </w:tcPr>
          <w:p>
            <w:pPr>
              <w:spacing w:line="380" w:lineRule="exact"/>
              <w:ind w:left="442" w:hanging="442" w:hangingChars="200"/>
              <w:jc w:val="center"/>
              <w:rPr>
                <w:rFonts w:ascii="新宋体" w:hAnsi="新宋体" w:eastAsia="新宋体"/>
                <w:b/>
                <w:bCs/>
                <w:sz w:val="22"/>
                <w:szCs w:val="22"/>
              </w:rPr>
            </w:pPr>
            <w:r>
              <w:rPr>
                <w:rFonts w:hint="eastAsia" w:ascii="新宋体" w:hAnsi="新宋体" w:eastAsia="新宋体"/>
                <w:b/>
                <w:bCs/>
                <w:sz w:val="22"/>
                <w:szCs w:val="22"/>
              </w:rPr>
              <w:t>合同金额</w:t>
            </w:r>
          </w:p>
        </w:tc>
        <w:tc>
          <w:tcPr>
            <w:tcW w:w="1596" w:type="dxa"/>
            <w:vAlign w:val="center"/>
          </w:tcPr>
          <w:p>
            <w:pPr>
              <w:spacing w:line="380" w:lineRule="exact"/>
              <w:ind w:left="442" w:hanging="442" w:hangingChars="200"/>
              <w:jc w:val="center"/>
              <w:rPr>
                <w:rFonts w:ascii="新宋体" w:hAnsi="新宋体" w:eastAsia="新宋体"/>
                <w:b/>
                <w:bCs/>
                <w:sz w:val="22"/>
                <w:szCs w:val="22"/>
              </w:rPr>
            </w:pPr>
            <w:r>
              <w:rPr>
                <w:rFonts w:hint="eastAsia" w:ascii="新宋体" w:hAnsi="新宋体" w:eastAsia="新宋体"/>
                <w:b/>
                <w:bCs/>
                <w:sz w:val="22"/>
                <w:szCs w:val="22"/>
              </w:rPr>
              <w:t>联系方式</w:t>
            </w:r>
          </w:p>
        </w:tc>
        <w:tc>
          <w:tcPr>
            <w:tcW w:w="1128" w:type="dxa"/>
            <w:vAlign w:val="center"/>
          </w:tcPr>
          <w:p>
            <w:pPr>
              <w:spacing w:line="380" w:lineRule="exact"/>
              <w:ind w:left="442" w:hanging="442" w:hangingChars="200"/>
              <w:jc w:val="center"/>
              <w:rPr>
                <w:rFonts w:ascii="新宋体" w:hAnsi="新宋体" w:eastAsia="新宋体"/>
                <w:b/>
                <w:bCs/>
                <w:sz w:val="22"/>
                <w:szCs w:val="22"/>
              </w:rPr>
            </w:pPr>
            <w:r>
              <w:rPr>
                <w:rFonts w:hint="eastAsia" w:ascii="新宋体" w:hAnsi="新宋体" w:eastAsia="新宋体"/>
                <w:b/>
                <w:bCs/>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ind w:left="442" w:hanging="442" w:hangingChars="200"/>
              <w:jc w:val="center"/>
              <w:rPr>
                <w:rFonts w:ascii="新宋体" w:hAnsi="新宋体" w:eastAsia="新宋体"/>
                <w:b/>
                <w:bCs/>
                <w:sz w:val="22"/>
                <w:szCs w:val="22"/>
              </w:rPr>
            </w:pPr>
          </w:p>
        </w:tc>
        <w:tc>
          <w:tcPr>
            <w:tcW w:w="2520" w:type="dxa"/>
            <w:vAlign w:val="center"/>
          </w:tcPr>
          <w:p>
            <w:pPr>
              <w:spacing w:line="380" w:lineRule="exact"/>
              <w:ind w:left="442" w:hanging="442" w:hangingChars="200"/>
              <w:jc w:val="center"/>
              <w:rPr>
                <w:rFonts w:ascii="新宋体" w:hAnsi="新宋体" w:eastAsia="新宋体"/>
                <w:b/>
                <w:bCs/>
                <w:sz w:val="22"/>
                <w:szCs w:val="22"/>
              </w:rPr>
            </w:pPr>
          </w:p>
        </w:tc>
        <w:tc>
          <w:tcPr>
            <w:tcW w:w="2310" w:type="dxa"/>
            <w:vAlign w:val="center"/>
          </w:tcPr>
          <w:p>
            <w:pPr>
              <w:spacing w:line="380" w:lineRule="exact"/>
              <w:ind w:left="442" w:hanging="442" w:hangingChars="200"/>
              <w:jc w:val="center"/>
              <w:rPr>
                <w:rFonts w:ascii="新宋体" w:hAnsi="新宋体" w:eastAsia="新宋体"/>
                <w:b/>
                <w:bCs/>
                <w:sz w:val="22"/>
                <w:szCs w:val="22"/>
              </w:rPr>
            </w:pPr>
          </w:p>
        </w:tc>
        <w:tc>
          <w:tcPr>
            <w:tcW w:w="1271" w:type="dxa"/>
            <w:vAlign w:val="center"/>
          </w:tcPr>
          <w:p>
            <w:pPr>
              <w:spacing w:line="380" w:lineRule="exact"/>
              <w:ind w:left="442" w:hanging="442" w:hangingChars="200"/>
              <w:jc w:val="center"/>
              <w:rPr>
                <w:rFonts w:ascii="新宋体" w:hAnsi="新宋体" w:eastAsia="新宋体"/>
                <w:b/>
                <w:bCs/>
                <w:sz w:val="22"/>
                <w:szCs w:val="22"/>
              </w:rPr>
            </w:pPr>
          </w:p>
        </w:tc>
        <w:tc>
          <w:tcPr>
            <w:tcW w:w="1596" w:type="dxa"/>
            <w:vAlign w:val="center"/>
          </w:tcPr>
          <w:p>
            <w:pPr>
              <w:spacing w:line="380" w:lineRule="exact"/>
              <w:ind w:left="442" w:hanging="442" w:hangingChars="200"/>
              <w:jc w:val="center"/>
              <w:rPr>
                <w:rFonts w:ascii="新宋体" w:hAnsi="新宋体" w:eastAsia="新宋体"/>
                <w:b/>
                <w:bCs/>
                <w:sz w:val="22"/>
                <w:szCs w:val="22"/>
              </w:rPr>
            </w:pPr>
          </w:p>
        </w:tc>
        <w:tc>
          <w:tcPr>
            <w:tcW w:w="1128" w:type="dxa"/>
            <w:vAlign w:val="center"/>
          </w:tcPr>
          <w:p>
            <w:pPr>
              <w:spacing w:line="380" w:lineRule="exact"/>
              <w:ind w:left="442" w:hanging="442" w:hangingChars="200"/>
              <w:jc w:val="center"/>
              <w:rPr>
                <w:rFonts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ind w:left="442" w:hanging="442" w:hangingChars="200"/>
              <w:jc w:val="center"/>
              <w:rPr>
                <w:rFonts w:ascii="新宋体" w:hAnsi="新宋体" w:eastAsia="新宋体"/>
                <w:b/>
                <w:bCs/>
                <w:sz w:val="22"/>
                <w:szCs w:val="22"/>
              </w:rPr>
            </w:pPr>
          </w:p>
        </w:tc>
        <w:tc>
          <w:tcPr>
            <w:tcW w:w="2520" w:type="dxa"/>
            <w:vAlign w:val="center"/>
          </w:tcPr>
          <w:p>
            <w:pPr>
              <w:spacing w:line="380" w:lineRule="exact"/>
              <w:ind w:left="442" w:hanging="442" w:hangingChars="200"/>
              <w:jc w:val="center"/>
              <w:rPr>
                <w:rFonts w:ascii="新宋体" w:hAnsi="新宋体" w:eastAsia="新宋体"/>
                <w:b/>
                <w:bCs/>
                <w:sz w:val="22"/>
                <w:szCs w:val="22"/>
              </w:rPr>
            </w:pPr>
          </w:p>
        </w:tc>
        <w:tc>
          <w:tcPr>
            <w:tcW w:w="2310" w:type="dxa"/>
            <w:vAlign w:val="center"/>
          </w:tcPr>
          <w:p>
            <w:pPr>
              <w:spacing w:line="380" w:lineRule="exact"/>
              <w:ind w:left="442" w:hanging="442" w:hangingChars="200"/>
              <w:jc w:val="center"/>
              <w:rPr>
                <w:rFonts w:ascii="新宋体" w:hAnsi="新宋体" w:eastAsia="新宋体"/>
                <w:b/>
                <w:bCs/>
                <w:sz w:val="22"/>
                <w:szCs w:val="22"/>
              </w:rPr>
            </w:pPr>
          </w:p>
        </w:tc>
        <w:tc>
          <w:tcPr>
            <w:tcW w:w="1271" w:type="dxa"/>
            <w:vAlign w:val="center"/>
          </w:tcPr>
          <w:p>
            <w:pPr>
              <w:spacing w:line="380" w:lineRule="exact"/>
              <w:ind w:left="442" w:hanging="442" w:hangingChars="200"/>
              <w:jc w:val="center"/>
              <w:rPr>
                <w:rFonts w:ascii="新宋体" w:hAnsi="新宋体" w:eastAsia="新宋体"/>
                <w:b/>
                <w:bCs/>
                <w:sz w:val="22"/>
                <w:szCs w:val="22"/>
              </w:rPr>
            </w:pPr>
          </w:p>
        </w:tc>
        <w:tc>
          <w:tcPr>
            <w:tcW w:w="1596" w:type="dxa"/>
            <w:vAlign w:val="center"/>
          </w:tcPr>
          <w:p>
            <w:pPr>
              <w:spacing w:line="380" w:lineRule="exact"/>
              <w:ind w:left="442" w:hanging="442" w:hangingChars="200"/>
              <w:jc w:val="center"/>
              <w:rPr>
                <w:rFonts w:ascii="新宋体" w:hAnsi="新宋体" w:eastAsia="新宋体"/>
                <w:b/>
                <w:bCs/>
                <w:sz w:val="22"/>
                <w:szCs w:val="22"/>
              </w:rPr>
            </w:pPr>
          </w:p>
        </w:tc>
        <w:tc>
          <w:tcPr>
            <w:tcW w:w="1128" w:type="dxa"/>
            <w:vAlign w:val="center"/>
          </w:tcPr>
          <w:p>
            <w:pPr>
              <w:spacing w:line="380" w:lineRule="exact"/>
              <w:ind w:left="442" w:hanging="442" w:hangingChars="200"/>
              <w:jc w:val="center"/>
              <w:rPr>
                <w:rFonts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ind w:left="442" w:hanging="442" w:hangingChars="200"/>
              <w:jc w:val="center"/>
              <w:rPr>
                <w:rFonts w:ascii="新宋体" w:hAnsi="新宋体" w:eastAsia="新宋体"/>
                <w:b/>
                <w:bCs/>
                <w:sz w:val="22"/>
                <w:szCs w:val="22"/>
              </w:rPr>
            </w:pPr>
          </w:p>
        </w:tc>
        <w:tc>
          <w:tcPr>
            <w:tcW w:w="2520" w:type="dxa"/>
            <w:vAlign w:val="center"/>
          </w:tcPr>
          <w:p>
            <w:pPr>
              <w:spacing w:line="380" w:lineRule="exact"/>
              <w:ind w:left="442" w:hanging="442" w:hangingChars="200"/>
              <w:jc w:val="center"/>
              <w:rPr>
                <w:rFonts w:ascii="新宋体" w:hAnsi="新宋体" w:eastAsia="新宋体"/>
                <w:b/>
                <w:bCs/>
                <w:sz w:val="22"/>
                <w:szCs w:val="22"/>
              </w:rPr>
            </w:pPr>
          </w:p>
        </w:tc>
        <w:tc>
          <w:tcPr>
            <w:tcW w:w="2310" w:type="dxa"/>
            <w:vAlign w:val="center"/>
          </w:tcPr>
          <w:p>
            <w:pPr>
              <w:spacing w:line="380" w:lineRule="exact"/>
              <w:ind w:left="442" w:hanging="442" w:hangingChars="200"/>
              <w:jc w:val="center"/>
              <w:rPr>
                <w:rFonts w:ascii="新宋体" w:hAnsi="新宋体" w:eastAsia="新宋体"/>
                <w:b/>
                <w:bCs/>
                <w:sz w:val="22"/>
                <w:szCs w:val="22"/>
              </w:rPr>
            </w:pPr>
          </w:p>
        </w:tc>
        <w:tc>
          <w:tcPr>
            <w:tcW w:w="1271" w:type="dxa"/>
            <w:vAlign w:val="center"/>
          </w:tcPr>
          <w:p>
            <w:pPr>
              <w:spacing w:line="380" w:lineRule="exact"/>
              <w:ind w:left="442" w:hanging="442" w:hangingChars="200"/>
              <w:jc w:val="center"/>
              <w:rPr>
                <w:rFonts w:ascii="新宋体" w:hAnsi="新宋体" w:eastAsia="新宋体"/>
                <w:b/>
                <w:bCs/>
                <w:sz w:val="22"/>
                <w:szCs w:val="22"/>
              </w:rPr>
            </w:pPr>
          </w:p>
        </w:tc>
        <w:tc>
          <w:tcPr>
            <w:tcW w:w="1596" w:type="dxa"/>
            <w:vAlign w:val="center"/>
          </w:tcPr>
          <w:p>
            <w:pPr>
              <w:spacing w:line="380" w:lineRule="exact"/>
              <w:ind w:left="442" w:hanging="442" w:hangingChars="200"/>
              <w:jc w:val="center"/>
              <w:rPr>
                <w:rFonts w:ascii="新宋体" w:hAnsi="新宋体" w:eastAsia="新宋体"/>
                <w:b/>
                <w:bCs/>
                <w:sz w:val="22"/>
                <w:szCs w:val="22"/>
              </w:rPr>
            </w:pPr>
          </w:p>
        </w:tc>
        <w:tc>
          <w:tcPr>
            <w:tcW w:w="1128" w:type="dxa"/>
            <w:vAlign w:val="center"/>
          </w:tcPr>
          <w:p>
            <w:pPr>
              <w:spacing w:line="380" w:lineRule="exact"/>
              <w:ind w:left="442" w:hanging="442" w:hangingChars="200"/>
              <w:jc w:val="center"/>
              <w:rPr>
                <w:rFonts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ind w:left="442" w:hanging="442" w:hangingChars="200"/>
              <w:jc w:val="center"/>
              <w:rPr>
                <w:rFonts w:ascii="新宋体" w:hAnsi="新宋体" w:eastAsia="新宋体"/>
                <w:b/>
                <w:bCs/>
                <w:sz w:val="22"/>
                <w:szCs w:val="22"/>
              </w:rPr>
            </w:pPr>
          </w:p>
        </w:tc>
        <w:tc>
          <w:tcPr>
            <w:tcW w:w="2520" w:type="dxa"/>
            <w:vAlign w:val="center"/>
          </w:tcPr>
          <w:p>
            <w:pPr>
              <w:spacing w:line="380" w:lineRule="exact"/>
              <w:ind w:left="442" w:hanging="442" w:hangingChars="200"/>
              <w:jc w:val="center"/>
              <w:rPr>
                <w:rFonts w:ascii="新宋体" w:hAnsi="新宋体" w:eastAsia="新宋体"/>
                <w:b/>
                <w:bCs/>
                <w:sz w:val="22"/>
                <w:szCs w:val="22"/>
              </w:rPr>
            </w:pPr>
          </w:p>
        </w:tc>
        <w:tc>
          <w:tcPr>
            <w:tcW w:w="2310" w:type="dxa"/>
            <w:vAlign w:val="center"/>
          </w:tcPr>
          <w:p>
            <w:pPr>
              <w:spacing w:line="380" w:lineRule="exact"/>
              <w:ind w:left="442" w:hanging="442" w:hangingChars="200"/>
              <w:jc w:val="center"/>
              <w:rPr>
                <w:rFonts w:ascii="新宋体" w:hAnsi="新宋体" w:eastAsia="新宋体"/>
                <w:b/>
                <w:bCs/>
                <w:sz w:val="22"/>
                <w:szCs w:val="22"/>
              </w:rPr>
            </w:pPr>
          </w:p>
        </w:tc>
        <w:tc>
          <w:tcPr>
            <w:tcW w:w="1271" w:type="dxa"/>
            <w:vAlign w:val="center"/>
          </w:tcPr>
          <w:p>
            <w:pPr>
              <w:spacing w:line="380" w:lineRule="exact"/>
              <w:ind w:left="442" w:hanging="442" w:hangingChars="200"/>
              <w:jc w:val="center"/>
              <w:rPr>
                <w:rFonts w:ascii="新宋体" w:hAnsi="新宋体" w:eastAsia="新宋体"/>
                <w:b/>
                <w:bCs/>
                <w:sz w:val="22"/>
                <w:szCs w:val="22"/>
              </w:rPr>
            </w:pPr>
          </w:p>
        </w:tc>
        <w:tc>
          <w:tcPr>
            <w:tcW w:w="1596" w:type="dxa"/>
            <w:vAlign w:val="center"/>
          </w:tcPr>
          <w:p>
            <w:pPr>
              <w:spacing w:line="380" w:lineRule="exact"/>
              <w:ind w:left="442" w:hanging="442" w:hangingChars="200"/>
              <w:jc w:val="center"/>
              <w:rPr>
                <w:rFonts w:ascii="新宋体" w:hAnsi="新宋体" w:eastAsia="新宋体"/>
                <w:b/>
                <w:bCs/>
                <w:sz w:val="22"/>
                <w:szCs w:val="22"/>
              </w:rPr>
            </w:pPr>
          </w:p>
        </w:tc>
        <w:tc>
          <w:tcPr>
            <w:tcW w:w="1128" w:type="dxa"/>
            <w:vAlign w:val="center"/>
          </w:tcPr>
          <w:p>
            <w:pPr>
              <w:spacing w:line="380" w:lineRule="exact"/>
              <w:ind w:left="442" w:hanging="442" w:hangingChars="200"/>
              <w:jc w:val="center"/>
              <w:rPr>
                <w:rFonts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ind w:left="442" w:hanging="442" w:hangingChars="200"/>
              <w:jc w:val="center"/>
              <w:rPr>
                <w:rFonts w:ascii="新宋体" w:hAnsi="新宋体" w:eastAsia="新宋体"/>
                <w:b/>
                <w:bCs/>
                <w:sz w:val="22"/>
                <w:szCs w:val="22"/>
              </w:rPr>
            </w:pPr>
          </w:p>
        </w:tc>
        <w:tc>
          <w:tcPr>
            <w:tcW w:w="2520" w:type="dxa"/>
            <w:vAlign w:val="center"/>
          </w:tcPr>
          <w:p>
            <w:pPr>
              <w:spacing w:line="380" w:lineRule="exact"/>
              <w:ind w:left="442" w:hanging="442" w:hangingChars="200"/>
              <w:jc w:val="center"/>
              <w:rPr>
                <w:rFonts w:ascii="新宋体" w:hAnsi="新宋体" w:eastAsia="新宋体"/>
                <w:b/>
                <w:bCs/>
                <w:sz w:val="22"/>
                <w:szCs w:val="22"/>
              </w:rPr>
            </w:pPr>
          </w:p>
        </w:tc>
        <w:tc>
          <w:tcPr>
            <w:tcW w:w="2310" w:type="dxa"/>
            <w:vAlign w:val="center"/>
          </w:tcPr>
          <w:p>
            <w:pPr>
              <w:spacing w:line="380" w:lineRule="exact"/>
              <w:ind w:left="442" w:hanging="442" w:hangingChars="200"/>
              <w:jc w:val="center"/>
              <w:rPr>
                <w:rFonts w:ascii="新宋体" w:hAnsi="新宋体" w:eastAsia="新宋体"/>
                <w:b/>
                <w:bCs/>
                <w:sz w:val="22"/>
                <w:szCs w:val="22"/>
              </w:rPr>
            </w:pPr>
          </w:p>
        </w:tc>
        <w:tc>
          <w:tcPr>
            <w:tcW w:w="1271" w:type="dxa"/>
            <w:vAlign w:val="center"/>
          </w:tcPr>
          <w:p>
            <w:pPr>
              <w:spacing w:line="380" w:lineRule="exact"/>
              <w:ind w:left="442" w:hanging="442" w:hangingChars="200"/>
              <w:jc w:val="center"/>
              <w:rPr>
                <w:rFonts w:ascii="新宋体" w:hAnsi="新宋体" w:eastAsia="新宋体"/>
                <w:b/>
                <w:bCs/>
                <w:sz w:val="22"/>
                <w:szCs w:val="22"/>
              </w:rPr>
            </w:pPr>
          </w:p>
        </w:tc>
        <w:tc>
          <w:tcPr>
            <w:tcW w:w="1596" w:type="dxa"/>
            <w:vAlign w:val="center"/>
          </w:tcPr>
          <w:p>
            <w:pPr>
              <w:spacing w:line="380" w:lineRule="exact"/>
              <w:ind w:left="442" w:hanging="442" w:hangingChars="200"/>
              <w:jc w:val="center"/>
              <w:rPr>
                <w:rFonts w:ascii="新宋体" w:hAnsi="新宋体" w:eastAsia="新宋体"/>
                <w:b/>
                <w:bCs/>
                <w:sz w:val="22"/>
                <w:szCs w:val="22"/>
              </w:rPr>
            </w:pPr>
          </w:p>
        </w:tc>
        <w:tc>
          <w:tcPr>
            <w:tcW w:w="1128" w:type="dxa"/>
            <w:vAlign w:val="center"/>
          </w:tcPr>
          <w:p>
            <w:pPr>
              <w:spacing w:line="380" w:lineRule="exact"/>
              <w:ind w:left="442" w:hanging="442" w:hangingChars="200"/>
              <w:jc w:val="center"/>
              <w:rPr>
                <w:rFonts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ind w:left="442" w:hanging="442" w:hangingChars="200"/>
              <w:jc w:val="center"/>
              <w:rPr>
                <w:rFonts w:ascii="新宋体" w:hAnsi="新宋体" w:eastAsia="新宋体"/>
                <w:b/>
                <w:bCs/>
                <w:sz w:val="22"/>
                <w:szCs w:val="22"/>
              </w:rPr>
            </w:pPr>
          </w:p>
        </w:tc>
        <w:tc>
          <w:tcPr>
            <w:tcW w:w="2520" w:type="dxa"/>
            <w:vAlign w:val="center"/>
          </w:tcPr>
          <w:p>
            <w:pPr>
              <w:spacing w:line="380" w:lineRule="exact"/>
              <w:ind w:left="442" w:hanging="442" w:hangingChars="200"/>
              <w:jc w:val="center"/>
              <w:rPr>
                <w:rFonts w:ascii="新宋体" w:hAnsi="新宋体" w:eastAsia="新宋体"/>
                <w:b/>
                <w:bCs/>
                <w:sz w:val="22"/>
                <w:szCs w:val="22"/>
              </w:rPr>
            </w:pPr>
          </w:p>
        </w:tc>
        <w:tc>
          <w:tcPr>
            <w:tcW w:w="2310" w:type="dxa"/>
            <w:vAlign w:val="center"/>
          </w:tcPr>
          <w:p>
            <w:pPr>
              <w:spacing w:line="380" w:lineRule="exact"/>
              <w:ind w:left="442" w:hanging="442" w:hangingChars="200"/>
              <w:jc w:val="center"/>
              <w:rPr>
                <w:rFonts w:ascii="新宋体" w:hAnsi="新宋体" w:eastAsia="新宋体"/>
                <w:b/>
                <w:bCs/>
                <w:sz w:val="22"/>
                <w:szCs w:val="22"/>
              </w:rPr>
            </w:pPr>
          </w:p>
        </w:tc>
        <w:tc>
          <w:tcPr>
            <w:tcW w:w="1271" w:type="dxa"/>
            <w:vAlign w:val="center"/>
          </w:tcPr>
          <w:p>
            <w:pPr>
              <w:spacing w:line="380" w:lineRule="exact"/>
              <w:ind w:left="442" w:hanging="442" w:hangingChars="200"/>
              <w:jc w:val="center"/>
              <w:rPr>
                <w:rFonts w:ascii="新宋体" w:hAnsi="新宋体" w:eastAsia="新宋体"/>
                <w:b/>
                <w:bCs/>
                <w:sz w:val="22"/>
                <w:szCs w:val="22"/>
              </w:rPr>
            </w:pPr>
          </w:p>
        </w:tc>
        <w:tc>
          <w:tcPr>
            <w:tcW w:w="1596" w:type="dxa"/>
            <w:vAlign w:val="center"/>
          </w:tcPr>
          <w:p>
            <w:pPr>
              <w:spacing w:line="380" w:lineRule="exact"/>
              <w:ind w:left="442" w:hanging="442" w:hangingChars="200"/>
              <w:jc w:val="center"/>
              <w:rPr>
                <w:rFonts w:ascii="新宋体" w:hAnsi="新宋体" w:eastAsia="新宋体"/>
                <w:b/>
                <w:bCs/>
                <w:sz w:val="22"/>
                <w:szCs w:val="22"/>
              </w:rPr>
            </w:pPr>
          </w:p>
        </w:tc>
        <w:tc>
          <w:tcPr>
            <w:tcW w:w="1128" w:type="dxa"/>
            <w:vAlign w:val="center"/>
          </w:tcPr>
          <w:p>
            <w:pPr>
              <w:spacing w:line="380" w:lineRule="exact"/>
              <w:ind w:left="442" w:hanging="442" w:hangingChars="200"/>
              <w:jc w:val="center"/>
              <w:rPr>
                <w:rFonts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ind w:left="442" w:hanging="442" w:hangingChars="200"/>
              <w:jc w:val="center"/>
              <w:rPr>
                <w:rFonts w:ascii="新宋体" w:hAnsi="新宋体" w:eastAsia="新宋体"/>
                <w:b/>
                <w:bCs/>
                <w:sz w:val="22"/>
                <w:szCs w:val="22"/>
              </w:rPr>
            </w:pPr>
          </w:p>
        </w:tc>
        <w:tc>
          <w:tcPr>
            <w:tcW w:w="2520" w:type="dxa"/>
            <w:vAlign w:val="center"/>
          </w:tcPr>
          <w:p>
            <w:pPr>
              <w:spacing w:line="380" w:lineRule="exact"/>
              <w:ind w:left="442" w:hanging="442" w:hangingChars="200"/>
              <w:jc w:val="center"/>
              <w:rPr>
                <w:rFonts w:ascii="新宋体" w:hAnsi="新宋体" w:eastAsia="新宋体"/>
                <w:b/>
                <w:bCs/>
                <w:sz w:val="22"/>
                <w:szCs w:val="22"/>
              </w:rPr>
            </w:pPr>
          </w:p>
        </w:tc>
        <w:tc>
          <w:tcPr>
            <w:tcW w:w="2310" w:type="dxa"/>
            <w:vAlign w:val="center"/>
          </w:tcPr>
          <w:p>
            <w:pPr>
              <w:spacing w:line="380" w:lineRule="exact"/>
              <w:ind w:left="442" w:hanging="442" w:hangingChars="200"/>
              <w:jc w:val="center"/>
              <w:rPr>
                <w:rFonts w:ascii="新宋体" w:hAnsi="新宋体" w:eastAsia="新宋体"/>
                <w:b/>
                <w:bCs/>
                <w:sz w:val="22"/>
                <w:szCs w:val="22"/>
              </w:rPr>
            </w:pPr>
          </w:p>
        </w:tc>
        <w:tc>
          <w:tcPr>
            <w:tcW w:w="1271" w:type="dxa"/>
            <w:vAlign w:val="center"/>
          </w:tcPr>
          <w:p>
            <w:pPr>
              <w:spacing w:line="380" w:lineRule="exact"/>
              <w:ind w:left="442" w:hanging="442" w:hangingChars="200"/>
              <w:jc w:val="center"/>
              <w:rPr>
                <w:rFonts w:ascii="新宋体" w:hAnsi="新宋体" w:eastAsia="新宋体"/>
                <w:b/>
                <w:bCs/>
                <w:sz w:val="22"/>
                <w:szCs w:val="22"/>
              </w:rPr>
            </w:pPr>
          </w:p>
        </w:tc>
        <w:tc>
          <w:tcPr>
            <w:tcW w:w="1596" w:type="dxa"/>
            <w:vAlign w:val="center"/>
          </w:tcPr>
          <w:p>
            <w:pPr>
              <w:spacing w:line="380" w:lineRule="exact"/>
              <w:ind w:left="442" w:hanging="442" w:hangingChars="200"/>
              <w:jc w:val="center"/>
              <w:rPr>
                <w:rFonts w:ascii="新宋体" w:hAnsi="新宋体" w:eastAsia="新宋体"/>
                <w:b/>
                <w:bCs/>
                <w:sz w:val="22"/>
                <w:szCs w:val="22"/>
              </w:rPr>
            </w:pPr>
          </w:p>
        </w:tc>
        <w:tc>
          <w:tcPr>
            <w:tcW w:w="1128" w:type="dxa"/>
            <w:vAlign w:val="center"/>
          </w:tcPr>
          <w:p>
            <w:pPr>
              <w:spacing w:line="380" w:lineRule="exact"/>
              <w:ind w:left="442" w:hanging="442" w:hangingChars="200"/>
              <w:jc w:val="center"/>
              <w:rPr>
                <w:rFonts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ind w:left="442" w:hanging="442" w:hangingChars="200"/>
              <w:jc w:val="center"/>
              <w:rPr>
                <w:rFonts w:ascii="新宋体" w:hAnsi="新宋体" w:eastAsia="新宋体"/>
                <w:b/>
                <w:bCs/>
                <w:sz w:val="22"/>
                <w:szCs w:val="22"/>
              </w:rPr>
            </w:pPr>
          </w:p>
        </w:tc>
        <w:tc>
          <w:tcPr>
            <w:tcW w:w="2520" w:type="dxa"/>
            <w:vAlign w:val="center"/>
          </w:tcPr>
          <w:p>
            <w:pPr>
              <w:spacing w:line="380" w:lineRule="exact"/>
              <w:ind w:left="442" w:hanging="442" w:hangingChars="200"/>
              <w:jc w:val="center"/>
              <w:rPr>
                <w:rFonts w:ascii="新宋体" w:hAnsi="新宋体" w:eastAsia="新宋体"/>
                <w:b/>
                <w:bCs/>
                <w:sz w:val="22"/>
                <w:szCs w:val="22"/>
              </w:rPr>
            </w:pPr>
          </w:p>
        </w:tc>
        <w:tc>
          <w:tcPr>
            <w:tcW w:w="2310" w:type="dxa"/>
            <w:vAlign w:val="center"/>
          </w:tcPr>
          <w:p>
            <w:pPr>
              <w:spacing w:line="380" w:lineRule="exact"/>
              <w:ind w:left="442" w:hanging="442" w:hangingChars="200"/>
              <w:jc w:val="center"/>
              <w:rPr>
                <w:rFonts w:ascii="新宋体" w:hAnsi="新宋体" w:eastAsia="新宋体"/>
                <w:b/>
                <w:bCs/>
                <w:sz w:val="22"/>
                <w:szCs w:val="22"/>
              </w:rPr>
            </w:pPr>
          </w:p>
        </w:tc>
        <w:tc>
          <w:tcPr>
            <w:tcW w:w="1271" w:type="dxa"/>
            <w:vAlign w:val="center"/>
          </w:tcPr>
          <w:p>
            <w:pPr>
              <w:spacing w:line="380" w:lineRule="exact"/>
              <w:ind w:left="442" w:hanging="442" w:hangingChars="200"/>
              <w:jc w:val="center"/>
              <w:rPr>
                <w:rFonts w:ascii="新宋体" w:hAnsi="新宋体" w:eastAsia="新宋体"/>
                <w:b/>
                <w:bCs/>
                <w:sz w:val="22"/>
                <w:szCs w:val="22"/>
              </w:rPr>
            </w:pPr>
          </w:p>
        </w:tc>
        <w:tc>
          <w:tcPr>
            <w:tcW w:w="1596" w:type="dxa"/>
            <w:vAlign w:val="center"/>
          </w:tcPr>
          <w:p>
            <w:pPr>
              <w:spacing w:line="380" w:lineRule="exact"/>
              <w:ind w:left="442" w:hanging="442" w:hangingChars="200"/>
              <w:jc w:val="center"/>
              <w:rPr>
                <w:rFonts w:ascii="新宋体" w:hAnsi="新宋体" w:eastAsia="新宋体"/>
                <w:b/>
                <w:bCs/>
                <w:sz w:val="22"/>
                <w:szCs w:val="22"/>
              </w:rPr>
            </w:pPr>
          </w:p>
        </w:tc>
        <w:tc>
          <w:tcPr>
            <w:tcW w:w="1128" w:type="dxa"/>
            <w:vAlign w:val="center"/>
          </w:tcPr>
          <w:p>
            <w:pPr>
              <w:spacing w:line="380" w:lineRule="exact"/>
              <w:ind w:left="442" w:hanging="442" w:hangingChars="200"/>
              <w:jc w:val="center"/>
              <w:rPr>
                <w:rFonts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ind w:left="442" w:hanging="442" w:hangingChars="200"/>
              <w:jc w:val="center"/>
              <w:rPr>
                <w:rFonts w:ascii="新宋体" w:hAnsi="新宋体" w:eastAsia="新宋体"/>
                <w:b/>
                <w:bCs/>
                <w:sz w:val="22"/>
                <w:szCs w:val="22"/>
              </w:rPr>
            </w:pPr>
          </w:p>
        </w:tc>
        <w:tc>
          <w:tcPr>
            <w:tcW w:w="2520" w:type="dxa"/>
            <w:vAlign w:val="center"/>
          </w:tcPr>
          <w:p>
            <w:pPr>
              <w:spacing w:line="380" w:lineRule="exact"/>
              <w:ind w:left="442" w:hanging="442" w:hangingChars="200"/>
              <w:jc w:val="center"/>
              <w:rPr>
                <w:rFonts w:ascii="新宋体" w:hAnsi="新宋体" w:eastAsia="新宋体"/>
                <w:b/>
                <w:bCs/>
                <w:sz w:val="22"/>
                <w:szCs w:val="22"/>
              </w:rPr>
            </w:pPr>
          </w:p>
        </w:tc>
        <w:tc>
          <w:tcPr>
            <w:tcW w:w="2310" w:type="dxa"/>
            <w:vAlign w:val="center"/>
          </w:tcPr>
          <w:p>
            <w:pPr>
              <w:spacing w:line="380" w:lineRule="exact"/>
              <w:ind w:left="442" w:hanging="442" w:hangingChars="200"/>
              <w:jc w:val="center"/>
              <w:rPr>
                <w:rFonts w:ascii="新宋体" w:hAnsi="新宋体" w:eastAsia="新宋体"/>
                <w:b/>
                <w:bCs/>
                <w:sz w:val="22"/>
                <w:szCs w:val="22"/>
              </w:rPr>
            </w:pPr>
          </w:p>
        </w:tc>
        <w:tc>
          <w:tcPr>
            <w:tcW w:w="1271" w:type="dxa"/>
            <w:vAlign w:val="center"/>
          </w:tcPr>
          <w:p>
            <w:pPr>
              <w:spacing w:line="380" w:lineRule="exact"/>
              <w:ind w:left="442" w:hanging="442" w:hangingChars="200"/>
              <w:jc w:val="center"/>
              <w:rPr>
                <w:rFonts w:ascii="新宋体" w:hAnsi="新宋体" w:eastAsia="新宋体"/>
                <w:b/>
                <w:bCs/>
                <w:sz w:val="22"/>
                <w:szCs w:val="22"/>
              </w:rPr>
            </w:pPr>
          </w:p>
        </w:tc>
        <w:tc>
          <w:tcPr>
            <w:tcW w:w="1596" w:type="dxa"/>
            <w:vAlign w:val="center"/>
          </w:tcPr>
          <w:p>
            <w:pPr>
              <w:spacing w:line="380" w:lineRule="exact"/>
              <w:ind w:left="442" w:hanging="442" w:hangingChars="200"/>
              <w:jc w:val="center"/>
              <w:rPr>
                <w:rFonts w:ascii="新宋体" w:hAnsi="新宋体" w:eastAsia="新宋体"/>
                <w:b/>
                <w:bCs/>
                <w:sz w:val="22"/>
                <w:szCs w:val="22"/>
              </w:rPr>
            </w:pPr>
          </w:p>
        </w:tc>
        <w:tc>
          <w:tcPr>
            <w:tcW w:w="1128" w:type="dxa"/>
            <w:vAlign w:val="center"/>
          </w:tcPr>
          <w:p>
            <w:pPr>
              <w:spacing w:line="380" w:lineRule="exact"/>
              <w:ind w:left="442" w:hanging="442" w:hangingChars="200"/>
              <w:jc w:val="center"/>
              <w:rPr>
                <w:rFonts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ind w:left="442" w:hanging="442" w:hangingChars="200"/>
              <w:jc w:val="center"/>
              <w:rPr>
                <w:rFonts w:ascii="新宋体" w:hAnsi="新宋体" w:eastAsia="新宋体"/>
                <w:b/>
                <w:bCs/>
                <w:sz w:val="22"/>
                <w:szCs w:val="22"/>
              </w:rPr>
            </w:pPr>
          </w:p>
        </w:tc>
        <w:tc>
          <w:tcPr>
            <w:tcW w:w="2520" w:type="dxa"/>
            <w:vAlign w:val="center"/>
          </w:tcPr>
          <w:p>
            <w:pPr>
              <w:spacing w:line="380" w:lineRule="exact"/>
              <w:ind w:left="442" w:hanging="442" w:hangingChars="200"/>
              <w:jc w:val="center"/>
              <w:rPr>
                <w:rFonts w:ascii="新宋体" w:hAnsi="新宋体" w:eastAsia="新宋体"/>
                <w:b/>
                <w:bCs/>
                <w:sz w:val="22"/>
                <w:szCs w:val="22"/>
              </w:rPr>
            </w:pPr>
          </w:p>
        </w:tc>
        <w:tc>
          <w:tcPr>
            <w:tcW w:w="2310" w:type="dxa"/>
            <w:vAlign w:val="center"/>
          </w:tcPr>
          <w:p>
            <w:pPr>
              <w:spacing w:line="380" w:lineRule="exact"/>
              <w:ind w:left="442" w:hanging="442" w:hangingChars="200"/>
              <w:jc w:val="center"/>
              <w:rPr>
                <w:rFonts w:ascii="新宋体" w:hAnsi="新宋体" w:eastAsia="新宋体"/>
                <w:b/>
                <w:bCs/>
                <w:sz w:val="22"/>
                <w:szCs w:val="22"/>
              </w:rPr>
            </w:pPr>
          </w:p>
        </w:tc>
        <w:tc>
          <w:tcPr>
            <w:tcW w:w="1271" w:type="dxa"/>
            <w:vAlign w:val="center"/>
          </w:tcPr>
          <w:p>
            <w:pPr>
              <w:spacing w:line="380" w:lineRule="exact"/>
              <w:ind w:left="442" w:hanging="442" w:hangingChars="200"/>
              <w:jc w:val="center"/>
              <w:rPr>
                <w:rFonts w:ascii="新宋体" w:hAnsi="新宋体" w:eastAsia="新宋体"/>
                <w:b/>
                <w:bCs/>
                <w:sz w:val="22"/>
                <w:szCs w:val="22"/>
              </w:rPr>
            </w:pPr>
          </w:p>
        </w:tc>
        <w:tc>
          <w:tcPr>
            <w:tcW w:w="1596" w:type="dxa"/>
            <w:vAlign w:val="center"/>
          </w:tcPr>
          <w:p>
            <w:pPr>
              <w:spacing w:line="380" w:lineRule="exact"/>
              <w:ind w:left="442" w:hanging="442" w:hangingChars="200"/>
              <w:jc w:val="center"/>
              <w:rPr>
                <w:rFonts w:ascii="新宋体" w:hAnsi="新宋体" w:eastAsia="新宋体"/>
                <w:b/>
                <w:bCs/>
                <w:sz w:val="22"/>
                <w:szCs w:val="22"/>
              </w:rPr>
            </w:pPr>
          </w:p>
        </w:tc>
        <w:tc>
          <w:tcPr>
            <w:tcW w:w="1128" w:type="dxa"/>
            <w:vAlign w:val="center"/>
          </w:tcPr>
          <w:p>
            <w:pPr>
              <w:spacing w:line="380" w:lineRule="exact"/>
              <w:ind w:left="442" w:hanging="442" w:hangingChars="200"/>
              <w:jc w:val="center"/>
              <w:rPr>
                <w:rFonts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ind w:left="442" w:hanging="442" w:hangingChars="200"/>
              <w:jc w:val="center"/>
              <w:rPr>
                <w:rFonts w:ascii="新宋体" w:hAnsi="新宋体" w:eastAsia="新宋体"/>
                <w:b/>
                <w:bCs/>
                <w:sz w:val="22"/>
                <w:szCs w:val="22"/>
              </w:rPr>
            </w:pPr>
          </w:p>
        </w:tc>
        <w:tc>
          <w:tcPr>
            <w:tcW w:w="2520" w:type="dxa"/>
            <w:vAlign w:val="center"/>
          </w:tcPr>
          <w:p>
            <w:pPr>
              <w:spacing w:line="380" w:lineRule="exact"/>
              <w:ind w:left="442" w:hanging="442" w:hangingChars="200"/>
              <w:jc w:val="center"/>
              <w:rPr>
                <w:rFonts w:ascii="新宋体" w:hAnsi="新宋体" w:eastAsia="新宋体"/>
                <w:b/>
                <w:bCs/>
                <w:sz w:val="22"/>
                <w:szCs w:val="22"/>
              </w:rPr>
            </w:pPr>
          </w:p>
        </w:tc>
        <w:tc>
          <w:tcPr>
            <w:tcW w:w="2310" w:type="dxa"/>
            <w:vAlign w:val="center"/>
          </w:tcPr>
          <w:p>
            <w:pPr>
              <w:spacing w:line="380" w:lineRule="exact"/>
              <w:ind w:left="442" w:hanging="442" w:hangingChars="200"/>
              <w:jc w:val="center"/>
              <w:rPr>
                <w:rFonts w:ascii="新宋体" w:hAnsi="新宋体" w:eastAsia="新宋体"/>
                <w:b/>
                <w:bCs/>
                <w:sz w:val="22"/>
                <w:szCs w:val="22"/>
              </w:rPr>
            </w:pPr>
          </w:p>
        </w:tc>
        <w:tc>
          <w:tcPr>
            <w:tcW w:w="1271" w:type="dxa"/>
            <w:vAlign w:val="center"/>
          </w:tcPr>
          <w:p>
            <w:pPr>
              <w:spacing w:line="380" w:lineRule="exact"/>
              <w:ind w:left="442" w:hanging="442" w:hangingChars="200"/>
              <w:jc w:val="center"/>
              <w:rPr>
                <w:rFonts w:ascii="新宋体" w:hAnsi="新宋体" w:eastAsia="新宋体"/>
                <w:b/>
                <w:bCs/>
                <w:sz w:val="22"/>
                <w:szCs w:val="22"/>
              </w:rPr>
            </w:pPr>
          </w:p>
        </w:tc>
        <w:tc>
          <w:tcPr>
            <w:tcW w:w="1596" w:type="dxa"/>
            <w:vAlign w:val="center"/>
          </w:tcPr>
          <w:p>
            <w:pPr>
              <w:spacing w:line="380" w:lineRule="exact"/>
              <w:ind w:left="442" w:hanging="442" w:hangingChars="200"/>
              <w:jc w:val="center"/>
              <w:rPr>
                <w:rFonts w:ascii="新宋体" w:hAnsi="新宋体" w:eastAsia="新宋体"/>
                <w:b/>
                <w:bCs/>
                <w:sz w:val="22"/>
                <w:szCs w:val="22"/>
              </w:rPr>
            </w:pPr>
          </w:p>
        </w:tc>
        <w:tc>
          <w:tcPr>
            <w:tcW w:w="1128" w:type="dxa"/>
            <w:vAlign w:val="center"/>
          </w:tcPr>
          <w:p>
            <w:pPr>
              <w:spacing w:line="380" w:lineRule="exact"/>
              <w:ind w:left="442" w:hanging="442" w:hangingChars="200"/>
              <w:jc w:val="center"/>
              <w:rPr>
                <w:rFonts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ind w:left="442" w:hanging="442" w:hangingChars="200"/>
              <w:jc w:val="center"/>
              <w:rPr>
                <w:rFonts w:ascii="新宋体" w:hAnsi="新宋体" w:eastAsia="新宋体"/>
                <w:b/>
                <w:bCs/>
                <w:sz w:val="22"/>
                <w:szCs w:val="22"/>
              </w:rPr>
            </w:pPr>
          </w:p>
        </w:tc>
        <w:tc>
          <w:tcPr>
            <w:tcW w:w="2520" w:type="dxa"/>
            <w:vAlign w:val="center"/>
          </w:tcPr>
          <w:p>
            <w:pPr>
              <w:spacing w:line="380" w:lineRule="exact"/>
              <w:ind w:left="442" w:hanging="442" w:hangingChars="200"/>
              <w:jc w:val="center"/>
              <w:rPr>
                <w:rFonts w:ascii="新宋体" w:hAnsi="新宋体" w:eastAsia="新宋体"/>
                <w:b/>
                <w:bCs/>
                <w:sz w:val="22"/>
                <w:szCs w:val="22"/>
              </w:rPr>
            </w:pPr>
          </w:p>
        </w:tc>
        <w:tc>
          <w:tcPr>
            <w:tcW w:w="2310" w:type="dxa"/>
            <w:vAlign w:val="center"/>
          </w:tcPr>
          <w:p>
            <w:pPr>
              <w:spacing w:line="380" w:lineRule="exact"/>
              <w:ind w:left="442" w:hanging="442" w:hangingChars="200"/>
              <w:jc w:val="center"/>
              <w:rPr>
                <w:rFonts w:ascii="新宋体" w:hAnsi="新宋体" w:eastAsia="新宋体"/>
                <w:b/>
                <w:bCs/>
                <w:sz w:val="22"/>
                <w:szCs w:val="22"/>
              </w:rPr>
            </w:pPr>
          </w:p>
        </w:tc>
        <w:tc>
          <w:tcPr>
            <w:tcW w:w="1271" w:type="dxa"/>
            <w:vAlign w:val="center"/>
          </w:tcPr>
          <w:p>
            <w:pPr>
              <w:spacing w:line="380" w:lineRule="exact"/>
              <w:ind w:left="442" w:hanging="442" w:hangingChars="200"/>
              <w:jc w:val="center"/>
              <w:rPr>
                <w:rFonts w:ascii="新宋体" w:hAnsi="新宋体" w:eastAsia="新宋体"/>
                <w:b/>
                <w:bCs/>
                <w:sz w:val="22"/>
                <w:szCs w:val="22"/>
              </w:rPr>
            </w:pPr>
          </w:p>
        </w:tc>
        <w:tc>
          <w:tcPr>
            <w:tcW w:w="1596" w:type="dxa"/>
            <w:vAlign w:val="center"/>
          </w:tcPr>
          <w:p>
            <w:pPr>
              <w:spacing w:line="380" w:lineRule="exact"/>
              <w:ind w:left="442" w:hanging="442" w:hangingChars="200"/>
              <w:jc w:val="center"/>
              <w:rPr>
                <w:rFonts w:ascii="新宋体" w:hAnsi="新宋体" w:eastAsia="新宋体"/>
                <w:b/>
                <w:bCs/>
                <w:sz w:val="22"/>
                <w:szCs w:val="22"/>
              </w:rPr>
            </w:pPr>
          </w:p>
        </w:tc>
        <w:tc>
          <w:tcPr>
            <w:tcW w:w="1128" w:type="dxa"/>
            <w:vAlign w:val="center"/>
          </w:tcPr>
          <w:p>
            <w:pPr>
              <w:spacing w:line="380" w:lineRule="exact"/>
              <w:ind w:left="442" w:hanging="442" w:hangingChars="200"/>
              <w:jc w:val="center"/>
              <w:rPr>
                <w:rFonts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ind w:left="442" w:hanging="442" w:hangingChars="200"/>
              <w:jc w:val="center"/>
              <w:rPr>
                <w:rFonts w:ascii="新宋体" w:hAnsi="新宋体" w:eastAsia="新宋体"/>
                <w:b/>
                <w:bCs/>
                <w:sz w:val="22"/>
                <w:szCs w:val="22"/>
              </w:rPr>
            </w:pPr>
          </w:p>
        </w:tc>
        <w:tc>
          <w:tcPr>
            <w:tcW w:w="2520" w:type="dxa"/>
            <w:vAlign w:val="center"/>
          </w:tcPr>
          <w:p>
            <w:pPr>
              <w:spacing w:line="380" w:lineRule="exact"/>
              <w:ind w:left="442" w:hanging="442" w:hangingChars="200"/>
              <w:jc w:val="center"/>
              <w:rPr>
                <w:rFonts w:ascii="新宋体" w:hAnsi="新宋体" w:eastAsia="新宋体"/>
                <w:b/>
                <w:bCs/>
                <w:sz w:val="22"/>
                <w:szCs w:val="22"/>
              </w:rPr>
            </w:pPr>
          </w:p>
        </w:tc>
        <w:tc>
          <w:tcPr>
            <w:tcW w:w="2310" w:type="dxa"/>
            <w:vAlign w:val="center"/>
          </w:tcPr>
          <w:p>
            <w:pPr>
              <w:spacing w:line="380" w:lineRule="exact"/>
              <w:ind w:left="442" w:hanging="442" w:hangingChars="200"/>
              <w:jc w:val="center"/>
              <w:rPr>
                <w:rFonts w:ascii="新宋体" w:hAnsi="新宋体" w:eastAsia="新宋体"/>
                <w:b/>
                <w:bCs/>
                <w:sz w:val="22"/>
                <w:szCs w:val="22"/>
              </w:rPr>
            </w:pPr>
          </w:p>
        </w:tc>
        <w:tc>
          <w:tcPr>
            <w:tcW w:w="1271" w:type="dxa"/>
            <w:vAlign w:val="center"/>
          </w:tcPr>
          <w:p>
            <w:pPr>
              <w:spacing w:line="380" w:lineRule="exact"/>
              <w:ind w:left="442" w:hanging="442" w:hangingChars="200"/>
              <w:jc w:val="center"/>
              <w:rPr>
                <w:rFonts w:ascii="新宋体" w:hAnsi="新宋体" w:eastAsia="新宋体"/>
                <w:b/>
                <w:bCs/>
                <w:sz w:val="22"/>
                <w:szCs w:val="22"/>
              </w:rPr>
            </w:pPr>
          </w:p>
        </w:tc>
        <w:tc>
          <w:tcPr>
            <w:tcW w:w="1596" w:type="dxa"/>
            <w:vAlign w:val="center"/>
          </w:tcPr>
          <w:p>
            <w:pPr>
              <w:spacing w:line="380" w:lineRule="exact"/>
              <w:ind w:left="442" w:hanging="442" w:hangingChars="200"/>
              <w:jc w:val="center"/>
              <w:rPr>
                <w:rFonts w:ascii="新宋体" w:hAnsi="新宋体" w:eastAsia="新宋体"/>
                <w:b/>
                <w:bCs/>
                <w:sz w:val="22"/>
                <w:szCs w:val="22"/>
              </w:rPr>
            </w:pPr>
          </w:p>
        </w:tc>
        <w:tc>
          <w:tcPr>
            <w:tcW w:w="1128" w:type="dxa"/>
            <w:vAlign w:val="center"/>
          </w:tcPr>
          <w:p>
            <w:pPr>
              <w:spacing w:line="380" w:lineRule="exact"/>
              <w:ind w:left="442" w:hanging="442" w:hangingChars="200"/>
              <w:jc w:val="center"/>
              <w:rPr>
                <w:rFonts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ind w:left="442" w:hanging="442" w:hangingChars="200"/>
              <w:jc w:val="center"/>
              <w:rPr>
                <w:rFonts w:ascii="新宋体" w:hAnsi="新宋体" w:eastAsia="新宋体"/>
                <w:b/>
                <w:bCs/>
                <w:sz w:val="22"/>
                <w:szCs w:val="22"/>
              </w:rPr>
            </w:pPr>
          </w:p>
        </w:tc>
        <w:tc>
          <w:tcPr>
            <w:tcW w:w="2520" w:type="dxa"/>
            <w:vAlign w:val="center"/>
          </w:tcPr>
          <w:p>
            <w:pPr>
              <w:spacing w:line="380" w:lineRule="exact"/>
              <w:ind w:left="442" w:hanging="442" w:hangingChars="200"/>
              <w:jc w:val="center"/>
              <w:rPr>
                <w:rFonts w:ascii="新宋体" w:hAnsi="新宋体" w:eastAsia="新宋体"/>
                <w:b/>
                <w:bCs/>
                <w:sz w:val="22"/>
                <w:szCs w:val="22"/>
              </w:rPr>
            </w:pPr>
          </w:p>
        </w:tc>
        <w:tc>
          <w:tcPr>
            <w:tcW w:w="2310" w:type="dxa"/>
            <w:vAlign w:val="center"/>
          </w:tcPr>
          <w:p>
            <w:pPr>
              <w:spacing w:line="380" w:lineRule="exact"/>
              <w:ind w:left="442" w:hanging="442" w:hangingChars="200"/>
              <w:jc w:val="center"/>
              <w:rPr>
                <w:rFonts w:ascii="新宋体" w:hAnsi="新宋体" w:eastAsia="新宋体"/>
                <w:b/>
                <w:bCs/>
                <w:sz w:val="22"/>
                <w:szCs w:val="22"/>
              </w:rPr>
            </w:pPr>
          </w:p>
        </w:tc>
        <w:tc>
          <w:tcPr>
            <w:tcW w:w="1271" w:type="dxa"/>
            <w:vAlign w:val="center"/>
          </w:tcPr>
          <w:p>
            <w:pPr>
              <w:spacing w:line="380" w:lineRule="exact"/>
              <w:ind w:left="442" w:hanging="442" w:hangingChars="200"/>
              <w:jc w:val="center"/>
              <w:rPr>
                <w:rFonts w:ascii="新宋体" w:hAnsi="新宋体" w:eastAsia="新宋体"/>
                <w:b/>
                <w:bCs/>
                <w:sz w:val="22"/>
                <w:szCs w:val="22"/>
              </w:rPr>
            </w:pPr>
          </w:p>
        </w:tc>
        <w:tc>
          <w:tcPr>
            <w:tcW w:w="1596" w:type="dxa"/>
            <w:vAlign w:val="center"/>
          </w:tcPr>
          <w:p>
            <w:pPr>
              <w:spacing w:line="380" w:lineRule="exact"/>
              <w:ind w:left="442" w:hanging="442" w:hangingChars="200"/>
              <w:jc w:val="center"/>
              <w:rPr>
                <w:rFonts w:ascii="新宋体" w:hAnsi="新宋体" w:eastAsia="新宋体"/>
                <w:b/>
                <w:bCs/>
                <w:sz w:val="22"/>
                <w:szCs w:val="22"/>
              </w:rPr>
            </w:pPr>
          </w:p>
        </w:tc>
        <w:tc>
          <w:tcPr>
            <w:tcW w:w="1128" w:type="dxa"/>
            <w:vAlign w:val="center"/>
          </w:tcPr>
          <w:p>
            <w:pPr>
              <w:spacing w:line="380" w:lineRule="exact"/>
              <w:ind w:left="442" w:hanging="442" w:hangingChars="200"/>
              <w:jc w:val="center"/>
              <w:rPr>
                <w:rFonts w:ascii="新宋体" w:hAnsi="新宋体" w:eastAsia="新宋体"/>
                <w:b/>
                <w:bCs/>
                <w:sz w:val="22"/>
                <w:szCs w:val="22"/>
              </w:rPr>
            </w:pPr>
          </w:p>
        </w:tc>
      </w:tr>
    </w:tbl>
    <w:p>
      <w:pPr>
        <w:spacing w:line="460" w:lineRule="exact"/>
        <w:ind w:firstLine="541" w:firstLineChars="245"/>
        <w:rPr>
          <w:rFonts w:ascii="新宋体" w:hAnsi="新宋体" w:eastAsia="新宋体"/>
          <w:b/>
          <w:bCs/>
          <w:sz w:val="22"/>
          <w:szCs w:val="22"/>
        </w:rPr>
      </w:pPr>
      <w:r>
        <w:rPr>
          <w:rFonts w:hint="eastAsia" w:ascii="新宋体" w:hAnsi="新宋体" w:eastAsia="新宋体"/>
          <w:b/>
          <w:bCs/>
          <w:sz w:val="22"/>
          <w:szCs w:val="22"/>
        </w:rPr>
        <w:t>注：投标人可按此表格式复制，需提供合同原件扫描件件。</w:t>
      </w:r>
    </w:p>
    <w:p>
      <w:pPr>
        <w:spacing w:line="380" w:lineRule="exact"/>
        <w:rPr>
          <w:rFonts w:ascii="新宋体" w:hAnsi="新宋体" w:eastAsia="新宋体"/>
          <w:sz w:val="22"/>
          <w:szCs w:val="22"/>
        </w:rPr>
      </w:pPr>
    </w:p>
    <w:p>
      <w:pPr>
        <w:spacing w:line="380" w:lineRule="exact"/>
        <w:ind w:firstLine="4400" w:firstLineChars="2000"/>
        <w:rPr>
          <w:rFonts w:ascii="新宋体" w:hAnsi="新宋体" w:eastAsia="新宋体"/>
          <w:sz w:val="22"/>
          <w:szCs w:val="22"/>
        </w:rPr>
      </w:pPr>
      <w:r>
        <w:rPr>
          <w:rFonts w:hint="eastAsia" w:ascii="新宋体" w:hAnsi="新宋体" w:eastAsia="新宋体"/>
          <w:sz w:val="22"/>
          <w:szCs w:val="22"/>
        </w:rPr>
        <w:t>投标人全称（盖章）：</w:t>
      </w:r>
    </w:p>
    <w:p>
      <w:pPr>
        <w:spacing w:line="380" w:lineRule="exact"/>
        <w:ind w:firstLine="4400" w:firstLineChars="2000"/>
        <w:rPr>
          <w:rFonts w:ascii="新宋体" w:hAnsi="新宋体" w:eastAsia="新宋体"/>
          <w:sz w:val="22"/>
          <w:szCs w:val="22"/>
        </w:rPr>
      </w:pPr>
      <w:r>
        <w:rPr>
          <w:rFonts w:hint="eastAsia" w:ascii="新宋体" w:hAnsi="新宋体" w:eastAsia="新宋体"/>
          <w:sz w:val="22"/>
          <w:szCs w:val="22"/>
        </w:rPr>
        <w:t>投标人代表（签字）：</w:t>
      </w:r>
    </w:p>
    <w:p>
      <w:pPr>
        <w:spacing w:line="380" w:lineRule="exact"/>
        <w:ind w:firstLine="4400" w:firstLineChars="2000"/>
        <w:rPr>
          <w:rFonts w:ascii="新宋体" w:hAnsi="新宋体" w:eastAsia="新宋体"/>
          <w:sz w:val="22"/>
          <w:szCs w:val="22"/>
        </w:rPr>
      </w:pPr>
      <w:r>
        <w:rPr>
          <w:rFonts w:hint="eastAsia" w:ascii="新宋体" w:hAnsi="新宋体" w:eastAsia="新宋体"/>
          <w:sz w:val="22"/>
          <w:szCs w:val="22"/>
        </w:rPr>
        <w:t>日  期：  年  月</w:t>
      </w:r>
    </w:p>
    <w:p>
      <w:pPr>
        <w:spacing w:line="360" w:lineRule="auto"/>
        <w:jc w:val="left"/>
        <w:rPr>
          <w:rFonts w:hint="eastAsia" w:eastAsia="宋体"/>
          <w:lang w:eastAsia="zh-CN"/>
        </w:rPr>
      </w:pPr>
      <w:r>
        <w:rPr>
          <w:rFonts w:hint="eastAsia" w:ascii="宋体" w:hAnsi="宋体" w:cs="宋体"/>
          <w:sz w:val="22"/>
          <w:szCs w:val="22"/>
        </w:rPr>
        <w:br w:type="page"/>
      </w:r>
      <w:r>
        <w:rPr>
          <w:rFonts w:hint="eastAsia"/>
        </w:rPr>
        <w:t>附件十</w:t>
      </w:r>
      <w:r>
        <w:rPr>
          <w:rFonts w:hint="eastAsia"/>
          <w:lang w:eastAsia="zh-CN"/>
        </w:rPr>
        <w:t>二</w:t>
      </w:r>
    </w:p>
    <w:p>
      <w:pPr>
        <w:autoSpaceDE w:val="0"/>
        <w:autoSpaceDN w:val="0"/>
        <w:adjustRightInd w:val="0"/>
        <w:spacing w:line="460" w:lineRule="atLeast"/>
        <w:jc w:val="center"/>
        <w:rPr>
          <w:rFonts w:ascii="宋体"/>
          <w:sz w:val="36"/>
          <w:lang w:val="zh-CN"/>
        </w:rPr>
      </w:pPr>
      <w:r>
        <w:rPr>
          <w:rFonts w:hint="eastAsia" w:ascii="宋体"/>
          <w:sz w:val="36"/>
          <w:lang w:val="zh-CN"/>
        </w:rPr>
        <w:t>节能环保产品声明函</w:t>
      </w:r>
    </w:p>
    <w:p>
      <w:pPr>
        <w:pStyle w:val="36"/>
        <w:adjustRightInd w:val="0"/>
        <w:snapToGrid w:val="0"/>
        <w:spacing w:line="400" w:lineRule="exact"/>
        <w:jc w:val="center"/>
        <w:rPr>
          <w:rFonts w:hAnsi="宋体"/>
          <w:sz w:val="22"/>
          <w:szCs w:val="22"/>
        </w:rPr>
      </w:pPr>
      <w:r>
        <w:rPr>
          <w:rFonts w:hAnsi="宋体"/>
          <w:sz w:val="22"/>
          <w:szCs w:val="22"/>
        </w:rPr>
        <w:t>（如有则提供）</w:t>
      </w:r>
    </w:p>
    <w:p>
      <w:pPr>
        <w:rPr>
          <w:rFonts w:ascii="宋体"/>
          <w:sz w:val="28"/>
          <w:szCs w:val="28"/>
        </w:rPr>
      </w:pPr>
    </w:p>
    <w:p>
      <w:pPr>
        <w:spacing w:line="460" w:lineRule="atLeast"/>
        <w:ind w:firstLine="440" w:firstLineChars="200"/>
        <w:rPr>
          <w:rFonts w:ascii="宋体"/>
          <w:sz w:val="22"/>
          <w:szCs w:val="22"/>
        </w:rPr>
      </w:pPr>
      <w:r>
        <w:rPr>
          <w:rFonts w:hint="eastAsia" w:ascii="宋体"/>
          <w:sz w:val="22"/>
          <w:szCs w:val="22"/>
        </w:rPr>
        <w:t>本公司郑重声明，根据《节能产品政府采购实施意见》（财库〔2004〕185号，不含该期清单）、《关于环境标志产品政府采购实施的意见》（财库〔2006〕90号，不含该期清单）、《关于调整优化节能产品、环境标志产品政府采购执行机制的通知》（财库〔</w:t>
      </w:r>
      <w:r>
        <w:rPr>
          <w:rFonts w:ascii="宋体"/>
          <w:sz w:val="22"/>
          <w:szCs w:val="22"/>
        </w:rPr>
        <w:t>2019〕9号）</w:t>
      </w:r>
      <w:r>
        <w:rPr>
          <w:rFonts w:hint="eastAsia" w:ascii="宋体"/>
          <w:sz w:val="22"/>
          <w:szCs w:val="22"/>
        </w:rPr>
        <w:t>、《关于印发节能产品政府采购品目清单的通知》（财库〔</w:t>
      </w:r>
      <w:r>
        <w:rPr>
          <w:rFonts w:ascii="宋体"/>
          <w:sz w:val="22"/>
          <w:szCs w:val="22"/>
        </w:rPr>
        <w:t>2019〕19号）</w:t>
      </w:r>
      <w:r>
        <w:rPr>
          <w:rFonts w:hint="eastAsia" w:ascii="宋体"/>
          <w:sz w:val="22"/>
          <w:szCs w:val="22"/>
        </w:rPr>
        <w:t>、《关于印发环境标志产品政府采购品目清单的通知》（财库〔</w:t>
      </w:r>
      <w:r>
        <w:rPr>
          <w:rFonts w:ascii="宋体"/>
          <w:sz w:val="22"/>
          <w:szCs w:val="22"/>
        </w:rPr>
        <w:t>2019〕18号）</w:t>
      </w:r>
      <w:r>
        <w:rPr>
          <w:rFonts w:hint="eastAsia" w:ascii="宋体"/>
          <w:sz w:val="22"/>
          <w:szCs w:val="22"/>
        </w:rPr>
        <w:t>的规定，本公司声明如下：</w:t>
      </w:r>
    </w:p>
    <w:p>
      <w:pPr>
        <w:spacing w:line="460" w:lineRule="atLeast"/>
        <w:ind w:firstLine="440" w:firstLineChars="200"/>
        <w:rPr>
          <w:rFonts w:ascii="宋体"/>
          <w:sz w:val="22"/>
          <w:szCs w:val="22"/>
        </w:rPr>
      </w:pPr>
      <w:r>
        <w:rPr>
          <w:rFonts w:hint="eastAsia" w:ascii="宋体"/>
          <w:sz w:val="22"/>
          <w:szCs w:val="22"/>
        </w:rPr>
        <w:t>1.本公司参加</w:t>
      </w:r>
      <w:r>
        <w:rPr>
          <w:rFonts w:hint="eastAsia" w:ascii="宋体"/>
          <w:sz w:val="22"/>
          <w:szCs w:val="22"/>
          <w:u w:val="single"/>
        </w:rPr>
        <w:t>（招标项目名称，招标编号）</w:t>
      </w:r>
      <w:r>
        <w:rPr>
          <w:rFonts w:hint="eastAsia" w:ascii="宋体"/>
          <w:sz w:val="22"/>
          <w:szCs w:val="22"/>
        </w:rPr>
        <w:t>的采购活动提供的</w:t>
      </w:r>
      <w:r>
        <w:rPr>
          <w:rFonts w:hint="eastAsia" w:ascii="宋体"/>
          <w:sz w:val="22"/>
          <w:szCs w:val="22"/>
          <w:u w:val="single"/>
        </w:rPr>
        <w:t xml:space="preserve">      </w:t>
      </w:r>
      <w:r>
        <w:rPr>
          <w:rFonts w:hint="eastAsia" w:ascii="宋体"/>
          <w:sz w:val="22"/>
          <w:szCs w:val="22"/>
        </w:rPr>
        <w:t>产品已列入《节能产品政府采购品目清单》。</w:t>
      </w:r>
    </w:p>
    <w:p>
      <w:pPr>
        <w:spacing w:line="460" w:lineRule="atLeast"/>
        <w:ind w:firstLine="440" w:firstLineChars="200"/>
        <w:rPr>
          <w:rFonts w:ascii="宋体"/>
          <w:sz w:val="22"/>
          <w:szCs w:val="22"/>
        </w:rPr>
      </w:pPr>
      <w:r>
        <w:rPr>
          <w:rFonts w:hint="eastAsia" w:ascii="宋体"/>
          <w:sz w:val="22"/>
          <w:szCs w:val="22"/>
        </w:rPr>
        <w:t>2.本公司参加</w:t>
      </w:r>
      <w:r>
        <w:rPr>
          <w:rFonts w:hint="eastAsia" w:ascii="宋体"/>
          <w:sz w:val="22"/>
          <w:szCs w:val="22"/>
          <w:u w:val="single"/>
        </w:rPr>
        <w:t>（招标项目名称，招标编号）</w:t>
      </w:r>
      <w:r>
        <w:rPr>
          <w:rFonts w:hint="eastAsia" w:ascii="宋体"/>
          <w:sz w:val="22"/>
          <w:szCs w:val="22"/>
        </w:rPr>
        <w:t>的采购活动提供的</w:t>
      </w:r>
      <w:r>
        <w:rPr>
          <w:rFonts w:hint="eastAsia" w:ascii="宋体"/>
          <w:sz w:val="22"/>
          <w:szCs w:val="22"/>
          <w:u w:val="single"/>
        </w:rPr>
        <w:t xml:space="preserve">      </w:t>
      </w:r>
      <w:r>
        <w:rPr>
          <w:rFonts w:hint="eastAsia" w:ascii="宋体"/>
          <w:sz w:val="22"/>
          <w:szCs w:val="22"/>
        </w:rPr>
        <w:t>产品已列入《环境标志产品政府采购品目清单》。</w:t>
      </w:r>
    </w:p>
    <w:p>
      <w:pPr>
        <w:spacing w:line="460" w:lineRule="atLeast"/>
        <w:ind w:firstLine="440" w:firstLineChars="200"/>
        <w:rPr>
          <w:rFonts w:ascii="宋体"/>
          <w:sz w:val="22"/>
          <w:szCs w:val="22"/>
        </w:rPr>
      </w:pPr>
      <w:r>
        <w:rPr>
          <w:rFonts w:hint="eastAsia" w:ascii="宋体"/>
          <w:sz w:val="22"/>
          <w:szCs w:val="22"/>
        </w:rPr>
        <w:t>本公司对上述声明的真实性负责。如有虚假，将依法承担相应法律责任。</w:t>
      </w:r>
    </w:p>
    <w:p>
      <w:pPr>
        <w:spacing w:line="460" w:lineRule="atLeast"/>
        <w:rPr>
          <w:rFonts w:ascii="宋体"/>
          <w:sz w:val="22"/>
          <w:szCs w:val="22"/>
        </w:rPr>
      </w:pPr>
    </w:p>
    <w:p>
      <w:pPr>
        <w:autoSpaceDE w:val="0"/>
        <w:autoSpaceDN w:val="0"/>
        <w:adjustRightInd w:val="0"/>
        <w:spacing w:line="460" w:lineRule="atLeast"/>
        <w:rPr>
          <w:rFonts w:ascii="宋体" w:cs="Arial"/>
          <w:sz w:val="22"/>
          <w:lang w:val="zh-CN"/>
        </w:rPr>
      </w:pPr>
      <w:r>
        <w:rPr>
          <w:rFonts w:hint="eastAsia" w:ascii="宋体"/>
          <w:sz w:val="22"/>
        </w:rPr>
        <w:t>投标供应商（盖章）：</w:t>
      </w:r>
      <w:r>
        <w:rPr>
          <w:rFonts w:hint="eastAsia" w:ascii="宋体" w:cs="Arial"/>
          <w:sz w:val="22"/>
          <w:lang w:val="zh-CN"/>
        </w:rPr>
        <w:t xml:space="preserve">    </w:t>
      </w:r>
    </w:p>
    <w:p>
      <w:pPr>
        <w:spacing w:line="460" w:lineRule="atLeast"/>
        <w:rPr>
          <w:rFonts w:ascii="宋体"/>
          <w:sz w:val="28"/>
          <w:szCs w:val="28"/>
        </w:rPr>
      </w:pPr>
      <w:r>
        <w:rPr>
          <w:rFonts w:hint="eastAsia" w:ascii="宋体"/>
          <w:sz w:val="22"/>
          <w:szCs w:val="22"/>
        </w:rPr>
        <w:t xml:space="preserve">日 期：                  </w:t>
      </w:r>
    </w:p>
    <w:p>
      <w:pPr>
        <w:spacing w:line="240" w:lineRule="atLeast"/>
        <w:rPr>
          <w:rFonts w:ascii="新宋体" w:hAnsi="新宋体" w:eastAsia="新宋体"/>
          <w:b/>
          <w:bCs/>
          <w:color w:val="000000"/>
          <w:szCs w:val="21"/>
        </w:rPr>
      </w:pPr>
    </w:p>
    <w:p>
      <w:pPr>
        <w:spacing w:line="240" w:lineRule="atLeast"/>
        <w:rPr>
          <w:rFonts w:ascii="新宋体" w:hAnsi="新宋体" w:eastAsia="新宋体"/>
          <w:b/>
          <w:bCs/>
          <w:color w:val="000000"/>
          <w:szCs w:val="21"/>
        </w:rPr>
      </w:pPr>
    </w:p>
    <w:p>
      <w:pPr>
        <w:spacing w:line="240" w:lineRule="atLeast"/>
        <w:rPr>
          <w:rFonts w:ascii="新宋体" w:hAnsi="新宋体" w:eastAsia="新宋体"/>
          <w:b/>
          <w:bCs/>
          <w:color w:val="000000"/>
          <w:szCs w:val="21"/>
        </w:rPr>
      </w:pPr>
    </w:p>
    <w:p>
      <w:pPr>
        <w:rPr>
          <w:rFonts w:ascii="宋体"/>
          <w:sz w:val="36"/>
          <w:lang w:val="zh-CN"/>
        </w:rPr>
      </w:pPr>
      <w:r>
        <w:rPr>
          <w:rFonts w:hint="eastAsia" w:ascii="宋体"/>
          <w:sz w:val="36"/>
          <w:lang w:val="zh-CN"/>
        </w:rPr>
        <w:br w:type="page"/>
      </w:r>
    </w:p>
    <w:p>
      <w:pPr>
        <w:spacing w:line="360" w:lineRule="auto"/>
        <w:jc w:val="left"/>
        <w:rPr>
          <w:color w:val="000000"/>
          <w:lang w:val="zh-CN"/>
        </w:rPr>
      </w:pPr>
      <w:r>
        <w:rPr>
          <w:rFonts w:hint="eastAsia"/>
          <w:color w:val="000000"/>
          <w:lang w:val="zh-CN"/>
        </w:rPr>
        <w:t>附件十三</w:t>
      </w:r>
    </w:p>
    <w:p>
      <w:pPr>
        <w:autoSpaceDE w:val="0"/>
        <w:autoSpaceDN w:val="0"/>
        <w:adjustRightInd w:val="0"/>
        <w:spacing w:line="460" w:lineRule="atLeast"/>
        <w:jc w:val="center"/>
        <w:rPr>
          <w:rFonts w:ascii="宋体"/>
          <w:sz w:val="36"/>
          <w:lang w:val="zh-CN"/>
        </w:rPr>
      </w:pPr>
      <w:r>
        <w:rPr>
          <w:rFonts w:hint="eastAsia" w:ascii="宋体"/>
          <w:sz w:val="36"/>
          <w:lang w:val="zh-CN"/>
        </w:rPr>
        <w:t>节能（环保）产品清单</w:t>
      </w:r>
    </w:p>
    <w:p>
      <w:pPr>
        <w:autoSpaceDE w:val="0"/>
        <w:autoSpaceDN w:val="0"/>
        <w:adjustRightInd w:val="0"/>
        <w:spacing w:line="460" w:lineRule="atLeast"/>
        <w:jc w:val="center"/>
        <w:rPr>
          <w:rFonts w:ascii="宋体"/>
          <w:sz w:val="36"/>
          <w:lang w:val="zh-CN"/>
        </w:rPr>
      </w:pPr>
      <w:r>
        <w:rPr>
          <w:rFonts w:hint="eastAsia" w:ascii="宋体"/>
          <w:sz w:val="22"/>
          <w:szCs w:val="22"/>
        </w:rPr>
        <w:t>(如有则提供)</w:t>
      </w:r>
    </w:p>
    <w:p>
      <w:pPr>
        <w:rPr>
          <w:rFonts w:ascii="宋体"/>
          <w:sz w:val="22"/>
          <w:szCs w:val="22"/>
        </w:rPr>
      </w:pPr>
      <w:r>
        <w:rPr>
          <w:rFonts w:hint="eastAsia" w:ascii="宋体"/>
          <w:sz w:val="22"/>
          <w:szCs w:val="22"/>
        </w:rPr>
        <w:t>（1）投标产品中已列入《节能产品政府采购品目清单》明细</w:t>
      </w:r>
    </w:p>
    <w:tbl>
      <w:tblPr>
        <w:tblStyle w:val="69"/>
        <w:tblW w:w="95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993"/>
        <w:gridCol w:w="1417"/>
        <w:gridCol w:w="1418"/>
        <w:gridCol w:w="1559"/>
        <w:gridCol w:w="1134"/>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13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z w:val="22"/>
              </w:rPr>
            </w:pPr>
            <w:r>
              <w:rPr>
                <w:rFonts w:hint="eastAsia" w:ascii="宋体"/>
                <w:sz w:val="22"/>
              </w:rPr>
              <w:t>制造商</w:t>
            </w:r>
          </w:p>
        </w:tc>
        <w:tc>
          <w:tcPr>
            <w:tcW w:w="99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z w:val="22"/>
              </w:rPr>
            </w:pPr>
            <w:r>
              <w:rPr>
                <w:rFonts w:hint="eastAsia" w:ascii="宋体"/>
                <w:sz w:val="22"/>
              </w:rPr>
              <w:t>品牌</w:t>
            </w:r>
          </w:p>
        </w:tc>
        <w:tc>
          <w:tcPr>
            <w:tcW w:w="141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z w:val="22"/>
              </w:rPr>
            </w:pPr>
            <w:r>
              <w:rPr>
                <w:rFonts w:hint="eastAsia" w:ascii="宋体"/>
                <w:sz w:val="22"/>
              </w:rPr>
              <w:t>产品名称、</w:t>
            </w:r>
          </w:p>
          <w:p>
            <w:pPr>
              <w:spacing w:line="460" w:lineRule="exact"/>
              <w:jc w:val="center"/>
              <w:rPr>
                <w:rFonts w:ascii="宋体"/>
                <w:sz w:val="22"/>
              </w:rPr>
            </w:pPr>
            <w:r>
              <w:rPr>
                <w:rFonts w:hint="eastAsia" w:ascii="宋体"/>
                <w:sz w:val="22"/>
              </w:rPr>
              <w:t>规格型号</w:t>
            </w:r>
          </w:p>
        </w:tc>
        <w:tc>
          <w:tcPr>
            <w:tcW w:w="141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z w:val="22"/>
              </w:rPr>
            </w:pPr>
            <w:r>
              <w:rPr>
                <w:rFonts w:hint="eastAsia" w:ascii="宋体"/>
                <w:sz w:val="22"/>
              </w:rPr>
              <w:t>节字标志认证证书号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z w:val="22"/>
              </w:rPr>
            </w:pPr>
            <w:r>
              <w:rPr>
                <w:rFonts w:hint="eastAsia" w:ascii="宋体"/>
                <w:sz w:val="22"/>
              </w:rPr>
              <w:t>认证证书有效截止日期</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z w:val="22"/>
              </w:rPr>
            </w:pPr>
            <w:r>
              <w:rPr>
                <w:rFonts w:hint="eastAsia" w:ascii="宋体"/>
                <w:sz w:val="22"/>
              </w:rPr>
              <w:t>依据的标准</w:t>
            </w:r>
          </w:p>
        </w:tc>
        <w:tc>
          <w:tcPr>
            <w:tcW w:w="193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z w:val="22"/>
              </w:rPr>
            </w:pPr>
            <w:r>
              <w:rPr>
                <w:rFonts w:ascii="宋体"/>
                <w:sz w:val="22"/>
              </w:rPr>
              <w:t>认证机构名称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c>
          <w:tcPr>
            <w:tcW w:w="993"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c>
          <w:tcPr>
            <w:tcW w:w="1417"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c>
          <w:tcPr>
            <w:tcW w:w="1418"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c>
          <w:tcPr>
            <w:tcW w:w="1559"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c>
          <w:tcPr>
            <w:tcW w:w="1937"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c>
          <w:tcPr>
            <w:tcW w:w="993"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c>
          <w:tcPr>
            <w:tcW w:w="1417"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c>
          <w:tcPr>
            <w:tcW w:w="1418"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c>
          <w:tcPr>
            <w:tcW w:w="1559"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c>
          <w:tcPr>
            <w:tcW w:w="1937"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c>
          <w:tcPr>
            <w:tcW w:w="993"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c>
          <w:tcPr>
            <w:tcW w:w="1417"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c>
          <w:tcPr>
            <w:tcW w:w="1418"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c>
          <w:tcPr>
            <w:tcW w:w="1559"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c>
          <w:tcPr>
            <w:tcW w:w="1937"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p>
            <w:pPr>
              <w:spacing w:line="460" w:lineRule="exact"/>
              <w:rPr>
                <w:rFonts w:ascii="宋体"/>
                <w:sz w:val="22"/>
              </w:rPr>
            </w:pPr>
          </w:p>
        </w:tc>
        <w:tc>
          <w:tcPr>
            <w:tcW w:w="993"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c>
          <w:tcPr>
            <w:tcW w:w="1417"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c>
          <w:tcPr>
            <w:tcW w:w="1418"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c>
          <w:tcPr>
            <w:tcW w:w="1559"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c>
          <w:tcPr>
            <w:tcW w:w="1937"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r>
    </w:tbl>
    <w:p>
      <w:pPr>
        <w:spacing w:line="460" w:lineRule="exact"/>
        <w:rPr>
          <w:rFonts w:ascii="宋体"/>
          <w:sz w:val="22"/>
          <w:szCs w:val="22"/>
        </w:rPr>
      </w:pPr>
      <w:r>
        <w:rPr>
          <w:rFonts w:hint="eastAsia" w:ascii="宋体"/>
          <w:sz w:val="22"/>
          <w:szCs w:val="22"/>
        </w:rPr>
        <w:t>（2）投标产品中已列入《环境标志产品政府采购品目清单》明细</w:t>
      </w:r>
    </w:p>
    <w:tbl>
      <w:tblPr>
        <w:tblStyle w:val="69"/>
        <w:tblW w:w="960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993"/>
        <w:gridCol w:w="1417"/>
        <w:gridCol w:w="1418"/>
        <w:gridCol w:w="1559"/>
        <w:gridCol w:w="1134"/>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13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z w:val="22"/>
              </w:rPr>
            </w:pPr>
            <w:r>
              <w:rPr>
                <w:rFonts w:hint="eastAsia" w:ascii="宋体"/>
                <w:sz w:val="22"/>
              </w:rPr>
              <w:t>制造商</w:t>
            </w:r>
          </w:p>
        </w:tc>
        <w:tc>
          <w:tcPr>
            <w:tcW w:w="99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z w:val="22"/>
              </w:rPr>
            </w:pPr>
            <w:r>
              <w:rPr>
                <w:rFonts w:hint="eastAsia" w:ascii="宋体"/>
                <w:sz w:val="22"/>
              </w:rPr>
              <w:t>品牌</w:t>
            </w:r>
          </w:p>
        </w:tc>
        <w:tc>
          <w:tcPr>
            <w:tcW w:w="141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z w:val="22"/>
              </w:rPr>
            </w:pPr>
            <w:r>
              <w:rPr>
                <w:rFonts w:hint="eastAsia" w:ascii="宋体"/>
                <w:sz w:val="22"/>
              </w:rPr>
              <w:t>产品名称、</w:t>
            </w:r>
          </w:p>
          <w:p>
            <w:pPr>
              <w:spacing w:line="460" w:lineRule="exact"/>
              <w:jc w:val="center"/>
              <w:rPr>
                <w:rFonts w:ascii="宋体"/>
                <w:sz w:val="22"/>
              </w:rPr>
            </w:pPr>
            <w:r>
              <w:rPr>
                <w:rFonts w:hint="eastAsia" w:ascii="宋体"/>
                <w:sz w:val="22"/>
              </w:rPr>
              <w:t>规格型号</w:t>
            </w:r>
          </w:p>
        </w:tc>
        <w:tc>
          <w:tcPr>
            <w:tcW w:w="141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z w:val="22"/>
              </w:rPr>
            </w:pPr>
            <w:r>
              <w:rPr>
                <w:rFonts w:hint="eastAsia" w:ascii="宋体"/>
                <w:sz w:val="22"/>
              </w:rPr>
              <w:t>中国环境标志认证证书编号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z w:val="22"/>
              </w:rPr>
            </w:pPr>
            <w:r>
              <w:rPr>
                <w:rFonts w:hint="eastAsia" w:ascii="宋体"/>
                <w:sz w:val="22"/>
              </w:rPr>
              <w:t>认证证书有效截止日期</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z w:val="22"/>
              </w:rPr>
            </w:pPr>
            <w:r>
              <w:rPr>
                <w:rFonts w:hint="eastAsia" w:ascii="宋体"/>
                <w:sz w:val="22"/>
              </w:rPr>
              <w:t>依据的标准</w:t>
            </w:r>
          </w:p>
        </w:tc>
        <w:tc>
          <w:tcPr>
            <w:tcW w:w="194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sz w:val="22"/>
              </w:rPr>
            </w:pPr>
            <w:r>
              <w:rPr>
                <w:rFonts w:ascii="宋体"/>
                <w:sz w:val="22"/>
              </w:rPr>
              <w:t>认证机构名称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c>
          <w:tcPr>
            <w:tcW w:w="993"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c>
          <w:tcPr>
            <w:tcW w:w="1417"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c>
          <w:tcPr>
            <w:tcW w:w="1418"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c>
          <w:tcPr>
            <w:tcW w:w="1559"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c>
          <w:tcPr>
            <w:tcW w:w="1948"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c>
          <w:tcPr>
            <w:tcW w:w="993"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c>
          <w:tcPr>
            <w:tcW w:w="1417"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c>
          <w:tcPr>
            <w:tcW w:w="1418"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c>
          <w:tcPr>
            <w:tcW w:w="1559"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c>
          <w:tcPr>
            <w:tcW w:w="1948"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c>
          <w:tcPr>
            <w:tcW w:w="993"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c>
          <w:tcPr>
            <w:tcW w:w="1417"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c>
          <w:tcPr>
            <w:tcW w:w="1418"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c>
          <w:tcPr>
            <w:tcW w:w="1559"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c>
          <w:tcPr>
            <w:tcW w:w="1948"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c>
          <w:tcPr>
            <w:tcW w:w="993"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c>
          <w:tcPr>
            <w:tcW w:w="1417"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c>
          <w:tcPr>
            <w:tcW w:w="1418"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c>
          <w:tcPr>
            <w:tcW w:w="1559"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c>
          <w:tcPr>
            <w:tcW w:w="1948" w:type="dxa"/>
            <w:tcBorders>
              <w:top w:val="single" w:color="auto" w:sz="4" w:space="0"/>
              <w:left w:val="single" w:color="auto" w:sz="4" w:space="0"/>
              <w:bottom w:val="single" w:color="auto" w:sz="4" w:space="0"/>
              <w:right w:val="single" w:color="auto" w:sz="4" w:space="0"/>
            </w:tcBorders>
          </w:tcPr>
          <w:p>
            <w:pPr>
              <w:spacing w:line="460" w:lineRule="exact"/>
              <w:rPr>
                <w:rFonts w:ascii="宋体"/>
                <w:sz w:val="22"/>
              </w:rPr>
            </w:pPr>
          </w:p>
        </w:tc>
      </w:tr>
    </w:tbl>
    <w:p>
      <w:pPr>
        <w:spacing w:line="460" w:lineRule="exact"/>
        <w:rPr>
          <w:rFonts w:ascii="宋体"/>
          <w:sz w:val="22"/>
          <w:szCs w:val="22"/>
        </w:rPr>
      </w:pPr>
      <w:r>
        <w:rPr>
          <w:rFonts w:hint="eastAsia" w:ascii="宋体"/>
          <w:sz w:val="22"/>
          <w:szCs w:val="22"/>
        </w:rPr>
        <w:t>说明：1、表后附所投相关产品对应的认证证书复印件；其中本次采购的产品属于政府强制采购节能产品范围的，投标供应商必须选用符合要求的产品，否则按无效投标处理，具体品目见《关于印发节能产品政府采购品目清单的通知》（财库〔</w:t>
      </w:r>
      <w:r>
        <w:rPr>
          <w:rFonts w:ascii="宋体"/>
          <w:sz w:val="22"/>
          <w:szCs w:val="22"/>
        </w:rPr>
        <w:t>2019〕19号）</w:t>
      </w:r>
      <w:r>
        <w:rPr>
          <w:rFonts w:hint="eastAsia" w:ascii="宋体" w:cs="Arial"/>
          <w:sz w:val="22"/>
          <w:szCs w:val="22"/>
        </w:rPr>
        <w:t>。</w:t>
      </w:r>
      <w:r>
        <w:rPr>
          <w:rFonts w:hint="eastAsia" w:ascii="宋体" w:cs="Arial"/>
          <w:sz w:val="22"/>
        </w:rPr>
        <w:t>投标文件中必须提供</w:t>
      </w:r>
      <w:r>
        <w:rPr>
          <w:rFonts w:ascii="宋体"/>
          <w:sz w:val="22"/>
          <w:szCs w:val="22"/>
        </w:rPr>
        <w:t>属于政府强制采购的节能产品</w:t>
      </w:r>
      <w:r>
        <w:rPr>
          <w:rFonts w:hint="eastAsia" w:ascii="宋体" w:cs="Arial"/>
          <w:sz w:val="22"/>
        </w:rPr>
        <w:t>的认证证书复印件，否则按无效投标处理。</w:t>
      </w:r>
    </w:p>
    <w:p>
      <w:pPr>
        <w:spacing w:line="460" w:lineRule="exact"/>
        <w:ind w:firstLine="660" w:firstLineChars="300"/>
        <w:rPr>
          <w:rFonts w:ascii="宋体"/>
          <w:sz w:val="22"/>
          <w:szCs w:val="22"/>
        </w:rPr>
      </w:pPr>
      <w:r>
        <w:rPr>
          <w:rFonts w:hint="eastAsia" w:ascii="宋体"/>
          <w:sz w:val="22"/>
          <w:szCs w:val="22"/>
        </w:rPr>
        <w:t>2、表格可以延续。</w:t>
      </w:r>
    </w:p>
    <w:p>
      <w:pPr>
        <w:rPr>
          <w:rFonts w:ascii="宋体"/>
          <w:sz w:val="24"/>
        </w:rPr>
      </w:pPr>
    </w:p>
    <w:p>
      <w:pPr>
        <w:autoSpaceDE w:val="0"/>
        <w:autoSpaceDN w:val="0"/>
        <w:adjustRightInd w:val="0"/>
        <w:spacing w:line="460" w:lineRule="atLeast"/>
        <w:rPr>
          <w:rFonts w:ascii="宋体" w:cs="Arial"/>
          <w:sz w:val="22"/>
          <w:lang w:val="zh-CN"/>
        </w:rPr>
      </w:pPr>
      <w:r>
        <w:rPr>
          <w:rFonts w:hint="eastAsia" w:ascii="宋体"/>
          <w:sz w:val="22"/>
        </w:rPr>
        <w:t>投标供应商（盖章）：</w:t>
      </w:r>
      <w:r>
        <w:rPr>
          <w:rFonts w:hint="eastAsia" w:ascii="宋体" w:cs="Arial"/>
          <w:sz w:val="22"/>
          <w:lang w:val="zh-CN"/>
        </w:rPr>
        <w:t xml:space="preserve">  </w:t>
      </w:r>
    </w:p>
    <w:p>
      <w:pPr>
        <w:pStyle w:val="36"/>
        <w:spacing w:line="460" w:lineRule="atLeast"/>
        <w:rPr>
          <w:rFonts w:hAnsi="宋体"/>
          <w:sz w:val="22"/>
          <w:szCs w:val="22"/>
        </w:rPr>
      </w:pPr>
      <w:r>
        <w:rPr>
          <w:rFonts w:hAnsi="宋体"/>
          <w:sz w:val="22"/>
          <w:szCs w:val="22"/>
        </w:rPr>
        <w:t xml:space="preserve">日 期：          </w:t>
      </w:r>
    </w:p>
    <w:p>
      <w:pPr>
        <w:snapToGrid w:val="0"/>
        <w:spacing w:line="500" w:lineRule="atLeast"/>
        <w:ind w:firstLine="550" w:firstLineChars="250"/>
        <w:rPr>
          <w:rFonts w:ascii="宋体"/>
          <w:sz w:val="22"/>
          <w:szCs w:val="22"/>
        </w:rPr>
        <w:sectPr>
          <w:footerReference r:id="rId12" w:type="first"/>
          <w:headerReference r:id="rId9" w:type="default"/>
          <w:footerReference r:id="rId10" w:type="default"/>
          <w:footerReference r:id="rId11" w:type="even"/>
          <w:pgSz w:w="11906" w:h="16838"/>
          <w:pgMar w:top="1440" w:right="1106" w:bottom="1440" w:left="1622" w:header="851" w:footer="992" w:gutter="0"/>
          <w:pgNumType w:start="24"/>
          <w:cols w:space="720" w:num="1"/>
          <w:titlePg/>
          <w:docGrid w:linePitch="312" w:charSpace="0"/>
        </w:sectPr>
      </w:pPr>
    </w:p>
    <w:p>
      <w:pPr>
        <w:pStyle w:val="3"/>
        <w:numPr>
          <w:ilvl w:val="0"/>
          <w:numId w:val="45"/>
        </w:numPr>
        <w:spacing w:after="240" w:line="360" w:lineRule="auto"/>
        <w:jc w:val="center"/>
        <w:rPr>
          <w:rFonts w:hint="eastAsia" w:ascii="黑体" w:hAnsi="宋体" w:eastAsia="黑体"/>
          <w:kern w:val="2"/>
          <w:sz w:val="36"/>
          <w:szCs w:val="36"/>
        </w:rPr>
      </w:pPr>
      <w:r>
        <w:rPr>
          <w:rFonts w:hint="eastAsia" w:ascii="黑体" w:hAnsi="宋体" w:eastAsia="黑体"/>
          <w:kern w:val="2"/>
          <w:sz w:val="36"/>
          <w:szCs w:val="36"/>
        </w:rPr>
        <w:t xml:space="preserve">  招标内容及要求</w:t>
      </w:r>
      <w:bookmarkStart w:id="8" w:name="_Toc494407529"/>
      <w:bookmarkStart w:id="9" w:name="_Toc302389799"/>
      <w:bookmarkStart w:id="10" w:name="_Toc305950146"/>
      <w:bookmarkStart w:id="11" w:name="_Toc302735384"/>
      <w:bookmarkStart w:id="12" w:name="_Toc283295067"/>
      <w:bookmarkStart w:id="13" w:name="_Toc244284245"/>
      <w:bookmarkStart w:id="14" w:name="_Toc288036609"/>
      <w:bookmarkStart w:id="15" w:name="_Toc305168170"/>
    </w:p>
    <w:p>
      <w:pPr>
        <w:pStyle w:val="3"/>
        <w:numPr>
          <w:ilvl w:val="0"/>
          <w:numId w:val="0"/>
        </w:numPr>
        <w:spacing w:after="240" w:line="360" w:lineRule="auto"/>
        <w:ind w:leftChars="0"/>
        <w:jc w:val="both"/>
        <w:rPr>
          <w:rFonts w:hint="eastAsia" w:ascii="宋体" w:hAnsi="宋体" w:eastAsia="宋体" w:cs="宋体"/>
          <w:bCs/>
          <w:sz w:val="22"/>
          <w:szCs w:val="22"/>
        </w:rPr>
      </w:pPr>
      <w:r>
        <w:rPr>
          <w:rFonts w:hint="eastAsia" w:ascii="宋体" w:hAnsi="宋体" w:eastAsia="宋体" w:cs="宋体"/>
          <w:b/>
          <w:bCs/>
          <w:sz w:val="24"/>
          <w:szCs w:val="24"/>
        </w:rPr>
        <w:t>一、项目概况</w:t>
      </w:r>
    </w:p>
    <w:p>
      <w:pPr>
        <w:spacing w:before="120" w:beforeLines="50" w:after="120" w:afterLines="50" w:line="360" w:lineRule="auto"/>
        <w:ind w:firstLine="440" w:firstLineChars="200"/>
        <w:rPr>
          <w:rFonts w:ascii="宋体" w:eastAsia="宋体"/>
          <w:b w:val="0"/>
          <w:sz w:val="22"/>
          <w:szCs w:val="22"/>
        </w:rPr>
      </w:pPr>
      <w:bookmarkStart w:id="16" w:name="_Toc383636755"/>
      <w:bookmarkStart w:id="17" w:name="_Toc384111236"/>
      <w:r>
        <w:rPr>
          <w:rFonts w:hint="eastAsia" w:ascii="宋体" w:eastAsia="宋体"/>
          <w:b w:val="0"/>
          <w:sz w:val="22"/>
          <w:szCs w:val="22"/>
        </w:rPr>
        <w:t>温州市</w:t>
      </w:r>
      <w:r>
        <w:rPr>
          <w:rFonts w:ascii="宋体" w:eastAsia="宋体"/>
          <w:b w:val="0"/>
          <w:sz w:val="22"/>
          <w:szCs w:val="22"/>
        </w:rPr>
        <w:t>公安局局交通管理局</w:t>
      </w:r>
      <w:r>
        <w:rPr>
          <w:rFonts w:hint="eastAsia" w:ascii="宋体" w:eastAsia="宋体"/>
          <w:b w:val="0"/>
          <w:sz w:val="22"/>
          <w:szCs w:val="22"/>
        </w:rPr>
        <w:t>20</w:t>
      </w:r>
      <w:r>
        <w:rPr>
          <w:rFonts w:ascii="宋体" w:eastAsia="宋体"/>
          <w:b w:val="0"/>
          <w:sz w:val="22"/>
          <w:szCs w:val="22"/>
        </w:rPr>
        <w:t>20</w:t>
      </w:r>
      <w:r>
        <w:rPr>
          <w:rFonts w:hint="eastAsia" w:ascii="宋体" w:eastAsia="宋体"/>
          <w:b w:val="0"/>
          <w:sz w:val="22"/>
          <w:szCs w:val="22"/>
        </w:rPr>
        <w:t>年道路</w:t>
      </w:r>
      <w:r>
        <w:rPr>
          <w:rFonts w:ascii="宋体" w:eastAsia="宋体"/>
          <w:b w:val="0"/>
          <w:sz w:val="22"/>
          <w:szCs w:val="22"/>
        </w:rPr>
        <w:t>科技设施建设项目</w:t>
      </w:r>
      <w:r>
        <w:rPr>
          <w:rFonts w:hint="eastAsia" w:ascii="宋体" w:eastAsia="宋体"/>
          <w:b w:val="0"/>
          <w:sz w:val="22"/>
          <w:szCs w:val="22"/>
        </w:rPr>
        <w:t>的SCATS信号</w:t>
      </w:r>
      <w:r>
        <w:rPr>
          <w:rFonts w:ascii="宋体" w:eastAsia="宋体"/>
          <w:b w:val="0"/>
          <w:sz w:val="22"/>
          <w:szCs w:val="22"/>
        </w:rPr>
        <w:t>二期三期</w:t>
      </w:r>
      <w:r>
        <w:rPr>
          <w:rFonts w:hint="eastAsia" w:ascii="宋体" w:eastAsia="宋体"/>
          <w:b w:val="0"/>
          <w:sz w:val="22"/>
          <w:szCs w:val="22"/>
        </w:rPr>
        <w:t>续建</w:t>
      </w:r>
      <w:r>
        <w:rPr>
          <w:rFonts w:ascii="宋体" w:eastAsia="宋体"/>
          <w:b w:val="0"/>
          <w:sz w:val="22"/>
          <w:szCs w:val="22"/>
        </w:rPr>
        <w:t>系统整体运维管理服务</w:t>
      </w:r>
      <w:r>
        <w:rPr>
          <w:rFonts w:hint="eastAsia" w:ascii="宋体" w:eastAsia="宋体"/>
          <w:b w:val="0"/>
          <w:sz w:val="22"/>
          <w:szCs w:val="22"/>
        </w:rPr>
        <w:t>项目</w:t>
      </w:r>
      <w:r>
        <w:rPr>
          <w:rFonts w:ascii="宋体" w:eastAsia="宋体"/>
          <w:b w:val="0"/>
          <w:sz w:val="22"/>
          <w:szCs w:val="22"/>
        </w:rPr>
        <w:t>是原有支队交通指挥控制中心核心二期信号控制系统扩建</w:t>
      </w:r>
      <w:r>
        <w:rPr>
          <w:rFonts w:hint="eastAsia" w:ascii="宋体" w:eastAsia="宋体"/>
          <w:b w:val="0"/>
          <w:sz w:val="22"/>
          <w:szCs w:val="22"/>
        </w:rPr>
        <w:t>项目、SCATS系统</w:t>
      </w:r>
      <w:r>
        <w:rPr>
          <w:rFonts w:ascii="宋体" w:eastAsia="宋体"/>
          <w:b w:val="0"/>
          <w:sz w:val="22"/>
          <w:szCs w:val="22"/>
        </w:rPr>
        <w:t>三期扩建项目</w:t>
      </w:r>
      <w:r>
        <w:rPr>
          <w:rFonts w:hint="eastAsia" w:ascii="宋体" w:eastAsia="宋体"/>
          <w:b w:val="0"/>
          <w:sz w:val="22"/>
          <w:szCs w:val="22"/>
        </w:rPr>
        <w:t>这两个专</w:t>
      </w:r>
      <w:r>
        <w:rPr>
          <w:rFonts w:ascii="宋体" w:eastAsia="宋体"/>
          <w:b w:val="0"/>
          <w:sz w:val="22"/>
          <w:szCs w:val="22"/>
        </w:rPr>
        <w:t>项项目的</w:t>
      </w:r>
      <w:r>
        <w:rPr>
          <w:rFonts w:hint="eastAsia" w:ascii="宋体" w:eastAsia="宋体"/>
          <w:b w:val="0"/>
          <w:sz w:val="22"/>
          <w:szCs w:val="22"/>
        </w:rPr>
        <w:t>系统改造</w:t>
      </w:r>
      <w:r>
        <w:rPr>
          <w:rFonts w:ascii="宋体" w:eastAsia="宋体"/>
          <w:b w:val="0"/>
          <w:sz w:val="22"/>
          <w:szCs w:val="22"/>
        </w:rPr>
        <w:t>升级和</w:t>
      </w:r>
      <w:r>
        <w:rPr>
          <w:rFonts w:hint="eastAsia" w:ascii="宋体" w:eastAsia="宋体"/>
          <w:b w:val="0"/>
          <w:sz w:val="22"/>
          <w:szCs w:val="22"/>
        </w:rPr>
        <w:t>继续</w:t>
      </w:r>
      <w:r>
        <w:rPr>
          <w:rFonts w:ascii="宋体" w:eastAsia="宋体"/>
          <w:b w:val="0"/>
          <w:sz w:val="22"/>
          <w:szCs w:val="22"/>
        </w:rPr>
        <w:t>维护管理</w:t>
      </w:r>
      <w:r>
        <w:rPr>
          <w:rFonts w:hint="eastAsia" w:ascii="宋体" w:eastAsia="宋体"/>
          <w:b w:val="0"/>
          <w:sz w:val="22"/>
          <w:szCs w:val="22"/>
        </w:rPr>
        <w:t>服务内容</w:t>
      </w:r>
      <w:r>
        <w:rPr>
          <w:rFonts w:ascii="宋体" w:eastAsia="宋体"/>
          <w:b w:val="0"/>
          <w:sz w:val="22"/>
          <w:szCs w:val="22"/>
        </w:rPr>
        <w:t>。</w:t>
      </w:r>
    </w:p>
    <w:p>
      <w:pPr>
        <w:spacing w:before="120" w:beforeLines="50" w:after="120" w:afterLines="50" w:line="360" w:lineRule="auto"/>
        <w:ind w:firstLine="440" w:firstLineChars="200"/>
        <w:rPr>
          <w:rFonts w:ascii="宋体" w:eastAsia="宋体"/>
          <w:b w:val="0"/>
          <w:sz w:val="22"/>
          <w:szCs w:val="22"/>
        </w:rPr>
      </w:pPr>
      <w:r>
        <w:rPr>
          <w:rFonts w:hint="eastAsia" w:ascii="宋体" w:eastAsia="宋体"/>
          <w:b w:val="0"/>
          <w:sz w:val="22"/>
          <w:szCs w:val="22"/>
        </w:rPr>
        <w:t>立足温州交警工作实际，以实现温州公安交警综合管控信息化为目标，坚持统一领导、统一规划、统一标准、分步实施，以交通指挥总控中心、分控制中心、交通信号系统为核心重点，通过</w:t>
      </w:r>
      <w:r>
        <w:rPr>
          <w:rFonts w:ascii="宋体" w:eastAsia="宋体"/>
          <w:b w:val="0"/>
          <w:sz w:val="22"/>
          <w:szCs w:val="22"/>
        </w:rPr>
        <w:t>采用</w:t>
      </w:r>
      <w:r>
        <w:rPr>
          <w:rFonts w:hint="eastAsia" w:ascii="宋体" w:eastAsia="宋体"/>
          <w:b w:val="0"/>
          <w:sz w:val="22"/>
          <w:szCs w:val="22"/>
        </w:rPr>
        <w:t>SCATS系统</w:t>
      </w:r>
      <w:r>
        <w:rPr>
          <w:rFonts w:ascii="宋体" w:eastAsia="宋体"/>
          <w:b w:val="0"/>
          <w:sz w:val="22"/>
          <w:szCs w:val="22"/>
        </w:rPr>
        <w:t>来扩建信控路口，发挥更多路口的区域控制和协同作用，</w:t>
      </w:r>
      <w:r>
        <w:rPr>
          <w:rFonts w:hint="eastAsia" w:ascii="宋体" w:eastAsia="宋体"/>
          <w:b w:val="0"/>
          <w:sz w:val="22"/>
          <w:szCs w:val="22"/>
        </w:rPr>
        <w:t>为提高公安交通科学管理工作能力、预防事故、减少交通违法行为、服务经济社会交通管理的发展提供坚实的技术支持和信息保障。</w:t>
      </w:r>
    </w:p>
    <w:p>
      <w:pPr>
        <w:spacing w:before="120" w:beforeLines="50" w:after="120" w:afterLines="50" w:line="360" w:lineRule="auto"/>
        <w:ind w:firstLine="440" w:firstLineChars="200"/>
        <w:rPr>
          <w:rFonts w:ascii="宋体" w:eastAsia="宋体"/>
          <w:b w:val="0"/>
          <w:sz w:val="22"/>
          <w:szCs w:val="22"/>
        </w:rPr>
      </w:pPr>
      <w:r>
        <w:rPr>
          <w:rFonts w:ascii="宋体" w:eastAsia="宋体"/>
          <w:b w:val="0"/>
          <w:sz w:val="22"/>
          <w:szCs w:val="22"/>
        </w:rPr>
        <w:t>2012</w:t>
      </w:r>
      <w:r>
        <w:rPr>
          <w:rFonts w:hint="eastAsia" w:ascii="宋体" w:eastAsia="宋体"/>
          <w:b w:val="0"/>
          <w:sz w:val="22"/>
          <w:szCs w:val="22"/>
        </w:rPr>
        <w:t>年</w:t>
      </w:r>
      <w:r>
        <w:rPr>
          <w:rFonts w:ascii="宋体" w:eastAsia="宋体"/>
          <w:b w:val="0"/>
          <w:sz w:val="22"/>
          <w:szCs w:val="22"/>
        </w:rPr>
        <w:t>开始建设的</w:t>
      </w:r>
      <w:r>
        <w:rPr>
          <w:rFonts w:hint="eastAsia" w:ascii="宋体" w:eastAsia="宋体"/>
          <w:b w:val="0"/>
          <w:sz w:val="22"/>
          <w:szCs w:val="22"/>
        </w:rPr>
        <w:t>SCATS信号核心二期项目是</w:t>
      </w:r>
      <w:r>
        <w:rPr>
          <w:rFonts w:ascii="宋体" w:eastAsia="宋体"/>
          <w:b w:val="0"/>
          <w:sz w:val="22"/>
          <w:szCs w:val="22"/>
        </w:rPr>
        <w:t>以</w:t>
      </w:r>
      <w:r>
        <w:rPr>
          <w:rFonts w:hint="eastAsia" w:ascii="宋体" w:eastAsia="宋体"/>
          <w:b w:val="0"/>
          <w:sz w:val="22"/>
          <w:szCs w:val="22"/>
        </w:rPr>
        <w:t>重点整治市区“六纵六横”等重点道路，采用SCATS系统来扩建信控路口，累计建设52个交通信号控制路口，采用地磁检测器和线圈检测器相结合的流量采集设备。信号三期</w:t>
      </w:r>
      <w:r>
        <w:rPr>
          <w:rFonts w:ascii="宋体" w:eastAsia="宋体"/>
          <w:b w:val="0"/>
          <w:sz w:val="22"/>
          <w:szCs w:val="22"/>
        </w:rPr>
        <w:t>是</w:t>
      </w:r>
      <w:r>
        <w:rPr>
          <w:rFonts w:hint="eastAsia" w:ascii="宋体" w:eastAsia="宋体"/>
          <w:b w:val="0"/>
          <w:sz w:val="22"/>
          <w:szCs w:val="22"/>
        </w:rPr>
        <w:t>在2013开始</w:t>
      </w:r>
      <w:r>
        <w:rPr>
          <w:rFonts w:ascii="宋体" w:eastAsia="宋体"/>
          <w:b w:val="0"/>
          <w:sz w:val="22"/>
          <w:szCs w:val="22"/>
        </w:rPr>
        <w:t>建设，目标是</w:t>
      </w:r>
      <w:r>
        <w:rPr>
          <w:rFonts w:hint="eastAsia" w:ascii="宋体" w:eastAsia="宋体"/>
          <w:b w:val="0"/>
          <w:sz w:val="22"/>
          <w:szCs w:val="22"/>
        </w:rPr>
        <w:t>针对大南五马商业区等繁华地段，加强对比较复杂的路口或具有行人二次过街的路口的管控，继续采用线圈检测和地磁检测方式相结合方式，</w:t>
      </w:r>
      <w:r>
        <w:rPr>
          <w:rFonts w:ascii="宋体" w:eastAsia="宋体"/>
          <w:b w:val="0"/>
          <w:sz w:val="22"/>
          <w:szCs w:val="22"/>
        </w:rPr>
        <w:t>累计建设</w:t>
      </w:r>
      <w:r>
        <w:rPr>
          <w:rFonts w:hint="eastAsia" w:ascii="宋体" w:eastAsia="宋体"/>
          <w:b w:val="0"/>
          <w:sz w:val="22"/>
          <w:szCs w:val="22"/>
        </w:rPr>
        <w:t>100套</w:t>
      </w:r>
      <w:r>
        <w:rPr>
          <w:rFonts w:ascii="宋体" w:eastAsia="宋体"/>
          <w:b w:val="0"/>
          <w:sz w:val="22"/>
          <w:szCs w:val="22"/>
        </w:rPr>
        <w:t>交通信号控制机。</w:t>
      </w:r>
      <w:r>
        <w:rPr>
          <w:rFonts w:hint="eastAsia" w:ascii="宋体" w:eastAsia="宋体"/>
          <w:b w:val="0"/>
          <w:sz w:val="22"/>
          <w:szCs w:val="22"/>
        </w:rPr>
        <w:t>2个</w:t>
      </w:r>
      <w:r>
        <w:rPr>
          <w:rFonts w:ascii="宋体" w:eastAsia="宋体"/>
          <w:b w:val="0"/>
          <w:sz w:val="22"/>
          <w:szCs w:val="22"/>
        </w:rPr>
        <w:t>项目</w:t>
      </w:r>
      <w:r>
        <w:rPr>
          <w:rFonts w:hint="eastAsia" w:ascii="宋体" w:eastAsia="宋体"/>
          <w:b w:val="0"/>
          <w:sz w:val="22"/>
          <w:szCs w:val="22"/>
        </w:rPr>
        <w:t>均于2014年完成</w:t>
      </w:r>
      <w:r>
        <w:rPr>
          <w:rFonts w:ascii="宋体" w:eastAsia="宋体"/>
          <w:b w:val="0"/>
          <w:sz w:val="22"/>
          <w:szCs w:val="22"/>
        </w:rPr>
        <w:t>安装调试并投入试运行，</w:t>
      </w:r>
      <w:r>
        <w:rPr>
          <w:rFonts w:hint="eastAsia" w:ascii="宋体" w:eastAsia="宋体"/>
          <w:b w:val="0"/>
          <w:sz w:val="22"/>
          <w:szCs w:val="22"/>
        </w:rPr>
        <w:t>在2015年5月27日完成</w:t>
      </w:r>
      <w:r>
        <w:rPr>
          <w:rFonts w:ascii="宋体" w:eastAsia="宋体"/>
          <w:b w:val="0"/>
          <w:sz w:val="22"/>
          <w:szCs w:val="22"/>
        </w:rPr>
        <w:t>验收</w:t>
      </w:r>
      <w:r>
        <w:rPr>
          <w:rFonts w:hint="eastAsia" w:ascii="宋体" w:eastAsia="宋体"/>
          <w:b w:val="0"/>
          <w:sz w:val="22"/>
          <w:szCs w:val="22"/>
        </w:rPr>
        <w:t>后正式</w:t>
      </w:r>
      <w:r>
        <w:rPr>
          <w:rFonts w:ascii="宋体" w:eastAsia="宋体"/>
          <w:b w:val="0"/>
          <w:sz w:val="22"/>
          <w:szCs w:val="22"/>
        </w:rPr>
        <w:t>投入使用并进入</w:t>
      </w:r>
      <w:r>
        <w:rPr>
          <w:rFonts w:hint="eastAsia" w:ascii="宋体" w:eastAsia="宋体"/>
          <w:b w:val="0"/>
          <w:sz w:val="22"/>
          <w:szCs w:val="22"/>
        </w:rPr>
        <w:t>为期5年的运维维护工作，目前在网设备实际使用年限基本</w:t>
      </w:r>
      <w:r>
        <w:rPr>
          <w:rFonts w:ascii="宋体" w:eastAsia="宋体"/>
          <w:b w:val="0"/>
          <w:sz w:val="22"/>
          <w:szCs w:val="22"/>
        </w:rPr>
        <w:t>上都</w:t>
      </w:r>
      <w:r>
        <w:rPr>
          <w:rFonts w:hint="eastAsia" w:ascii="宋体" w:eastAsia="宋体"/>
          <w:b w:val="0"/>
          <w:sz w:val="22"/>
          <w:szCs w:val="22"/>
        </w:rPr>
        <w:t>超过7年</w:t>
      </w:r>
      <w:r>
        <w:rPr>
          <w:rFonts w:ascii="宋体" w:eastAsia="宋体"/>
          <w:b w:val="0"/>
          <w:sz w:val="22"/>
          <w:szCs w:val="22"/>
        </w:rPr>
        <w:t>的时间，</w:t>
      </w:r>
      <w:r>
        <w:rPr>
          <w:rFonts w:hint="eastAsia" w:ascii="宋体" w:eastAsia="宋体"/>
          <w:b w:val="0"/>
          <w:sz w:val="22"/>
          <w:szCs w:val="22"/>
        </w:rPr>
        <w:t>特别</w:t>
      </w:r>
      <w:r>
        <w:rPr>
          <w:rFonts w:ascii="宋体" w:eastAsia="宋体"/>
          <w:b w:val="0"/>
          <w:sz w:val="22"/>
          <w:szCs w:val="22"/>
        </w:rPr>
        <w:t>是光端机、防雷器、稳压电源部分都已经是第二套设备</w:t>
      </w:r>
      <w:r>
        <w:rPr>
          <w:rFonts w:hint="eastAsia" w:ascii="宋体" w:eastAsia="宋体"/>
          <w:b w:val="0"/>
          <w:sz w:val="22"/>
          <w:szCs w:val="22"/>
        </w:rPr>
        <w:t>。</w:t>
      </w:r>
    </w:p>
    <w:p>
      <w:pPr>
        <w:spacing w:before="120" w:beforeLines="50" w:after="120" w:afterLines="50" w:line="360" w:lineRule="auto"/>
        <w:ind w:firstLine="440" w:firstLineChars="200"/>
        <w:rPr>
          <w:rFonts w:ascii="宋体" w:eastAsia="宋体"/>
          <w:b w:val="0"/>
          <w:sz w:val="22"/>
          <w:szCs w:val="22"/>
        </w:rPr>
      </w:pPr>
      <w:r>
        <w:rPr>
          <w:rFonts w:hint="eastAsia" w:ascii="宋体" w:eastAsia="宋体"/>
          <w:b w:val="0"/>
          <w:sz w:val="22"/>
          <w:szCs w:val="22"/>
        </w:rPr>
        <w:t>截止2020年</w:t>
      </w:r>
      <w:r>
        <w:rPr>
          <w:rFonts w:ascii="宋体" w:eastAsia="宋体"/>
          <w:b w:val="0"/>
          <w:sz w:val="22"/>
          <w:szCs w:val="22"/>
        </w:rPr>
        <w:t>10</w:t>
      </w:r>
      <w:r>
        <w:rPr>
          <w:rFonts w:hint="eastAsia" w:ascii="宋体" w:eastAsia="宋体"/>
          <w:b w:val="0"/>
          <w:sz w:val="22"/>
          <w:szCs w:val="22"/>
        </w:rPr>
        <w:t>月</w:t>
      </w:r>
      <w:r>
        <w:rPr>
          <w:rFonts w:ascii="宋体" w:eastAsia="宋体"/>
          <w:b w:val="0"/>
          <w:sz w:val="22"/>
          <w:szCs w:val="22"/>
        </w:rPr>
        <w:t>31</w:t>
      </w:r>
      <w:r>
        <w:rPr>
          <w:rFonts w:hint="eastAsia" w:ascii="宋体" w:eastAsia="宋体"/>
          <w:b w:val="0"/>
          <w:sz w:val="22"/>
          <w:szCs w:val="22"/>
        </w:rPr>
        <w:t>日，以上2个</w:t>
      </w:r>
      <w:r>
        <w:rPr>
          <w:rFonts w:ascii="宋体" w:eastAsia="宋体"/>
          <w:b w:val="0"/>
          <w:sz w:val="22"/>
          <w:szCs w:val="22"/>
        </w:rPr>
        <w:t>项目的</w:t>
      </w:r>
      <w:r>
        <w:rPr>
          <w:rFonts w:hint="eastAsia" w:ascii="宋体" w:eastAsia="宋体"/>
          <w:b w:val="0"/>
          <w:sz w:val="22"/>
          <w:szCs w:val="22"/>
        </w:rPr>
        <w:t>5年</w:t>
      </w:r>
      <w:r>
        <w:rPr>
          <w:rFonts w:ascii="宋体" w:eastAsia="宋体"/>
          <w:b w:val="0"/>
          <w:sz w:val="22"/>
          <w:szCs w:val="22"/>
        </w:rPr>
        <w:t>的</w:t>
      </w:r>
      <w:r>
        <w:rPr>
          <w:rFonts w:hint="eastAsia" w:ascii="宋体" w:eastAsia="宋体"/>
          <w:b w:val="0"/>
          <w:sz w:val="22"/>
          <w:szCs w:val="22"/>
        </w:rPr>
        <w:t>运维已经</w:t>
      </w:r>
      <w:r>
        <w:rPr>
          <w:rFonts w:ascii="宋体" w:eastAsia="宋体"/>
          <w:b w:val="0"/>
          <w:sz w:val="22"/>
          <w:szCs w:val="22"/>
        </w:rPr>
        <w:t>到期</w:t>
      </w:r>
      <w:r>
        <w:rPr>
          <w:rFonts w:hint="eastAsia" w:ascii="宋体" w:eastAsia="宋体"/>
          <w:b w:val="0"/>
          <w:sz w:val="22"/>
          <w:szCs w:val="22"/>
        </w:rPr>
        <w:t>，整体系统中所有设备都已过保并且大部份出现设备老化、运行</w:t>
      </w:r>
      <w:r>
        <w:rPr>
          <w:rFonts w:ascii="宋体" w:eastAsia="宋体"/>
          <w:b w:val="0"/>
          <w:sz w:val="22"/>
          <w:szCs w:val="22"/>
        </w:rPr>
        <w:t>能力</w:t>
      </w:r>
      <w:r>
        <w:rPr>
          <w:rFonts w:hint="eastAsia" w:ascii="宋体" w:eastAsia="宋体"/>
          <w:b w:val="0"/>
          <w:sz w:val="22"/>
          <w:szCs w:val="22"/>
        </w:rPr>
        <w:t>下降、故障率高等问题，无法满足现有的运维需求。为充分考虑政治效果、社会效果，现依托原</w:t>
      </w:r>
      <w:r>
        <w:rPr>
          <w:rFonts w:ascii="宋体" w:eastAsia="宋体"/>
          <w:b w:val="0"/>
          <w:sz w:val="22"/>
          <w:szCs w:val="22"/>
        </w:rPr>
        <w:t>交警支队交通指挥控制中心核心二期信号控制系统扩建</w:t>
      </w:r>
      <w:r>
        <w:rPr>
          <w:rFonts w:hint="eastAsia" w:ascii="宋体" w:eastAsia="宋体"/>
          <w:b w:val="0"/>
          <w:sz w:val="22"/>
          <w:szCs w:val="22"/>
        </w:rPr>
        <w:t>项目</w:t>
      </w:r>
      <w:r>
        <w:rPr>
          <w:rFonts w:ascii="宋体" w:eastAsia="宋体"/>
          <w:b w:val="0"/>
          <w:sz w:val="22"/>
          <w:szCs w:val="22"/>
        </w:rPr>
        <w:t>和</w:t>
      </w:r>
      <w:r>
        <w:rPr>
          <w:rFonts w:hint="eastAsia" w:ascii="宋体" w:eastAsia="宋体"/>
          <w:b w:val="0"/>
          <w:sz w:val="22"/>
          <w:szCs w:val="22"/>
        </w:rPr>
        <w:t>SCATS系统</w:t>
      </w:r>
      <w:r>
        <w:rPr>
          <w:rFonts w:ascii="宋体" w:eastAsia="宋体"/>
          <w:b w:val="0"/>
          <w:sz w:val="22"/>
          <w:szCs w:val="22"/>
        </w:rPr>
        <w:t>三期扩建项目</w:t>
      </w:r>
      <w:r>
        <w:rPr>
          <w:rFonts w:hint="eastAsia" w:ascii="宋体" w:eastAsia="宋体"/>
          <w:b w:val="0"/>
          <w:sz w:val="22"/>
          <w:szCs w:val="22"/>
        </w:rPr>
        <w:t>的基础上对原有系统进行续建改造提升，依靠道路交通信号系统均衡路网内交通流运行，使停车次数、延误时间及环境污染等减至最小，充分发挥道路系统的交通效益。主要涉及交通信号控制（SCATS）系统进行设备更新升级等改造提升及延续后期运维服务,同时考虑温州部分外建项目移交交警支队使用的系统后续维护的统一性，该项目将包含这部分点位运维维护技术服务。</w:t>
      </w:r>
    </w:p>
    <w:p>
      <w:pPr>
        <w:spacing w:before="120" w:beforeLines="50" w:after="120" w:afterLines="50" w:line="360" w:lineRule="auto"/>
        <w:ind w:firstLine="442" w:firstLineChars="200"/>
        <w:rPr>
          <w:rFonts w:hint="eastAsia"/>
          <w:u w:val="single"/>
        </w:rPr>
      </w:pPr>
      <w:r>
        <w:rPr>
          <w:rFonts w:hint="eastAsia" w:ascii="宋体" w:eastAsia="宋体"/>
          <w:b/>
          <w:bCs/>
          <w:sz w:val="22"/>
          <w:szCs w:val="22"/>
          <w:u w:val="single"/>
        </w:rPr>
        <w:t>为保证该项目系统的正常运行，</w:t>
      </w:r>
      <w:r>
        <w:rPr>
          <w:rFonts w:ascii="宋体" w:eastAsia="宋体"/>
          <w:b/>
          <w:bCs/>
          <w:sz w:val="22"/>
          <w:szCs w:val="22"/>
          <w:u w:val="single"/>
        </w:rPr>
        <w:t>2020</w:t>
      </w:r>
      <w:r>
        <w:rPr>
          <w:rFonts w:hint="eastAsia" w:ascii="宋体" w:eastAsia="宋体"/>
          <w:b/>
          <w:bCs/>
          <w:sz w:val="22"/>
          <w:szCs w:val="22"/>
          <w:u w:val="single"/>
        </w:rPr>
        <w:t>年11月</w:t>
      </w:r>
      <w:r>
        <w:rPr>
          <w:rFonts w:ascii="宋体" w:eastAsia="宋体"/>
          <w:b/>
          <w:bCs/>
          <w:sz w:val="22"/>
          <w:szCs w:val="22"/>
          <w:u w:val="single"/>
        </w:rPr>
        <w:t>1</w:t>
      </w:r>
      <w:r>
        <w:rPr>
          <w:rFonts w:hint="eastAsia" w:ascii="宋体" w:eastAsia="宋体"/>
          <w:b/>
          <w:bCs/>
          <w:sz w:val="22"/>
          <w:szCs w:val="22"/>
          <w:u w:val="single"/>
        </w:rPr>
        <w:t>日起由交管局暂时委托原项目维护</w:t>
      </w:r>
      <w:r>
        <w:rPr>
          <w:rFonts w:ascii="宋体" w:eastAsia="宋体"/>
          <w:b/>
          <w:bCs/>
          <w:sz w:val="22"/>
          <w:szCs w:val="22"/>
          <w:u w:val="single"/>
        </w:rPr>
        <w:t>单位</w:t>
      </w:r>
      <w:r>
        <w:rPr>
          <w:rFonts w:hint="eastAsia" w:ascii="宋体" w:eastAsia="宋体"/>
          <w:b/>
          <w:bCs/>
          <w:sz w:val="22"/>
          <w:szCs w:val="22"/>
          <w:u w:val="single"/>
        </w:rPr>
        <w:t>温州电信先行运维，本次</w:t>
      </w:r>
      <w:r>
        <w:rPr>
          <w:rFonts w:ascii="宋体" w:eastAsia="宋体"/>
          <w:b/>
          <w:bCs/>
          <w:sz w:val="22"/>
          <w:szCs w:val="22"/>
          <w:u w:val="single"/>
        </w:rPr>
        <w:t>项目的</w:t>
      </w:r>
      <w:r>
        <w:rPr>
          <w:rFonts w:hint="eastAsia" w:ascii="宋体" w:eastAsia="宋体"/>
          <w:b/>
          <w:bCs/>
          <w:sz w:val="22"/>
          <w:szCs w:val="22"/>
          <w:u w:val="single"/>
        </w:rPr>
        <w:t>招标维护期从</w:t>
      </w:r>
      <w:r>
        <w:rPr>
          <w:rFonts w:ascii="宋体" w:eastAsia="宋体"/>
          <w:b/>
          <w:bCs/>
          <w:sz w:val="22"/>
          <w:szCs w:val="22"/>
          <w:u w:val="single"/>
        </w:rPr>
        <w:t>2020</w:t>
      </w:r>
      <w:r>
        <w:rPr>
          <w:rFonts w:hint="eastAsia" w:ascii="宋体" w:eastAsia="宋体"/>
          <w:b/>
          <w:bCs/>
          <w:sz w:val="22"/>
          <w:szCs w:val="22"/>
          <w:u w:val="single"/>
        </w:rPr>
        <w:t>年11月</w:t>
      </w:r>
      <w:r>
        <w:rPr>
          <w:rFonts w:ascii="宋体" w:eastAsia="宋体"/>
          <w:b/>
          <w:bCs/>
          <w:sz w:val="22"/>
          <w:szCs w:val="22"/>
          <w:u w:val="single"/>
        </w:rPr>
        <w:t>1</w:t>
      </w:r>
      <w:r>
        <w:rPr>
          <w:rFonts w:hint="eastAsia" w:ascii="宋体" w:eastAsia="宋体"/>
          <w:b/>
          <w:bCs/>
          <w:sz w:val="22"/>
          <w:szCs w:val="22"/>
          <w:u w:val="single"/>
        </w:rPr>
        <w:t>日起算，共计60个月维护期。在完成招标后，由先行暂时运维的单位（即原线路运营商温州电信），将运维工作移交给中标供应商。从20</w:t>
      </w:r>
      <w:r>
        <w:rPr>
          <w:rFonts w:ascii="宋体" w:eastAsia="宋体"/>
          <w:b/>
          <w:bCs/>
          <w:sz w:val="22"/>
          <w:szCs w:val="22"/>
          <w:u w:val="single"/>
        </w:rPr>
        <w:t>20</w:t>
      </w:r>
      <w:r>
        <w:rPr>
          <w:rFonts w:hint="eastAsia" w:ascii="宋体" w:eastAsia="宋体"/>
          <w:b/>
          <w:bCs/>
          <w:sz w:val="22"/>
          <w:szCs w:val="22"/>
          <w:u w:val="single"/>
        </w:rPr>
        <w:t>年</w:t>
      </w:r>
      <w:r>
        <w:rPr>
          <w:rFonts w:ascii="宋体" w:eastAsia="宋体"/>
          <w:b/>
          <w:bCs/>
          <w:sz w:val="22"/>
          <w:szCs w:val="22"/>
          <w:u w:val="single"/>
        </w:rPr>
        <w:t>11</w:t>
      </w:r>
      <w:r>
        <w:rPr>
          <w:rFonts w:hint="eastAsia" w:ascii="宋体" w:eastAsia="宋体"/>
          <w:b/>
          <w:bCs/>
          <w:sz w:val="22"/>
          <w:szCs w:val="22"/>
          <w:u w:val="single"/>
        </w:rPr>
        <w:t>月</w:t>
      </w:r>
      <w:r>
        <w:rPr>
          <w:rFonts w:ascii="宋体" w:eastAsia="宋体"/>
          <w:b/>
          <w:bCs/>
          <w:sz w:val="22"/>
          <w:szCs w:val="22"/>
          <w:u w:val="single"/>
        </w:rPr>
        <w:t>1</w:t>
      </w:r>
      <w:r>
        <w:rPr>
          <w:rFonts w:hint="eastAsia" w:ascii="宋体" w:eastAsia="宋体"/>
          <w:b/>
          <w:bCs/>
          <w:sz w:val="22"/>
          <w:szCs w:val="22"/>
          <w:u w:val="single"/>
        </w:rPr>
        <w:t>日至中标单位履约前的维护费由中标单位按中标价根据实际维护时间结算给</w:t>
      </w:r>
      <w:r>
        <w:rPr>
          <w:rFonts w:ascii="宋体" w:eastAsia="宋体"/>
          <w:b/>
          <w:bCs/>
          <w:sz w:val="22"/>
          <w:szCs w:val="22"/>
          <w:u w:val="single"/>
        </w:rPr>
        <w:t>温州</w:t>
      </w:r>
      <w:r>
        <w:rPr>
          <w:rFonts w:hint="eastAsia" w:ascii="宋体" w:eastAsia="宋体"/>
          <w:b/>
          <w:bCs/>
          <w:sz w:val="22"/>
          <w:szCs w:val="22"/>
          <w:u w:val="single"/>
        </w:rPr>
        <w:t>电信。</w:t>
      </w:r>
    </w:p>
    <w:p>
      <w:pPr>
        <w:pStyle w:val="2"/>
        <w:rPr>
          <w:rFonts w:hint="eastAsia"/>
          <w:lang w:val="en-US"/>
        </w:rPr>
      </w:pPr>
    </w:p>
    <w:p>
      <w:pPr>
        <w:pStyle w:val="3"/>
        <w:numPr>
          <w:ilvl w:val="0"/>
          <w:numId w:val="0"/>
        </w:numPr>
        <w:tabs>
          <w:tab w:val="left" w:pos="432"/>
        </w:tabs>
        <w:adjustRightInd w:val="0"/>
        <w:snapToGrid w:val="0"/>
        <w:spacing w:before="120" w:beforeLines="50" w:after="120" w:line="240" w:lineRule="auto"/>
        <w:ind w:leftChars="-153"/>
        <w:jc w:val="left"/>
        <w:rPr>
          <w:rFonts w:hint="eastAsia" w:ascii="宋体" w:hAnsi="宋体" w:eastAsia="宋体" w:cs="宋体"/>
          <w:bCs/>
          <w:sz w:val="22"/>
          <w:szCs w:val="22"/>
        </w:rPr>
      </w:pPr>
      <w:r>
        <w:rPr>
          <w:rFonts w:hint="eastAsia" w:ascii="宋体" w:hAnsi="宋体" w:eastAsia="宋体" w:cs="宋体"/>
          <w:b/>
          <w:bCs/>
          <w:sz w:val="24"/>
          <w:szCs w:val="24"/>
        </w:rPr>
        <w:t>二、</w:t>
      </w:r>
      <w:bookmarkEnd w:id="16"/>
      <w:bookmarkEnd w:id="17"/>
      <w:r>
        <w:rPr>
          <w:rFonts w:hint="eastAsia" w:ascii="宋体" w:hAnsi="宋体" w:eastAsia="宋体" w:cs="宋体"/>
          <w:b/>
          <w:bCs/>
          <w:sz w:val="24"/>
          <w:szCs w:val="24"/>
        </w:rPr>
        <w:t>总体要求</w:t>
      </w:r>
    </w:p>
    <w:p>
      <w:pPr>
        <w:spacing w:before="120" w:beforeLines="50" w:after="120" w:afterLines="50" w:line="360" w:lineRule="auto"/>
        <w:ind w:firstLine="440" w:firstLineChars="200"/>
        <w:jc w:val="left"/>
        <w:rPr>
          <w:rFonts w:ascii="宋体" w:eastAsia="宋体"/>
          <w:b w:val="0"/>
          <w:sz w:val="22"/>
          <w:szCs w:val="22"/>
        </w:rPr>
      </w:pPr>
      <w:r>
        <w:rPr>
          <w:rFonts w:hint="eastAsia" w:ascii="宋体" w:eastAsia="宋体"/>
          <w:b w:val="0"/>
          <w:sz w:val="22"/>
          <w:szCs w:val="22"/>
        </w:rPr>
        <w:t>为确保原市交警支队指挥中心核心二期和SCATS系统三期项目</w:t>
      </w:r>
      <w:r>
        <w:rPr>
          <w:rFonts w:ascii="宋体" w:eastAsia="宋体"/>
          <w:b w:val="0"/>
          <w:sz w:val="22"/>
          <w:szCs w:val="22"/>
        </w:rPr>
        <w:t>系统的继续正常运行，</w:t>
      </w:r>
      <w:r>
        <w:rPr>
          <w:rFonts w:hint="eastAsia" w:ascii="宋体" w:eastAsia="宋体"/>
          <w:b w:val="0"/>
          <w:sz w:val="22"/>
          <w:szCs w:val="22"/>
        </w:rPr>
        <w:t>新</w:t>
      </w:r>
      <w:r>
        <w:rPr>
          <w:rFonts w:ascii="宋体" w:eastAsia="宋体"/>
          <w:b w:val="0"/>
          <w:sz w:val="22"/>
          <w:szCs w:val="22"/>
        </w:rPr>
        <w:t>的</w:t>
      </w:r>
      <w:r>
        <w:rPr>
          <w:rFonts w:hint="eastAsia" w:ascii="宋体" w:eastAsia="宋体"/>
          <w:b w:val="0"/>
          <w:sz w:val="22"/>
          <w:szCs w:val="22"/>
        </w:rPr>
        <w:t>改造升级继续</w:t>
      </w:r>
      <w:r>
        <w:rPr>
          <w:rFonts w:ascii="宋体" w:eastAsia="宋体"/>
          <w:b w:val="0"/>
          <w:sz w:val="22"/>
          <w:szCs w:val="22"/>
        </w:rPr>
        <w:t>维护项目应当</w:t>
      </w:r>
      <w:r>
        <w:rPr>
          <w:rFonts w:hint="eastAsia" w:ascii="宋体" w:eastAsia="宋体"/>
          <w:b w:val="0"/>
          <w:sz w:val="22"/>
          <w:szCs w:val="22"/>
        </w:rPr>
        <w:t>结合当前已建设系统现状,按照“标准上的符合性，取证上的严谨性，技术上的先进性，使用上的稳定性，升级上的可拓展性”对系统交通智能化提升进行设计及建设。本次项目的改造升级</w:t>
      </w:r>
      <w:r>
        <w:rPr>
          <w:rFonts w:ascii="宋体" w:eastAsia="宋体"/>
          <w:b w:val="0"/>
          <w:sz w:val="22"/>
          <w:szCs w:val="22"/>
        </w:rPr>
        <w:t>、</w:t>
      </w:r>
      <w:r>
        <w:rPr>
          <w:rFonts w:hint="eastAsia" w:ascii="宋体" w:eastAsia="宋体"/>
          <w:b w:val="0"/>
          <w:sz w:val="22"/>
          <w:szCs w:val="22"/>
        </w:rPr>
        <w:t>运行维护等技术服务内容主要是交通信号控制（SCATS）系统，包含指挥控制中心核心二期</w:t>
      </w:r>
      <w:r>
        <w:rPr>
          <w:rFonts w:ascii="宋体" w:eastAsia="宋体"/>
          <w:b w:val="0"/>
          <w:sz w:val="22"/>
          <w:szCs w:val="22"/>
        </w:rPr>
        <w:t>52</w:t>
      </w:r>
      <w:r>
        <w:rPr>
          <w:rFonts w:hint="eastAsia" w:ascii="宋体" w:eastAsia="宋体"/>
          <w:b w:val="0"/>
          <w:sz w:val="22"/>
          <w:szCs w:val="22"/>
        </w:rPr>
        <w:t>个路口、SCATS系统三期100个路口</w:t>
      </w:r>
      <w:r>
        <w:rPr>
          <w:rFonts w:ascii="宋体" w:eastAsia="宋体"/>
          <w:b w:val="0"/>
          <w:sz w:val="22"/>
          <w:szCs w:val="22"/>
        </w:rPr>
        <w:t>，</w:t>
      </w:r>
      <w:r>
        <w:rPr>
          <w:rFonts w:hint="eastAsia" w:ascii="宋体" w:eastAsia="宋体"/>
          <w:b w:val="0"/>
          <w:sz w:val="22"/>
          <w:szCs w:val="22"/>
        </w:rPr>
        <w:t>以及外建移交项目21个</w:t>
      </w:r>
      <w:r>
        <w:rPr>
          <w:rFonts w:ascii="宋体" w:eastAsia="宋体"/>
          <w:b w:val="0"/>
          <w:sz w:val="22"/>
          <w:szCs w:val="22"/>
        </w:rPr>
        <w:t>路口</w:t>
      </w:r>
      <w:r>
        <w:rPr>
          <w:rFonts w:hint="eastAsia" w:ascii="宋体" w:eastAsia="宋体"/>
          <w:b w:val="0"/>
          <w:sz w:val="22"/>
          <w:szCs w:val="22"/>
        </w:rPr>
        <w:t>共计173个路口</w:t>
      </w:r>
      <w:r>
        <w:rPr>
          <w:rFonts w:ascii="宋体" w:eastAsia="宋体"/>
          <w:b w:val="0"/>
          <w:sz w:val="22"/>
          <w:szCs w:val="22"/>
        </w:rPr>
        <w:t>/</w:t>
      </w:r>
      <w:r>
        <w:rPr>
          <w:rFonts w:hint="eastAsia" w:ascii="宋体" w:eastAsia="宋体"/>
          <w:b w:val="0"/>
          <w:sz w:val="22"/>
          <w:szCs w:val="22"/>
        </w:rPr>
        <w:t>路段点位的改建提升维护等技术服务和配套系统软件开发（路口车辆溢出事件检测、路段全程拼接交通事件感知系统、路口诊断控制系统、边界交换平台、视频专网安全保障系统）。本次</w:t>
      </w:r>
      <w:r>
        <w:rPr>
          <w:rFonts w:ascii="宋体" w:eastAsia="宋体"/>
          <w:b w:val="0"/>
          <w:sz w:val="22"/>
          <w:szCs w:val="22"/>
        </w:rPr>
        <w:t>项目的</w:t>
      </w:r>
      <w:r>
        <w:rPr>
          <w:rFonts w:hint="eastAsia" w:ascii="宋体" w:eastAsia="宋体"/>
          <w:b w:val="0"/>
          <w:sz w:val="22"/>
          <w:szCs w:val="22"/>
        </w:rPr>
        <w:t>整体系统维护</w:t>
      </w:r>
      <w:r>
        <w:rPr>
          <w:rFonts w:ascii="宋体" w:eastAsia="宋体"/>
          <w:b w:val="0"/>
          <w:sz w:val="22"/>
          <w:szCs w:val="22"/>
        </w:rPr>
        <w:t>期</w:t>
      </w:r>
      <w:r>
        <w:rPr>
          <w:rFonts w:hint="eastAsia" w:ascii="宋体" w:eastAsia="宋体"/>
          <w:b w:val="0"/>
          <w:sz w:val="22"/>
          <w:szCs w:val="22"/>
        </w:rPr>
        <w:t>从2020年</w:t>
      </w:r>
      <w:r>
        <w:rPr>
          <w:rFonts w:ascii="宋体" w:eastAsia="宋体"/>
          <w:b w:val="0"/>
          <w:sz w:val="22"/>
          <w:szCs w:val="22"/>
        </w:rPr>
        <w:t>11</w:t>
      </w:r>
      <w:r>
        <w:rPr>
          <w:rFonts w:hint="eastAsia" w:ascii="宋体" w:eastAsia="宋体"/>
          <w:b w:val="0"/>
          <w:sz w:val="22"/>
          <w:szCs w:val="22"/>
        </w:rPr>
        <w:t>月</w:t>
      </w:r>
      <w:r>
        <w:rPr>
          <w:rFonts w:ascii="宋体" w:eastAsia="宋体"/>
          <w:b w:val="0"/>
          <w:sz w:val="22"/>
          <w:szCs w:val="22"/>
        </w:rPr>
        <w:t>1</w:t>
      </w:r>
      <w:r>
        <w:rPr>
          <w:rFonts w:hint="eastAsia" w:ascii="宋体" w:eastAsia="宋体"/>
          <w:b w:val="0"/>
          <w:sz w:val="22"/>
          <w:szCs w:val="22"/>
        </w:rPr>
        <w:t>日至202</w:t>
      </w:r>
      <w:r>
        <w:rPr>
          <w:rFonts w:ascii="宋体" w:eastAsia="宋体"/>
          <w:b w:val="0"/>
          <w:sz w:val="22"/>
          <w:szCs w:val="22"/>
        </w:rPr>
        <w:t>5</w:t>
      </w:r>
      <w:r>
        <w:rPr>
          <w:rFonts w:hint="eastAsia" w:ascii="宋体" w:eastAsia="宋体"/>
          <w:b w:val="0"/>
          <w:sz w:val="22"/>
          <w:szCs w:val="22"/>
        </w:rPr>
        <w:t>年</w:t>
      </w:r>
      <w:r>
        <w:rPr>
          <w:rFonts w:ascii="宋体" w:eastAsia="宋体"/>
          <w:b w:val="0"/>
          <w:sz w:val="22"/>
          <w:szCs w:val="22"/>
        </w:rPr>
        <w:t>10</w:t>
      </w:r>
      <w:r>
        <w:rPr>
          <w:rFonts w:hint="eastAsia" w:ascii="宋体" w:eastAsia="宋体"/>
          <w:b w:val="0"/>
          <w:sz w:val="22"/>
          <w:szCs w:val="22"/>
        </w:rPr>
        <w:t>月</w:t>
      </w:r>
      <w:r>
        <w:rPr>
          <w:rFonts w:ascii="宋体" w:eastAsia="宋体"/>
          <w:b w:val="0"/>
          <w:sz w:val="22"/>
          <w:szCs w:val="22"/>
        </w:rPr>
        <w:t>31</w:t>
      </w:r>
      <w:r>
        <w:rPr>
          <w:rFonts w:hint="eastAsia" w:ascii="宋体" w:eastAsia="宋体"/>
          <w:b w:val="0"/>
          <w:sz w:val="22"/>
          <w:szCs w:val="22"/>
        </w:rPr>
        <w:t>日。</w:t>
      </w:r>
    </w:p>
    <w:tbl>
      <w:tblPr>
        <w:tblStyle w:val="6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3"/>
        <w:gridCol w:w="1510"/>
        <w:gridCol w:w="5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763" w:type="dxa"/>
            <w:noWrap w:val="0"/>
            <w:vAlign w:val="center"/>
          </w:tcPr>
          <w:p>
            <w:pPr>
              <w:jc w:val="center"/>
              <w:rPr>
                <w:rFonts w:ascii="Calibri" w:hAnsi="Calibri" w:eastAsia="宋体"/>
                <w:b w:val="0"/>
                <w:color w:val="auto"/>
                <w:kern w:val="2"/>
                <w:szCs w:val="21"/>
              </w:rPr>
            </w:pPr>
            <w:r>
              <w:rPr>
                <w:rFonts w:hint="eastAsia" w:ascii="Calibri" w:hAnsi="Calibri" w:eastAsia="宋体"/>
                <w:b w:val="0"/>
                <w:color w:val="auto"/>
                <w:kern w:val="2"/>
                <w:szCs w:val="21"/>
              </w:rPr>
              <w:t>序号</w:t>
            </w:r>
          </w:p>
        </w:tc>
        <w:tc>
          <w:tcPr>
            <w:tcW w:w="1510" w:type="dxa"/>
            <w:noWrap w:val="0"/>
            <w:vAlign w:val="center"/>
          </w:tcPr>
          <w:p>
            <w:pPr>
              <w:jc w:val="center"/>
              <w:rPr>
                <w:rFonts w:ascii="Calibri" w:hAnsi="Calibri" w:eastAsia="宋体"/>
                <w:b w:val="0"/>
                <w:color w:val="auto"/>
                <w:kern w:val="2"/>
                <w:szCs w:val="21"/>
              </w:rPr>
            </w:pPr>
            <w:r>
              <w:rPr>
                <w:rFonts w:hint="eastAsia" w:ascii="Calibri" w:hAnsi="Calibri" w:eastAsia="宋体"/>
                <w:b w:val="0"/>
                <w:color w:val="auto"/>
                <w:kern w:val="2"/>
                <w:szCs w:val="21"/>
              </w:rPr>
              <w:t>子项</w:t>
            </w:r>
          </w:p>
        </w:tc>
        <w:tc>
          <w:tcPr>
            <w:tcW w:w="5294" w:type="dxa"/>
            <w:noWrap w:val="0"/>
            <w:vAlign w:val="center"/>
          </w:tcPr>
          <w:p>
            <w:pPr>
              <w:jc w:val="center"/>
              <w:rPr>
                <w:rFonts w:ascii="Calibri" w:hAnsi="Calibri" w:eastAsia="宋体"/>
                <w:b w:val="0"/>
                <w:color w:val="auto"/>
                <w:kern w:val="2"/>
                <w:szCs w:val="21"/>
              </w:rPr>
            </w:pPr>
            <w:r>
              <w:rPr>
                <w:rFonts w:hint="eastAsia" w:ascii="Calibri" w:hAnsi="Calibri" w:eastAsia="宋体"/>
                <w:b w:val="0"/>
                <w:color w:val="auto"/>
                <w:kern w:val="2"/>
                <w:szCs w:val="21"/>
              </w:rPr>
              <w:t>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763" w:type="dxa"/>
            <w:noWrap w:val="0"/>
            <w:vAlign w:val="center"/>
          </w:tcPr>
          <w:p>
            <w:pPr>
              <w:jc w:val="center"/>
              <w:rPr>
                <w:rFonts w:ascii="Calibri" w:hAnsi="Calibri" w:eastAsia="宋体"/>
                <w:b w:val="0"/>
                <w:color w:val="auto"/>
                <w:kern w:val="2"/>
                <w:szCs w:val="21"/>
              </w:rPr>
            </w:pPr>
            <w:r>
              <w:rPr>
                <w:rFonts w:hint="eastAsia" w:ascii="Calibri" w:hAnsi="Calibri" w:eastAsia="宋体"/>
                <w:b w:val="0"/>
                <w:color w:val="auto"/>
                <w:kern w:val="2"/>
                <w:szCs w:val="21"/>
              </w:rPr>
              <w:t>1</w:t>
            </w:r>
          </w:p>
        </w:tc>
        <w:tc>
          <w:tcPr>
            <w:tcW w:w="1510" w:type="dxa"/>
            <w:noWrap w:val="0"/>
            <w:vAlign w:val="center"/>
          </w:tcPr>
          <w:p>
            <w:pPr>
              <w:jc w:val="center"/>
              <w:rPr>
                <w:rFonts w:ascii="Calibri" w:hAnsi="Calibri" w:eastAsia="宋体"/>
                <w:b w:val="0"/>
                <w:color w:val="auto"/>
                <w:kern w:val="2"/>
                <w:szCs w:val="21"/>
              </w:rPr>
            </w:pPr>
            <w:r>
              <w:rPr>
                <w:rFonts w:hint="eastAsia" w:ascii="Calibri" w:hAnsi="Calibri" w:eastAsia="宋体"/>
                <w:b w:val="0"/>
                <w:color w:val="auto"/>
                <w:kern w:val="2"/>
                <w:szCs w:val="21"/>
              </w:rPr>
              <w:t>改造升级系统</w:t>
            </w:r>
          </w:p>
        </w:tc>
        <w:tc>
          <w:tcPr>
            <w:tcW w:w="5294" w:type="dxa"/>
            <w:noWrap w:val="0"/>
            <w:vAlign w:val="center"/>
          </w:tcPr>
          <w:p>
            <w:pPr>
              <w:rPr>
                <w:rFonts w:hint="eastAsia" w:ascii="Calibri" w:hAnsi="Calibri" w:eastAsia="宋体"/>
                <w:b w:val="0"/>
                <w:color w:val="auto"/>
                <w:kern w:val="2"/>
                <w:szCs w:val="21"/>
              </w:rPr>
            </w:pPr>
            <w:r>
              <w:rPr>
                <w:rFonts w:hint="eastAsia" w:ascii="Calibri" w:hAnsi="Calibri" w:eastAsia="宋体"/>
                <w:b w:val="0"/>
                <w:color w:val="auto"/>
                <w:kern w:val="2"/>
                <w:szCs w:val="21"/>
              </w:rPr>
              <w:t>线圈改雷达系统车流量统计，信号机以太网板块由RS232串口通讯改成IP网络通讯，增加区域控制主机，信号机专网改造、边界</w:t>
            </w:r>
            <w:r>
              <w:rPr>
                <w:rFonts w:ascii="Calibri" w:hAnsi="Calibri" w:eastAsia="宋体"/>
                <w:b w:val="0"/>
                <w:color w:val="auto"/>
                <w:kern w:val="2"/>
                <w:szCs w:val="21"/>
              </w:rPr>
              <w:t>交换平台及专网安全保障系统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763" w:type="dxa"/>
            <w:noWrap w:val="0"/>
            <w:vAlign w:val="center"/>
          </w:tcPr>
          <w:p>
            <w:pPr>
              <w:jc w:val="center"/>
              <w:rPr>
                <w:rFonts w:ascii="Calibri" w:hAnsi="Calibri" w:eastAsia="宋体"/>
                <w:b w:val="0"/>
                <w:color w:val="auto"/>
                <w:kern w:val="2"/>
                <w:szCs w:val="21"/>
              </w:rPr>
            </w:pPr>
            <w:r>
              <w:rPr>
                <w:rFonts w:hint="eastAsia" w:ascii="Calibri" w:hAnsi="Calibri" w:eastAsia="宋体"/>
                <w:b w:val="0"/>
                <w:color w:val="auto"/>
                <w:kern w:val="2"/>
                <w:szCs w:val="21"/>
              </w:rPr>
              <w:t>2</w:t>
            </w:r>
          </w:p>
        </w:tc>
        <w:tc>
          <w:tcPr>
            <w:tcW w:w="1510" w:type="dxa"/>
            <w:noWrap w:val="0"/>
            <w:vAlign w:val="center"/>
          </w:tcPr>
          <w:p>
            <w:pPr>
              <w:jc w:val="center"/>
              <w:rPr>
                <w:rFonts w:ascii="Calibri" w:hAnsi="Calibri" w:eastAsia="宋体"/>
                <w:b w:val="0"/>
                <w:color w:val="auto"/>
                <w:kern w:val="2"/>
                <w:szCs w:val="21"/>
              </w:rPr>
            </w:pPr>
            <w:r>
              <w:rPr>
                <w:rFonts w:hint="eastAsia" w:ascii="Calibri" w:hAnsi="Calibri" w:eastAsia="宋体"/>
                <w:b w:val="0"/>
                <w:color w:val="auto"/>
                <w:kern w:val="2"/>
                <w:szCs w:val="21"/>
              </w:rPr>
              <w:t>配套软件系统</w:t>
            </w:r>
          </w:p>
        </w:tc>
        <w:tc>
          <w:tcPr>
            <w:tcW w:w="5294" w:type="dxa"/>
            <w:noWrap w:val="0"/>
            <w:vAlign w:val="center"/>
          </w:tcPr>
          <w:p>
            <w:pPr>
              <w:rPr>
                <w:rFonts w:ascii="Calibri" w:hAnsi="Calibri" w:eastAsia="宋体"/>
                <w:b w:val="0"/>
                <w:color w:val="auto"/>
                <w:kern w:val="2"/>
                <w:szCs w:val="21"/>
              </w:rPr>
            </w:pPr>
            <w:r>
              <w:rPr>
                <w:rFonts w:hint="eastAsia" w:ascii="Calibri" w:hAnsi="Calibri" w:eastAsia="宋体"/>
                <w:b w:val="0"/>
                <w:color w:val="auto"/>
                <w:kern w:val="2"/>
                <w:szCs w:val="21"/>
              </w:rPr>
              <w:t>路口车辆溢出事件检测和路段全程拼接交通事件感知系统、路口诊断及</w:t>
            </w:r>
            <w:r>
              <w:rPr>
                <w:rFonts w:ascii="Calibri" w:hAnsi="Calibri" w:eastAsia="宋体"/>
                <w:b w:val="0"/>
                <w:color w:val="auto"/>
                <w:kern w:val="2"/>
                <w:szCs w:val="21"/>
              </w:rPr>
              <w:t>应用</w:t>
            </w:r>
            <w:r>
              <w:rPr>
                <w:rFonts w:hint="eastAsia" w:ascii="Calibri" w:hAnsi="Calibri" w:eastAsia="宋体"/>
                <w:b w:val="0"/>
                <w:color w:val="auto"/>
                <w:kern w:val="2"/>
                <w:szCs w:val="21"/>
              </w:rPr>
              <w:t>系统、路口信号检测智能报障平台及故障维修全程监控管理平台</w:t>
            </w:r>
          </w:p>
        </w:tc>
      </w:tr>
    </w:tbl>
    <w:p>
      <w:pPr>
        <w:pStyle w:val="3"/>
        <w:numPr>
          <w:ilvl w:val="0"/>
          <w:numId w:val="0"/>
        </w:numPr>
        <w:tabs>
          <w:tab w:val="left" w:pos="432"/>
        </w:tabs>
        <w:adjustRightInd w:val="0"/>
        <w:snapToGrid w:val="0"/>
        <w:spacing w:before="120" w:beforeLines="50" w:after="120" w:line="240" w:lineRule="auto"/>
        <w:ind w:leftChars="-153"/>
        <w:jc w:val="left"/>
        <w:rPr>
          <w:rFonts w:hint="eastAsia" w:ascii="宋体" w:hAnsi="宋体" w:eastAsia="宋体" w:cs="宋体"/>
          <w:bCs/>
          <w:sz w:val="22"/>
          <w:szCs w:val="22"/>
        </w:rPr>
      </w:pPr>
      <w:bookmarkStart w:id="18" w:name="_Toc383636756"/>
      <w:bookmarkStart w:id="19" w:name="_Toc384111237"/>
      <w:r>
        <w:rPr>
          <w:rFonts w:hint="eastAsia" w:ascii="宋体" w:hAnsi="宋体" w:eastAsia="宋体" w:cs="宋体"/>
          <w:b/>
          <w:bCs/>
          <w:sz w:val="24"/>
          <w:szCs w:val="24"/>
        </w:rPr>
        <w:t>三</w:t>
      </w:r>
      <w:r>
        <w:rPr>
          <w:rFonts w:ascii="宋体" w:hAnsi="宋体" w:eastAsia="宋体" w:cs="宋体"/>
          <w:b/>
          <w:bCs/>
          <w:sz w:val="24"/>
          <w:szCs w:val="24"/>
        </w:rPr>
        <w:t>、</w:t>
      </w:r>
      <w:r>
        <w:rPr>
          <w:rFonts w:hint="eastAsia" w:ascii="宋体" w:hAnsi="宋体" w:eastAsia="宋体" w:cs="宋体"/>
          <w:b/>
          <w:bCs/>
          <w:sz w:val="24"/>
          <w:szCs w:val="24"/>
        </w:rPr>
        <w:t>设计依据</w:t>
      </w:r>
      <w:bookmarkEnd w:id="18"/>
      <w:bookmarkEnd w:id="19"/>
      <w:bookmarkStart w:id="20" w:name="_Toc296112266"/>
      <w:bookmarkStart w:id="21" w:name="_Toc383636757"/>
      <w:bookmarkStart w:id="22" w:name="_Toc255994160"/>
      <w:bookmarkStart w:id="23" w:name="_Toc213128468"/>
      <w:bookmarkStart w:id="24" w:name="_Toc384111238"/>
    </w:p>
    <w:bookmarkEnd w:id="20"/>
    <w:bookmarkEnd w:id="21"/>
    <w:bookmarkEnd w:id="22"/>
    <w:bookmarkEnd w:id="23"/>
    <w:bookmarkEnd w:id="24"/>
    <w:p>
      <w:pPr>
        <w:spacing w:line="460" w:lineRule="exact"/>
        <w:ind w:firstLine="440" w:firstLineChars="200"/>
        <w:rPr>
          <w:rFonts w:hint="eastAsia" w:ascii="宋体" w:eastAsia="宋体" w:cs="新宋体"/>
          <w:b w:val="0"/>
          <w:bCs/>
          <w:color w:val="auto"/>
          <w:kern w:val="2"/>
          <w:sz w:val="22"/>
          <w:szCs w:val="22"/>
        </w:rPr>
      </w:pPr>
      <w:bookmarkStart w:id="25" w:name="_Toc384111239"/>
      <w:r>
        <w:rPr>
          <w:rFonts w:hint="eastAsia" w:ascii="宋体" w:eastAsia="宋体" w:cs="新宋体"/>
          <w:b w:val="0"/>
          <w:bCs/>
          <w:color w:val="auto"/>
          <w:kern w:val="2"/>
          <w:sz w:val="22"/>
          <w:szCs w:val="22"/>
        </w:rPr>
        <w:t>本系统的规划设计按照相关行业标准、国家标准、本地区的有关标准和规范，并参照但不局限于以下的设计规范和要求进行：</w:t>
      </w:r>
    </w:p>
    <w:p>
      <w:pPr>
        <w:spacing w:line="460" w:lineRule="exact"/>
        <w:ind w:firstLine="440" w:firstLineChars="200"/>
        <w:rPr>
          <w:rFonts w:ascii="宋体" w:eastAsia="宋体"/>
          <w:b w:val="0"/>
          <w:sz w:val="22"/>
          <w:szCs w:val="22"/>
        </w:rPr>
      </w:pPr>
      <w:r>
        <w:rPr>
          <w:rFonts w:hint="eastAsia" w:ascii="宋体" w:eastAsia="宋体" w:cs="新宋体"/>
          <w:b w:val="0"/>
          <w:bCs/>
          <w:color w:val="auto"/>
          <w:kern w:val="2"/>
          <w:sz w:val="22"/>
          <w:szCs w:val="22"/>
        </w:rPr>
        <w:t>系统的</w:t>
      </w:r>
      <w:r>
        <w:rPr>
          <w:rFonts w:ascii="宋体" w:eastAsia="宋体" w:cs="新宋体"/>
          <w:b w:val="0"/>
          <w:bCs/>
          <w:color w:val="auto"/>
          <w:kern w:val="2"/>
          <w:sz w:val="22"/>
          <w:szCs w:val="22"/>
        </w:rPr>
        <w:t>建设依据国家相关法律规章、国家和行业相关标准、相关研究成果等进行规划设计，具体如下：</w:t>
      </w:r>
    </w:p>
    <w:p>
      <w:pPr>
        <w:numPr>
          <w:ilvl w:val="0"/>
          <w:numId w:val="46"/>
        </w:numPr>
        <w:spacing w:line="460" w:lineRule="exact"/>
        <w:ind w:hanging="137"/>
        <w:rPr>
          <w:rFonts w:hint="eastAsia" w:ascii="宋体" w:eastAsia="宋体" w:cs="新宋体"/>
          <w:b w:val="0"/>
          <w:sz w:val="22"/>
          <w:szCs w:val="22"/>
        </w:rPr>
      </w:pPr>
      <w:r>
        <w:rPr>
          <w:rFonts w:hint="eastAsia" w:ascii="宋体" w:eastAsia="宋体" w:cs="新宋体"/>
          <w:b w:val="0"/>
          <w:sz w:val="22"/>
          <w:szCs w:val="22"/>
        </w:rPr>
        <w:t>《公安交通集成指挥平台通信协议》第2部分：交通信号控制系统（</w:t>
      </w:r>
      <w:r>
        <w:rPr>
          <w:rFonts w:ascii="宋体" w:eastAsia="宋体" w:cs="新宋体"/>
          <w:b w:val="0"/>
          <w:sz w:val="22"/>
          <w:szCs w:val="22"/>
        </w:rPr>
        <w:t>GA/T 1049.2-2013</w:t>
      </w:r>
      <w:r>
        <w:rPr>
          <w:rFonts w:hint="eastAsia" w:ascii="宋体" w:eastAsia="宋体" w:cs="新宋体"/>
          <w:b w:val="0"/>
          <w:sz w:val="22"/>
          <w:szCs w:val="22"/>
        </w:rPr>
        <w:t>）</w:t>
      </w:r>
    </w:p>
    <w:p>
      <w:pPr>
        <w:numPr>
          <w:ilvl w:val="0"/>
          <w:numId w:val="46"/>
        </w:numPr>
        <w:spacing w:line="460" w:lineRule="exact"/>
        <w:ind w:hanging="137"/>
        <w:rPr>
          <w:rFonts w:hint="eastAsia" w:ascii="宋体" w:eastAsia="宋体" w:cs="新宋体"/>
          <w:b w:val="0"/>
          <w:sz w:val="22"/>
          <w:szCs w:val="22"/>
        </w:rPr>
      </w:pPr>
      <w:r>
        <w:rPr>
          <w:rFonts w:hint="eastAsia" w:ascii="宋体" w:eastAsia="宋体" w:cs="新宋体"/>
          <w:b w:val="0"/>
          <w:sz w:val="22"/>
          <w:szCs w:val="22"/>
        </w:rPr>
        <w:t>《道路交通信号控制机安装规范》（</w:t>
      </w:r>
      <w:r>
        <w:rPr>
          <w:rFonts w:ascii="宋体" w:eastAsia="宋体" w:cs="新宋体"/>
          <w:b w:val="0"/>
          <w:sz w:val="22"/>
          <w:szCs w:val="22"/>
        </w:rPr>
        <w:t>GA/T 489-2016</w:t>
      </w:r>
      <w:r>
        <w:rPr>
          <w:rFonts w:hint="eastAsia" w:ascii="宋体" w:eastAsia="宋体" w:cs="新宋体"/>
          <w:b w:val="0"/>
          <w:sz w:val="22"/>
          <w:szCs w:val="22"/>
        </w:rPr>
        <w:t>）</w:t>
      </w:r>
    </w:p>
    <w:p>
      <w:pPr>
        <w:numPr>
          <w:ilvl w:val="0"/>
          <w:numId w:val="46"/>
        </w:numPr>
        <w:spacing w:line="460" w:lineRule="exact"/>
        <w:ind w:hanging="137"/>
        <w:rPr>
          <w:rFonts w:hint="eastAsia" w:ascii="宋体" w:eastAsia="宋体" w:cs="新宋体"/>
          <w:b w:val="0"/>
          <w:sz w:val="22"/>
          <w:szCs w:val="22"/>
        </w:rPr>
      </w:pPr>
      <w:r>
        <w:rPr>
          <w:rFonts w:hint="eastAsia" w:ascii="宋体" w:eastAsia="宋体" w:cs="新宋体"/>
          <w:b w:val="0"/>
          <w:sz w:val="22"/>
          <w:szCs w:val="22"/>
        </w:rPr>
        <w:t>《公安交通集成指挥平台通信协议》第4部分：交通流信息采集系统 （</w:t>
      </w:r>
      <w:r>
        <w:rPr>
          <w:rFonts w:ascii="宋体" w:eastAsia="宋体" w:cs="新宋体"/>
          <w:b w:val="0"/>
          <w:sz w:val="22"/>
          <w:szCs w:val="22"/>
        </w:rPr>
        <w:t>GA/T 1049.4-2013</w:t>
      </w:r>
      <w:r>
        <w:rPr>
          <w:rFonts w:hint="eastAsia" w:ascii="宋体" w:eastAsia="宋体" w:cs="新宋体"/>
          <w:b w:val="0"/>
          <w:sz w:val="22"/>
          <w:szCs w:val="22"/>
        </w:rPr>
        <w:t>）</w:t>
      </w:r>
    </w:p>
    <w:p>
      <w:pPr>
        <w:numPr>
          <w:ilvl w:val="0"/>
          <w:numId w:val="46"/>
        </w:numPr>
        <w:spacing w:line="460" w:lineRule="exact"/>
        <w:ind w:hanging="137"/>
        <w:rPr>
          <w:rFonts w:hint="eastAsia" w:ascii="宋体" w:eastAsia="宋体" w:cs="新宋体"/>
          <w:b w:val="0"/>
          <w:sz w:val="22"/>
          <w:szCs w:val="22"/>
        </w:rPr>
      </w:pPr>
      <w:r>
        <w:rPr>
          <w:rFonts w:hint="eastAsia" w:ascii="宋体" w:eastAsia="宋体" w:cs="新宋体"/>
          <w:b w:val="0"/>
          <w:sz w:val="22"/>
          <w:szCs w:val="22"/>
        </w:rPr>
        <w:t>《电工术语 雷达》 （</w:t>
      </w:r>
      <w:r>
        <w:rPr>
          <w:rFonts w:ascii="宋体" w:eastAsia="宋体" w:cs="新宋体"/>
          <w:b w:val="0"/>
          <w:sz w:val="22"/>
          <w:szCs w:val="22"/>
        </w:rPr>
        <w:t>GB/T 3784-2009</w:t>
      </w:r>
      <w:r>
        <w:rPr>
          <w:rFonts w:hint="eastAsia" w:ascii="宋体" w:eastAsia="宋体" w:cs="新宋体"/>
          <w:b w:val="0"/>
          <w:sz w:val="22"/>
          <w:szCs w:val="22"/>
        </w:rPr>
        <w:t>）</w:t>
      </w:r>
    </w:p>
    <w:p>
      <w:pPr>
        <w:numPr>
          <w:ilvl w:val="0"/>
          <w:numId w:val="46"/>
        </w:numPr>
        <w:spacing w:line="460" w:lineRule="exact"/>
        <w:ind w:hanging="137"/>
        <w:rPr>
          <w:rFonts w:hint="eastAsia" w:ascii="宋体" w:eastAsia="宋体" w:cs="新宋体"/>
          <w:b w:val="0"/>
          <w:sz w:val="22"/>
          <w:szCs w:val="22"/>
        </w:rPr>
      </w:pPr>
      <w:r>
        <w:rPr>
          <w:rFonts w:hint="eastAsia" w:ascii="宋体" w:eastAsia="宋体" w:cs="新宋体"/>
          <w:b w:val="0"/>
          <w:sz w:val="22"/>
          <w:szCs w:val="22"/>
        </w:rPr>
        <w:t>《智能交通管理系统规划编制指南》（</w:t>
      </w:r>
      <w:r>
        <w:rPr>
          <w:rFonts w:ascii="宋体" w:eastAsia="宋体" w:cs="新宋体"/>
          <w:b w:val="0"/>
          <w:sz w:val="22"/>
          <w:szCs w:val="22"/>
        </w:rPr>
        <w:t>GA/T 1403-2017</w:t>
      </w:r>
      <w:r>
        <w:rPr>
          <w:rFonts w:hint="eastAsia" w:ascii="宋体" w:eastAsia="宋体" w:cs="新宋体"/>
          <w:b w:val="0"/>
          <w:sz w:val="22"/>
          <w:szCs w:val="22"/>
        </w:rPr>
        <w:t>）</w:t>
      </w:r>
    </w:p>
    <w:p>
      <w:pPr>
        <w:numPr>
          <w:ilvl w:val="0"/>
          <w:numId w:val="46"/>
        </w:numPr>
        <w:spacing w:line="460" w:lineRule="exact"/>
        <w:ind w:hanging="137"/>
        <w:rPr>
          <w:rFonts w:hint="eastAsia" w:ascii="宋体" w:eastAsia="宋体" w:cs="新宋体"/>
          <w:b w:val="0"/>
          <w:sz w:val="22"/>
          <w:szCs w:val="22"/>
        </w:rPr>
      </w:pPr>
      <w:r>
        <w:rPr>
          <w:rFonts w:hint="eastAsia" w:ascii="宋体" w:eastAsia="宋体" w:cs="新宋体"/>
          <w:b w:val="0"/>
          <w:sz w:val="22"/>
          <w:szCs w:val="22"/>
        </w:rPr>
        <w:t>《信息安全技术》信息资产安全管理产品安全技术要求（</w:t>
      </w:r>
      <w:r>
        <w:rPr>
          <w:rFonts w:ascii="宋体" w:eastAsia="宋体" w:cs="新宋体"/>
          <w:b w:val="0"/>
          <w:sz w:val="22"/>
          <w:szCs w:val="22"/>
        </w:rPr>
        <w:t>GA/T 1359-2018</w:t>
      </w:r>
      <w:r>
        <w:rPr>
          <w:rFonts w:hint="eastAsia" w:ascii="宋体" w:eastAsia="宋体" w:cs="新宋体"/>
          <w:b w:val="0"/>
          <w:sz w:val="22"/>
          <w:szCs w:val="22"/>
        </w:rPr>
        <w:t>）</w:t>
      </w:r>
    </w:p>
    <w:p>
      <w:pPr>
        <w:numPr>
          <w:ilvl w:val="0"/>
          <w:numId w:val="46"/>
        </w:numPr>
        <w:spacing w:line="460" w:lineRule="exact"/>
        <w:ind w:hanging="137"/>
        <w:rPr>
          <w:rFonts w:hint="eastAsia" w:ascii="宋体" w:eastAsia="宋体" w:cs="新宋体"/>
          <w:b w:val="0"/>
          <w:sz w:val="22"/>
          <w:szCs w:val="22"/>
        </w:rPr>
      </w:pPr>
      <w:r>
        <w:rPr>
          <w:rFonts w:hint="eastAsia" w:ascii="宋体" w:eastAsia="宋体" w:cs="新宋体"/>
          <w:b w:val="0"/>
          <w:sz w:val="22"/>
          <w:szCs w:val="22"/>
        </w:rPr>
        <w:t>《信息安全技术》网络安全等级保护基本要求（</w:t>
      </w:r>
      <w:r>
        <w:rPr>
          <w:rFonts w:ascii="宋体" w:eastAsia="宋体" w:cs="新宋体"/>
          <w:b w:val="0"/>
          <w:sz w:val="22"/>
          <w:szCs w:val="22"/>
        </w:rPr>
        <w:t>GB/T 22239-2019</w:t>
      </w:r>
      <w:r>
        <w:rPr>
          <w:rFonts w:hint="eastAsia" w:ascii="宋体" w:eastAsia="宋体" w:cs="新宋体"/>
          <w:b w:val="0"/>
          <w:sz w:val="22"/>
          <w:szCs w:val="22"/>
        </w:rPr>
        <w:t>）</w:t>
      </w:r>
    </w:p>
    <w:p>
      <w:pPr>
        <w:numPr>
          <w:ilvl w:val="0"/>
          <w:numId w:val="46"/>
        </w:numPr>
        <w:spacing w:line="460" w:lineRule="exact"/>
        <w:ind w:hanging="137"/>
        <w:rPr>
          <w:rFonts w:hint="eastAsia" w:ascii="宋体" w:eastAsia="宋体" w:cs="新宋体"/>
          <w:b w:val="0"/>
          <w:sz w:val="22"/>
          <w:szCs w:val="22"/>
        </w:rPr>
      </w:pPr>
      <w:r>
        <w:rPr>
          <w:rFonts w:hint="eastAsia" w:ascii="宋体" w:eastAsia="宋体" w:cs="新宋体"/>
          <w:b w:val="0"/>
          <w:sz w:val="22"/>
          <w:szCs w:val="22"/>
        </w:rPr>
        <w:t>《信息安全技术》网络安全等级保护定级指南（</w:t>
      </w:r>
      <w:r>
        <w:rPr>
          <w:rFonts w:ascii="宋体" w:eastAsia="宋体" w:cs="新宋体"/>
          <w:b w:val="0"/>
          <w:sz w:val="22"/>
          <w:szCs w:val="22"/>
        </w:rPr>
        <w:t>GB/T 22240-2020</w:t>
      </w:r>
      <w:r>
        <w:rPr>
          <w:rFonts w:hint="eastAsia" w:ascii="宋体" w:eastAsia="宋体" w:cs="新宋体"/>
          <w:b w:val="0"/>
          <w:sz w:val="22"/>
          <w:szCs w:val="22"/>
        </w:rPr>
        <w:t>）</w:t>
      </w:r>
    </w:p>
    <w:p>
      <w:pPr>
        <w:numPr>
          <w:ilvl w:val="0"/>
          <w:numId w:val="46"/>
        </w:numPr>
        <w:spacing w:line="460" w:lineRule="exact"/>
        <w:ind w:hanging="137"/>
        <w:rPr>
          <w:rFonts w:hint="eastAsia" w:ascii="宋体" w:eastAsia="宋体" w:cs="新宋体"/>
          <w:b w:val="0"/>
          <w:sz w:val="22"/>
          <w:szCs w:val="22"/>
        </w:rPr>
      </w:pPr>
      <w:r>
        <w:rPr>
          <w:rFonts w:hint="eastAsia" w:ascii="宋体" w:eastAsia="宋体" w:cs="新宋体"/>
          <w:b w:val="0"/>
          <w:sz w:val="22"/>
          <w:szCs w:val="22"/>
        </w:rPr>
        <w:t>《信息安全技术》网络安全等级保护实施指南（</w:t>
      </w:r>
      <w:r>
        <w:rPr>
          <w:rFonts w:ascii="宋体" w:eastAsia="宋体" w:cs="新宋体"/>
          <w:b w:val="0"/>
          <w:sz w:val="22"/>
          <w:szCs w:val="22"/>
        </w:rPr>
        <w:t>GB/T 25058-2019</w:t>
      </w:r>
      <w:r>
        <w:rPr>
          <w:rFonts w:hint="eastAsia" w:ascii="宋体" w:eastAsia="宋体" w:cs="新宋体"/>
          <w:b w:val="0"/>
          <w:sz w:val="22"/>
          <w:szCs w:val="22"/>
        </w:rPr>
        <w:t>）</w:t>
      </w:r>
    </w:p>
    <w:p>
      <w:pPr>
        <w:numPr>
          <w:ilvl w:val="0"/>
          <w:numId w:val="46"/>
        </w:numPr>
        <w:spacing w:line="460" w:lineRule="exact"/>
        <w:ind w:hanging="137"/>
        <w:rPr>
          <w:rFonts w:hint="eastAsia" w:ascii="宋体" w:eastAsia="宋体" w:cs="新宋体"/>
          <w:b w:val="0"/>
          <w:sz w:val="22"/>
          <w:szCs w:val="22"/>
        </w:rPr>
      </w:pPr>
      <w:r>
        <w:rPr>
          <w:rFonts w:hint="eastAsia" w:ascii="宋体" w:eastAsia="宋体" w:cs="新宋体"/>
          <w:b w:val="0"/>
          <w:sz w:val="22"/>
          <w:szCs w:val="22"/>
        </w:rPr>
        <w:t>《信息安全技术》网络安全等级保护安全设计技术要求（</w:t>
      </w:r>
      <w:r>
        <w:rPr>
          <w:rFonts w:ascii="宋体" w:eastAsia="宋体" w:cs="新宋体"/>
          <w:b w:val="0"/>
          <w:sz w:val="22"/>
          <w:szCs w:val="22"/>
        </w:rPr>
        <w:t>GB/T 25070-2019</w:t>
      </w:r>
      <w:r>
        <w:rPr>
          <w:rFonts w:hint="eastAsia" w:ascii="宋体" w:eastAsia="宋体" w:cs="新宋体"/>
          <w:b w:val="0"/>
          <w:sz w:val="22"/>
          <w:szCs w:val="22"/>
        </w:rPr>
        <w:t>）</w:t>
      </w:r>
    </w:p>
    <w:p>
      <w:pPr>
        <w:numPr>
          <w:ilvl w:val="0"/>
          <w:numId w:val="46"/>
        </w:numPr>
        <w:spacing w:line="460" w:lineRule="exact"/>
        <w:ind w:hanging="137"/>
        <w:rPr>
          <w:rFonts w:hint="eastAsia" w:ascii="宋体" w:eastAsia="宋体" w:cs="新宋体"/>
          <w:b w:val="0"/>
          <w:sz w:val="22"/>
          <w:szCs w:val="22"/>
        </w:rPr>
      </w:pPr>
      <w:r>
        <w:rPr>
          <w:rFonts w:hint="eastAsia" w:ascii="宋体" w:eastAsia="宋体" w:cs="新宋体"/>
          <w:b w:val="0"/>
          <w:sz w:val="22"/>
          <w:szCs w:val="22"/>
        </w:rPr>
        <w:t>《信息安全技术》网络安全等级保护测评要求（</w:t>
      </w:r>
      <w:r>
        <w:rPr>
          <w:rFonts w:ascii="宋体" w:eastAsia="宋体" w:cs="新宋体"/>
          <w:b w:val="0"/>
          <w:sz w:val="22"/>
          <w:szCs w:val="22"/>
        </w:rPr>
        <w:t>GB/T 28448-2019</w:t>
      </w:r>
      <w:r>
        <w:rPr>
          <w:rFonts w:hint="eastAsia" w:ascii="宋体" w:eastAsia="宋体" w:cs="新宋体"/>
          <w:b w:val="0"/>
          <w:sz w:val="22"/>
          <w:szCs w:val="22"/>
        </w:rPr>
        <w:t>）</w:t>
      </w:r>
    </w:p>
    <w:p>
      <w:pPr>
        <w:numPr>
          <w:ilvl w:val="0"/>
          <w:numId w:val="46"/>
        </w:numPr>
        <w:spacing w:line="460" w:lineRule="exact"/>
        <w:ind w:hanging="137"/>
        <w:rPr>
          <w:rFonts w:hint="eastAsia" w:ascii="宋体" w:eastAsia="宋体" w:cs="新宋体"/>
          <w:b w:val="0"/>
          <w:sz w:val="22"/>
          <w:szCs w:val="22"/>
        </w:rPr>
      </w:pPr>
      <w:r>
        <w:rPr>
          <w:rFonts w:hint="eastAsia" w:ascii="宋体" w:eastAsia="宋体" w:cs="新宋体"/>
          <w:b w:val="0"/>
          <w:sz w:val="22"/>
          <w:szCs w:val="22"/>
        </w:rPr>
        <w:t>《软件工程》软件开发成本度量规范（</w:t>
      </w:r>
      <w:r>
        <w:rPr>
          <w:rFonts w:ascii="宋体" w:eastAsia="宋体" w:cs="新宋体"/>
          <w:b w:val="0"/>
          <w:sz w:val="22"/>
          <w:szCs w:val="22"/>
        </w:rPr>
        <w:t>GB/T 36964-2018</w:t>
      </w:r>
      <w:r>
        <w:rPr>
          <w:rFonts w:hint="eastAsia" w:ascii="宋体" w:eastAsia="宋体" w:cs="新宋体"/>
          <w:b w:val="0"/>
          <w:sz w:val="22"/>
          <w:szCs w:val="22"/>
        </w:rPr>
        <w:t>）</w:t>
      </w:r>
    </w:p>
    <w:p>
      <w:pPr>
        <w:numPr>
          <w:ilvl w:val="0"/>
          <w:numId w:val="46"/>
        </w:numPr>
        <w:spacing w:line="460" w:lineRule="exact"/>
        <w:ind w:hanging="137"/>
        <w:rPr>
          <w:rFonts w:hint="eastAsia" w:ascii="宋体" w:eastAsia="宋体" w:cs="新宋体"/>
          <w:b w:val="0"/>
          <w:sz w:val="22"/>
          <w:szCs w:val="22"/>
        </w:rPr>
      </w:pPr>
      <w:r>
        <w:rPr>
          <w:rFonts w:hint="eastAsia" w:ascii="宋体" w:eastAsia="宋体" w:cs="新宋体"/>
          <w:b w:val="0"/>
          <w:sz w:val="22"/>
          <w:szCs w:val="22"/>
        </w:rPr>
        <w:t>《信息技术》软件生存周期过程指南（</w:t>
      </w:r>
      <w:r>
        <w:rPr>
          <w:rFonts w:ascii="宋体" w:eastAsia="宋体" w:cs="新宋体"/>
          <w:b w:val="0"/>
          <w:sz w:val="22"/>
          <w:szCs w:val="22"/>
        </w:rPr>
        <w:t>GB/Z 18493-2001</w:t>
      </w:r>
      <w:r>
        <w:rPr>
          <w:rFonts w:hint="eastAsia" w:ascii="宋体" w:eastAsia="宋体" w:cs="新宋体"/>
          <w:b w:val="0"/>
          <w:sz w:val="22"/>
          <w:szCs w:val="22"/>
        </w:rPr>
        <w:t>）</w:t>
      </w:r>
    </w:p>
    <w:p>
      <w:pPr>
        <w:numPr>
          <w:ilvl w:val="0"/>
          <w:numId w:val="46"/>
        </w:numPr>
        <w:spacing w:line="460" w:lineRule="exact"/>
        <w:ind w:hanging="137"/>
        <w:rPr>
          <w:rFonts w:hint="eastAsia" w:ascii="宋体" w:eastAsia="宋体" w:cs="新宋体"/>
          <w:b w:val="0"/>
          <w:sz w:val="22"/>
          <w:szCs w:val="22"/>
        </w:rPr>
      </w:pPr>
      <w:r>
        <w:rPr>
          <w:rFonts w:hint="eastAsia" w:ascii="宋体" w:eastAsia="宋体" w:cs="新宋体"/>
          <w:b w:val="0"/>
          <w:sz w:val="22"/>
          <w:szCs w:val="22"/>
        </w:rPr>
        <w:t>《公安交通指挥系统工程建设通用程序和要求》（</w:t>
      </w:r>
      <w:r>
        <w:rPr>
          <w:rFonts w:ascii="宋体" w:eastAsia="宋体" w:cs="新宋体"/>
          <w:b w:val="0"/>
          <w:sz w:val="22"/>
          <w:szCs w:val="22"/>
        </w:rPr>
        <w:t>GA/T651-2014</w:t>
      </w:r>
      <w:r>
        <w:rPr>
          <w:rFonts w:hint="eastAsia" w:ascii="宋体" w:eastAsia="宋体" w:cs="新宋体"/>
          <w:b w:val="0"/>
          <w:sz w:val="22"/>
          <w:szCs w:val="22"/>
        </w:rPr>
        <w:t>）</w:t>
      </w:r>
    </w:p>
    <w:p>
      <w:pPr>
        <w:numPr>
          <w:ilvl w:val="0"/>
          <w:numId w:val="46"/>
        </w:numPr>
        <w:spacing w:line="460" w:lineRule="exact"/>
        <w:ind w:hanging="137"/>
        <w:rPr>
          <w:rFonts w:hint="eastAsia" w:ascii="宋体" w:eastAsia="宋体" w:cs="新宋体"/>
          <w:b w:val="0"/>
          <w:sz w:val="22"/>
          <w:szCs w:val="22"/>
        </w:rPr>
      </w:pPr>
      <w:r>
        <w:rPr>
          <w:rFonts w:hint="eastAsia" w:ascii="宋体" w:eastAsia="宋体" w:cs="新宋体"/>
          <w:b w:val="0"/>
          <w:sz w:val="22"/>
          <w:szCs w:val="22"/>
        </w:rPr>
        <w:t>《公安交通管理外场设备基础施工通用要求》（</w:t>
      </w:r>
      <w:r>
        <w:rPr>
          <w:rFonts w:ascii="宋体" w:eastAsia="宋体" w:cs="新宋体"/>
          <w:b w:val="0"/>
          <w:sz w:val="22"/>
          <w:szCs w:val="22"/>
        </w:rPr>
        <w:t>GA/T652-2017</w:t>
      </w:r>
      <w:r>
        <w:rPr>
          <w:rFonts w:hint="eastAsia" w:ascii="宋体" w:eastAsia="宋体" w:cs="新宋体"/>
          <w:b w:val="0"/>
          <w:sz w:val="22"/>
          <w:szCs w:val="22"/>
        </w:rPr>
        <w:t>）</w:t>
      </w:r>
    </w:p>
    <w:p>
      <w:pPr>
        <w:pStyle w:val="3"/>
        <w:numPr>
          <w:ilvl w:val="0"/>
          <w:numId w:val="0"/>
        </w:numPr>
        <w:tabs>
          <w:tab w:val="left" w:pos="432"/>
        </w:tabs>
        <w:adjustRightInd w:val="0"/>
        <w:snapToGrid w:val="0"/>
        <w:spacing w:before="120" w:beforeLines="50" w:after="120" w:line="240" w:lineRule="auto"/>
        <w:ind w:leftChars="-153"/>
        <w:jc w:val="left"/>
        <w:rPr>
          <w:rFonts w:ascii="宋体" w:hAnsi="宋体" w:eastAsia="宋体" w:cs="宋体"/>
          <w:b/>
          <w:bCs/>
          <w:sz w:val="24"/>
          <w:szCs w:val="24"/>
        </w:rPr>
      </w:pPr>
      <w:r>
        <w:rPr>
          <w:rFonts w:hint="eastAsia" w:ascii="宋体" w:hAnsi="宋体" w:eastAsia="宋体" w:cs="宋体"/>
          <w:b/>
          <w:bCs/>
          <w:sz w:val="24"/>
          <w:szCs w:val="24"/>
        </w:rPr>
        <w:t>四、</w:t>
      </w:r>
      <w:bookmarkEnd w:id="25"/>
      <w:r>
        <w:rPr>
          <w:rFonts w:hint="eastAsia" w:ascii="宋体" w:hAnsi="宋体" w:eastAsia="宋体" w:cs="宋体"/>
          <w:b/>
          <w:bCs/>
          <w:sz w:val="24"/>
          <w:szCs w:val="24"/>
        </w:rPr>
        <w:t>内容要求</w:t>
      </w:r>
    </w:p>
    <w:p>
      <w:pPr>
        <w:keepNext/>
        <w:keepLines/>
        <w:numPr>
          <w:ilvl w:val="1"/>
          <w:numId w:val="0"/>
        </w:numPr>
        <w:spacing w:line="360" w:lineRule="auto"/>
        <w:jc w:val="left"/>
        <w:outlineLvl w:val="1"/>
        <w:rPr>
          <w:rFonts w:ascii="Cambria" w:hAnsi="Cambria" w:eastAsia="宋体"/>
          <w:bCs/>
          <w:color w:val="auto"/>
          <w:kern w:val="2"/>
          <w:sz w:val="24"/>
          <w:szCs w:val="24"/>
        </w:rPr>
      </w:pPr>
      <w:bookmarkStart w:id="26" w:name="_Toc43914422"/>
      <w:r>
        <w:rPr>
          <w:rFonts w:hint="eastAsia" w:ascii="Cambria" w:hAnsi="Cambria" w:cs="Times New Roman"/>
          <w:b/>
          <w:bCs/>
          <w:color w:val="auto"/>
          <w:kern w:val="2"/>
          <w:sz w:val="24"/>
          <w:szCs w:val="24"/>
          <w:lang w:val="en-US" w:eastAsia="zh-CN"/>
        </w:rPr>
        <w:t>4.1</w:t>
      </w:r>
      <w:r>
        <w:rPr>
          <w:rFonts w:hint="eastAsia" w:ascii="Cambria" w:hAnsi="Cambria" w:eastAsia="宋体" w:cs="Times New Roman"/>
          <w:b/>
          <w:bCs/>
          <w:color w:val="auto"/>
          <w:kern w:val="2"/>
          <w:sz w:val="24"/>
          <w:szCs w:val="24"/>
        </w:rPr>
        <w:t>原有</w:t>
      </w:r>
      <w:r>
        <w:rPr>
          <w:rFonts w:ascii="Cambria" w:hAnsi="Cambria" w:eastAsia="宋体"/>
          <w:b/>
          <w:bCs/>
          <w:color w:val="auto"/>
          <w:kern w:val="2"/>
          <w:sz w:val="24"/>
          <w:szCs w:val="24"/>
        </w:rPr>
        <w:t>系统</w:t>
      </w:r>
      <w:r>
        <w:rPr>
          <w:rFonts w:hint="eastAsia" w:ascii="Cambria" w:hAnsi="Cambria" w:eastAsia="宋体"/>
          <w:b/>
          <w:bCs/>
          <w:color w:val="auto"/>
          <w:kern w:val="2"/>
          <w:sz w:val="24"/>
          <w:szCs w:val="24"/>
        </w:rPr>
        <w:t>改造</w:t>
      </w:r>
      <w:bookmarkEnd w:id="26"/>
      <w:r>
        <w:rPr>
          <w:rFonts w:hint="eastAsia" w:ascii="Cambria" w:hAnsi="Cambria" w:eastAsia="宋体"/>
          <w:b/>
          <w:bCs/>
          <w:color w:val="auto"/>
          <w:kern w:val="2"/>
          <w:sz w:val="24"/>
          <w:szCs w:val="24"/>
        </w:rPr>
        <w:t>升级要求</w:t>
      </w:r>
    </w:p>
    <w:p>
      <w:pPr>
        <w:spacing w:line="460" w:lineRule="exact"/>
        <w:ind w:firstLine="440" w:firstLineChars="200"/>
        <w:rPr>
          <w:rFonts w:ascii="宋体" w:eastAsia="宋体" w:cs="新宋体"/>
          <w:b w:val="0"/>
          <w:bCs/>
          <w:color w:val="auto"/>
          <w:kern w:val="2"/>
          <w:sz w:val="22"/>
          <w:szCs w:val="22"/>
        </w:rPr>
      </w:pPr>
      <w:r>
        <w:rPr>
          <w:rFonts w:ascii="宋体" w:eastAsia="宋体" w:cs="新宋体"/>
          <w:b w:val="0"/>
          <w:bCs/>
          <w:color w:val="auto"/>
          <w:kern w:val="2"/>
          <w:sz w:val="22"/>
          <w:szCs w:val="22"/>
        </w:rPr>
        <w:t>SCATS</w:t>
      </w:r>
      <w:r>
        <w:rPr>
          <w:rFonts w:hint="eastAsia" w:ascii="宋体" w:eastAsia="宋体" w:cs="新宋体"/>
          <w:b w:val="0"/>
          <w:bCs/>
          <w:color w:val="auto"/>
          <w:kern w:val="2"/>
          <w:sz w:val="22"/>
          <w:szCs w:val="22"/>
        </w:rPr>
        <w:t>信号</w:t>
      </w:r>
      <w:r>
        <w:rPr>
          <w:rFonts w:ascii="宋体" w:eastAsia="宋体" w:cs="新宋体"/>
          <w:b w:val="0"/>
          <w:bCs/>
          <w:color w:val="auto"/>
          <w:kern w:val="2"/>
          <w:sz w:val="22"/>
          <w:szCs w:val="22"/>
        </w:rPr>
        <w:t>控制</w:t>
      </w:r>
      <w:r>
        <w:rPr>
          <w:rFonts w:hint="eastAsia" w:ascii="宋体" w:eastAsia="宋体" w:cs="新宋体"/>
          <w:b w:val="0"/>
          <w:bCs/>
          <w:color w:val="auto"/>
          <w:kern w:val="2"/>
          <w:sz w:val="22"/>
          <w:szCs w:val="22"/>
        </w:rPr>
        <w:t>系统主要由前端子系统、网络传输子系统、后端子系统和相关应用管理平台组成，实现对前端信息的采集、传输、处理、分析与集中管理。</w:t>
      </w:r>
    </w:p>
    <w:p>
      <w:pPr>
        <w:spacing w:line="460" w:lineRule="exact"/>
        <w:ind w:firstLine="440" w:firstLineChars="200"/>
        <w:rPr>
          <w:rFonts w:ascii="宋体" w:eastAsia="宋体" w:cs="新宋体"/>
          <w:b w:val="0"/>
          <w:bCs/>
          <w:color w:val="auto"/>
          <w:kern w:val="2"/>
          <w:sz w:val="22"/>
          <w:szCs w:val="22"/>
        </w:rPr>
      </w:pPr>
      <w:r>
        <w:rPr>
          <w:rFonts w:hint="eastAsia" w:ascii="宋体" w:eastAsia="宋体" w:cs="新宋体"/>
          <w:b w:val="0"/>
          <w:bCs/>
          <w:color w:val="auto"/>
          <w:kern w:val="2"/>
          <w:sz w:val="22"/>
          <w:szCs w:val="22"/>
        </w:rPr>
        <w:t>前端子</w:t>
      </w:r>
      <w:r>
        <w:rPr>
          <w:rFonts w:ascii="宋体" w:eastAsia="宋体" w:cs="新宋体"/>
          <w:b w:val="0"/>
          <w:bCs/>
          <w:color w:val="auto"/>
          <w:kern w:val="2"/>
          <w:sz w:val="22"/>
          <w:szCs w:val="22"/>
        </w:rPr>
        <w:t>系统包括路口信号机、检测器、</w:t>
      </w:r>
      <w:r>
        <w:rPr>
          <w:rFonts w:hint="eastAsia" w:ascii="宋体" w:eastAsia="宋体" w:cs="新宋体"/>
          <w:b w:val="0"/>
          <w:bCs/>
          <w:color w:val="auto"/>
          <w:kern w:val="2"/>
          <w:sz w:val="22"/>
          <w:szCs w:val="22"/>
        </w:rPr>
        <w:t>交换机</w:t>
      </w:r>
      <w:r>
        <w:rPr>
          <w:rFonts w:ascii="宋体" w:eastAsia="宋体" w:cs="新宋体"/>
          <w:b w:val="0"/>
          <w:bCs/>
          <w:color w:val="auto"/>
          <w:kern w:val="2"/>
          <w:sz w:val="22"/>
          <w:szCs w:val="22"/>
        </w:rPr>
        <w:t>、稳压器、防雷器等；网络传输子</w:t>
      </w:r>
      <w:r>
        <w:rPr>
          <w:rFonts w:hint="eastAsia" w:ascii="宋体" w:eastAsia="宋体" w:cs="新宋体"/>
          <w:b w:val="0"/>
          <w:bCs/>
          <w:color w:val="auto"/>
          <w:kern w:val="2"/>
          <w:sz w:val="22"/>
          <w:szCs w:val="22"/>
        </w:rPr>
        <w:t>系统是利用</w:t>
      </w:r>
      <w:r>
        <w:rPr>
          <w:rFonts w:ascii="宋体" w:eastAsia="宋体" w:cs="新宋体"/>
          <w:b w:val="0"/>
          <w:bCs/>
          <w:color w:val="auto"/>
          <w:kern w:val="2"/>
          <w:sz w:val="22"/>
          <w:szCs w:val="22"/>
        </w:rPr>
        <w:t>运营商</w:t>
      </w:r>
      <w:r>
        <w:rPr>
          <w:rFonts w:hint="eastAsia" w:ascii="宋体" w:eastAsia="宋体" w:cs="新宋体"/>
          <w:b w:val="0"/>
          <w:bCs/>
          <w:color w:val="auto"/>
          <w:kern w:val="2"/>
          <w:sz w:val="22"/>
          <w:szCs w:val="22"/>
        </w:rPr>
        <w:t>的通信</w:t>
      </w:r>
      <w:r>
        <w:rPr>
          <w:rFonts w:ascii="宋体" w:eastAsia="宋体" w:cs="新宋体"/>
          <w:b w:val="0"/>
          <w:bCs/>
          <w:color w:val="auto"/>
          <w:kern w:val="2"/>
          <w:sz w:val="22"/>
          <w:szCs w:val="22"/>
        </w:rPr>
        <w:t>管道</w:t>
      </w:r>
      <w:r>
        <w:rPr>
          <w:rFonts w:hint="eastAsia" w:ascii="宋体" w:eastAsia="宋体" w:cs="新宋体"/>
          <w:b w:val="0"/>
          <w:bCs/>
          <w:color w:val="auto"/>
          <w:kern w:val="2"/>
          <w:sz w:val="22"/>
          <w:szCs w:val="22"/>
        </w:rPr>
        <w:t>及</w:t>
      </w:r>
      <w:r>
        <w:rPr>
          <w:rFonts w:ascii="宋体" w:eastAsia="宋体" w:cs="新宋体"/>
          <w:b w:val="0"/>
          <w:bCs/>
          <w:color w:val="auto"/>
          <w:kern w:val="2"/>
          <w:sz w:val="22"/>
          <w:szCs w:val="22"/>
        </w:rPr>
        <w:t>网络</w:t>
      </w:r>
      <w:r>
        <w:rPr>
          <w:rFonts w:hint="eastAsia" w:ascii="宋体" w:eastAsia="宋体" w:cs="新宋体"/>
          <w:b w:val="0"/>
          <w:bCs/>
          <w:color w:val="auto"/>
          <w:kern w:val="2"/>
          <w:sz w:val="22"/>
          <w:szCs w:val="22"/>
        </w:rPr>
        <w:t>资源搭建</w:t>
      </w:r>
      <w:r>
        <w:rPr>
          <w:rFonts w:ascii="宋体" w:eastAsia="宋体" w:cs="新宋体"/>
          <w:b w:val="0"/>
          <w:bCs/>
          <w:color w:val="auto"/>
          <w:kern w:val="2"/>
          <w:sz w:val="22"/>
          <w:szCs w:val="22"/>
        </w:rPr>
        <w:t>的信号专</w:t>
      </w:r>
      <w:r>
        <w:rPr>
          <w:rFonts w:hint="eastAsia" w:ascii="宋体" w:eastAsia="宋体" w:cs="新宋体"/>
          <w:b w:val="0"/>
          <w:bCs/>
          <w:color w:val="auto"/>
          <w:kern w:val="2"/>
          <w:sz w:val="22"/>
          <w:szCs w:val="22"/>
        </w:rPr>
        <w:t>网</w:t>
      </w:r>
      <w:r>
        <w:rPr>
          <w:rFonts w:ascii="宋体" w:eastAsia="宋体" w:cs="新宋体"/>
          <w:b w:val="0"/>
          <w:bCs/>
          <w:color w:val="auto"/>
          <w:kern w:val="2"/>
          <w:sz w:val="22"/>
          <w:szCs w:val="22"/>
        </w:rPr>
        <w:t>；后端子系统包括区域服务器、管理服务器等</w:t>
      </w:r>
      <w:r>
        <w:rPr>
          <w:rFonts w:hint="eastAsia" w:ascii="宋体" w:eastAsia="宋体" w:cs="新宋体"/>
          <w:b w:val="0"/>
          <w:bCs/>
          <w:color w:val="auto"/>
          <w:kern w:val="2"/>
          <w:sz w:val="22"/>
          <w:szCs w:val="22"/>
        </w:rPr>
        <w:t>配套的</w:t>
      </w:r>
      <w:r>
        <w:rPr>
          <w:rFonts w:ascii="宋体" w:eastAsia="宋体" w:cs="新宋体"/>
          <w:b w:val="0"/>
          <w:bCs/>
          <w:color w:val="auto"/>
          <w:kern w:val="2"/>
          <w:sz w:val="22"/>
          <w:szCs w:val="22"/>
        </w:rPr>
        <w:t>软硬件系统。</w:t>
      </w:r>
    </w:p>
    <w:p>
      <w:pPr>
        <w:spacing w:line="460" w:lineRule="exact"/>
        <w:ind w:firstLine="440" w:firstLineChars="200"/>
        <w:rPr>
          <w:rFonts w:hint="eastAsia" w:ascii="宋体" w:eastAsia="宋体" w:cs="新宋体"/>
          <w:b w:val="0"/>
          <w:bCs/>
          <w:color w:val="auto"/>
          <w:kern w:val="2"/>
          <w:sz w:val="22"/>
          <w:szCs w:val="22"/>
        </w:rPr>
      </w:pPr>
      <w:r>
        <w:rPr>
          <w:rFonts w:hint="eastAsia" w:ascii="宋体" w:eastAsia="宋体" w:cs="新宋体"/>
          <w:b w:val="0"/>
          <w:bCs/>
          <w:color w:val="auto"/>
          <w:kern w:val="2"/>
          <w:sz w:val="22"/>
          <w:szCs w:val="22"/>
        </w:rPr>
        <w:t>本次系统</w:t>
      </w:r>
      <w:r>
        <w:rPr>
          <w:rFonts w:ascii="宋体" w:eastAsia="宋体" w:cs="新宋体"/>
          <w:b w:val="0"/>
          <w:bCs/>
          <w:color w:val="auto"/>
          <w:kern w:val="2"/>
          <w:sz w:val="22"/>
          <w:szCs w:val="22"/>
        </w:rPr>
        <w:t>改造</w:t>
      </w:r>
      <w:r>
        <w:rPr>
          <w:rFonts w:hint="eastAsia" w:ascii="宋体" w:eastAsia="宋体" w:cs="新宋体"/>
          <w:b w:val="0"/>
          <w:bCs/>
          <w:color w:val="auto"/>
          <w:kern w:val="2"/>
          <w:sz w:val="22"/>
          <w:szCs w:val="22"/>
        </w:rPr>
        <w:t>升级维护项目</w:t>
      </w:r>
      <w:r>
        <w:rPr>
          <w:rFonts w:ascii="宋体" w:eastAsia="宋体" w:cs="新宋体"/>
          <w:b w:val="0"/>
          <w:bCs/>
          <w:color w:val="auto"/>
          <w:kern w:val="2"/>
          <w:sz w:val="22"/>
          <w:szCs w:val="22"/>
        </w:rPr>
        <w:t>的</w:t>
      </w:r>
      <w:r>
        <w:rPr>
          <w:rFonts w:hint="eastAsia" w:ascii="宋体" w:eastAsia="宋体" w:cs="新宋体"/>
          <w:b w:val="0"/>
          <w:bCs/>
          <w:color w:val="auto"/>
          <w:kern w:val="2"/>
          <w:sz w:val="22"/>
          <w:szCs w:val="22"/>
        </w:rPr>
        <w:t>中标方应根据有关技术标准规范及温州市区交通管理实际组织建设，实现各项系统应用功能。具体功能及建设点位位置以交管部门提出实际需求为准，中标单位应作相应调整。</w:t>
      </w:r>
    </w:p>
    <w:p>
      <w:pPr>
        <w:spacing w:before="120" w:beforeLines="50" w:after="120" w:afterLines="50" w:line="360" w:lineRule="auto"/>
        <w:ind w:firstLine="440" w:firstLineChars="200"/>
      </w:pPr>
      <w:r>
        <w:rPr>
          <w:rFonts w:hint="eastAsia" w:ascii="宋体" w:eastAsia="宋体"/>
          <w:b w:val="0"/>
          <w:sz w:val="22"/>
          <w:szCs w:val="22"/>
        </w:rPr>
        <w:t>具体点位需求如下：</w:t>
      </w:r>
    </w:p>
    <w:tbl>
      <w:tblPr>
        <w:tblStyle w:val="69"/>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2246"/>
        <w:gridCol w:w="872"/>
        <w:gridCol w:w="850"/>
        <w:gridCol w:w="709"/>
        <w:gridCol w:w="2410"/>
        <w:gridCol w:w="850"/>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071" w:type="dxa"/>
            <w:gridSpan w:val="8"/>
            <w:noWrap w:val="0"/>
            <w:vAlign w:val="center"/>
          </w:tcPr>
          <w:p>
            <w:pPr>
              <w:widowControl/>
              <w:ind w:firstLine="643"/>
              <w:jc w:val="center"/>
              <w:rPr>
                <w:rFonts w:ascii="宋体" w:eastAsia="宋体" w:cs="宋体"/>
                <w:bCs/>
                <w:sz w:val="24"/>
                <w:szCs w:val="24"/>
              </w:rPr>
            </w:pPr>
            <w:r>
              <w:rPr>
                <w:rFonts w:hint="eastAsia" w:ascii="宋体" w:eastAsia="宋体" w:cs="宋体"/>
                <w:b/>
                <w:bCs w:val="0"/>
                <w:sz w:val="24"/>
                <w:szCs w:val="24"/>
              </w:rPr>
              <w:t>指挥中心二期信号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序号</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路口名称</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路口ID</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方向数</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序号</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路口名称</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路口ID</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方向数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1</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江滨路-上陡门路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1105</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27</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划龙桥路飞霞路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1512</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2</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百里路-象门街</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1114</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28</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锦江路府东路口</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1554</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3</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学院东路汤家桥路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1164</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29</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锦江路府西路口</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1555</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汇源路汤家桥路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1165</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30</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锦江路惠民路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1556</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5</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新蒲路汤家桥路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1166</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31</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温州大道汤家桥路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1610</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6</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汤家桥转盘</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1167</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5</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32</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过境公路马鞍池路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1652</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7</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雁荡西路汤家桥路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1168</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33</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过境公路水心路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1653</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8</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锦江路汤家桥路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1169</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34</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过境公路雪山路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1654</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9</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杨府山路府东路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1201</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35</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过境公路广化桥路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1655</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10</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黎明路惠民路口</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1202</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36</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过境公路温州商贸城路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1656</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11</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黎明立交桥</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1204</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37</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过境公路翠微大道</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1657</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12</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环城东路-县前头路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1251</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38</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瓯海大道汤家桥路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1709</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13</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飞霞北路-垟儿路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1252</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39</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机场大道教新村</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1802</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14</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雪山路勤奋路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1257</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40</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机场大道钱江路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1815</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15</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学院路府东路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1303</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41</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机场大道衢江路口</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1816</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16</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学院路惠民路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1305</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42</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机场大道富春江路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1817</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17</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学院路飞霞路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1309</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43</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机场大道会展路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1818</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18</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大南路龙泉路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1313</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44</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机场大道蒲江路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1819</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19</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马鞍池路飞霞路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1351</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3</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45</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机场大道上江路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1820</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20</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飞霞南路龟湖路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1358</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3</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46</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蒲东路会展路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1821</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21</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新城大道宏源路口</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1401</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47</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蒲江北路会展路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1822</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22</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锦绣路府东路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1402</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48</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蒲中路会展路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1823</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23</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市府路万源路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1501</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49</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新田路会展路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1824</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24</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市府路开源路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1505</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50</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学院东路会展路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1825</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25</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划龙桥路龙方路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1509</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51</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香源路会展路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1826</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26</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划龙桥路东龙路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1510</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52</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商务六路-香源路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1827</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9071" w:type="dxa"/>
            <w:gridSpan w:val="8"/>
            <w:noWrap w:val="0"/>
            <w:vAlign w:val="center"/>
          </w:tcPr>
          <w:p>
            <w:pPr>
              <w:widowControl/>
              <w:ind w:firstLine="643"/>
              <w:jc w:val="center"/>
              <w:rPr>
                <w:rFonts w:ascii="宋体" w:eastAsia="宋体" w:cs="宋体"/>
                <w:bCs/>
                <w:sz w:val="24"/>
                <w:szCs w:val="24"/>
              </w:rPr>
            </w:pPr>
            <w:r>
              <w:rPr>
                <w:rFonts w:hint="eastAsia" w:ascii="宋体" w:eastAsia="宋体" w:cs="宋体"/>
                <w:b/>
                <w:bCs w:val="0"/>
                <w:sz w:val="24"/>
                <w:szCs w:val="24"/>
              </w:rPr>
              <w:t>SCATS系统三期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序号</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路口名称</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路口ID</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方向数</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序号</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路口名称</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路口ID</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方向数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1</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江滨路高田路口</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1106</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3</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51</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娄东大街上河乡</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1433</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2</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望江路广化桥路口</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1117</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3</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52</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娄东大街东二条路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1434</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3</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江滨B线-瓯江三桥下</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1118</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3</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53</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娄东大街古岸路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1435</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江滨B线-木材市场口</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1119</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54</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划龙桥路吴桥路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1511</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5</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江滨B线-牛三角路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1120</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55</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过境公路六虹桥路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1514</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6</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江滨B线泰力路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1121</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56</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六虹桥路德政东路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1515</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7</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江滨B线-江湾路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1122</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57</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六虹桥路前黄路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1516</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8</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瓯江路高田路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1151</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3</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58</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六虹桥路西山西路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1517</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9</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瓯江路东明路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1152</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3</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59</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六虹桥路货运市场</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1518</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10</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瓯江路永楠路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1153</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3</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60</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六虹桥路高翔路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1519</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11</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瓯江路飞霞路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1154</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3</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61</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六虹桥路站前路口</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1521</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12</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望江东路环城路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1155</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3</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62</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六虹桥路金虹东路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1522</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13</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望江路解放路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1156</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3</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63</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六虹桥路金虹西路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1523</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14</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望江路信河街</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1157</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3</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64</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六虹桥路国鼎路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1524</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15</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黎明路洪殿路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1203</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65</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六虹桥路翠微大道</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1525</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16</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黎明路民航路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1205</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66</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绣山路万源路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1551</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17</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人民西路九山路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1210</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3</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67</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吴桥路宽带路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1565</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18</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鹿城路勤奋路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1212</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68</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温州大道钱江路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1603</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19</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鹿城路西城路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1213</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69</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温州大道兰江路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1604</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20</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鹿城路广化桥路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1214</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70</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温州大道衢江路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1605</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21</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鹿城路翠微新村</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1215</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71</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温州大道文昌路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1606</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22</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鹿城路商贸城</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1216</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3</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72</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温州大道浦江路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1607</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23</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鹿城路泰力路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1217</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73</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温州大道上江路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1608</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24</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府前街广场路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1253</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74</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温州大道楠溪江路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1609</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25</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信河街广场路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1254</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75</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温州大道龙方路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1616</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26</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勤奋路粗康桥路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1255</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76</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温州大道东龙路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1617</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27</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勤奋路兴海路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1256</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77</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温州大道牛山北路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1618</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28</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兴海路振瓯路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1258</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78</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月乐西街龙霞路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1641</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29</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兴海路广化桥路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1259</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79</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过境公路宽带路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1651</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30</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学院路聚源路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1301</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3</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80</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过境公路瓯浦垟</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1658</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31</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学院路-宏源路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1302</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3</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81</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过境公路营楼路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1659</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32</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学院路-前庄路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1304</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82</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过境公路盛锦路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1660</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33</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学院路金桥路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1306</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83</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过境公路康华路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1661</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34</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学院路民航路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1308</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84</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过境公路江湾路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1662</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35</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荷花路大南路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1310</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85</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过境公路半垟路口</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1663</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36</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荷花路莲花路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1311</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86</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过境公路双屿高速出口</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1664</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37</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小南路荷花路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1312</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3</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87</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104国道鞋都路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1665</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38</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马鞍池路大南路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1352</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88</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1104国道稽师路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1666</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39</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马鞍池路莲花路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1353</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3</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89</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104国道双岙路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1667</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40</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马鞍池路小南路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1354</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90</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瓯海大道龙祥路口</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1703</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41</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马鞍池路隔岸路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1355</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91</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瓯海大道龙江路口</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1704</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42</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马鞍池路杏花路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1356</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92</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温瑞大道上蔡路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1747</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43</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民航路龟湖路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1357</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93</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温瑞大道盛新路口</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1749</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44</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水心路杏花路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1359</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94</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机场大道龙江路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1807</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45</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锦绣路南汇路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1421</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95</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机场大道耐宝路口</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1813</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46</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西山西路站前路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1413</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3</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96</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机场大道龙腾路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1814</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47</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西山西路国鼎路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1414</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97</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雁荡西路浦江路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1851</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48</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西山西路翠微大道</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1415</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98</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雁荡西路上江路口</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1855</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49</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温瞿东路宁波路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1417</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99</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雁荡西路清江路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1856</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426" w:type="dxa"/>
            <w:tcBorders>
              <w:bottom w:val="single" w:color="auto" w:sz="4" w:space="0"/>
            </w:tcBorders>
            <w:noWrap/>
            <w:vAlign w:val="center"/>
          </w:tcPr>
          <w:p>
            <w:pPr>
              <w:widowControl/>
              <w:jc w:val="center"/>
              <w:rPr>
                <w:rFonts w:ascii="宋体" w:eastAsia="宋体" w:cs="宋体"/>
                <w:b w:val="0"/>
                <w:szCs w:val="24"/>
              </w:rPr>
            </w:pPr>
            <w:r>
              <w:rPr>
                <w:rFonts w:hint="eastAsia" w:ascii="宋体" w:eastAsia="宋体" w:cs="宋体"/>
                <w:b w:val="0"/>
                <w:szCs w:val="24"/>
              </w:rPr>
              <w:t>50</w:t>
            </w:r>
          </w:p>
        </w:tc>
        <w:tc>
          <w:tcPr>
            <w:tcW w:w="2246" w:type="dxa"/>
            <w:tcBorders>
              <w:bottom w:val="single" w:color="auto" w:sz="4" w:space="0"/>
            </w:tcBorders>
            <w:noWrap/>
            <w:vAlign w:val="center"/>
          </w:tcPr>
          <w:p>
            <w:pPr>
              <w:widowControl/>
              <w:jc w:val="center"/>
              <w:rPr>
                <w:rFonts w:ascii="宋体" w:eastAsia="宋体" w:cs="宋体"/>
                <w:b w:val="0"/>
                <w:szCs w:val="24"/>
              </w:rPr>
            </w:pPr>
            <w:r>
              <w:rPr>
                <w:rFonts w:hint="eastAsia" w:ascii="宋体" w:eastAsia="宋体" w:cs="宋体"/>
                <w:b w:val="0"/>
                <w:szCs w:val="24"/>
              </w:rPr>
              <w:t>翠微大道双乐路</w:t>
            </w:r>
          </w:p>
        </w:tc>
        <w:tc>
          <w:tcPr>
            <w:tcW w:w="872" w:type="dxa"/>
            <w:tcBorders>
              <w:bottom w:val="single" w:color="auto" w:sz="4" w:space="0"/>
            </w:tcBorders>
            <w:noWrap/>
            <w:vAlign w:val="center"/>
          </w:tcPr>
          <w:p>
            <w:pPr>
              <w:widowControl/>
              <w:jc w:val="center"/>
              <w:rPr>
                <w:rFonts w:ascii="宋体" w:eastAsia="宋体" w:cs="宋体"/>
                <w:b w:val="0"/>
                <w:szCs w:val="24"/>
              </w:rPr>
            </w:pPr>
            <w:r>
              <w:rPr>
                <w:rFonts w:hint="eastAsia" w:ascii="宋体" w:eastAsia="宋体" w:cs="宋体"/>
                <w:b w:val="0"/>
                <w:szCs w:val="24"/>
              </w:rPr>
              <w:t>1431</w:t>
            </w:r>
          </w:p>
        </w:tc>
        <w:tc>
          <w:tcPr>
            <w:tcW w:w="850" w:type="dxa"/>
            <w:tcBorders>
              <w:bottom w:val="single" w:color="auto" w:sz="4" w:space="0"/>
            </w:tcBorders>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tcBorders>
              <w:bottom w:val="single" w:color="auto" w:sz="4" w:space="0"/>
            </w:tcBorders>
            <w:noWrap/>
            <w:vAlign w:val="center"/>
          </w:tcPr>
          <w:p>
            <w:pPr>
              <w:widowControl/>
              <w:jc w:val="center"/>
              <w:rPr>
                <w:rFonts w:ascii="宋体" w:eastAsia="宋体" w:cs="宋体"/>
                <w:b w:val="0"/>
                <w:szCs w:val="24"/>
              </w:rPr>
            </w:pPr>
            <w:r>
              <w:rPr>
                <w:rFonts w:hint="eastAsia" w:ascii="宋体" w:eastAsia="宋体" w:cs="宋体"/>
                <w:b w:val="0"/>
                <w:szCs w:val="24"/>
              </w:rPr>
              <w:t>100</w:t>
            </w:r>
          </w:p>
        </w:tc>
        <w:tc>
          <w:tcPr>
            <w:tcW w:w="2410" w:type="dxa"/>
            <w:tcBorders>
              <w:bottom w:val="single" w:color="auto" w:sz="4" w:space="0"/>
            </w:tcBorders>
            <w:noWrap/>
            <w:vAlign w:val="center"/>
          </w:tcPr>
          <w:p>
            <w:pPr>
              <w:widowControl/>
              <w:jc w:val="center"/>
              <w:rPr>
                <w:rFonts w:ascii="宋体" w:eastAsia="宋体" w:cs="宋体"/>
                <w:b w:val="0"/>
                <w:szCs w:val="24"/>
              </w:rPr>
            </w:pPr>
            <w:r>
              <w:rPr>
                <w:rFonts w:hint="eastAsia" w:ascii="宋体" w:eastAsia="宋体" w:cs="宋体"/>
                <w:b w:val="0"/>
                <w:szCs w:val="24"/>
              </w:rPr>
              <w:t>雁荡西路楠溪江路</w:t>
            </w:r>
          </w:p>
        </w:tc>
        <w:tc>
          <w:tcPr>
            <w:tcW w:w="850" w:type="dxa"/>
            <w:tcBorders>
              <w:bottom w:val="single" w:color="auto" w:sz="4" w:space="0"/>
            </w:tcBorders>
            <w:noWrap/>
            <w:vAlign w:val="center"/>
          </w:tcPr>
          <w:p>
            <w:pPr>
              <w:widowControl/>
              <w:jc w:val="center"/>
              <w:rPr>
                <w:rFonts w:ascii="宋体" w:eastAsia="宋体" w:cs="宋体"/>
                <w:b w:val="0"/>
                <w:szCs w:val="24"/>
              </w:rPr>
            </w:pPr>
            <w:r>
              <w:rPr>
                <w:rFonts w:hint="eastAsia" w:ascii="宋体" w:eastAsia="宋体" w:cs="宋体"/>
                <w:b w:val="0"/>
                <w:szCs w:val="24"/>
              </w:rPr>
              <w:t>1857</w:t>
            </w:r>
          </w:p>
        </w:tc>
        <w:tc>
          <w:tcPr>
            <w:tcW w:w="708" w:type="dxa"/>
            <w:tcBorders>
              <w:bottom w:val="single" w:color="auto" w:sz="4" w:space="0"/>
            </w:tcBorders>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9071" w:type="dxa"/>
            <w:gridSpan w:val="8"/>
            <w:tcBorders>
              <w:top w:val="single" w:color="auto" w:sz="4" w:space="0"/>
              <w:left w:val="single" w:color="auto" w:sz="4" w:space="0"/>
              <w:bottom w:val="single" w:color="auto" w:sz="4" w:space="0"/>
              <w:right w:val="single" w:color="auto" w:sz="4" w:space="0"/>
            </w:tcBorders>
            <w:noWrap/>
            <w:vAlign w:val="bottom"/>
          </w:tcPr>
          <w:p>
            <w:pPr>
              <w:widowControl/>
              <w:ind w:firstLine="643"/>
              <w:jc w:val="center"/>
              <w:rPr>
                <w:rFonts w:ascii="宋体" w:eastAsia="宋体" w:cs="宋体"/>
                <w:bCs/>
                <w:sz w:val="24"/>
                <w:szCs w:val="24"/>
              </w:rPr>
            </w:pPr>
            <w:r>
              <w:rPr>
                <w:rFonts w:hint="eastAsia" w:ascii="宋体" w:eastAsia="宋体" w:cs="宋体"/>
                <w:b/>
                <w:bCs w:val="0"/>
                <w:sz w:val="24"/>
                <w:szCs w:val="24"/>
              </w:rPr>
              <w:t>外建移交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26" w:type="dxa"/>
            <w:tcBorders>
              <w:top w:val="single" w:color="auto" w:sz="4" w:space="0"/>
            </w:tcBorders>
            <w:noWrap/>
            <w:vAlign w:val="center"/>
          </w:tcPr>
          <w:p>
            <w:pPr>
              <w:widowControl/>
              <w:jc w:val="center"/>
              <w:rPr>
                <w:rFonts w:ascii="宋体" w:eastAsia="宋体" w:cs="宋体"/>
                <w:b w:val="0"/>
                <w:szCs w:val="24"/>
              </w:rPr>
            </w:pPr>
            <w:r>
              <w:rPr>
                <w:rFonts w:hint="eastAsia" w:ascii="宋体" w:eastAsia="宋体" w:cs="宋体"/>
                <w:b w:val="0"/>
                <w:szCs w:val="24"/>
              </w:rPr>
              <w:t>序号</w:t>
            </w:r>
          </w:p>
        </w:tc>
        <w:tc>
          <w:tcPr>
            <w:tcW w:w="2246" w:type="dxa"/>
            <w:tcBorders>
              <w:top w:val="single" w:color="auto" w:sz="4" w:space="0"/>
            </w:tcBorders>
            <w:noWrap/>
            <w:vAlign w:val="center"/>
          </w:tcPr>
          <w:p>
            <w:pPr>
              <w:widowControl/>
              <w:jc w:val="center"/>
              <w:rPr>
                <w:rFonts w:ascii="宋体" w:eastAsia="宋体" w:cs="宋体"/>
                <w:b w:val="0"/>
                <w:szCs w:val="24"/>
              </w:rPr>
            </w:pPr>
            <w:r>
              <w:rPr>
                <w:rFonts w:hint="eastAsia" w:ascii="宋体" w:eastAsia="宋体" w:cs="宋体"/>
                <w:b w:val="0"/>
                <w:szCs w:val="24"/>
              </w:rPr>
              <w:t>路口名称</w:t>
            </w:r>
          </w:p>
        </w:tc>
        <w:tc>
          <w:tcPr>
            <w:tcW w:w="872" w:type="dxa"/>
            <w:tcBorders>
              <w:top w:val="single" w:color="auto" w:sz="4" w:space="0"/>
            </w:tcBorders>
            <w:noWrap/>
            <w:vAlign w:val="center"/>
          </w:tcPr>
          <w:p>
            <w:pPr>
              <w:widowControl/>
              <w:jc w:val="center"/>
              <w:rPr>
                <w:rFonts w:ascii="宋体" w:eastAsia="宋体" w:cs="宋体"/>
                <w:b w:val="0"/>
                <w:szCs w:val="24"/>
              </w:rPr>
            </w:pPr>
            <w:r>
              <w:rPr>
                <w:rFonts w:hint="eastAsia" w:ascii="宋体" w:eastAsia="宋体" w:cs="宋体"/>
                <w:b w:val="0"/>
                <w:szCs w:val="24"/>
              </w:rPr>
              <w:t>路口</w:t>
            </w:r>
            <w:r>
              <w:rPr>
                <w:rFonts w:ascii="宋体" w:eastAsia="宋体" w:cs="宋体"/>
                <w:b w:val="0"/>
                <w:szCs w:val="24"/>
              </w:rPr>
              <w:t>ID</w:t>
            </w:r>
          </w:p>
        </w:tc>
        <w:tc>
          <w:tcPr>
            <w:tcW w:w="850" w:type="dxa"/>
            <w:tcBorders>
              <w:top w:val="single" w:color="auto" w:sz="4" w:space="0"/>
            </w:tcBorders>
            <w:noWrap/>
            <w:vAlign w:val="center"/>
          </w:tcPr>
          <w:p>
            <w:pPr>
              <w:widowControl/>
              <w:jc w:val="center"/>
              <w:rPr>
                <w:rFonts w:ascii="宋体" w:eastAsia="宋体" w:cs="宋体"/>
                <w:b w:val="0"/>
                <w:szCs w:val="24"/>
              </w:rPr>
            </w:pPr>
            <w:r>
              <w:rPr>
                <w:rFonts w:hint="eastAsia" w:ascii="宋体" w:eastAsia="宋体" w:cs="宋体"/>
                <w:b w:val="0"/>
                <w:szCs w:val="24"/>
              </w:rPr>
              <w:t>方向数</w:t>
            </w:r>
          </w:p>
        </w:tc>
        <w:tc>
          <w:tcPr>
            <w:tcW w:w="709" w:type="dxa"/>
            <w:tcBorders>
              <w:top w:val="single" w:color="auto" w:sz="4" w:space="0"/>
            </w:tcBorders>
            <w:noWrap/>
            <w:vAlign w:val="center"/>
          </w:tcPr>
          <w:p>
            <w:pPr>
              <w:widowControl/>
              <w:jc w:val="center"/>
              <w:rPr>
                <w:rFonts w:ascii="宋体" w:eastAsia="宋体" w:cs="宋体"/>
                <w:b w:val="0"/>
                <w:szCs w:val="24"/>
              </w:rPr>
            </w:pPr>
            <w:r>
              <w:rPr>
                <w:rFonts w:hint="eastAsia" w:ascii="宋体" w:eastAsia="宋体" w:cs="宋体"/>
                <w:b w:val="0"/>
                <w:szCs w:val="24"/>
              </w:rPr>
              <w:t>序号</w:t>
            </w:r>
          </w:p>
        </w:tc>
        <w:tc>
          <w:tcPr>
            <w:tcW w:w="2410" w:type="dxa"/>
            <w:tcBorders>
              <w:top w:val="single" w:color="auto" w:sz="4" w:space="0"/>
            </w:tcBorders>
            <w:noWrap/>
            <w:vAlign w:val="center"/>
          </w:tcPr>
          <w:p>
            <w:pPr>
              <w:widowControl/>
              <w:jc w:val="center"/>
              <w:rPr>
                <w:rFonts w:ascii="宋体" w:eastAsia="宋体" w:cs="宋体"/>
                <w:b w:val="0"/>
                <w:szCs w:val="24"/>
              </w:rPr>
            </w:pPr>
            <w:r>
              <w:rPr>
                <w:rFonts w:hint="eastAsia" w:ascii="宋体" w:eastAsia="宋体" w:cs="宋体"/>
                <w:b w:val="0"/>
                <w:szCs w:val="24"/>
              </w:rPr>
              <w:t>路口名称</w:t>
            </w:r>
          </w:p>
        </w:tc>
        <w:tc>
          <w:tcPr>
            <w:tcW w:w="850" w:type="dxa"/>
            <w:tcBorders>
              <w:top w:val="single" w:color="auto" w:sz="4" w:space="0"/>
            </w:tcBorders>
            <w:noWrap/>
            <w:vAlign w:val="center"/>
          </w:tcPr>
          <w:p>
            <w:pPr>
              <w:widowControl/>
              <w:jc w:val="center"/>
              <w:rPr>
                <w:rFonts w:ascii="宋体" w:eastAsia="宋体" w:cs="宋体"/>
                <w:b w:val="0"/>
                <w:szCs w:val="24"/>
              </w:rPr>
            </w:pPr>
            <w:r>
              <w:rPr>
                <w:rFonts w:hint="eastAsia" w:ascii="宋体" w:eastAsia="宋体" w:cs="宋体"/>
                <w:b w:val="0"/>
                <w:szCs w:val="24"/>
              </w:rPr>
              <w:t>路口</w:t>
            </w:r>
            <w:r>
              <w:rPr>
                <w:rFonts w:ascii="宋体" w:eastAsia="宋体" w:cs="宋体"/>
                <w:b w:val="0"/>
                <w:szCs w:val="24"/>
              </w:rPr>
              <w:t>ID</w:t>
            </w:r>
          </w:p>
        </w:tc>
        <w:tc>
          <w:tcPr>
            <w:tcW w:w="708" w:type="dxa"/>
            <w:tcBorders>
              <w:top w:val="single" w:color="auto" w:sz="4" w:space="0"/>
            </w:tcBorders>
            <w:noWrap/>
            <w:vAlign w:val="center"/>
          </w:tcPr>
          <w:p>
            <w:pPr>
              <w:widowControl/>
              <w:jc w:val="center"/>
              <w:rPr>
                <w:rFonts w:ascii="宋体" w:eastAsia="宋体" w:cs="宋体"/>
                <w:b w:val="0"/>
                <w:szCs w:val="24"/>
              </w:rPr>
            </w:pPr>
            <w:r>
              <w:rPr>
                <w:rFonts w:hint="eastAsia" w:ascii="宋体" w:eastAsia="宋体" w:cs="宋体"/>
                <w:b w:val="0"/>
                <w:szCs w:val="24"/>
              </w:rPr>
              <w:t>方向数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1</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宁波路</w:t>
            </w:r>
            <w:r>
              <w:rPr>
                <w:rFonts w:ascii="宋体" w:eastAsia="宋体" w:cs="宋体"/>
                <w:b w:val="0"/>
                <w:szCs w:val="24"/>
              </w:rPr>
              <w:t>-</w:t>
            </w:r>
            <w:r>
              <w:rPr>
                <w:rFonts w:hint="eastAsia" w:ascii="宋体" w:eastAsia="宋体" w:cs="宋体"/>
                <w:b w:val="0"/>
                <w:szCs w:val="24"/>
              </w:rPr>
              <w:t>马坑路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1422</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12</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瓯海大道</w:t>
            </w:r>
            <w:r>
              <w:rPr>
                <w:rFonts w:ascii="宋体" w:eastAsia="宋体" w:cs="宋体"/>
                <w:b w:val="0"/>
                <w:szCs w:val="24"/>
              </w:rPr>
              <w:t>-</w:t>
            </w:r>
            <w:r>
              <w:rPr>
                <w:rFonts w:hint="eastAsia" w:ascii="宋体" w:eastAsia="宋体" w:cs="宋体"/>
                <w:b w:val="0"/>
                <w:szCs w:val="24"/>
              </w:rPr>
              <w:t>滨海大道</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1801</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2</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宁波路</w:t>
            </w:r>
            <w:r>
              <w:rPr>
                <w:rFonts w:ascii="宋体" w:eastAsia="宋体" w:cs="宋体"/>
                <w:b w:val="0"/>
                <w:szCs w:val="24"/>
              </w:rPr>
              <w:t>-</w:t>
            </w:r>
            <w:r>
              <w:rPr>
                <w:rFonts w:hint="eastAsia" w:ascii="宋体" w:eastAsia="宋体" w:cs="宋体"/>
                <w:b w:val="0"/>
                <w:szCs w:val="24"/>
              </w:rPr>
              <w:t>景德东路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1423</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3</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13</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雁荡中路</w:t>
            </w:r>
            <w:r>
              <w:rPr>
                <w:rFonts w:ascii="宋体" w:eastAsia="宋体" w:cs="宋体"/>
                <w:b w:val="0"/>
                <w:szCs w:val="24"/>
              </w:rPr>
              <w:t>-</w:t>
            </w:r>
            <w:r>
              <w:rPr>
                <w:rFonts w:hint="eastAsia" w:ascii="宋体" w:eastAsia="宋体" w:cs="宋体"/>
                <w:b w:val="0"/>
                <w:szCs w:val="24"/>
              </w:rPr>
              <w:t>文昌路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1850</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3</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宁波路</w:t>
            </w:r>
            <w:r>
              <w:rPr>
                <w:rFonts w:ascii="宋体" w:eastAsia="宋体" w:cs="宋体"/>
                <w:b w:val="0"/>
                <w:szCs w:val="24"/>
              </w:rPr>
              <w:t>-</w:t>
            </w:r>
            <w:r>
              <w:rPr>
                <w:rFonts w:hint="eastAsia" w:ascii="宋体" w:eastAsia="宋体" w:cs="宋体"/>
                <w:b w:val="0"/>
                <w:szCs w:val="24"/>
              </w:rPr>
              <w:t>上河乡路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1424</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3</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14</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瓯江路会展中心北出口</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1138</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宁波路</w:t>
            </w:r>
            <w:r>
              <w:rPr>
                <w:rFonts w:ascii="宋体" w:eastAsia="宋体" w:cs="宋体"/>
                <w:b w:val="0"/>
                <w:szCs w:val="24"/>
              </w:rPr>
              <w:t>-</w:t>
            </w:r>
            <w:r>
              <w:rPr>
                <w:rFonts w:hint="eastAsia" w:ascii="宋体" w:eastAsia="宋体" w:cs="宋体"/>
                <w:b w:val="0"/>
                <w:szCs w:val="24"/>
              </w:rPr>
              <w:t>今汇路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1425</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3</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15</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瓯江路德信大厦</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1139</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5</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宁波路</w:t>
            </w:r>
            <w:r>
              <w:rPr>
                <w:rFonts w:ascii="宋体" w:eastAsia="宋体" w:cs="宋体"/>
                <w:b w:val="0"/>
                <w:szCs w:val="24"/>
              </w:rPr>
              <w:t>-</w:t>
            </w:r>
            <w:r>
              <w:rPr>
                <w:rFonts w:hint="eastAsia" w:ascii="宋体" w:eastAsia="宋体" w:cs="宋体"/>
                <w:b w:val="0"/>
                <w:szCs w:val="24"/>
              </w:rPr>
              <w:t>中汇路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1426</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16</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瓯江路加州路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1140</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6</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宁波路</w:t>
            </w:r>
            <w:r>
              <w:rPr>
                <w:rFonts w:ascii="宋体" w:eastAsia="宋体" w:cs="宋体"/>
                <w:b w:val="0"/>
                <w:szCs w:val="24"/>
              </w:rPr>
              <w:t>-</w:t>
            </w:r>
            <w:r>
              <w:rPr>
                <w:rFonts w:hint="eastAsia" w:ascii="宋体" w:eastAsia="宋体" w:cs="宋体"/>
                <w:b w:val="0"/>
                <w:szCs w:val="24"/>
              </w:rPr>
              <w:t>六虹桥路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1526</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17</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瓯江路杨府山路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1141</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7</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温州大道</w:t>
            </w:r>
            <w:r>
              <w:rPr>
                <w:rFonts w:ascii="宋体" w:eastAsia="宋体" w:cs="宋体"/>
                <w:b w:val="0"/>
                <w:szCs w:val="24"/>
              </w:rPr>
              <w:t>-</w:t>
            </w:r>
            <w:r>
              <w:rPr>
                <w:rFonts w:hint="eastAsia" w:ascii="宋体" w:eastAsia="宋体" w:cs="宋体"/>
                <w:b w:val="0"/>
                <w:szCs w:val="24"/>
              </w:rPr>
              <w:t>三友路口</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1612</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18</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瓯江路府东路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1142</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8</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双南线南湖路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1642</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19</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瓯江路上陡门路</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1143</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9</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双南线</w:t>
            </w:r>
            <w:r>
              <w:rPr>
                <w:rFonts w:ascii="宋体" w:eastAsia="宋体" w:cs="宋体"/>
                <w:b w:val="0"/>
                <w:szCs w:val="24"/>
              </w:rPr>
              <w:t>-</w:t>
            </w:r>
            <w:r>
              <w:rPr>
                <w:rFonts w:hint="eastAsia" w:ascii="宋体" w:eastAsia="宋体" w:cs="宋体"/>
                <w:b w:val="0"/>
                <w:szCs w:val="24"/>
              </w:rPr>
              <w:t>梧慈路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1644</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20</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瓯江路曼哈顿</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1148</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10</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双南线</w:t>
            </w:r>
            <w:r>
              <w:rPr>
                <w:rFonts w:ascii="宋体" w:eastAsia="宋体" w:cs="宋体"/>
                <w:b w:val="0"/>
                <w:szCs w:val="24"/>
              </w:rPr>
              <w:t>-</w:t>
            </w:r>
            <w:r>
              <w:rPr>
                <w:rFonts w:hint="eastAsia" w:ascii="宋体" w:eastAsia="宋体" w:cs="宋体"/>
                <w:b w:val="0"/>
                <w:szCs w:val="24"/>
              </w:rPr>
              <w:t>双堡西路</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1646</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4</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21</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鹿城路</w:t>
            </w:r>
            <w:r>
              <w:rPr>
                <w:rFonts w:ascii="宋体" w:eastAsia="宋体" w:cs="宋体"/>
                <w:b w:val="0"/>
                <w:szCs w:val="24"/>
              </w:rPr>
              <w:t>-</w:t>
            </w:r>
            <w:r>
              <w:rPr>
                <w:rFonts w:hint="eastAsia" w:ascii="宋体" w:eastAsia="宋体" w:cs="宋体"/>
                <w:b w:val="0"/>
                <w:szCs w:val="24"/>
              </w:rPr>
              <w:t>游泳桥</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1219</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426" w:type="dxa"/>
            <w:noWrap/>
            <w:vAlign w:val="center"/>
          </w:tcPr>
          <w:p>
            <w:pPr>
              <w:widowControl/>
              <w:jc w:val="center"/>
              <w:rPr>
                <w:rFonts w:ascii="宋体" w:eastAsia="宋体" w:cs="宋体"/>
                <w:b w:val="0"/>
                <w:szCs w:val="24"/>
              </w:rPr>
            </w:pPr>
            <w:r>
              <w:rPr>
                <w:rFonts w:hint="eastAsia" w:ascii="宋体" w:eastAsia="宋体" w:cs="宋体"/>
                <w:b w:val="0"/>
                <w:szCs w:val="24"/>
              </w:rPr>
              <w:t>11</w:t>
            </w:r>
          </w:p>
        </w:tc>
        <w:tc>
          <w:tcPr>
            <w:tcW w:w="2246" w:type="dxa"/>
            <w:noWrap/>
            <w:vAlign w:val="center"/>
          </w:tcPr>
          <w:p>
            <w:pPr>
              <w:widowControl/>
              <w:jc w:val="center"/>
              <w:rPr>
                <w:rFonts w:ascii="宋体" w:eastAsia="宋体" w:cs="宋体"/>
                <w:b w:val="0"/>
                <w:szCs w:val="24"/>
              </w:rPr>
            </w:pPr>
            <w:r>
              <w:rPr>
                <w:rFonts w:hint="eastAsia" w:ascii="宋体" w:eastAsia="宋体" w:cs="宋体"/>
                <w:b w:val="0"/>
                <w:szCs w:val="24"/>
              </w:rPr>
              <w:t>双南线</w:t>
            </w:r>
            <w:r>
              <w:rPr>
                <w:rFonts w:ascii="宋体" w:eastAsia="宋体" w:cs="宋体"/>
                <w:b w:val="0"/>
                <w:szCs w:val="24"/>
              </w:rPr>
              <w:t>-</w:t>
            </w:r>
            <w:r>
              <w:rPr>
                <w:rFonts w:hint="eastAsia" w:ascii="宋体" w:eastAsia="宋体" w:cs="宋体"/>
                <w:b w:val="0"/>
                <w:szCs w:val="24"/>
              </w:rPr>
              <w:t>月乐西街</w:t>
            </w:r>
          </w:p>
        </w:tc>
        <w:tc>
          <w:tcPr>
            <w:tcW w:w="872" w:type="dxa"/>
            <w:noWrap/>
            <w:vAlign w:val="center"/>
          </w:tcPr>
          <w:p>
            <w:pPr>
              <w:widowControl/>
              <w:jc w:val="center"/>
              <w:rPr>
                <w:rFonts w:ascii="宋体" w:eastAsia="宋体" w:cs="宋体"/>
                <w:b w:val="0"/>
                <w:szCs w:val="24"/>
              </w:rPr>
            </w:pPr>
            <w:r>
              <w:rPr>
                <w:rFonts w:hint="eastAsia" w:ascii="宋体" w:eastAsia="宋体" w:cs="宋体"/>
                <w:b w:val="0"/>
                <w:szCs w:val="24"/>
              </w:rPr>
              <w:t>1647</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3</w:t>
            </w:r>
          </w:p>
        </w:tc>
        <w:tc>
          <w:tcPr>
            <w:tcW w:w="709" w:type="dxa"/>
            <w:noWrap/>
            <w:vAlign w:val="center"/>
          </w:tcPr>
          <w:p>
            <w:pPr>
              <w:widowControl/>
              <w:jc w:val="center"/>
              <w:rPr>
                <w:rFonts w:ascii="宋体" w:eastAsia="宋体" w:cs="宋体"/>
                <w:b w:val="0"/>
                <w:szCs w:val="24"/>
              </w:rPr>
            </w:pPr>
            <w:r>
              <w:rPr>
                <w:rFonts w:hint="eastAsia" w:ascii="宋体" w:eastAsia="宋体" w:cs="宋体"/>
                <w:b w:val="0"/>
                <w:szCs w:val="24"/>
              </w:rPr>
              <w:t>　</w:t>
            </w:r>
          </w:p>
        </w:tc>
        <w:tc>
          <w:tcPr>
            <w:tcW w:w="2410" w:type="dxa"/>
            <w:noWrap/>
            <w:vAlign w:val="center"/>
          </w:tcPr>
          <w:p>
            <w:pPr>
              <w:widowControl/>
              <w:jc w:val="center"/>
              <w:rPr>
                <w:rFonts w:ascii="宋体" w:eastAsia="宋体" w:cs="宋体"/>
                <w:b w:val="0"/>
                <w:szCs w:val="24"/>
              </w:rPr>
            </w:pPr>
            <w:r>
              <w:rPr>
                <w:rFonts w:hint="eastAsia" w:ascii="宋体" w:eastAsia="宋体" w:cs="宋体"/>
                <w:b w:val="0"/>
                <w:szCs w:val="24"/>
              </w:rPr>
              <w:t>　</w:t>
            </w:r>
          </w:p>
        </w:tc>
        <w:tc>
          <w:tcPr>
            <w:tcW w:w="850" w:type="dxa"/>
            <w:noWrap/>
            <w:vAlign w:val="center"/>
          </w:tcPr>
          <w:p>
            <w:pPr>
              <w:widowControl/>
              <w:jc w:val="center"/>
              <w:rPr>
                <w:rFonts w:ascii="宋体" w:eastAsia="宋体" w:cs="宋体"/>
                <w:b w:val="0"/>
                <w:szCs w:val="24"/>
              </w:rPr>
            </w:pPr>
            <w:r>
              <w:rPr>
                <w:rFonts w:hint="eastAsia" w:ascii="宋体" w:eastAsia="宋体" w:cs="宋体"/>
                <w:b w:val="0"/>
                <w:szCs w:val="24"/>
              </w:rPr>
              <w:t>　</w:t>
            </w:r>
          </w:p>
        </w:tc>
        <w:tc>
          <w:tcPr>
            <w:tcW w:w="708" w:type="dxa"/>
            <w:noWrap/>
            <w:vAlign w:val="center"/>
          </w:tcPr>
          <w:p>
            <w:pPr>
              <w:widowControl/>
              <w:jc w:val="center"/>
              <w:rPr>
                <w:rFonts w:ascii="宋体" w:eastAsia="宋体" w:cs="宋体"/>
                <w:b w:val="0"/>
                <w:szCs w:val="24"/>
              </w:rPr>
            </w:pPr>
            <w:r>
              <w:rPr>
                <w:rFonts w:hint="eastAsia" w:ascii="宋体" w:eastAsia="宋体" w:cs="宋体"/>
                <w:b w:val="0"/>
                <w:szCs w:val="24"/>
              </w:rPr>
              <w:t>　</w:t>
            </w:r>
          </w:p>
        </w:tc>
      </w:tr>
    </w:tbl>
    <w:p>
      <w:pPr>
        <w:spacing w:before="120" w:beforeLines="50" w:after="120" w:afterLines="50" w:line="360" w:lineRule="auto"/>
        <w:ind w:firstLine="440" w:firstLineChars="200"/>
        <w:rPr>
          <w:rFonts w:hint="eastAsia"/>
        </w:rPr>
      </w:pPr>
      <w:r>
        <w:rPr>
          <w:rFonts w:hint="eastAsia" w:ascii="宋体" w:eastAsia="宋体"/>
          <w:b w:val="0"/>
          <w:sz w:val="22"/>
          <w:szCs w:val="22"/>
        </w:rPr>
        <w:t>所有设备系统改建提升的技术服务，包括设备安装、调试、</w:t>
      </w:r>
      <w:r>
        <w:rPr>
          <w:rFonts w:ascii="宋体" w:eastAsia="宋体"/>
          <w:b w:val="0"/>
          <w:sz w:val="22"/>
          <w:szCs w:val="22"/>
        </w:rPr>
        <w:t>更新、</w:t>
      </w:r>
      <w:r>
        <w:rPr>
          <w:rFonts w:hint="eastAsia" w:ascii="宋体" w:eastAsia="宋体"/>
          <w:b w:val="0"/>
          <w:sz w:val="22"/>
          <w:szCs w:val="22"/>
        </w:rPr>
        <w:t>运行</w:t>
      </w:r>
      <w:r>
        <w:rPr>
          <w:rFonts w:ascii="宋体" w:eastAsia="宋体"/>
          <w:b w:val="0"/>
          <w:sz w:val="22"/>
          <w:szCs w:val="22"/>
        </w:rPr>
        <w:t>维护</w:t>
      </w:r>
      <w:r>
        <w:rPr>
          <w:rFonts w:hint="eastAsia" w:ascii="宋体" w:eastAsia="宋体"/>
          <w:b w:val="0"/>
          <w:sz w:val="22"/>
          <w:szCs w:val="22"/>
        </w:rPr>
        <w:t>等，均要按照相关最新的技术标准和规范要求实施，所有系统设备和杆件均要采取防雷、接地、防漏电等措施，确保工程质量与安全。</w:t>
      </w:r>
    </w:p>
    <w:p>
      <w:pPr>
        <w:keepNext/>
        <w:keepLines/>
        <w:numPr>
          <w:ilvl w:val="2"/>
          <w:numId w:val="0"/>
        </w:numPr>
        <w:spacing w:before="120" w:beforeLines="50" w:after="120" w:afterLines="50"/>
        <w:jc w:val="left"/>
        <w:outlineLvl w:val="2"/>
        <w:rPr>
          <w:rFonts w:ascii="Cambria" w:hAnsi="Cambria" w:eastAsia="宋体"/>
          <w:bCs/>
          <w:color w:val="auto"/>
          <w:kern w:val="2"/>
          <w:sz w:val="24"/>
          <w:szCs w:val="24"/>
        </w:rPr>
      </w:pPr>
      <w:bookmarkStart w:id="27" w:name="_Toc43914423"/>
      <w:r>
        <w:rPr>
          <w:rFonts w:hint="eastAsia" w:ascii="Calibri" w:hAnsi="Calibri" w:eastAsia="宋体"/>
          <w:b/>
          <w:bCs w:val="0"/>
          <w:color w:val="auto"/>
          <w:kern w:val="2"/>
          <w:sz w:val="24"/>
          <w:szCs w:val="24"/>
        </w:rPr>
        <w:t>4.1.1雷达系统升级</w:t>
      </w:r>
      <w:bookmarkEnd w:id="27"/>
    </w:p>
    <w:p>
      <w:pPr>
        <w:spacing w:before="120" w:beforeLines="50" w:after="120" w:afterLines="50" w:line="360" w:lineRule="auto"/>
        <w:ind w:firstLine="440" w:firstLineChars="200"/>
        <w:rPr>
          <w:rFonts w:ascii="宋体" w:eastAsia="宋体"/>
          <w:b w:val="0"/>
          <w:color w:val="auto"/>
          <w:kern w:val="2"/>
          <w:sz w:val="22"/>
          <w:szCs w:val="22"/>
        </w:rPr>
      </w:pPr>
      <w:r>
        <w:rPr>
          <w:rFonts w:hint="eastAsia" w:ascii="宋体" w:eastAsia="宋体"/>
          <w:b w:val="0"/>
          <w:color w:val="auto"/>
          <w:kern w:val="2"/>
          <w:sz w:val="22"/>
          <w:szCs w:val="22"/>
        </w:rPr>
        <w:t>现有</w:t>
      </w:r>
      <w:r>
        <w:rPr>
          <w:rFonts w:ascii="宋体" w:eastAsia="宋体"/>
          <w:b w:val="0"/>
          <w:color w:val="auto"/>
          <w:kern w:val="2"/>
          <w:sz w:val="22"/>
          <w:szCs w:val="22"/>
        </w:rPr>
        <w:t>的</w:t>
      </w:r>
      <w:r>
        <w:rPr>
          <w:rFonts w:hint="eastAsia" w:ascii="宋体" w:eastAsia="宋体"/>
          <w:b w:val="0"/>
          <w:color w:val="auto"/>
          <w:kern w:val="2"/>
          <w:sz w:val="22"/>
          <w:szCs w:val="22"/>
        </w:rPr>
        <w:t>指挥中心核心二期、SCATS系统三期这些路口在建设初期针对交通流量模块采用的是线圈检测的方式，在最初建设时是能满足系统使用要求的。但随着系统使用年限的增加，原先建设的线圈检测系统已经基本老化，维护成本很高，而且缺点也日益明显：安装或维护时需要关闭车道，阻断交通，对已建成的道路应用比较困难，特别</w:t>
      </w:r>
      <w:r>
        <w:rPr>
          <w:rFonts w:ascii="宋体" w:eastAsia="宋体"/>
          <w:b w:val="0"/>
          <w:color w:val="auto"/>
          <w:kern w:val="2"/>
          <w:sz w:val="22"/>
          <w:szCs w:val="22"/>
        </w:rPr>
        <w:t>是</w:t>
      </w:r>
      <w:r>
        <w:rPr>
          <w:rFonts w:hint="eastAsia" w:ascii="宋体" w:eastAsia="宋体"/>
          <w:b w:val="0"/>
          <w:color w:val="auto"/>
          <w:kern w:val="2"/>
          <w:sz w:val="22"/>
          <w:szCs w:val="22"/>
        </w:rPr>
        <w:t>地感线圈容易被重型车辆、路面修整等因素损坏，更换感应线圈时需要挖路面，影响交通和增加维修成本。</w:t>
      </w:r>
    </w:p>
    <w:p>
      <w:pPr>
        <w:spacing w:before="120" w:beforeLines="50" w:after="120" w:afterLines="50" w:line="360" w:lineRule="auto"/>
        <w:ind w:firstLine="440" w:firstLineChars="200"/>
        <w:rPr>
          <w:rFonts w:ascii="宋体" w:eastAsia="宋体"/>
          <w:b w:val="0"/>
          <w:color w:val="auto"/>
          <w:kern w:val="2"/>
          <w:sz w:val="22"/>
          <w:szCs w:val="22"/>
        </w:rPr>
      </w:pPr>
      <w:r>
        <w:rPr>
          <w:rFonts w:hint="eastAsia" w:ascii="宋体" w:eastAsia="宋体"/>
          <w:b w:val="0"/>
          <w:color w:val="auto"/>
          <w:kern w:val="2"/>
          <w:sz w:val="22"/>
          <w:szCs w:val="22"/>
        </w:rPr>
        <w:t>近几年雷达检测车流量的技术日渐成熟，精度已能满足目前主流的各类信号控制系统要求，而且这种方式安装维护较线圈方便很多，故本次项目拟对</w:t>
      </w:r>
      <w:r>
        <w:rPr>
          <w:rFonts w:ascii="宋体" w:eastAsia="宋体"/>
          <w:b w:val="0"/>
          <w:color w:val="auto"/>
          <w:kern w:val="2"/>
          <w:sz w:val="22"/>
          <w:szCs w:val="22"/>
        </w:rPr>
        <w:t>173</w:t>
      </w:r>
      <w:r>
        <w:rPr>
          <w:rFonts w:hint="eastAsia" w:ascii="宋体" w:eastAsia="宋体"/>
          <w:b w:val="0"/>
          <w:color w:val="auto"/>
          <w:kern w:val="2"/>
          <w:sz w:val="22"/>
          <w:szCs w:val="22"/>
        </w:rPr>
        <w:t>个路口的流量检测方式进行更新改造升级的技术服务，采用新型广域雷达微波交通流量数据</w:t>
      </w:r>
      <w:r>
        <w:rPr>
          <w:rFonts w:ascii="宋体" w:eastAsia="宋体"/>
          <w:b w:val="0"/>
          <w:color w:val="auto"/>
          <w:kern w:val="2"/>
          <w:sz w:val="22"/>
          <w:szCs w:val="22"/>
        </w:rPr>
        <w:t>采集方式</w:t>
      </w:r>
      <w:r>
        <w:rPr>
          <w:rFonts w:hint="eastAsia" w:ascii="宋体" w:eastAsia="宋体"/>
          <w:b w:val="0"/>
          <w:color w:val="auto"/>
          <w:kern w:val="2"/>
          <w:sz w:val="22"/>
          <w:szCs w:val="22"/>
        </w:rPr>
        <w:t>代替传统检测模式。</w:t>
      </w:r>
    </w:p>
    <w:p>
      <w:pPr>
        <w:spacing w:before="120" w:beforeLines="50" w:line="360" w:lineRule="auto"/>
        <w:ind w:firstLine="440" w:firstLineChars="200"/>
        <w:rPr>
          <w:rFonts w:ascii="宋体" w:eastAsia="宋体"/>
          <w:b w:val="0"/>
          <w:color w:val="auto"/>
          <w:kern w:val="2"/>
          <w:sz w:val="22"/>
          <w:szCs w:val="22"/>
        </w:rPr>
      </w:pPr>
      <w:r>
        <w:rPr>
          <w:rFonts w:hint="eastAsia" w:ascii="宋体" w:eastAsia="宋体"/>
          <w:b w:val="0"/>
          <w:color w:val="auto"/>
          <w:kern w:val="2"/>
          <w:sz w:val="22"/>
          <w:szCs w:val="22"/>
        </w:rPr>
        <w:t>广域雷达微波检测，采用</w:t>
      </w:r>
      <w:r>
        <w:rPr>
          <w:rFonts w:ascii="宋体" w:eastAsia="宋体"/>
          <w:b w:val="0"/>
          <w:color w:val="auto"/>
          <w:kern w:val="2"/>
          <w:sz w:val="22"/>
          <w:szCs w:val="22"/>
        </w:rPr>
        <w:t>主动扫描式雷达</w:t>
      </w:r>
      <w:r>
        <w:rPr>
          <w:rFonts w:hint="eastAsia" w:ascii="宋体" w:eastAsia="宋体"/>
          <w:b w:val="0"/>
          <w:color w:val="auto"/>
          <w:kern w:val="2"/>
          <w:sz w:val="22"/>
          <w:szCs w:val="22"/>
        </w:rPr>
        <w:t>技术，建立交通信息采集系统，能在路口进行多车道、高准确度检测，采集路口实时、全面、准确的交通信息，包括：实时位置、即时速度、车型分类、车道信息、车流量、平均速度、时间占有率、车头时距等基础交通统计数据。与其它各类车辆检测器相比</w:t>
      </w:r>
      <w:r>
        <w:rPr>
          <w:rFonts w:ascii="宋体" w:eastAsia="宋体"/>
          <w:b w:val="0"/>
          <w:color w:val="auto"/>
          <w:kern w:val="2"/>
          <w:sz w:val="22"/>
          <w:szCs w:val="22"/>
        </w:rPr>
        <w:t>，</w:t>
      </w:r>
      <w:r>
        <w:rPr>
          <w:rFonts w:hint="eastAsia" w:ascii="宋体" w:eastAsia="宋体"/>
          <w:b w:val="0"/>
          <w:color w:val="auto"/>
          <w:kern w:val="2"/>
          <w:sz w:val="22"/>
          <w:szCs w:val="22"/>
        </w:rPr>
        <w:t>广域雷达微波检测器，采用先进的</w:t>
      </w:r>
      <w:r>
        <w:rPr>
          <w:rFonts w:ascii="宋体" w:eastAsia="宋体"/>
          <w:b w:val="0"/>
          <w:color w:val="auto"/>
          <w:kern w:val="2"/>
          <w:sz w:val="22"/>
          <w:szCs w:val="22"/>
        </w:rPr>
        <w:t>主动扫描式雷达</w:t>
      </w:r>
      <w:r>
        <w:rPr>
          <w:rFonts w:hint="eastAsia" w:ascii="宋体" w:eastAsia="宋体"/>
          <w:b w:val="0"/>
          <w:color w:val="auto"/>
          <w:kern w:val="2"/>
          <w:sz w:val="22"/>
          <w:szCs w:val="22"/>
        </w:rPr>
        <w:t>技术</w:t>
      </w:r>
      <w:r>
        <w:rPr>
          <w:rFonts w:ascii="宋体" w:eastAsia="宋体"/>
          <w:b w:val="0"/>
          <w:color w:val="auto"/>
          <w:kern w:val="2"/>
          <w:sz w:val="22"/>
          <w:szCs w:val="22"/>
        </w:rPr>
        <w:t>，</w:t>
      </w:r>
      <w:r>
        <w:rPr>
          <w:rFonts w:hint="eastAsia" w:ascii="宋体" w:eastAsia="宋体"/>
          <w:b w:val="0"/>
          <w:color w:val="auto"/>
          <w:kern w:val="2"/>
          <w:sz w:val="22"/>
          <w:szCs w:val="22"/>
        </w:rPr>
        <w:t>可同时检测多达8个车道的</w:t>
      </w:r>
      <w:r>
        <w:rPr>
          <w:rFonts w:ascii="宋体" w:eastAsia="宋体"/>
          <w:b w:val="0"/>
          <w:color w:val="auto"/>
          <w:kern w:val="2"/>
          <w:sz w:val="22"/>
          <w:szCs w:val="22"/>
        </w:rPr>
        <w:t>检测范围，</w:t>
      </w:r>
      <w:r>
        <w:rPr>
          <w:rFonts w:hint="eastAsia" w:ascii="宋体" w:eastAsia="宋体"/>
          <w:b w:val="0"/>
          <w:color w:val="auto"/>
          <w:kern w:val="2"/>
          <w:sz w:val="22"/>
          <w:szCs w:val="22"/>
        </w:rPr>
        <w:t>详实的输出即时数据、统计数据，实现非破坏路面、非接触式、</w:t>
      </w:r>
      <w:r>
        <w:rPr>
          <w:rFonts w:ascii="宋体" w:eastAsia="宋体"/>
          <w:b w:val="0"/>
          <w:color w:val="auto"/>
          <w:kern w:val="2"/>
          <w:sz w:val="22"/>
          <w:szCs w:val="22"/>
        </w:rPr>
        <w:t>不受外界光线干扰</w:t>
      </w:r>
      <w:r>
        <w:rPr>
          <w:rFonts w:hint="eastAsia" w:ascii="宋体" w:eastAsia="宋体"/>
          <w:b w:val="0"/>
          <w:color w:val="auto"/>
          <w:kern w:val="2"/>
          <w:sz w:val="22"/>
          <w:szCs w:val="22"/>
        </w:rPr>
        <w:t>的城市道路交叉口交通信息采集，可安装于路口既有杆件上，如信号灯杆、电警杆等，安装灵活、调试简单，不受环境影响，全天候稳定工作，是传统的线圈和地磁检测器的升级检测方式。</w:t>
      </w:r>
    </w:p>
    <w:p>
      <w:pPr>
        <w:numPr>
          <w:ilvl w:val="0"/>
          <w:numId w:val="46"/>
        </w:numPr>
        <w:ind w:left="0" w:firstLine="424" w:firstLineChars="193"/>
        <w:rPr>
          <w:rFonts w:ascii="新宋体" w:hAnsi="新宋体" w:eastAsia="宋体" w:cs="新宋体"/>
          <w:b w:val="0"/>
          <w:bCs/>
          <w:color w:val="auto"/>
          <w:kern w:val="2"/>
          <w:sz w:val="22"/>
          <w:szCs w:val="22"/>
        </w:rPr>
      </w:pPr>
      <w:r>
        <w:rPr>
          <w:rFonts w:hint="eastAsia" w:ascii="新宋体" w:hAnsi="新宋体" w:eastAsia="宋体" w:cs="新宋体"/>
          <w:b w:val="0"/>
          <w:bCs/>
          <w:color w:val="auto"/>
          <w:kern w:val="2"/>
          <w:sz w:val="22"/>
          <w:szCs w:val="22"/>
        </w:rPr>
        <w:t>系统原理</w:t>
      </w:r>
    </w:p>
    <w:p>
      <w:pPr>
        <w:spacing w:line="460" w:lineRule="exact"/>
        <w:ind w:firstLine="440" w:firstLineChars="200"/>
        <w:rPr>
          <w:rFonts w:ascii="宋体" w:eastAsia="宋体" w:cs="新宋体"/>
          <w:b w:val="0"/>
          <w:bCs/>
          <w:color w:val="auto"/>
          <w:kern w:val="2"/>
          <w:sz w:val="22"/>
          <w:szCs w:val="22"/>
        </w:rPr>
      </w:pPr>
      <w:r>
        <w:rPr>
          <w:rFonts w:hint="eastAsia" w:ascii="宋体" w:eastAsia="宋体" w:cs="新宋体"/>
          <w:b w:val="0"/>
          <w:bCs/>
          <w:color w:val="auto"/>
          <w:kern w:val="2"/>
          <w:sz w:val="22"/>
          <w:szCs w:val="22"/>
        </w:rPr>
        <w:t>采用多通道的雷达天线技术，采用一发多收雷达天线，使雷达天线发射的波形可以覆盖更大的区域，雷达天线将雷达波以极高的发射频率投射在路面上，同时，发射频率会在一定范围内不断变化，不同频率的雷达波遇到物体反射回来，通过多组接收天线对连续回波信号经过接收和分析，雷达天线就能得出准确的目标信息后开始对这些目标进行跟踪和测量，直至目标离开检测区域。</w:t>
      </w:r>
    </w:p>
    <w:p>
      <w:pPr>
        <w:numPr>
          <w:ilvl w:val="0"/>
          <w:numId w:val="46"/>
        </w:numPr>
        <w:ind w:left="0" w:firstLine="424" w:firstLineChars="193"/>
        <w:rPr>
          <w:rFonts w:ascii="新宋体" w:hAnsi="新宋体" w:eastAsia="宋体" w:cs="新宋体"/>
          <w:b w:val="0"/>
          <w:bCs/>
          <w:color w:val="auto"/>
          <w:kern w:val="2"/>
          <w:sz w:val="22"/>
          <w:szCs w:val="22"/>
        </w:rPr>
      </w:pPr>
      <w:r>
        <w:rPr>
          <w:rFonts w:hint="eastAsia" w:ascii="新宋体" w:hAnsi="新宋体" w:eastAsia="宋体" w:cs="新宋体"/>
          <w:b w:val="0"/>
          <w:bCs/>
          <w:color w:val="auto"/>
          <w:kern w:val="2"/>
          <w:sz w:val="22"/>
          <w:szCs w:val="22"/>
        </w:rPr>
        <w:t>系统功能</w:t>
      </w:r>
    </w:p>
    <w:p>
      <w:pPr>
        <w:spacing w:line="460" w:lineRule="exact"/>
        <w:ind w:firstLine="440" w:firstLineChars="200"/>
        <w:rPr>
          <w:rFonts w:ascii="宋体" w:eastAsia="宋体" w:cs="新宋体"/>
          <w:b w:val="0"/>
          <w:bCs/>
          <w:color w:val="auto"/>
          <w:kern w:val="2"/>
          <w:sz w:val="22"/>
          <w:szCs w:val="22"/>
        </w:rPr>
      </w:pPr>
      <w:r>
        <w:rPr>
          <w:rFonts w:hint="eastAsia" w:ascii="宋体" w:eastAsia="宋体" w:cs="新宋体"/>
          <w:b w:val="0"/>
          <w:bCs/>
          <w:color w:val="auto"/>
          <w:kern w:val="2"/>
          <w:sz w:val="22"/>
          <w:szCs w:val="22"/>
        </w:rPr>
        <w:t>广域雷达微波检测，采用主动扫描式雷达技术，建立交通信息采集系统，能在路口进行多车道、高准确度检测，采集路口实时、全面、准确的交通信息，包括：实时位置、即时速度、车型分类、车道信息、车流量、平均速度、时间占有率、车头时距等基础交通统计数据。</w:t>
      </w:r>
    </w:p>
    <w:p>
      <w:pPr>
        <w:spacing w:line="460" w:lineRule="exact"/>
        <w:ind w:firstLine="440" w:firstLineChars="200"/>
        <w:rPr>
          <w:rFonts w:ascii="宋体" w:eastAsia="宋体" w:cs="新宋体"/>
          <w:b w:val="0"/>
          <w:bCs/>
          <w:color w:val="auto"/>
          <w:kern w:val="2"/>
          <w:sz w:val="22"/>
          <w:szCs w:val="22"/>
        </w:rPr>
      </w:pPr>
      <w:r>
        <w:rPr>
          <w:rFonts w:hint="eastAsia" w:ascii="宋体" w:eastAsia="宋体" w:cs="新宋体"/>
          <w:b w:val="0"/>
          <w:bCs/>
          <w:color w:val="auto"/>
          <w:kern w:val="2"/>
          <w:sz w:val="22"/>
          <w:szCs w:val="22"/>
        </w:rPr>
        <w:t>与其它各类车辆检测器相比，广域雷达微波检测器，采用先进的主动扫描式雷达技术，可同时检测多达8个车道的检测范围，详实的输出即时数据、统计数据，实现非破坏路面、非接触式、不受外界光线干扰的城市道路交叉口交通信息采集，可安装于路口既有杆件上，如信号灯杆、电警杆等，安装灵活、调试简单，不受环境影响，全天候稳定工作，是传统的线圈和地磁检测器的升级检测方式。</w:t>
      </w:r>
    </w:p>
    <w:p>
      <w:pPr>
        <w:spacing w:line="460" w:lineRule="exact"/>
        <w:ind w:firstLine="440" w:firstLineChars="200"/>
        <w:rPr>
          <w:rFonts w:ascii="Calibri" w:hAnsi="Calibri" w:eastAsia="宋体"/>
          <w:b w:val="0"/>
          <w:color w:val="auto"/>
          <w:kern w:val="2"/>
          <w:sz w:val="24"/>
          <w:szCs w:val="22"/>
        </w:rPr>
      </w:pPr>
      <w:r>
        <w:rPr>
          <w:rFonts w:hint="eastAsia" w:ascii="宋体" w:eastAsia="宋体" w:cs="新宋体"/>
          <w:b w:val="0"/>
          <w:bCs/>
          <w:color w:val="auto"/>
          <w:kern w:val="2"/>
          <w:sz w:val="22"/>
          <w:szCs w:val="22"/>
        </w:rPr>
        <w:t>本系统通过采集的车辆信息，经交通流量接入模块接入，通过交通流分析模块分析生成交通拥堵情况数据，在人工审核通过的情况下，为交通的参与者发布路段路况、路口路况（拥堵、畅通、缓慢）。同时系统通过违法数据分析模块，生成相应违法信息，经人工审核，发送违法信息，提醒交通参与者文明行车，为交通的管理者提供指挥调度、行为决策提供可视化的数据支持。</w:t>
      </w:r>
    </w:p>
    <w:p>
      <w:pPr>
        <w:keepNext/>
        <w:keepLines/>
        <w:numPr>
          <w:ilvl w:val="2"/>
          <w:numId w:val="0"/>
        </w:numPr>
        <w:spacing w:before="120" w:beforeLines="50" w:after="120" w:afterLines="50"/>
        <w:jc w:val="left"/>
        <w:outlineLvl w:val="2"/>
        <w:rPr>
          <w:rFonts w:ascii="Calibri" w:hAnsi="Calibri" w:eastAsia="宋体"/>
          <w:bCs/>
          <w:color w:val="auto"/>
          <w:kern w:val="2"/>
          <w:sz w:val="30"/>
          <w:szCs w:val="32"/>
        </w:rPr>
      </w:pPr>
      <w:bookmarkStart w:id="28" w:name="_Toc43914424"/>
      <w:r>
        <w:rPr>
          <w:rFonts w:hint="eastAsia" w:ascii="Calibri" w:hAnsi="Calibri" w:eastAsia="宋体"/>
          <w:b/>
          <w:bCs w:val="0"/>
          <w:color w:val="auto"/>
          <w:kern w:val="2"/>
          <w:sz w:val="24"/>
          <w:szCs w:val="24"/>
        </w:rPr>
        <w:t>4.1.2信号机以太网板块升级</w:t>
      </w:r>
      <w:bookmarkEnd w:id="28"/>
    </w:p>
    <w:p>
      <w:pPr>
        <w:spacing w:before="120" w:beforeLines="50" w:line="360" w:lineRule="auto"/>
        <w:ind w:firstLine="440" w:firstLineChars="200"/>
        <w:jc w:val="left"/>
        <w:rPr>
          <w:rFonts w:ascii="宋体" w:eastAsia="宋体"/>
          <w:b w:val="0"/>
          <w:color w:val="auto"/>
          <w:kern w:val="2"/>
          <w:sz w:val="22"/>
          <w:szCs w:val="22"/>
        </w:rPr>
      </w:pPr>
      <w:r>
        <w:rPr>
          <w:rFonts w:hint="eastAsia" w:ascii="宋体" w:eastAsia="宋体"/>
          <w:b w:val="0"/>
          <w:color w:val="auto"/>
          <w:kern w:val="2"/>
          <w:sz w:val="22"/>
          <w:szCs w:val="22"/>
        </w:rPr>
        <w:t>随着IP网络的普及，传统的串口通讯越来越多被IP通讯网络代替，SCATS系统也一样随通讯技术的发展，IP网络通讯也不断地普及，目前，国内的SCATS系统中应用网络通讯的城市包括天津（600个路口全部采用IP网络通讯）、上海（在IP改造中）、广州、宜昌、沈阳、慈溪等。温州的SCATS系统目前也在逐步由RS232串口通讯改成IP网络通讯。</w:t>
      </w:r>
    </w:p>
    <w:p>
      <w:pPr>
        <w:spacing w:before="120" w:beforeLines="50" w:line="360" w:lineRule="auto"/>
        <w:ind w:firstLine="440" w:firstLineChars="200"/>
        <w:rPr>
          <w:rFonts w:ascii="宋体" w:eastAsia="宋体"/>
          <w:b w:val="0"/>
          <w:color w:val="auto"/>
          <w:kern w:val="2"/>
          <w:sz w:val="22"/>
          <w:szCs w:val="22"/>
        </w:rPr>
      </w:pPr>
      <w:r>
        <w:rPr>
          <w:rFonts w:hint="eastAsia" w:ascii="宋体" w:eastAsia="宋体"/>
          <w:b w:val="0"/>
          <w:color w:val="auto"/>
          <w:kern w:val="2"/>
          <w:sz w:val="22"/>
          <w:szCs w:val="22"/>
        </w:rPr>
        <w:t>相对传统的RS232串口通讯，IP网络通讯具有以下主要优点：</w:t>
      </w:r>
    </w:p>
    <w:p>
      <w:pPr>
        <w:numPr>
          <w:ilvl w:val="0"/>
          <w:numId w:val="47"/>
        </w:numPr>
        <w:spacing w:line="360" w:lineRule="auto"/>
        <w:ind w:left="0" w:firstLine="440" w:firstLineChars="200"/>
        <w:rPr>
          <w:rFonts w:ascii="宋体" w:eastAsia="宋体"/>
          <w:b w:val="0"/>
          <w:color w:val="auto"/>
          <w:kern w:val="2"/>
          <w:sz w:val="22"/>
          <w:szCs w:val="22"/>
        </w:rPr>
      </w:pPr>
      <w:r>
        <w:rPr>
          <w:rFonts w:hint="eastAsia" w:ascii="宋体" w:eastAsia="宋体"/>
          <w:b w:val="0"/>
          <w:color w:val="auto"/>
          <w:kern w:val="2"/>
          <w:sz w:val="22"/>
          <w:szCs w:val="22"/>
        </w:rPr>
        <w:t>使系统结构更简单，所有SCATS节点的设备（中央控制计算机、区域控制计算机、工作站、路口信号控制机）均可以在网络任意点接入，大大节约了点对点的光线资源，更容易与其他系统设备共享网络；</w:t>
      </w:r>
    </w:p>
    <w:p>
      <w:pPr>
        <w:numPr>
          <w:ilvl w:val="0"/>
          <w:numId w:val="47"/>
        </w:numPr>
        <w:spacing w:line="360" w:lineRule="auto"/>
        <w:ind w:left="0" w:firstLine="440" w:firstLineChars="200"/>
        <w:rPr>
          <w:rFonts w:ascii="宋体" w:eastAsia="宋体"/>
          <w:b w:val="0"/>
          <w:color w:val="auto"/>
          <w:kern w:val="2"/>
          <w:sz w:val="22"/>
          <w:szCs w:val="22"/>
        </w:rPr>
      </w:pPr>
      <w:r>
        <w:rPr>
          <w:rFonts w:hint="eastAsia" w:ascii="宋体" w:eastAsia="宋体"/>
          <w:b w:val="0"/>
          <w:color w:val="auto"/>
          <w:kern w:val="2"/>
          <w:sz w:val="22"/>
          <w:szCs w:val="22"/>
        </w:rPr>
        <w:t>节省了SCATS控制中心的串口通讯扩张设备，提高系统可靠性；</w:t>
      </w:r>
    </w:p>
    <w:p>
      <w:pPr>
        <w:numPr>
          <w:ilvl w:val="0"/>
          <w:numId w:val="47"/>
        </w:numPr>
        <w:spacing w:line="360" w:lineRule="auto"/>
        <w:ind w:left="0" w:firstLine="440" w:firstLineChars="200"/>
        <w:rPr>
          <w:rFonts w:ascii="宋体" w:eastAsia="宋体"/>
          <w:b w:val="0"/>
          <w:color w:val="auto"/>
          <w:kern w:val="2"/>
          <w:sz w:val="22"/>
          <w:szCs w:val="22"/>
        </w:rPr>
      </w:pPr>
      <w:r>
        <w:rPr>
          <w:rFonts w:hint="eastAsia" w:ascii="宋体" w:eastAsia="宋体"/>
          <w:b w:val="0"/>
          <w:color w:val="auto"/>
          <w:kern w:val="2"/>
          <w:sz w:val="22"/>
          <w:szCs w:val="22"/>
        </w:rPr>
        <w:t>实现SCATS的备份控制计算机的快速切换，由于中心控制计算机无需通过硬件来扩展RS232串口通讯扩张设备，一旦SCATS系统出现故障，可以快速地切换到备份控制计算机控制；</w:t>
      </w:r>
    </w:p>
    <w:p>
      <w:pPr>
        <w:numPr>
          <w:ilvl w:val="0"/>
          <w:numId w:val="47"/>
        </w:numPr>
        <w:spacing w:line="360" w:lineRule="auto"/>
        <w:ind w:left="0" w:firstLine="440" w:firstLineChars="200"/>
        <w:rPr>
          <w:rFonts w:ascii="宋体" w:eastAsia="宋体"/>
          <w:b w:val="0"/>
          <w:color w:val="auto"/>
          <w:kern w:val="2"/>
          <w:sz w:val="22"/>
          <w:szCs w:val="22"/>
        </w:rPr>
      </w:pPr>
      <w:r>
        <w:rPr>
          <w:rFonts w:hint="eastAsia" w:ascii="宋体" w:eastAsia="宋体"/>
          <w:b w:val="0"/>
          <w:color w:val="auto"/>
          <w:kern w:val="2"/>
          <w:sz w:val="22"/>
          <w:szCs w:val="22"/>
        </w:rPr>
        <w:t>室外控制机的网络端口相对RS232串口具有更好的防浪涌能力，这在许多城市应用中得到验证。</w:t>
      </w:r>
    </w:p>
    <w:p>
      <w:pPr>
        <w:spacing w:line="360" w:lineRule="auto"/>
        <w:ind w:firstLine="440" w:firstLineChars="200"/>
        <w:rPr>
          <w:rFonts w:ascii="Calibri" w:hAnsi="Calibri" w:eastAsia="宋体"/>
          <w:b w:val="0"/>
          <w:color w:val="auto"/>
          <w:kern w:val="2"/>
          <w:sz w:val="22"/>
          <w:szCs w:val="22"/>
        </w:rPr>
      </w:pPr>
      <w:r>
        <w:rPr>
          <w:rFonts w:hint="eastAsia" w:ascii="宋体" w:eastAsia="宋体"/>
          <w:b w:val="0"/>
          <w:color w:val="auto"/>
          <w:kern w:val="2"/>
          <w:sz w:val="22"/>
          <w:szCs w:val="22"/>
        </w:rPr>
        <w:t>因此</w:t>
      </w:r>
      <w:r>
        <w:rPr>
          <w:rFonts w:ascii="宋体" w:eastAsia="宋体"/>
          <w:b w:val="0"/>
          <w:color w:val="auto"/>
          <w:kern w:val="2"/>
          <w:sz w:val="22"/>
          <w:szCs w:val="22"/>
        </w:rPr>
        <w:t>根据</w:t>
      </w:r>
      <w:r>
        <w:rPr>
          <w:rFonts w:hint="eastAsia" w:ascii="宋体" w:eastAsia="宋体"/>
          <w:b w:val="0"/>
          <w:color w:val="auto"/>
          <w:kern w:val="2"/>
          <w:sz w:val="22"/>
          <w:szCs w:val="22"/>
        </w:rPr>
        <w:t>市交管局SCATS专网改造升级要求，对</w:t>
      </w:r>
      <w:r>
        <w:rPr>
          <w:rFonts w:ascii="宋体" w:eastAsia="宋体"/>
          <w:b w:val="0"/>
          <w:color w:val="auto"/>
          <w:kern w:val="2"/>
          <w:sz w:val="22"/>
          <w:szCs w:val="22"/>
        </w:rPr>
        <w:t>本次继续运维的前端信号机进行</w:t>
      </w:r>
      <w:r>
        <w:rPr>
          <w:rFonts w:hint="eastAsia" w:ascii="宋体" w:eastAsia="宋体"/>
          <w:b w:val="0"/>
          <w:color w:val="auto"/>
          <w:kern w:val="2"/>
          <w:sz w:val="22"/>
          <w:szCs w:val="22"/>
        </w:rPr>
        <w:t>更新网络通讯板，原RS232光端机改造成带RJ45接口的网络设备，来实现IP网络传输。</w:t>
      </w:r>
    </w:p>
    <w:p>
      <w:pPr>
        <w:keepNext/>
        <w:keepLines/>
        <w:numPr>
          <w:ilvl w:val="2"/>
          <w:numId w:val="0"/>
        </w:numPr>
        <w:spacing w:before="120" w:beforeLines="50" w:after="120" w:afterLines="50"/>
        <w:jc w:val="left"/>
        <w:outlineLvl w:val="2"/>
        <w:rPr>
          <w:rFonts w:ascii="Calibri" w:hAnsi="Calibri" w:eastAsia="宋体"/>
          <w:bCs/>
          <w:color w:val="auto"/>
          <w:kern w:val="2"/>
          <w:sz w:val="30"/>
          <w:szCs w:val="32"/>
        </w:rPr>
      </w:pPr>
      <w:bookmarkStart w:id="29" w:name="_Toc43914425"/>
      <w:r>
        <w:rPr>
          <w:rFonts w:hint="eastAsia" w:ascii="Calibri" w:hAnsi="Calibri" w:eastAsia="宋体"/>
          <w:b/>
          <w:bCs w:val="0"/>
          <w:color w:val="auto"/>
          <w:kern w:val="2"/>
          <w:sz w:val="24"/>
          <w:szCs w:val="24"/>
        </w:rPr>
        <w:t>4.1.3中心</w:t>
      </w:r>
      <w:r>
        <w:rPr>
          <w:rFonts w:ascii="Calibri" w:hAnsi="Calibri" w:eastAsia="宋体"/>
          <w:b/>
          <w:bCs w:val="0"/>
          <w:color w:val="auto"/>
          <w:kern w:val="2"/>
          <w:sz w:val="24"/>
          <w:szCs w:val="24"/>
        </w:rPr>
        <w:t>机房</w:t>
      </w:r>
      <w:r>
        <w:rPr>
          <w:rFonts w:hint="eastAsia" w:ascii="Calibri" w:hAnsi="Calibri" w:eastAsia="宋体"/>
          <w:b/>
          <w:bCs w:val="0"/>
          <w:color w:val="auto"/>
          <w:kern w:val="2"/>
          <w:sz w:val="24"/>
          <w:szCs w:val="24"/>
        </w:rPr>
        <w:t>设备扩建</w:t>
      </w:r>
      <w:bookmarkEnd w:id="29"/>
    </w:p>
    <w:p>
      <w:pPr>
        <w:adjustRightInd w:val="0"/>
        <w:snapToGrid w:val="0"/>
        <w:spacing w:line="360" w:lineRule="auto"/>
        <w:ind w:firstLine="440" w:firstLineChars="200"/>
        <w:rPr>
          <w:rFonts w:ascii="宋体" w:eastAsia="宋体" w:cs="宋体"/>
          <w:b w:val="0"/>
          <w:bCs/>
          <w:sz w:val="22"/>
          <w:szCs w:val="22"/>
        </w:rPr>
      </w:pPr>
      <w:r>
        <w:rPr>
          <w:rFonts w:hint="eastAsia" w:ascii="宋体" w:eastAsia="宋体" w:cs="宋体"/>
          <w:b w:val="0"/>
          <w:bCs/>
          <w:sz w:val="22"/>
          <w:szCs w:val="22"/>
        </w:rPr>
        <w:t>指挥中心核心二期、SCATS系统三期等SCATS项目现均独立接入一台区域控制主机，逐步将取消原来采用传统的RS232串口DIGI扩展设备，直接连接到机房交换机网口上，各自增加一台SCATS服务器做为区域主控主机，其中核心二期和社会外建移交的路口信号进行合并管理，原系统服务器因性能老化，可利旧作为备机使用，原有系统软件利旧使用。</w:t>
      </w:r>
    </w:p>
    <w:p>
      <w:pPr>
        <w:adjustRightInd w:val="0"/>
        <w:snapToGrid w:val="0"/>
        <w:spacing w:line="360" w:lineRule="auto"/>
        <w:ind w:firstLine="440" w:firstLineChars="200"/>
        <w:rPr>
          <w:rFonts w:ascii="Calibri" w:hAnsi="Calibri" w:eastAsia="宋体"/>
          <w:b w:val="0"/>
          <w:color w:val="auto"/>
          <w:kern w:val="2"/>
          <w:sz w:val="24"/>
          <w:szCs w:val="22"/>
        </w:rPr>
      </w:pPr>
      <w:r>
        <w:rPr>
          <w:rFonts w:hint="eastAsia" w:ascii="宋体" w:eastAsia="宋体" w:cs="宋体"/>
          <w:b w:val="0"/>
          <w:bCs/>
          <w:sz w:val="22"/>
          <w:szCs w:val="22"/>
        </w:rPr>
        <w:t>而广域雷达系统则根据500套配置一组2台服务器的标准，一套存储采集的数据，一套做系统应用和与其他相关系统的对接。</w:t>
      </w:r>
    </w:p>
    <w:p>
      <w:pPr>
        <w:keepNext/>
        <w:keepLines/>
        <w:numPr>
          <w:ilvl w:val="2"/>
          <w:numId w:val="0"/>
        </w:numPr>
        <w:spacing w:before="120" w:beforeLines="50" w:after="120" w:afterLines="50"/>
        <w:jc w:val="left"/>
        <w:outlineLvl w:val="2"/>
        <w:rPr>
          <w:rFonts w:ascii="Cambria" w:hAnsi="Cambria" w:eastAsia="宋体"/>
          <w:b/>
          <w:bCs w:val="0"/>
          <w:color w:val="auto"/>
          <w:kern w:val="2"/>
          <w:sz w:val="32"/>
          <w:szCs w:val="32"/>
        </w:rPr>
      </w:pPr>
      <w:bookmarkStart w:id="30" w:name="_Toc43914426"/>
      <w:r>
        <w:rPr>
          <w:rFonts w:hint="eastAsia" w:ascii="Calibri" w:hAnsi="Calibri" w:eastAsia="宋体"/>
          <w:b/>
          <w:bCs w:val="0"/>
          <w:color w:val="auto"/>
          <w:kern w:val="2"/>
          <w:sz w:val="24"/>
          <w:szCs w:val="24"/>
        </w:rPr>
        <w:t>4.1.4信号机专网改造</w:t>
      </w:r>
      <w:bookmarkEnd w:id="30"/>
    </w:p>
    <w:p>
      <w:pPr>
        <w:adjustRightInd w:val="0"/>
        <w:snapToGrid w:val="0"/>
        <w:spacing w:line="360" w:lineRule="auto"/>
        <w:ind w:firstLine="440" w:firstLineChars="200"/>
        <w:rPr>
          <w:rFonts w:ascii="宋体" w:eastAsia="宋体" w:cs="宋体"/>
          <w:b w:val="0"/>
          <w:bCs/>
          <w:sz w:val="22"/>
          <w:szCs w:val="22"/>
        </w:rPr>
      </w:pPr>
      <w:r>
        <w:rPr>
          <w:rFonts w:hint="eastAsia" w:ascii="宋体" w:eastAsia="宋体" w:cs="宋体"/>
          <w:b w:val="0"/>
          <w:bCs/>
          <w:sz w:val="22"/>
          <w:szCs w:val="22"/>
        </w:rPr>
        <w:t>本次核心二期和SCATS系统三期项目续建运维管理改建</w:t>
      </w:r>
      <w:r>
        <w:rPr>
          <w:rFonts w:ascii="宋体" w:eastAsia="宋体" w:cs="宋体"/>
          <w:b w:val="0"/>
          <w:bCs/>
          <w:sz w:val="22"/>
          <w:szCs w:val="22"/>
        </w:rPr>
        <w:t>提升</w:t>
      </w:r>
      <w:r>
        <w:rPr>
          <w:rFonts w:hint="eastAsia" w:ascii="宋体" w:eastAsia="宋体" w:cs="宋体"/>
          <w:b w:val="0"/>
          <w:bCs/>
          <w:sz w:val="22"/>
          <w:szCs w:val="22"/>
        </w:rPr>
        <w:t>服务</w:t>
      </w:r>
      <w:r>
        <w:rPr>
          <w:rFonts w:ascii="宋体" w:eastAsia="宋体" w:cs="宋体"/>
          <w:b w:val="0"/>
          <w:bCs/>
          <w:sz w:val="22"/>
          <w:szCs w:val="22"/>
        </w:rPr>
        <w:t>项目</w:t>
      </w:r>
      <w:r>
        <w:rPr>
          <w:rFonts w:hint="eastAsia" w:ascii="宋体" w:eastAsia="宋体" w:cs="宋体"/>
          <w:b w:val="0"/>
          <w:bCs/>
          <w:sz w:val="22"/>
          <w:szCs w:val="22"/>
        </w:rPr>
        <w:t>中的SCATS</w:t>
      </w:r>
      <w:r>
        <w:rPr>
          <w:rFonts w:ascii="宋体" w:eastAsia="宋体" w:cs="宋体"/>
          <w:b w:val="0"/>
          <w:bCs/>
          <w:sz w:val="22"/>
          <w:szCs w:val="22"/>
        </w:rPr>
        <w:t>系统</w:t>
      </w:r>
      <w:r>
        <w:rPr>
          <w:rFonts w:hint="eastAsia" w:ascii="宋体" w:eastAsia="宋体" w:cs="宋体"/>
          <w:b w:val="0"/>
          <w:bCs/>
          <w:sz w:val="22"/>
          <w:szCs w:val="22"/>
        </w:rPr>
        <w:t>前端</w:t>
      </w:r>
      <w:r>
        <w:rPr>
          <w:rFonts w:ascii="宋体" w:eastAsia="宋体" w:cs="宋体"/>
          <w:b w:val="0"/>
          <w:bCs/>
          <w:sz w:val="22"/>
          <w:szCs w:val="22"/>
        </w:rPr>
        <w:t>网络</w:t>
      </w:r>
      <w:r>
        <w:rPr>
          <w:rFonts w:hint="eastAsia" w:ascii="宋体" w:eastAsia="宋体" w:cs="宋体"/>
          <w:b w:val="0"/>
          <w:bCs/>
          <w:sz w:val="22"/>
          <w:szCs w:val="22"/>
        </w:rPr>
        <w:t>均采用裸光纤组网的方式，直接从路口到交管局机房，无网管功能，故障发生无法第一时间判断。</w:t>
      </w:r>
    </w:p>
    <w:p>
      <w:pPr>
        <w:adjustRightInd w:val="0"/>
        <w:snapToGrid w:val="0"/>
        <w:spacing w:line="360" w:lineRule="auto"/>
        <w:ind w:firstLine="440" w:firstLineChars="200"/>
        <w:rPr>
          <w:rFonts w:ascii="宋体" w:eastAsia="宋体"/>
          <w:b w:val="0"/>
          <w:color w:val="auto"/>
          <w:kern w:val="2"/>
          <w:sz w:val="24"/>
          <w:szCs w:val="24"/>
        </w:rPr>
      </w:pPr>
      <w:r>
        <w:rPr>
          <w:rFonts w:hint="eastAsia" w:ascii="宋体" w:eastAsia="宋体" w:cs="宋体"/>
          <w:b w:val="0"/>
          <w:bCs/>
          <w:sz w:val="22"/>
          <w:szCs w:val="22"/>
        </w:rPr>
        <w:t>为</w:t>
      </w:r>
      <w:r>
        <w:rPr>
          <w:rFonts w:ascii="宋体" w:eastAsia="宋体" w:cs="宋体"/>
          <w:b w:val="0"/>
          <w:bCs/>
          <w:sz w:val="22"/>
          <w:szCs w:val="22"/>
        </w:rPr>
        <w:t>保障信号</w:t>
      </w:r>
      <w:r>
        <w:rPr>
          <w:rFonts w:hint="eastAsia" w:ascii="宋体" w:eastAsia="宋体" w:cs="宋体"/>
          <w:b w:val="0"/>
          <w:bCs/>
          <w:sz w:val="22"/>
          <w:szCs w:val="22"/>
        </w:rPr>
        <w:t>专网</w:t>
      </w:r>
      <w:r>
        <w:rPr>
          <w:rFonts w:ascii="宋体" w:eastAsia="宋体" w:cs="宋体"/>
          <w:b w:val="0"/>
          <w:bCs/>
          <w:sz w:val="22"/>
          <w:szCs w:val="22"/>
        </w:rPr>
        <w:t>内的信号系统的独立运作及低延迟性的要求</w:t>
      </w:r>
      <w:r>
        <w:rPr>
          <w:rFonts w:hint="eastAsia" w:ascii="宋体" w:eastAsia="宋体" w:cs="宋体"/>
          <w:b w:val="0"/>
          <w:bCs/>
          <w:sz w:val="22"/>
          <w:szCs w:val="22"/>
        </w:rPr>
        <w:t>，</w:t>
      </w:r>
      <w:r>
        <w:rPr>
          <w:rFonts w:ascii="宋体" w:eastAsia="宋体" w:cs="宋体"/>
          <w:b w:val="0"/>
          <w:bCs/>
          <w:sz w:val="22"/>
          <w:szCs w:val="22"/>
        </w:rPr>
        <w:t>将</w:t>
      </w:r>
      <w:r>
        <w:rPr>
          <w:rFonts w:hint="eastAsia" w:ascii="宋体" w:eastAsia="宋体" w:cs="宋体"/>
          <w:b w:val="0"/>
          <w:bCs/>
          <w:sz w:val="22"/>
          <w:szCs w:val="22"/>
        </w:rPr>
        <w:t>优先</w:t>
      </w:r>
      <w:r>
        <w:rPr>
          <w:rFonts w:ascii="宋体" w:eastAsia="宋体" w:cs="宋体"/>
          <w:b w:val="0"/>
          <w:bCs/>
          <w:sz w:val="22"/>
          <w:szCs w:val="22"/>
        </w:rPr>
        <w:t>采用</w:t>
      </w:r>
      <w:r>
        <w:rPr>
          <w:rFonts w:hint="eastAsia" w:ascii="宋体" w:eastAsia="宋体" w:cs="宋体"/>
          <w:b w:val="0"/>
          <w:bCs/>
          <w:sz w:val="22"/>
          <w:szCs w:val="22"/>
        </w:rPr>
        <w:t>有</w:t>
      </w:r>
      <w:r>
        <w:rPr>
          <w:rFonts w:ascii="宋体" w:eastAsia="宋体" w:cs="宋体"/>
          <w:b w:val="0"/>
          <w:bCs/>
          <w:sz w:val="22"/>
          <w:szCs w:val="22"/>
        </w:rPr>
        <w:t>业务保护且</w:t>
      </w:r>
      <w:r>
        <w:rPr>
          <w:rFonts w:hint="eastAsia" w:ascii="宋体" w:eastAsia="宋体" w:cs="宋体"/>
          <w:b w:val="0"/>
          <w:bCs/>
          <w:sz w:val="22"/>
          <w:szCs w:val="22"/>
        </w:rPr>
        <w:t>支持掉电断纤告警区分能力，</w:t>
      </w:r>
      <w:r>
        <w:rPr>
          <w:rFonts w:ascii="宋体" w:eastAsia="宋体" w:cs="宋体"/>
          <w:b w:val="0"/>
          <w:bCs/>
          <w:sz w:val="22"/>
          <w:szCs w:val="22"/>
        </w:rPr>
        <w:t>能实现故障快速定位的</w:t>
      </w:r>
      <w:r>
        <w:rPr>
          <w:rFonts w:hint="eastAsia" w:ascii="宋体" w:eastAsia="宋体" w:cs="宋体"/>
          <w:b w:val="0"/>
          <w:bCs/>
          <w:sz w:val="22"/>
          <w:szCs w:val="22"/>
        </w:rPr>
        <w:t>IPRAN、PTN等专用</w:t>
      </w:r>
      <w:r>
        <w:rPr>
          <w:rFonts w:ascii="宋体" w:eastAsia="宋体" w:cs="宋体"/>
          <w:b w:val="0"/>
          <w:bCs/>
          <w:sz w:val="22"/>
          <w:szCs w:val="22"/>
        </w:rPr>
        <w:t>网络</w:t>
      </w:r>
      <w:r>
        <w:rPr>
          <w:rFonts w:hint="eastAsia" w:ascii="宋体" w:eastAsia="宋体" w:cs="宋体"/>
          <w:b w:val="0"/>
          <w:bCs/>
          <w:sz w:val="22"/>
          <w:szCs w:val="22"/>
        </w:rPr>
        <w:t>的</w:t>
      </w:r>
      <w:r>
        <w:rPr>
          <w:rFonts w:ascii="宋体" w:eastAsia="宋体" w:cs="宋体"/>
          <w:b w:val="0"/>
          <w:bCs/>
          <w:sz w:val="22"/>
          <w:szCs w:val="22"/>
        </w:rPr>
        <w:t>组网方式，</w:t>
      </w:r>
      <w:r>
        <w:rPr>
          <w:rFonts w:hint="eastAsia" w:ascii="宋体" w:eastAsia="宋体" w:cs="宋体"/>
          <w:b w:val="0"/>
          <w:bCs/>
          <w:sz w:val="22"/>
          <w:szCs w:val="22"/>
        </w:rPr>
        <w:t>整套</w:t>
      </w:r>
      <w:r>
        <w:rPr>
          <w:rFonts w:ascii="宋体" w:eastAsia="宋体" w:cs="宋体"/>
          <w:b w:val="0"/>
          <w:bCs/>
          <w:sz w:val="22"/>
          <w:szCs w:val="22"/>
        </w:rPr>
        <w:t>系统</w:t>
      </w:r>
      <w:r>
        <w:rPr>
          <w:rFonts w:hint="eastAsia" w:ascii="宋体" w:eastAsia="宋体" w:cs="宋体"/>
          <w:b w:val="0"/>
          <w:bCs/>
          <w:sz w:val="22"/>
          <w:szCs w:val="22"/>
        </w:rPr>
        <w:t>部署</w:t>
      </w:r>
      <w:r>
        <w:rPr>
          <w:rFonts w:ascii="宋体" w:eastAsia="宋体" w:cs="宋体"/>
          <w:b w:val="0"/>
          <w:bCs/>
          <w:sz w:val="22"/>
          <w:szCs w:val="22"/>
        </w:rPr>
        <w:t>在信号</w:t>
      </w:r>
      <w:r>
        <w:rPr>
          <w:rFonts w:hint="eastAsia" w:ascii="宋体" w:eastAsia="宋体" w:cs="宋体"/>
          <w:b w:val="0"/>
          <w:bCs/>
          <w:sz w:val="22"/>
          <w:szCs w:val="22"/>
        </w:rPr>
        <w:t>专网，其具备与互联网完全隔离，对</w:t>
      </w:r>
      <w:r>
        <w:rPr>
          <w:rFonts w:ascii="宋体" w:eastAsia="宋体" w:cs="宋体"/>
          <w:b w:val="0"/>
          <w:bCs/>
          <w:sz w:val="22"/>
          <w:szCs w:val="22"/>
        </w:rPr>
        <w:t>路口到</w:t>
      </w:r>
      <w:r>
        <w:rPr>
          <w:rFonts w:hint="eastAsia" w:ascii="宋体" w:eastAsia="宋体" w:cs="宋体"/>
          <w:b w:val="0"/>
          <w:bCs/>
          <w:sz w:val="22"/>
          <w:szCs w:val="22"/>
        </w:rPr>
        <w:t>机房</w:t>
      </w:r>
      <w:r>
        <w:rPr>
          <w:rFonts w:ascii="宋体" w:eastAsia="宋体" w:cs="宋体"/>
          <w:b w:val="0"/>
          <w:bCs/>
          <w:sz w:val="22"/>
          <w:szCs w:val="22"/>
        </w:rPr>
        <w:t>的接入</w:t>
      </w:r>
      <w:r>
        <w:rPr>
          <w:rFonts w:hint="eastAsia" w:ascii="宋体" w:eastAsia="宋体" w:cs="宋体"/>
          <w:b w:val="0"/>
          <w:bCs/>
          <w:sz w:val="22"/>
          <w:szCs w:val="22"/>
        </w:rPr>
        <w:t>网络</w:t>
      </w:r>
      <w:r>
        <w:rPr>
          <w:rFonts w:ascii="宋体" w:eastAsia="宋体" w:cs="宋体"/>
          <w:b w:val="0"/>
          <w:bCs/>
          <w:sz w:val="22"/>
          <w:szCs w:val="22"/>
        </w:rPr>
        <w:t>上进行</w:t>
      </w:r>
      <w:r>
        <w:rPr>
          <w:rFonts w:hint="eastAsia" w:ascii="宋体" w:eastAsia="宋体" w:cs="宋体"/>
          <w:b w:val="0"/>
          <w:bCs/>
          <w:sz w:val="22"/>
          <w:szCs w:val="22"/>
        </w:rPr>
        <w:t>线路</w:t>
      </w:r>
      <w:r>
        <w:rPr>
          <w:rFonts w:ascii="宋体" w:eastAsia="宋体" w:cs="宋体"/>
          <w:b w:val="0"/>
          <w:bCs/>
          <w:sz w:val="22"/>
          <w:szCs w:val="22"/>
        </w:rPr>
        <w:t>保护，</w:t>
      </w:r>
      <w:r>
        <w:rPr>
          <w:rFonts w:hint="eastAsia" w:ascii="宋体" w:eastAsia="宋体" w:cs="宋体"/>
          <w:b w:val="0"/>
          <w:bCs/>
          <w:sz w:val="22"/>
          <w:szCs w:val="22"/>
        </w:rPr>
        <w:t>业务</w:t>
      </w:r>
      <w:r>
        <w:rPr>
          <w:rFonts w:ascii="宋体" w:eastAsia="宋体" w:cs="宋体"/>
          <w:b w:val="0"/>
          <w:bCs/>
          <w:sz w:val="22"/>
          <w:szCs w:val="22"/>
        </w:rPr>
        <w:t>正常</w:t>
      </w:r>
      <w:r>
        <w:rPr>
          <w:rFonts w:hint="eastAsia" w:ascii="宋体" w:eastAsia="宋体" w:cs="宋体"/>
          <w:b w:val="0"/>
          <w:bCs/>
          <w:sz w:val="22"/>
          <w:szCs w:val="22"/>
        </w:rPr>
        <w:t>使用</w:t>
      </w:r>
      <w:r>
        <w:rPr>
          <w:rFonts w:ascii="宋体" w:eastAsia="宋体" w:cs="宋体"/>
          <w:b w:val="0"/>
          <w:bCs/>
          <w:sz w:val="22"/>
          <w:szCs w:val="22"/>
        </w:rPr>
        <w:t>情况下由主用路径传送，主用路径出现故障时，</w:t>
      </w:r>
      <w:r>
        <w:rPr>
          <w:rFonts w:hint="eastAsia" w:ascii="宋体" w:eastAsia="宋体" w:cs="宋体"/>
          <w:b w:val="0"/>
          <w:bCs/>
          <w:sz w:val="22"/>
          <w:szCs w:val="22"/>
        </w:rPr>
        <w:t>可</w:t>
      </w:r>
      <w:r>
        <w:rPr>
          <w:rFonts w:ascii="宋体" w:eastAsia="宋体" w:cs="宋体"/>
          <w:b w:val="0"/>
          <w:bCs/>
          <w:sz w:val="22"/>
          <w:szCs w:val="22"/>
        </w:rPr>
        <w:t>换到</w:t>
      </w:r>
      <w:r>
        <w:rPr>
          <w:rFonts w:hint="eastAsia" w:ascii="宋体" w:eastAsia="宋体" w:cs="宋体"/>
          <w:b w:val="0"/>
          <w:bCs/>
          <w:sz w:val="22"/>
          <w:szCs w:val="22"/>
        </w:rPr>
        <w:t>备用</w:t>
      </w:r>
      <w:r>
        <w:rPr>
          <w:rFonts w:ascii="宋体" w:eastAsia="宋体" w:cs="宋体"/>
          <w:b w:val="0"/>
          <w:bCs/>
          <w:sz w:val="22"/>
          <w:szCs w:val="22"/>
        </w:rPr>
        <w:t>路径，保证业务正常</w:t>
      </w:r>
      <w:r>
        <w:rPr>
          <w:rFonts w:hint="eastAsia" w:ascii="宋体" w:eastAsia="宋体" w:cs="宋体"/>
          <w:b w:val="0"/>
          <w:bCs/>
          <w:sz w:val="22"/>
          <w:szCs w:val="22"/>
        </w:rPr>
        <w:t>传送，最终汇聚</w:t>
      </w:r>
      <w:r>
        <w:rPr>
          <w:rFonts w:ascii="宋体" w:eastAsia="宋体" w:cs="宋体"/>
          <w:b w:val="0"/>
          <w:bCs/>
          <w:sz w:val="22"/>
          <w:szCs w:val="22"/>
        </w:rPr>
        <w:t>到</w:t>
      </w:r>
      <w:r>
        <w:rPr>
          <w:rFonts w:hint="eastAsia" w:ascii="宋体" w:eastAsia="宋体" w:cs="宋体"/>
          <w:b w:val="0"/>
          <w:bCs/>
          <w:sz w:val="22"/>
          <w:szCs w:val="22"/>
        </w:rPr>
        <w:t>交管局</w:t>
      </w:r>
      <w:r>
        <w:rPr>
          <w:rFonts w:ascii="宋体" w:eastAsia="宋体" w:cs="宋体"/>
          <w:b w:val="0"/>
          <w:bCs/>
          <w:sz w:val="22"/>
          <w:szCs w:val="22"/>
        </w:rPr>
        <w:t>机房，机房平台与</w:t>
      </w:r>
      <w:r>
        <w:rPr>
          <w:rFonts w:hint="eastAsia" w:ascii="宋体" w:eastAsia="宋体" w:cs="宋体"/>
          <w:b w:val="0"/>
          <w:bCs/>
          <w:sz w:val="22"/>
          <w:szCs w:val="22"/>
        </w:rPr>
        <w:t>交管</w:t>
      </w:r>
      <w:r>
        <w:rPr>
          <w:rFonts w:ascii="宋体" w:eastAsia="宋体" w:cs="宋体"/>
          <w:b w:val="0"/>
          <w:bCs/>
          <w:sz w:val="22"/>
          <w:szCs w:val="22"/>
        </w:rPr>
        <w:t>现有平台的对接</w:t>
      </w:r>
      <w:r>
        <w:rPr>
          <w:rFonts w:hint="eastAsia" w:ascii="宋体" w:eastAsia="宋体" w:cs="宋体"/>
          <w:b w:val="0"/>
          <w:bCs/>
          <w:sz w:val="22"/>
          <w:szCs w:val="22"/>
        </w:rPr>
        <w:t>方式</w:t>
      </w:r>
      <w:r>
        <w:rPr>
          <w:rFonts w:ascii="宋体" w:eastAsia="宋体" w:cs="宋体"/>
          <w:b w:val="0"/>
          <w:bCs/>
          <w:sz w:val="22"/>
          <w:szCs w:val="22"/>
        </w:rPr>
        <w:t>保持不变。</w:t>
      </w:r>
      <w:bookmarkStart w:id="31" w:name="_Toc43110546"/>
      <w:bookmarkStart w:id="32" w:name="_Toc384111252"/>
      <w:bookmarkStart w:id="33" w:name="_Toc383179141"/>
    </w:p>
    <w:p>
      <w:pPr>
        <w:keepNext/>
        <w:keepLines/>
        <w:numPr>
          <w:ilvl w:val="2"/>
          <w:numId w:val="0"/>
        </w:numPr>
        <w:spacing w:before="120" w:beforeLines="50" w:after="120" w:afterLines="50"/>
        <w:jc w:val="left"/>
        <w:outlineLvl w:val="2"/>
        <w:rPr>
          <w:rFonts w:ascii="Calibri" w:hAnsi="Calibri" w:eastAsia="宋体"/>
          <w:bCs/>
          <w:color w:val="auto"/>
          <w:kern w:val="2"/>
          <w:sz w:val="30"/>
          <w:szCs w:val="32"/>
        </w:rPr>
      </w:pPr>
      <w:bookmarkStart w:id="34" w:name="_Toc43914437"/>
      <w:bookmarkStart w:id="35" w:name="_Toc43415033"/>
      <w:r>
        <w:rPr>
          <w:rFonts w:hint="eastAsia" w:ascii="Calibri" w:hAnsi="Calibri" w:eastAsia="宋体"/>
          <w:b/>
          <w:bCs w:val="0"/>
          <w:color w:val="auto"/>
          <w:kern w:val="2"/>
          <w:sz w:val="24"/>
          <w:szCs w:val="24"/>
        </w:rPr>
        <w:t>4.</w:t>
      </w:r>
      <w:r>
        <w:rPr>
          <w:rFonts w:ascii="Calibri" w:hAnsi="Calibri" w:eastAsia="宋体"/>
          <w:b/>
          <w:bCs w:val="0"/>
          <w:color w:val="auto"/>
          <w:kern w:val="2"/>
          <w:sz w:val="24"/>
          <w:szCs w:val="24"/>
        </w:rPr>
        <w:t>1</w:t>
      </w:r>
      <w:r>
        <w:rPr>
          <w:rFonts w:hint="eastAsia" w:ascii="Calibri" w:hAnsi="Calibri" w:eastAsia="宋体"/>
          <w:b/>
          <w:bCs w:val="0"/>
          <w:color w:val="auto"/>
          <w:kern w:val="2"/>
          <w:sz w:val="24"/>
          <w:szCs w:val="24"/>
        </w:rPr>
        <w:t>.</w:t>
      </w:r>
      <w:r>
        <w:rPr>
          <w:rFonts w:ascii="Calibri" w:hAnsi="Calibri" w:eastAsia="宋体"/>
          <w:b/>
          <w:bCs w:val="0"/>
          <w:color w:val="auto"/>
          <w:kern w:val="2"/>
          <w:sz w:val="24"/>
          <w:szCs w:val="24"/>
        </w:rPr>
        <w:t>5</w:t>
      </w:r>
      <w:r>
        <w:rPr>
          <w:rFonts w:hint="eastAsia" w:ascii="Calibri" w:hAnsi="Calibri" w:eastAsia="宋体"/>
          <w:b/>
          <w:bCs w:val="0"/>
          <w:color w:val="auto"/>
          <w:kern w:val="2"/>
          <w:sz w:val="24"/>
          <w:szCs w:val="24"/>
        </w:rPr>
        <w:t>边</w:t>
      </w:r>
      <w:r>
        <w:rPr>
          <w:rFonts w:ascii="Calibri" w:hAnsi="Calibri" w:eastAsia="宋体"/>
          <w:b/>
          <w:bCs w:val="0"/>
          <w:color w:val="auto"/>
          <w:kern w:val="2"/>
          <w:sz w:val="24"/>
          <w:szCs w:val="24"/>
        </w:rPr>
        <w:t>界</w:t>
      </w:r>
      <w:r>
        <w:rPr>
          <w:rFonts w:hint="eastAsia" w:ascii="Calibri" w:hAnsi="Calibri" w:eastAsia="宋体"/>
          <w:b/>
          <w:bCs w:val="0"/>
          <w:color w:val="auto"/>
          <w:kern w:val="2"/>
          <w:sz w:val="24"/>
          <w:szCs w:val="24"/>
        </w:rPr>
        <w:t>交换平台</w:t>
      </w:r>
      <w:bookmarkEnd w:id="34"/>
      <w:bookmarkEnd w:id="35"/>
    </w:p>
    <w:p>
      <w:pPr>
        <w:adjustRightInd w:val="0"/>
        <w:snapToGrid w:val="0"/>
        <w:spacing w:line="360" w:lineRule="auto"/>
        <w:ind w:firstLine="440" w:firstLineChars="200"/>
        <w:rPr>
          <w:rFonts w:ascii="宋体" w:eastAsia="宋体" w:cs="宋体"/>
          <w:b w:val="0"/>
          <w:bCs/>
          <w:sz w:val="22"/>
          <w:szCs w:val="22"/>
        </w:rPr>
      </w:pPr>
      <w:r>
        <w:rPr>
          <w:rFonts w:hint="eastAsia" w:ascii="宋体" w:eastAsia="宋体" w:cs="宋体"/>
          <w:b w:val="0"/>
          <w:bCs/>
          <w:sz w:val="22"/>
          <w:szCs w:val="22"/>
        </w:rPr>
        <w:t>在外部网络与内网之间建设边界接入平台，满足内外网之间A</w:t>
      </w:r>
      <w:r>
        <w:rPr>
          <w:rFonts w:ascii="宋体" w:eastAsia="宋体" w:cs="宋体"/>
          <w:b w:val="0"/>
          <w:bCs/>
          <w:sz w:val="22"/>
          <w:szCs w:val="22"/>
        </w:rPr>
        <w:t>PI</w:t>
      </w:r>
      <w:r>
        <w:rPr>
          <w:rFonts w:hint="eastAsia" w:ascii="宋体" w:eastAsia="宋体" w:cs="宋体"/>
          <w:b w:val="0"/>
          <w:bCs/>
          <w:sz w:val="22"/>
          <w:szCs w:val="22"/>
        </w:rPr>
        <w:t>请求调用的安全需求。平台分为五部分进行建设，分别为：路由接入区、边界保护区、应用服务区、安全隔离区、安全监测与管理区，每部分提供相应的安全保护功能。</w:t>
      </w:r>
    </w:p>
    <w:p>
      <w:pPr>
        <w:pStyle w:val="2"/>
        <w:widowControl/>
        <w:overflowPunct w:val="0"/>
        <w:spacing w:before="0" w:after="0"/>
        <w:jc w:val="both"/>
        <w:textAlignment w:val="baseline"/>
        <w:outlineLvl w:val="9"/>
        <w:rPr>
          <w:rFonts w:hint="eastAsia" w:ascii="Times New Roman" w:hAnsi="Times New Roman" w:cs="Times New Roman"/>
          <w:bCs w:val="0"/>
          <w:color w:val="auto"/>
          <w:kern w:val="0"/>
          <w:sz w:val="24"/>
          <w:szCs w:val="22"/>
          <w:lang w:val="en-US"/>
        </w:rPr>
      </w:pPr>
      <w:r>
        <w:rPr>
          <w:rFonts w:hint="eastAsia" w:ascii="Times New Roman" w:hAnsi="Times New Roman" w:cs="Times New Roman"/>
          <w:bCs w:val="0"/>
          <w:color w:val="auto"/>
          <w:kern w:val="0"/>
          <w:sz w:val="24"/>
          <w:szCs w:val="22"/>
          <w:lang w:val="en-US"/>
        </w:rPr>
        <w:t>（1）路由接入区</w:t>
      </w:r>
    </w:p>
    <w:p>
      <w:pPr>
        <w:spacing w:before="120" w:beforeLines="50" w:line="360" w:lineRule="auto"/>
        <w:ind w:firstLine="440" w:firstLineChars="200"/>
        <w:rPr>
          <w:rFonts w:ascii="宋体" w:eastAsia="宋体"/>
          <w:b w:val="0"/>
          <w:color w:val="auto"/>
          <w:kern w:val="2"/>
          <w:sz w:val="24"/>
          <w:szCs w:val="24"/>
        </w:rPr>
      </w:pPr>
      <w:r>
        <w:rPr>
          <w:rFonts w:hint="eastAsia" w:ascii="宋体" w:eastAsia="宋体"/>
          <w:b w:val="0"/>
          <w:color w:val="auto"/>
          <w:kern w:val="2"/>
          <w:sz w:val="22"/>
          <w:szCs w:val="22"/>
        </w:rPr>
        <w:t>路由接入区将来自外部网络不同接入对象或不同外部链路的数据流按照即定安全策略进行路由访问控制，实现外部网络各外部链路与边界接入平台间的连接。</w:t>
      </w:r>
    </w:p>
    <w:p>
      <w:pPr>
        <w:pStyle w:val="2"/>
        <w:widowControl/>
        <w:overflowPunct w:val="0"/>
        <w:spacing w:before="0" w:after="0"/>
        <w:jc w:val="both"/>
        <w:textAlignment w:val="baseline"/>
        <w:outlineLvl w:val="9"/>
        <w:rPr>
          <w:rFonts w:hint="eastAsia" w:ascii="Times New Roman" w:hAnsi="Times New Roman" w:cs="Times New Roman"/>
          <w:bCs w:val="0"/>
          <w:color w:val="auto"/>
          <w:kern w:val="0"/>
          <w:sz w:val="24"/>
          <w:szCs w:val="22"/>
          <w:lang w:val="en-US"/>
        </w:rPr>
      </w:pPr>
      <w:r>
        <w:rPr>
          <w:rFonts w:hint="eastAsia" w:ascii="Times New Roman" w:hAnsi="Times New Roman" w:cs="Times New Roman"/>
          <w:bCs w:val="0"/>
          <w:color w:val="auto"/>
          <w:kern w:val="0"/>
          <w:sz w:val="24"/>
          <w:szCs w:val="22"/>
          <w:lang w:val="en-US"/>
        </w:rPr>
        <w:t>（2）边界保护区</w:t>
      </w:r>
    </w:p>
    <w:p>
      <w:pPr>
        <w:spacing w:line="360" w:lineRule="auto"/>
        <w:ind w:firstLine="440" w:firstLineChars="200"/>
        <w:rPr>
          <w:rFonts w:ascii="宋体" w:eastAsia="宋体"/>
          <w:b w:val="0"/>
          <w:color w:val="auto"/>
          <w:kern w:val="2"/>
          <w:sz w:val="22"/>
          <w:szCs w:val="22"/>
        </w:rPr>
      </w:pPr>
      <w:r>
        <w:rPr>
          <w:rFonts w:hint="eastAsia" w:ascii="宋体" w:eastAsia="宋体"/>
          <w:b w:val="0"/>
          <w:color w:val="auto"/>
          <w:kern w:val="2"/>
          <w:sz w:val="22"/>
          <w:szCs w:val="22"/>
        </w:rPr>
        <w:t>边界保护区主要提供访问控制等边界保护功能。</w:t>
      </w:r>
    </w:p>
    <w:p>
      <w:pPr>
        <w:spacing w:line="360" w:lineRule="auto"/>
        <w:ind w:firstLine="440" w:firstLineChars="200"/>
        <w:rPr>
          <w:rFonts w:ascii="宋体" w:eastAsia="宋体"/>
          <w:b w:val="0"/>
          <w:color w:val="auto"/>
          <w:kern w:val="2"/>
          <w:sz w:val="22"/>
          <w:szCs w:val="22"/>
        </w:rPr>
      </w:pPr>
      <w:r>
        <w:rPr>
          <w:rFonts w:hint="eastAsia" w:ascii="宋体" w:eastAsia="宋体"/>
          <w:b w:val="0"/>
          <w:color w:val="auto"/>
          <w:kern w:val="2"/>
          <w:sz w:val="22"/>
          <w:szCs w:val="22"/>
        </w:rPr>
        <w:t>该区域主要设备包括：防火墙、三层交换机，各设备的主要功能如下：</w:t>
      </w:r>
    </w:p>
    <w:p>
      <w:pPr>
        <w:spacing w:before="120" w:beforeLines="50" w:after="120" w:afterLines="50"/>
        <w:ind w:firstLine="442" w:firstLineChars="200"/>
        <w:rPr>
          <w:rFonts w:ascii="宋体" w:eastAsia="宋体"/>
          <w:color w:val="auto"/>
          <w:kern w:val="2"/>
          <w:sz w:val="22"/>
          <w:szCs w:val="22"/>
        </w:rPr>
      </w:pPr>
      <w:r>
        <w:rPr>
          <w:rFonts w:hint="eastAsia" w:ascii="宋体" w:eastAsia="宋体"/>
          <w:b/>
          <w:bCs/>
          <w:color w:val="auto"/>
          <w:kern w:val="2"/>
          <w:sz w:val="22"/>
          <w:szCs w:val="22"/>
        </w:rPr>
        <w:t>防火墙</w:t>
      </w:r>
    </w:p>
    <w:p>
      <w:pPr>
        <w:spacing w:line="360" w:lineRule="auto"/>
        <w:ind w:firstLine="440" w:firstLineChars="200"/>
        <w:rPr>
          <w:rFonts w:ascii="宋体" w:eastAsia="宋体"/>
          <w:b w:val="0"/>
          <w:color w:val="auto"/>
          <w:kern w:val="2"/>
          <w:sz w:val="22"/>
          <w:szCs w:val="22"/>
        </w:rPr>
      </w:pPr>
      <w:r>
        <w:rPr>
          <w:rFonts w:hint="eastAsia" w:ascii="宋体" w:eastAsia="宋体"/>
          <w:b w:val="0"/>
          <w:color w:val="auto"/>
          <w:kern w:val="2"/>
          <w:sz w:val="22"/>
          <w:szCs w:val="22"/>
        </w:rPr>
        <w:t>可根据数据包的源/目标地址、协议类型、源/目标端口以及网络协议等对数据包进行访问控制,可实现基于策略的协议透明代理和深度过滤，能确保终端用户合法有效地使用各种网络资源。</w:t>
      </w:r>
    </w:p>
    <w:p>
      <w:pPr>
        <w:spacing w:before="120" w:beforeLines="50" w:after="120" w:afterLines="50"/>
        <w:ind w:firstLine="442" w:firstLineChars="200"/>
        <w:rPr>
          <w:rFonts w:ascii="宋体" w:eastAsia="宋体"/>
          <w:b/>
          <w:bCs/>
          <w:color w:val="auto"/>
          <w:kern w:val="2"/>
          <w:sz w:val="22"/>
          <w:szCs w:val="22"/>
        </w:rPr>
      </w:pPr>
      <w:r>
        <w:rPr>
          <w:rFonts w:hint="eastAsia" w:ascii="宋体" w:eastAsia="宋体"/>
          <w:b/>
          <w:bCs/>
          <w:color w:val="auto"/>
          <w:kern w:val="2"/>
          <w:sz w:val="22"/>
          <w:szCs w:val="22"/>
        </w:rPr>
        <w:t>三层交换机</w:t>
      </w:r>
    </w:p>
    <w:p>
      <w:pPr>
        <w:spacing w:line="360" w:lineRule="auto"/>
        <w:ind w:firstLine="440" w:firstLineChars="200"/>
        <w:rPr>
          <w:rFonts w:ascii="宋体" w:eastAsia="宋体"/>
          <w:b w:val="0"/>
          <w:color w:val="auto"/>
          <w:kern w:val="2"/>
          <w:sz w:val="22"/>
          <w:szCs w:val="22"/>
        </w:rPr>
      </w:pPr>
      <w:r>
        <w:rPr>
          <w:rFonts w:hint="eastAsia" w:ascii="宋体" w:eastAsia="宋体"/>
          <w:b w:val="0"/>
          <w:color w:val="auto"/>
          <w:kern w:val="2"/>
          <w:sz w:val="22"/>
          <w:szCs w:val="22"/>
        </w:rPr>
        <w:t>具有路由控制功能，可对接入应用进行路由选择和虚拟专网的划分，保证不同业务应用通道之间的相互隔离。</w:t>
      </w:r>
    </w:p>
    <w:p>
      <w:pPr>
        <w:pStyle w:val="2"/>
        <w:jc w:val="both"/>
        <w:rPr>
          <w:rFonts w:hint="eastAsia" w:ascii="Times New Roman" w:hAnsi="Times New Roman" w:cs="Times New Roman"/>
          <w:bCs w:val="0"/>
          <w:color w:val="auto"/>
          <w:kern w:val="0"/>
          <w:sz w:val="24"/>
          <w:szCs w:val="22"/>
          <w:lang w:val="en-US"/>
        </w:rPr>
      </w:pPr>
      <w:r>
        <w:rPr>
          <w:rFonts w:hint="eastAsia" w:ascii="Times New Roman" w:hAnsi="Times New Roman" w:cs="Times New Roman"/>
          <w:bCs w:val="0"/>
          <w:color w:val="auto"/>
          <w:kern w:val="0"/>
          <w:sz w:val="24"/>
          <w:szCs w:val="22"/>
          <w:lang w:val="en-US"/>
        </w:rPr>
        <w:t>（3）应用服务区</w:t>
      </w:r>
    </w:p>
    <w:p>
      <w:pPr>
        <w:spacing w:before="120" w:beforeLines="50" w:line="360" w:lineRule="auto"/>
        <w:ind w:firstLine="440" w:firstLineChars="200"/>
        <w:rPr>
          <w:rFonts w:ascii="宋体" w:eastAsia="宋体"/>
          <w:b w:val="0"/>
          <w:color w:val="auto"/>
          <w:kern w:val="2"/>
          <w:sz w:val="22"/>
          <w:szCs w:val="22"/>
        </w:rPr>
      </w:pPr>
      <w:r>
        <w:rPr>
          <w:rFonts w:hint="eastAsia" w:ascii="宋体" w:eastAsia="宋体"/>
          <w:b w:val="0"/>
          <w:color w:val="auto"/>
          <w:kern w:val="2"/>
          <w:sz w:val="22"/>
          <w:szCs w:val="22"/>
        </w:rPr>
        <w:t>应用服务区主要处理各类与应用相关的操作，是进行数据交换的中间区域，实现应用级身份认证、数据缓存等功能。</w:t>
      </w:r>
    </w:p>
    <w:p>
      <w:pPr>
        <w:spacing w:before="120" w:beforeLines="50" w:after="120" w:afterLines="50"/>
        <w:ind w:firstLine="442" w:firstLineChars="200"/>
        <w:rPr>
          <w:rFonts w:ascii="宋体" w:eastAsia="宋体"/>
          <w:b/>
          <w:bCs/>
          <w:color w:val="auto"/>
          <w:kern w:val="2"/>
          <w:sz w:val="24"/>
          <w:szCs w:val="24"/>
        </w:rPr>
      </w:pPr>
      <w:r>
        <w:rPr>
          <w:rFonts w:hint="eastAsia" w:ascii="宋体" w:eastAsia="宋体"/>
          <w:b/>
          <w:bCs/>
          <w:color w:val="auto"/>
          <w:kern w:val="2"/>
          <w:sz w:val="22"/>
          <w:szCs w:val="22"/>
        </w:rPr>
        <w:t>安全隔离区</w:t>
      </w:r>
    </w:p>
    <w:p>
      <w:pPr>
        <w:spacing w:before="120" w:beforeLines="50"/>
        <w:ind w:firstLine="440" w:firstLineChars="200"/>
        <w:rPr>
          <w:rFonts w:ascii="宋体" w:eastAsia="宋体"/>
          <w:b w:val="0"/>
          <w:color w:val="auto"/>
          <w:kern w:val="2"/>
          <w:sz w:val="22"/>
          <w:szCs w:val="22"/>
        </w:rPr>
      </w:pPr>
      <w:r>
        <w:rPr>
          <w:rFonts w:hint="eastAsia" w:ascii="宋体" w:eastAsia="宋体"/>
          <w:b w:val="0"/>
          <w:color w:val="auto"/>
          <w:kern w:val="2"/>
          <w:sz w:val="22"/>
          <w:szCs w:val="22"/>
        </w:rPr>
        <w:t>安全隔离区主要是实现外部网络与内网的安全隔离和数据交互。</w:t>
      </w:r>
    </w:p>
    <w:p>
      <w:pPr>
        <w:spacing w:before="120" w:beforeLines="50" w:line="360" w:lineRule="auto"/>
        <w:ind w:firstLine="440" w:firstLineChars="200"/>
        <w:rPr>
          <w:rFonts w:ascii="宋体" w:eastAsia="宋体"/>
          <w:b w:val="0"/>
          <w:color w:val="auto"/>
          <w:kern w:val="2"/>
          <w:sz w:val="22"/>
          <w:szCs w:val="22"/>
        </w:rPr>
      </w:pPr>
      <w:r>
        <w:rPr>
          <w:rFonts w:hint="eastAsia" w:ascii="宋体" w:eastAsia="宋体"/>
          <w:b w:val="0"/>
          <w:color w:val="auto"/>
          <w:kern w:val="2"/>
          <w:sz w:val="22"/>
          <w:szCs w:val="22"/>
        </w:rPr>
        <w:t>在该区域主要部署如下设备：外网数据交换服务器、内网数据交换服务器、一进一出两台单向光闸。该区域主要实现如下功能：</w:t>
      </w:r>
    </w:p>
    <w:p>
      <w:pPr>
        <w:spacing w:line="360" w:lineRule="auto"/>
        <w:ind w:firstLine="440" w:firstLineChars="200"/>
        <w:rPr>
          <w:rFonts w:ascii="宋体" w:eastAsia="宋体"/>
          <w:b w:val="0"/>
          <w:color w:val="auto"/>
          <w:kern w:val="2"/>
          <w:sz w:val="22"/>
          <w:szCs w:val="22"/>
        </w:rPr>
      </w:pPr>
      <w:r>
        <w:rPr>
          <w:rFonts w:hint="eastAsia" w:ascii="宋体" w:eastAsia="宋体"/>
          <w:b w:val="0"/>
          <w:color w:val="auto"/>
          <w:kern w:val="2"/>
          <w:sz w:val="22"/>
          <w:szCs w:val="22"/>
        </w:rPr>
        <w:t>请求服务交互：对于Webservice（SOAP、REST）请求服务交互，支持对用户、API接口、设备进行多因子身份认证、权限控制，支持对请求响应的数据进行安全检查、数据转换，检查出来不符合项应进行报警和审计。</w:t>
      </w:r>
    </w:p>
    <w:p>
      <w:pPr>
        <w:spacing w:line="360" w:lineRule="auto"/>
        <w:ind w:firstLine="440" w:firstLineChars="200"/>
        <w:rPr>
          <w:rFonts w:ascii="宋体" w:eastAsia="宋体"/>
          <w:b w:val="0"/>
          <w:color w:val="auto"/>
          <w:kern w:val="2"/>
          <w:sz w:val="22"/>
          <w:szCs w:val="22"/>
        </w:rPr>
      </w:pPr>
      <w:r>
        <w:rPr>
          <w:rFonts w:hint="eastAsia" w:ascii="宋体" w:eastAsia="宋体"/>
          <w:b w:val="0"/>
          <w:color w:val="auto"/>
          <w:kern w:val="2"/>
          <w:sz w:val="22"/>
          <w:szCs w:val="22"/>
        </w:rPr>
        <w:t>主要安全能力如下：</w:t>
      </w:r>
    </w:p>
    <w:p>
      <w:pPr>
        <w:spacing w:line="360" w:lineRule="auto"/>
        <w:ind w:firstLine="440" w:firstLineChars="200"/>
        <w:rPr>
          <w:rFonts w:ascii="宋体" w:eastAsia="宋体"/>
          <w:b w:val="0"/>
          <w:color w:val="auto"/>
          <w:kern w:val="2"/>
          <w:sz w:val="22"/>
          <w:szCs w:val="22"/>
        </w:rPr>
      </w:pPr>
      <w:r>
        <w:rPr>
          <w:rFonts w:hint="eastAsia" w:ascii="宋体" w:eastAsia="宋体"/>
          <w:b w:val="0"/>
          <w:color w:val="auto"/>
          <w:kern w:val="2"/>
          <w:sz w:val="22"/>
          <w:szCs w:val="22"/>
        </w:rPr>
        <w:t>a）用户鉴权：支持对所接口交换调用者进行认证和鉴权，对未通过身份认证和访问控制判定的调用进行拦截丢弃，并进行日志报警；</w:t>
      </w:r>
    </w:p>
    <w:p>
      <w:pPr>
        <w:spacing w:line="360" w:lineRule="auto"/>
        <w:ind w:firstLine="440" w:firstLineChars="200"/>
        <w:rPr>
          <w:rFonts w:ascii="宋体" w:eastAsia="宋体"/>
          <w:b w:val="0"/>
          <w:color w:val="auto"/>
          <w:kern w:val="2"/>
          <w:sz w:val="22"/>
          <w:szCs w:val="22"/>
        </w:rPr>
      </w:pPr>
      <w:r>
        <w:rPr>
          <w:rFonts w:hint="eastAsia" w:ascii="宋体" w:eastAsia="宋体"/>
          <w:b w:val="0"/>
          <w:color w:val="auto"/>
          <w:kern w:val="2"/>
          <w:sz w:val="22"/>
          <w:szCs w:val="22"/>
        </w:rPr>
        <w:t>b）格式检查：支持对接口交换的报文数据基于安全策略进行格式检查，对不符合格式的报文数据进行拦截丢弃，并进行日志报警；</w:t>
      </w:r>
    </w:p>
    <w:p>
      <w:pPr>
        <w:spacing w:line="360" w:lineRule="auto"/>
        <w:ind w:firstLine="440" w:firstLineChars="200"/>
        <w:rPr>
          <w:rFonts w:ascii="宋体" w:eastAsia="宋体"/>
          <w:b w:val="0"/>
          <w:color w:val="auto"/>
          <w:kern w:val="2"/>
          <w:sz w:val="22"/>
          <w:szCs w:val="22"/>
        </w:rPr>
      </w:pPr>
      <w:r>
        <w:rPr>
          <w:rFonts w:hint="eastAsia" w:ascii="宋体" w:eastAsia="宋体"/>
          <w:b w:val="0"/>
          <w:color w:val="auto"/>
          <w:kern w:val="2"/>
          <w:sz w:val="22"/>
          <w:szCs w:val="22"/>
        </w:rPr>
        <w:t>c）内容过滤：支持对接口交换的报文数据基于安全策略进行内容过滤，对含有敏感信息的报文数据进行拦截丢弃，并进行日志报警；</w:t>
      </w:r>
    </w:p>
    <w:p>
      <w:pPr>
        <w:spacing w:line="360" w:lineRule="auto"/>
        <w:ind w:firstLine="440" w:firstLineChars="200"/>
        <w:rPr>
          <w:rFonts w:ascii="宋体" w:eastAsia="宋体"/>
          <w:b w:val="0"/>
          <w:color w:val="auto"/>
          <w:kern w:val="2"/>
          <w:sz w:val="22"/>
          <w:szCs w:val="22"/>
        </w:rPr>
      </w:pPr>
      <w:r>
        <w:rPr>
          <w:rFonts w:hint="eastAsia" w:ascii="宋体" w:eastAsia="宋体"/>
          <w:b w:val="0"/>
          <w:color w:val="auto"/>
          <w:kern w:val="2"/>
          <w:sz w:val="22"/>
          <w:szCs w:val="22"/>
        </w:rPr>
        <w:t>d）协议剥离：单向光闸接收数据交换前后置传输的请求数据，并进行协议剥离和单向导入、导出；</w:t>
      </w:r>
    </w:p>
    <w:p>
      <w:pPr>
        <w:spacing w:line="360" w:lineRule="auto"/>
        <w:ind w:firstLine="440" w:firstLineChars="200"/>
        <w:rPr>
          <w:rFonts w:ascii="宋体" w:eastAsia="宋体"/>
          <w:b w:val="0"/>
          <w:color w:val="auto"/>
          <w:kern w:val="2"/>
          <w:sz w:val="22"/>
          <w:szCs w:val="22"/>
        </w:rPr>
      </w:pPr>
      <w:r>
        <w:rPr>
          <w:rFonts w:hint="eastAsia" w:ascii="宋体" w:eastAsia="宋体"/>
          <w:b w:val="0"/>
          <w:color w:val="auto"/>
          <w:kern w:val="2"/>
          <w:sz w:val="22"/>
          <w:szCs w:val="22"/>
        </w:rPr>
        <w:t>e）流量控制：支持对接口交换的调用基于安全策略进行流量控制，对违反控制规则的调用进行拦截丢弃，并进行日志报警；</w:t>
      </w:r>
    </w:p>
    <w:p>
      <w:pPr>
        <w:spacing w:line="360" w:lineRule="auto"/>
        <w:ind w:firstLine="440" w:firstLineChars="200"/>
        <w:rPr>
          <w:rFonts w:ascii="宋体" w:eastAsia="宋体"/>
          <w:b w:val="0"/>
          <w:color w:val="auto"/>
          <w:kern w:val="2"/>
          <w:sz w:val="22"/>
          <w:szCs w:val="22"/>
        </w:rPr>
      </w:pPr>
      <w:r>
        <w:rPr>
          <w:rFonts w:ascii="宋体" w:eastAsia="宋体"/>
          <w:b w:val="0"/>
          <w:color w:val="auto"/>
          <w:kern w:val="2"/>
          <w:sz w:val="22"/>
          <w:szCs w:val="22"/>
        </w:rPr>
        <w:t>f</w:t>
      </w:r>
      <w:r>
        <w:rPr>
          <w:rFonts w:hint="eastAsia" w:ascii="宋体" w:eastAsia="宋体"/>
          <w:b w:val="0"/>
          <w:color w:val="auto"/>
          <w:kern w:val="2"/>
          <w:sz w:val="22"/>
          <w:szCs w:val="22"/>
        </w:rPr>
        <w:t>）日志审计：支持对接口交换的报文数据基于安全策略进行日志审计，并上报审计日志；</w:t>
      </w:r>
    </w:p>
    <w:p>
      <w:pPr>
        <w:spacing w:line="360" w:lineRule="auto"/>
        <w:ind w:firstLine="442" w:firstLineChars="200"/>
        <w:rPr>
          <w:rFonts w:ascii="宋体" w:eastAsia="宋体"/>
          <w:b/>
          <w:bCs/>
          <w:color w:val="auto"/>
          <w:kern w:val="2"/>
          <w:sz w:val="24"/>
          <w:szCs w:val="24"/>
        </w:rPr>
      </w:pPr>
      <w:r>
        <w:rPr>
          <w:rFonts w:hint="eastAsia" w:ascii="宋体" w:eastAsia="宋体"/>
          <w:b/>
          <w:bCs/>
          <w:color w:val="auto"/>
          <w:kern w:val="2"/>
          <w:sz w:val="22"/>
          <w:szCs w:val="22"/>
        </w:rPr>
        <w:t>安全监测与管理区</w:t>
      </w:r>
    </w:p>
    <w:p>
      <w:pPr>
        <w:spacing w:line="360" w:lineRule="auto"/>
        <w:ind w:firstLine="440" w:firstLineChars="200"/>
        <w:rPr>
          <w:rFonts w:ascii="宋体" w:eastAsia="宋体"/>
          <w:b w:val="0"/>
          <w:color w:val="auto"/>
          <w:kern w:val="2"/>
          <w:sz w:val="24"/>
          <w:szCs w:val="24"/>
        </w:rPr>
      </w:pPr>
      <w:r>
        <w:rPr>
          <w:rFonts w:hint="eastAsia" w:ascii="宋体" w:eastAsia="宋体"/>
          <w:b w:val="0"/>
          <w:color w:val="auto"/>
          <w:kern w:val="2"/>
          <w:sz w:val="22"/>
          <w:szCs w:val="22"/>
        </w:rPr>
        <w:t>该区域实现整个边界接入平台的安全监测、管理与维护。</w:t>
      </w:r>
    </w:p>
    <w:p>
      <w:pPr>
        <w:keepNext/>
        <w:keepLines/>
        <w:numPr>
          <w:ilvl w:val="2"/>
          <w:numId w:val="0"/>
        </w:numPr>
        <w:spacing w:before="120" w:beforeLines="50" w:after="120" w:afterLines="50"/>
        <w:jc w:val="left"/>
        <w:outlineLvl w:val="2"/>
        <w:rPr>
          <w:rFonts w:ascii="Calibri" w:hAnsi="Calibri" w:eastAsia="宋体"/>
          <w:b/>
          <w:bCs w:val="0"/>
          <w:color w:val="auto"/>
          <w:kern w:val="2"/>
          <w:sz w:val="30"/>
          <w:szCs w:val="32"/>
        </w:rPr>
      </w:pPr>
      <w:bookmarkStart w:id="36" w:name="_Toc43415034"/>
      <w:bookmarkStart w:id="37" w:name="_Toc43914438"/>
      <w:r>
        <w:rPr>
          <w:rFonts w:hint="eastAsia" w:ascii="Calibri" w:hAnsi="Calibri" w:eastAsia="宋体"/>
          <w:b/>
          <w:bCs w:val="0"/>
          <w:color w:val="auto"/>
          <w:kern w:val="2"/>
          <w:sz w:val="24"/>
          <w:szCs w:val="24"/>
        </w:rPr>
        <w:t>4.</w:t>
      </w:r>
      <w:r>
        <w:rPr>
          <w:rFonts w:ascii="Calibri" w:hAnsi="Calibri" w:eastAsia="宋体"/>
          <w:b/>
          <w:bCs w:val="0"/>
          <w:color w:val="auto"/>
          <w:kern w:val="2"/>
          <w:sz w:val="24"/>
          <w:szCs w:val="24"/>
        </w:rPr>
        <w:t>1</w:t>
      </w:r>
      <w:r>
        <w:rPr>
          <w:rFonts w:hint="eastAsia" w:ascii="Calibri" w:hAnsi="Calibri" w:eastAsia="宋体"/>
          <w:b/>
          <w:bCs w:val="0"/>
          <w:color w:val="auto"/>
          <w:kern w:val="2"/>
          <w:sz w:val="24"/>
          <w:szCs w:val="24"/>
        </w:rPr>
        <w:t>.</w:t>
      </w:r>
      <w:r>
        <w:rPr>
          <w:rFonts w:ascii="Calibri" w:hAnsi="Calibri" w:eastAsia="宋体"/>
          <w:b/>
          <w:bCs w:val="0"/>
          <w:color w:val="auto"/>
          <w:kern w:val="2"/>
          <w:sz w:val="24"/>
          <w:szCs w:val="24"/>
        </w:rPr>
        <w:t>6</w:t>
      </w:r>
      <w:r>
        <w:rPr>
          <w:rFonts w:hint="eastAsia" w:ascii="Calibri" w:hAnsi="Calibri" w:eastAsia="宋体"/>
          <w:b/>
          <w:bCs w:val="0"/>
          <w:color w:val="auto"/>
          <w:kern w:val="2"/>
          <w:sz w:val="24"/>
          <w:szCs w:val="24"/>
        </w:rPr>
        <w:t>专网</w:t>
      </w:r>
      <w:r>
        <w:rPr>
          <w:rFonts w:ascii="Calibri" w:hAnsi="Calibri" w:eastAsia="宋体"/>
          <w:b/>
          <w:bCs w:val="0"/>
          <w:color w:val="auto"/>
          <w:kern w:val="2"/>
          <w:sz w:val="24"/>
          <w:szCs w:val="24"/>
        </w:rPr>
        <w:t>安全保障</w:t>
      </w:r>
      <w:r>
        <w:rPr>
          <w:rFonts w:hint="eastAsia" w:ascii="Calibri" w:hAnsi="Calibri" w:eastAsia="宋体"/>
          <w:b/>
          <w:bCs w:val="0"/>
          <w:color w:val="auto"/>
          <w:kern w:val="2"/>
          <w:sz w:val="24"/>
          <w:szCs w:val="24"/>
        </w:rPr>
        <w:t>系统</w:t>
      </w:r>
      <w:bookmarkEnd w:id="36"/>
      <w:bookmarkEnd w:id="37"/>
    </w:p>
    <w:p>
      <w:pPr>
        <w:keepNext/>
        <w:keepLines/>
        <w:numPr>
          <w:ilvl w:val="0"/>
          <w:numId w:val="48"/>
        </w:numPr>
        <w:spacing w:before="120" w:after="120" w:line="360" w:lineRule="auto"/>
        <w:ind w:firstLine="880" w:firstLineChars="200"/>
        <w:outlineLvl w:val="0"/>
        <w:rPr>
          <w:rFonts w:hAnsi="仿宋_GB2312" w:eastAsia="黑体"/>
          <w:b w:val="0"/>
          <w:bCs/>
          <w:vanish/>
          <w:color w:val="auto"/>
          <w:kern w:val="44"/>
          <w:sz w:val="44"/>
          <w:szCs w:val="44"/>
        </w:rPr>
      </w:pPr>
      <w:bookmarkStart w:id="38" w:name="_Toc43388968"/>
      <w:bookmarkEnd w:id="38"/>
      <w:bookmarkStart w:id="39" w:name="_Toc43913880"/>
      <w:bookmarkEnd w:id="39"/>
      <w:bookmarkStart w:id="40" w:name="_Toc42513040"/>
      <w:bookmarkEnd w:id="40"/>
      <w:bookmarkStart w:id="41" w:name="_Toc43914439"/>
      <w:bookmarkEnd w:id="41"/>
      <w:bookmarkStart w:id="42" w:name="_Toc43415035"/>
      <w:bookmarkEnd w:id="42"/>
      <w:bookmarkStart w:id="43" w:name="_Toc43389041"/>
      <w:bookmarkEnd w:id="43"/>
      <w:bookmarkStart w:id="44" w:name="_Toc43110558"/>
      <w:bookmarkEnd w:id="44"/>
      <w:bookmarkStart w:id="45" w:name="_Toc42624910"/>
      <w:bookmarkEnd w:id="45"/>
      <w:bookmarkStart w:id="46" w:name="_Toc40083773"/>
    </w:p>
    <w:p>
      <w:pPr>
        <w:keepNext/>
        <w:keepLines/>
        <w:numPr>
          <w:ilvl w:val="0"/>
          <w:numId w:val="48"/>
        </w:numPr>
        <w:spacing w:before="120" w:after="120" w:line="360" w:lineRule="auto"/>
        <w:ind w:firstLine="880" w:firstLineChars="200"/>
        <w:outlineLvl w:val="0"/>
        <w:rPr>
          <w:rFonts w:hAnsi="仿宋_GB2312" w:eastAsia="黑体"/>
          <w:b w:val="0"/>
          <w:bCs/>
          <w:vanish/>
          <w:color w:val="auto"/>
          <w:kern w:val="44"/>
          <w:sz w:val="44"/>
          <w:szCs w:val="44"/>
        </w:rPr>
      </w:pPr>
      <w:bookmarkStart w:id="47" w:name="_Toc43389042"/>
      <w:bookmarkEnd w:id="47"/>
      <w:bookmarkStart w:id="48" w:name="_Toc42624911"/>
      <w:bookmarkEnd w:id="48"/>
      <w:bookmarkStart w:id="49" w:name="_Toc43110559"/>
      <w:bookmarkEnd w:id="49"/>
      <w:bookmarkStart w:id="50" w:name="_Toc43914440"/>
      <w:bookmarkEnd w:id="50"/>
      <w:bookmarkStart w:id="51" w:name="_Toc43388969"/>
      <w:bookmarkEnd w:id="51"/>
      <w:bookmarkStart w:id="52" w:name="_Toc43913881"/>
      <w:bookmarkEnd w:id="52"/>
      <w:bookmarkStart w:id="53" w:name="_Toc42513041"/>
      <w:bookmarkEnd w:id="53"/>
      <w:bookmarkStart w:id="54" w:name="_Toc43415036"/>
      <w:bookmarkEnd w:id="54"/>
    </w:p>
    <w:p>
      <w:pPr>
        <w:keepNext/>
        <w:keepLines/>
        <w:numPr>
          <w:ilvl w:val="0"/>
          <w:numId w:val="48"/>
        </w:numPr>
        <w:spacing w:before="120" w:after="120" w:line="360" w:lineRule="auto"/>
        <w:ind w:firstLine="880" w:firstLineChars="200"/>
        <w:outlineLvl w:val="0"/>
        <w:rPr>
          <w:rFonts w:hAnsi="仿宋_GB2312" w:eastAsia="黑体"/>
          <w:b w:val="0"/>
          <w:bCs/>
          <w:vanish/>
          <w:color w:val="auto"/>
          <w:kern w:val="44"/>
          <w:sz w:val="44"/>
          <w:szCs w:val="44"/>
        </w:rPr>
      </w:pPr>
      <w:bookmarkStart w:id="55" w:name="_Toc43110560"/>
      <w:bookmarkEnd w:id="55"/>
      <w:bookmarkStart w:id="56" w:name="_Toc43388970"/>
      <w:bookmarkEnd w:id="56"/>
      <w:bookmarkStart w:id="57" w:name="_Toc43389043"/>
      <w:bookmarkEnd w:id="57"/>
      <w:bookmarkStart w:id="58" w:name="_Toc42624912"/>
      <w:bookmarkEnd w:id="58"/>
      <w:bookmarkStart w:id="59" w:name="_Toc43913882"/>
      <w:bookmarkEnd w:id="59"/>
      <w:bookmarkStart w:id="60" w:name="_Toc43415037"/>
      <w:bookmarkEnd w:id="60"/>
      <w:bookmarkStart w:id="61" w:name="_Toc43914441"/>
      <w:bookmarkEnd w:id="61"/>
      <w:bookmarkStart w:id="62" w:name="_Toc42513042"/>
      <w:bookmarkEnd w:id="62"/>
    </w:p>
    <w:p>
      <w:pPr>
        <w:keepNext/>
        <w:keepLines/>
        <w:numPr>
          <w:ilvl w:val="0"/>
          <w:numId w:val="48"/>
        </w:numPr>
        <w:spacing w:before="120" w:after="120" w:line="360" w:lineRule="auto"/>
        <w:ind w:firstLine="880" w:firstLineChars="200"/>
        <w:outlineLvl w:val="0"/>
        <w:rPr>
          <w:rFonts w:hAnsi="仿宋_GB2312" w:eastAsia="黑体"/>
          <w:b w:val="0"/>
          <w:bCs/>
          <w:vanish/>
          <w:color w:val="auto"/>
          <w:kern w:val="44"/>
          <w:sz w:val="44"/>
          <w:szCs w:val="44"/>
        </w:rPr>
      </w:pPr>
      <w:bookmarkStart w:id="63" w:name="_Toc42513043"/>
      <w:bookmarkEnd w:id="63"/>
      <w:bookmarkStart w:id="64" w:name="_Toc43388971"/>
      <w:bookmarkEnd w:id="64"/>
      <w:bookmarkStart w:id="65" w:name="_Toc42624913"/>
      <w:bookmarkEnd w:id="65"/>
      <w:bookmarkStart w:id="66" w:name="_Toc43110561"/>
      <w:bookmarkEnd w:id="66"/>
      <w:bookmarkStart w:id="67" w:name="_Toc43389044"/>
      <w:bookmarkEnd w:id="67"/>
      <w:bookmarkStart w:id="68" w:name="_Toc43415038"/>
      <w:bookmarkEnd w:id="68"/>
      <w:bookmarkStart w:id="69" w:name="_Toc43913883"/>
      <w:bookmarkEnd w:id="69"/>
      <w:bookmarkStart w:id="70" w:name="_Toc43914442"/>
      <w:bookmarkEnd w:id="70"/>
    </w:p>
    <w:p>
      <w:pPr>
        <w:keepNext/>
        <w:keepLines/>
        <w:numPr>
          <w:ilvl w:val="0"/>
          <w:numId w:val="48"/>
        </w:numPr>
        <w:spacing w:before="120" w:after="120" w:line="360" w:lineRule="auto"/>
        <w:ind w:firstLine="880" w:firstLineChars="200"/>
        <w:outlineLvl w:val="0"/>
        <w:rPr>
          <w:rFonts w:hAnsi="仿宋_GB2312" w:eastAsia="黑体"/>
          <w:b w:val="0"/>
          <w:bCs/>
          <w:vanish/>
          <w:color w:val="auto"/>
          <w:kern w:val="44"/>
          <w:sz w:val="44"/>
          <w:szCs w:val="44"/>
        </w:rPr>
      </w:pPr>
      <w:bookmarkStart w:id="71" w:name="_Toc43415039"/>
      <w:bookmarkEnd w:id="71"/>
      <w:bookmarkStart w:id="72" w:name="_Toc43913884"/>
      <w:bookmarkEnd w:id="72"/>
      <w:bookmarkStart w:id="73" w:name="_Toc43914443"/>
      <w:bookmarkEnd w:id="73"/>
      <w:bookmarkStart w:id="74" w:name="_Toc43388972"/>
      <w:bookmarkEnd w:id="74"/>
      <w:bookmarkStart w:id="75" w:name="_Toc43110562"/>
      <w:bookmarkEnd w:id="75"/>
      <w:bookmarkStart w:id="76" w:name="_Toc42624914"/>
      <w:bookmarkEnd w:id="76"/>
      <w:bookmarkStart w:id="77" w:name="_Toc42513044"/>
      <w:bookmarkEnd w:id="77"/>
      <w:bookmarkStart w:id="78" w:name="_Toc43389045"/>
      <w:bookmarkEnd w:id="78"/>
    </w:p>
    <w:p>
      <w:pPr>
        <w:keepNext/>
        <w:keepLines/>
        <w:numPr>
          <w:ilvl w:val="0"/>
          <w:numId w:val="48"/>
        </w:numPr>
        <w:spacing w:before="120" w:after="120" w:line="360" w:lineRule="auto"/>
        <w:ind w:firstLine="880" w:firstLineChars="200"/>
        <w:outlineLvl w:val="0"/>
        <w:rPr>
          <w:rFonts w:hAnsi="仿宋_GB2312" w:eastAsia="黑体"/>
          <w:b w:val="0"/>
          <w:bCs/>
          <w:vanish/>
          <w:color w:val="auto"/>
          <w:kern w:val="44"/>
          <w:sz w:val="44"/>
          <w:szCs w:val="44"/>
        </w:rPr>
      </w:pPr>
      <w:bookmarkStart w:id="79" w:name="_Toc43914444"/>
      <w:bookmarkEnd w:id="79"/>
      <w:bookmarkStart w:id="80" w:name="_Toc43913885"/>
      <w:bookmarkEnd w:id="80"/>
      <w:bookmarkStart w:id="81" w:name="_Toc43415040"/>
      <w:bookmarkEnd w:id="81"/>
      <w:bookmarkStart w:id="82" w:name="_Toc42513045"/>
      <w:bookmarkEnd w:id="82"/>
      <w:bookmarkStart w:id="83" w:name="_Toc42624915"/>
      <w:bookmarkEnd w:id="83"/>
      <w:bookmarkStart w:id="84" w:name="_Toc43388973"/>
      <w:bookmarkEnd w:id="84"/>
      <w:bookmarkStart w:id="85" w:name="_Toc43389046"/>
      <w:bookmarkEnd w:id="85"/>
      <w:bookmarkStart w:id="86" w:name="_Toc43110563"/>
      <w:bookmarkEnd w:id="86"/>
    </w:p>
    <w:p>
      <w:pPr>
        <w:keepNext/>
        <w:keepLines/>
        <w:numPr>
          <w:ilvl w:val="1"/>
          <w:numId w:val="48"/>
        </w:numPr>
        <w:spacing w:before="120" w:after="120" w:line="360" w:lineRule="auto"/>
        <w:ind w:firstLine="880" w:firstLineChars="200"/>
        <w:outlineLvl w:val="0"/>
        <w:rPr>
          <w:rFonts w:hAnsi="仿宋_GB2312" w:eastAsia="黑体"/>
          <w:b w:val="0"/>
          <w:bCs/>
          <w:vanish/>
          <w:color w:val="auto"/>
          <w:kern w:val="44"/>
          <w:sz w:val="44"/>
          <w:szCs w:val="44"/>
        </w:rPr>
      </w:pPr>
      <w:bookmarkStart w:id="87" w:name="_Toc43110564"/>
      <w:bookmarkEnd w:id="87"/>
      <w:bookmarkStart w:id="88" w:name="_Toc42513046"/>
      <w:bookmarkEnd w:id="88"/>
      <w:bookmarkStart w:id="89" w:name="_Toc42624916"/>
      <w:bookmarkEnd w:id="89"/>
      <w:bookmarkStart w:id="90" w:name="_Toc43388974"/>
      <w:bookmarkEnd w:id="90"/>
      <w:bookmarkStart w:id="91" w:name="_Toc43414947"/>
      <w:bookmarkEnd w:id="91"/>
      <w:bookmarkStart w:id="92" w:name="_Toc43389047"/>
      <w:bookmarkEnd w:id="92"/>
      <w:bookmarkStart w:id="93" w:name="_Toc43414995"/>
      <w:bookmarkEnd w:id="93"/>
      <w:bookmarkStart w:id="94" w:name="_Toc43414838"/>
      <w:bookmarkEnd w:id="94"/>
      <w:bookmarkStart w:id="95" w:name="_Toc43914113"/>
      <w:bookmarkEnd w:id="95"/>
      <w:bookmarkStart w:id="96" w:name="_Toc43914224"/>
      <w:bookmarkEnd w:id="96"/>
      <w:bookmarkStart w:id="97" w:name="_Toc43415041"/>
      <w:bookmarkEnd w:id="97"/>
      <w:bookmarkStart w:id="98" w:name="_Toc43414893"/>
      <w:bookmarkEnd w:id="98"/>
      <w:bookmarkStart w:id="99" w:name="_Toc43914335"/>
      <w:bookmarkEnd w:id="99"/>
      <w:bookmarkStart w:id="100" w:name="_Toc43914445"/>
      <w:bookmarkEnd w:id="100"/>
      <w:bookmarkStart w:id="101" w:name="_Toc43913886"/>
      <w:bookmarkEnd w:id="101"/>
    </w:p>
    <w:p>
      <w:pPr>
        <w:keepNext/>
        <w:keepLines/>
        <w:numPr>
          <w:ilvl w:val="1"/>
          <w:numId w:val="48"/>
        </w:numPr>
        <w:spacing w:before="120" w:after="120" w:line="360" w:lineRule="auto"/>
        <w:ind w:firstLine="880" w:firstLineChars="200"/>
        <w:outlineLvl w:val="0"/>
        <w:rPr>
          <w:rFonts w:hAnsi="仿宋_GB2312" w:eastAsia="黑体"/>
          <w:b w:val="0"/>
          <w:bCs/>
          <w:vanish/>
          <w:color w:val="auto"/>
          <w:kern w:val="44"/>
          <w:sz w:val="44"/>
          <w:szCs w:val="44"/>
        </w:rPr>
      </w:pPr>
      <w:bookmarkStart w:id="102" w:name="_Toc42513047"/>
      <w:bookmarkEnd w:id="102"/>
      <w:bookmarkStart w:id="103" w:name="_Toc43414839"/>
      <w:bookmarkEnd w:id="103"/>
      <w:bookmarkStart w:id="104" w:name="_Toc43414894"/>
      <w:bookmarkEnd w:id="104"/>
      <w:bookmarkStart w:id="105" w:name="_Toc43414996"/>
      <w:bookmarkEnd w:id="105"/>
      <w:bookmarkStart w:id="106" w:name="_Toc43914225"/>
      <w:bookmarkEnd w:id="106"/>
      <w:bookmarkStart w:id="107" w:name="_Toc43415042"/>
      <w:bookmarkEnd w:id="107"/>
      <w:bookmarkStart w:id="108" w:name="_Toc43914336"/>
      <w:bookmarkEnd w:id="108"/>
      <w:bookmarkStart w:id="109" w:name="_Toc43913887"/>
      <w:bookmarkEnd w:id="109"/>
      <w:bookmarkStart w:id="110" w:name="_Toc42624917"/>
      <w:bookmarkEnd w:id="110"/>
      <w:bookmarkStart w:id="111" w:name="_Toc43110565"/>
      <w:bookmarkEnd w:id="111"/>
      <w:bookmarkStart w:id="112" w:name="_Toc43914446"/>
      <w:bookmarkEnd w:id="112"/>
      <w:bookmarkStart w:id="113" w:name="_Toc43914114"/>
      <w:bookmarkEnd w:id="113"/>
      <w:bookmarkStart w:id="114" w:name="_Toc43388975"/>
      <w:bookmarkEnd w:id="114"/>
      <w:bookmarkStart w:id="115" w:name="_Toc43389048"/>
      <w:bookmarkEnd w:id="115"/>
      <w:bookmarkStart w:id="116" w:name="_Toc43414948"/>
      <w:bookmarkEnd w:id="116"/>
    </w:p>
    <w:p>
      <w:pPr>
        <w:keepNext/>
        <w:keepLines/>
        <w:numPr>
          <w:ilvl w:val="2"/>
          <w:numId w:val="48"/>
        </w:numPr>
        <w:spacing w:before="120" w:after="120" w:line="360" w:lineRule="auto"/>
        <w:ind w:firstLine="640" w:firstLineChars="200"/>
        <w:outlineLvl w:val="2"/>
        <w:rPr>
          <w:rFonts w:ascii="Times New Roman" w:hAnsi="Times New Roman" w:eastAsia="黑体"/>
          <w:b w:val="0"/>
          <w:bCs/>
          <w:vanish/>
          <w:color w:val="auto"/>
          <w:kern w:val="2"/>
          <w:sz w:val="32"/>
          <w:szCs w:val="32"/>
        </w:rPr>
      </w:pPr>
      <w:bookmarkStart w:id="117" w:name="_Toc43414895"/>
      <w:bookmarkEnd w:id="117"/>
      <w:bookmarkStart w:id="118" w:name="_Toc43414840"/>
      <w:bookmarkEnd w:id="118"/>
      <w:bookmarkStart w:id="119" w:name="_Toc43913888"/>
      <w:bookmarkEnd w:id="119"/>
      <w:bookmarkStart w:id="120" w:name="_Toc43914115"/>
      <w:bookmarkEnd w:id="120"/>
      <w:bookmarkStart w:id="121" w:name="_Toc43415043"/>
      <w:bookmarkEnd w:id="121"/>
      <w:bookmarkStart w:id="122" w:name="_Toc43414949"/>
      <w:bookmarkEnd w:id="122"/>
      <w:bookmarkStart w:id="123" w:name="_Toc43914226"/>
      <w:bookmarkEnd w:id="123"/>
      <w:bookmarkStart w:id="124" w:name="_Toc43914337"/>
      <w:bookmarkEnd w:id="124"/>
      <w:bookmarkStart w:id="125" w:name="_Toc43914447"/>
      <w:bookmarkEnd w:id="125"/>
      <w:bookmarkStart w:id="126" w:name="_Toc42624918"/>
      <w:bookmarkEnd w:id="126"/>
      <w:bookmarkStart w:id="127" w:name="_Toc42513048"/>
      <w:bookmarkEnd w:id="127"/>
      <w:bookmarkStart w:id="128" w:name="_Toc43389049"/>
      <w:bookmarkEnd w:id="128"/>
      <w:bookmarkStart w:id="129" w:name="_Toc43388976"/>
      <w:bookmarkEnd w:id="129"/>
      <w:bookmarkStart w:id="130" w:name="_Toc43110566"/>
      <w:bookmarkEnd w:id="130"/>
    </w:p>
    <w:bookmarkEnd w:id="46"/>
    <w:p>
      <w:pPr>
        <w:spacing w:before="120" w:beforeLines="50" w:after="120" w:afterLines="50"/>
        <w:ind w:firstLine="442" w:firstLineChars="200"/>
        <w:rPr>
          <w:rFonts w:ascii="Calibri" w:hAnsi="Calibri" w:eastAsia="宋体"/>
          <w:b/>
          <w:bCs/>
          <w:color w:val="auto"/>
          <w:kern w:val="2"/>
          <w:sz w:val="24"/>
          <w:szCs w:val="22"/>
        </w:rPr>
      </w:pPr>
      <w:r>
        <w:rPr>
          <w:rFonts w:hint="eastAsia" w:ascii="宋体" w:eastAsia="宋体"/>
          <w:b/>
          <w:bCs/>
          <w:color w:val="auto"/>
          <w:kern w:val="2"/>
          <w:sz w:val="22"/>
          <w:szCs w:val="22"/>
        </w:rPr>
        <w:t>部署</w:t>
      </w:r>
      <w:r>
        <w:rPr>
          <w:rFonts w:ascii="宋体" w:eastAsia="宋体"/>
          <w:b/>
          <w:bCs/>
          <w:color w:val="auto"/>
          <w:kern w:val="2"/>
          <w:sz w:val="22"/>
          <w:szCs w:val="22"/>
        </w:rPr>
        <w:t>方式</w:t>
      </w:r>
    </w:p>
    <w:p>
      <w:pPr>
        <w:spacing w:line="360" w:lineRule="auto"/>
        <w:ind w:firstLine="440" w:firstLineChars="200"/>
        <w:rPr>
          <w:rFonts w:ascii="宋体" w:eastAsia="宋体"/>
          <w:b w:val="0"/>
          <w:color w:val="auto"/>
          <w:kern w:val="2"/>
          <w:sz w:val="22"/>
          <w:szCs w:val="22"/>
        </w:rPr>
      </w:pPr>
      <w:bookmarkStart w:id="131" w:name="_Toc40083774"/>
      <w:r>
        <w:rPr>
          <w:rFonts w:hint="eastAsia" w:ascii="宋体" w:eastAsia="宋体"/>
          <w:b w:val="0"/>
          <w:color w:val="auto"/>
          <w:kern w:val="2"/>
          <w:sz w:val="22"/>
          <w:szCs w:val="22"/>
        </w:rPr>
        <w:t>1、网络资产与边界感知系统采用旁路镜像方式部署在交管专网核心交换机上，需提供全局镜像流量和一个管理口IP，受设备安全监管系统统一管理。</w:t>
      </w:r>
    </w:p>
    <w:p>
      <w:pPr>
        <w:spacing w:line="360" w:lineRule="auto"/>
        <w:ind w:firstLine="440" w:firstLineChars="200"/>
        <w:rPr>
          <w:rFonts w:ascii="宋体" w:eastAsia="宋体"/>
          <w:b w:val="0"/>
          <w:color w:val="auto"/>
          <w:kern w:val="2"/>
          <w:sz w:val="24"/>
          <w:szCs w:val="24"/>
        </w:rPr>
      </w:pPr>
      <w:r>
        <w:rPr>
          <w:rFonts w:ascii="宋体" w:eastAsia="宋体"/>
          <w:b w:val="0"/>
          <w:color w:val="auto"/>
          <w:kern w:val="2"/>
          <w:sz w:val="22"/>
          <w:szCs w:val="22"/>
        </w:rPr>
        <w:t>2</w:t>
      </w:r>
      <w:r>
        <w:rPr>
          <w:rFonts w:hint="eastAsia" w:ascii="宋体" w:eastAsia="宋体"/>
          <w:b w:val="0"/>
          <w:color w:val="auto"/>
          <w:kern w:val="2"/>
          <w:sz w:val="22"/>
          <w:szCs w:val="22"/>
        </w:rPr>
        <w:t>、网络接入控制系统采用旁路镜像方式部署在交管专网核心交换机上，需提供终端计算机所属V</w:t>
      </w:r>
      <w:r>
        <w:rPr>
          <w:rFonts w:ascii="宋体" w:eastAsia="宋体"/>
          <w:b w:val="0"/>
          <w:color w:val="auto"/>
          <w:kern w:val="2"/>
          <w:sz w:val="22"/>
          <w:szCs w:val="22"/>
        </w:rPr>
        <w:t>LAN</w:t>
      </w:r>
      <w:r>
        <w:rPr>
          <w:rFonts w:hint="eastAsia" w:ascii="宋体" w:eastAsia="宋体"/>
          <w:b w:val="0"/>
          <w:color w:val="auto"/>
          <w:kern w:val="2"/>
          <w:sz w:val="22"/>
          <w:szCs w:val="22"/>
        </w:rPr>
        <w:t>的镜像流量和一个管理口IP，受设备安全监管系统统一管理。</w:t>
      </w:r>
    </w:p>
    <w:bookmarkEnd w:id="131"/>
    <w:p>
      <w:pPr>
        <w:spacing w:before="120" w:beforeLines="50" w:after="120" w:afterLines="50"/>
        <w:ind w:firstLine="442" w:firstLineChars="200"/>
        <w:rPr>
          <w:rFonts w:ascii="Cambria" w:hAnsi="Cambria" w:eastAsia="宋体"/>
          <w:bCs/>
          <w:color w:val="auto"/>
          <w:kern w:val="2"/>
          <w:sz w:val="28"/>
          <w:szCs w:val="28"/>
        </w:rPr>
      </w:pPr>
      <w:bookmarkStart w:id="132" w:name="_Toc40083775"/>
      <w:r>
        <w:rPr>
          <w:rFonts w:hint="eastAsia" w:ascii="宋体" w:eastAsia="宋体"/>
          <w:b/>
          <w:bCs/>
          <w:color w:val="auto"/>
          <w:kern w:val="2"/>
          <w:sz w:val="22"/>
          <w:szCs w:val="22"/>
        </w:rPr>
        <w:t>安全</w:t>
      </w:r>
      <w:r>
        <w:rPr>
          <w:rFonts w:ascii="宋体" w:eastAsia="宋体"/>
          <w:b/>
          <w:bCs/>
          <w:color w:val="auto"/>
          <w:kern w:val="2"/>
          <w:sz w:val="22"/>
          <w:szCs w:val="22"/>
        </w:rPr>
        <w:t>监管系统功能</w:t>
      </w:r>
      <w:bookmarkEnd w:id="132"/>
    </w:p>
    <w:p>
      <w:pPr>
        <w:spacing w:line="360" w:lineRule="auto"/>
        <w:ind w:firstLine="440" w:firstLineChars="200"/>
        <w:rPr>
          <w:rFonts w:ascii="宋体" w:eastAsia="宋体"/>
          <w:b w:val="0"/>
          <w:color w:val="auto"/>
          <w:kern w:val="2"/>
          <w:sz w:val="24"/>
          <w:szCs w:val="24"/>
        </w:rPr>
      </w:pPr>
      <w:r>
        <w:rPr>
          <w:rFonts w:ascii="宋体" w:eastAsia="宋体"/>
          <w:b w:val="0"/>
          <w:color w:val="auto"/>
          <w:kern w:val="2"/>
          <w:sz w:val="22"/>
          <w:szCs w:val="22"/>
        </w:rPr>
        <w:t>安全监管系统以设备接入管控、网络互联监控、边界注册管理等手段为依托，以全网安全态势综合展示为基础，针对交管专网总体架构、网络拓扑和应用环境进行规划，充分结合国家等级保护建设规范和技术要求，为交管专网基础网络安全运行、信息系统安全应用、信息资源安全共享提供支撑。</w:t>
      </w:r>
    </w:p>
    <w:p>
      <w:pPr>
        <w:spacing w:line="360" w:lineRule="auto"/>
        <w:ind w:firstLine="440" w:firstLineChars="200"/>
        <w:rPr>
          <w:rFonts w:ascii="宋体" w:eastAsia="宋体"/>
          <w:b w:val="0"/>
          <w:color w:val="auto"/>
          <w:kern w:val="2"/>
          <w:sz w:val="22"/>
          <w:szCs w:val="22"/>
        </w:rPr>
      </w:pPr>
      <w:r>
        <w:rPr>
          <w:rFonts w:ascii="宋体" w:eastAsia="宋体"/>
          <w:b w:val="0"/>
          <w:color w:val="auto"/>
          <w:kern w:val="2"/>
          <w:sz w:val="22"/>
          <w:szCs w:val="22"/>
        </w:rPr>
        <w:t>安全监管系统</w:t>
      </w:r>
      <w:r>
        <w:rPr>
          <w:rFonts w:hint="eastAsia" w:ascii="宋体" w:eastAsia="宋体"/>
          <w:b w:val="0"/>
          <w:color w:val="auto"/>
          <w:kern w:val="2"/>
          <w:sz w:val="22"/>
          <w:szCs w:val="22"/>
        </w:rPr>
        <w:t>包括网络</w:t>
      </w:r>
      <w:r>
        <w:rPr>
          <w:rFonts w:ascii="宋体" w:eastAsia="宋体"/>
          <w:b w:val="0"/>
          <w:color w:val="auto"/>
          <w:kern w:val="2"/>
          <w:sz w:val="22"/>
          <w:szCs w:val="22"/>
        </w:rPr>
        <w:t>安全态势集中展现、全网资产实时统计、安全风险自动发现、入网设备统一管控</w:t>
      </w:r>
      <w:r>
        <w:rPr>
          <w:rFonts w:hint="eastAsia" w:ascii="宋体" w:eastAsia="宋体"/>
          <w:b w:val="0"/>
          <w:color w:val="auto"/>
          <w:kern w:val="2"/>
          <w:sz w:val="22"/>
          <w:szCs w:val="22"/>
        </w:rPr>
        <w:t>等</w:t>
      </w:r>
      <w:r>
        <w:rPr>
          <w:rFonts w:ascii="宋体" w:eastAsia="宋体"/>
          <w:b w:val="0"/>
          <w:color w:val="auto"/>
          <w:kern w:val="2"/>
          <w:sz w:val="22"/>
          <w:szCs w:val="22"/>
        </w:rPr>
        <w:t>主要功能。</w:t>
      </w:r>
    </w:p>
    <w:p>
      <w:pPr>
        <w:spacing w:before="120" w:beforeLines="50" w:after="120" w:afterLines="50"/>
        <w:ind w:firstLine="442" w:firstLineChars="200"/>
        <w:rPr>
          <w:rFonts w:ascii="Cambria" w:hAnsi="Cambria" w:eastAsia="宋体"/>
          <w:bCs/>
          <w:color w:val="auto"/>
          <w:kern w:val="2"/>
          <w:sz w:val="28"/>
          <w:szCs w:val="28"/>
        </w:rPr>
      </w:pPr>
      <w:r>
        <w:rPr>
          <w:rFonts w:hint="eastAsia" w:ascii="宋体" w:eastAsia="宋体"/>
          <w:b/>
          <w:bCs/>
          <w:color w:val="auto"/>
          <w:kern w:val="2"/>
          <w:sz w:val="22"/>
          <w:szCs w:val="22"/>
        </w:rPr>
        <w:t>主机监控与审计系统功能</w:t>
      </w:r>
    </w:p>
    <w:p>
      <w:pPr>
        <w:spacing w:line="360" w:lineRule="auto"/>
        <w:ind w:firstLine="440" w:firstLineChars="200"/>
        <w:rPr>
          <w:rFonts w:ascii="宋体" w:eastAsia="宋体"/>
          <w:b w:val="0"/>
          <w:color w:val="auto"/>
          <w:kern w:val="2"/>
          <w:sz w:val="22"/>
          <w:szCs w:val="22"/>
        </w:rPr>
      </w:pPr>
      <w:r>
        <w:rPr>
          <w:rFonts w:hint="eastAsia" w:ascii="宋体" w:eastAsia="宋体"/>
          <w:b w:val="0"/>
          <w:color w:val="auto"/>
          <w:kern w:val="2"/>
          <w:sz w:val="22"/>
          <w:szCs w:val="22"/>
        </w:rPr>
        <w:t>系统功能管控目的：主动防御、自动探测、自动阻断各种形式的违规外联，有效防止交管专网设备违规外联引发的安全风险。系统主要功能：网络状态监测、实时抓包分析、定时外联监测、网络数据通讯控制、禁用端口设备。</w:t>
      </w:r>
    </w:p>
    <w:p>
      <w:pPr>
        <w:keepNext/>
        <w:keepLines/>
        <w:numPr>
          <w:ilvl w:val="2"/>
          <w:numId w:val="49"/>
        </w:numPr>
        <w:spacing w:before="120" w:after="120" w:line="360" w:lineRule="auto"/>
        <w:ind w:firstLine="640" w:firstLineChars="200"/>
        <w:outlineLvl w:val="2"/>
        <w:rPr>
          <w:rFonts w:ascii="Times New Roman" w:hAnsi="Times New Roman" w:eastAsia="黑体"/>
          <w:b w:val="0"/>
          <w:bCs/>
          <w:vanish/>
          <w:color w:val="auto"/>
          <w:kern w:val="2"/>
          <w:sz w:val="32"/>
          <w:szCs w:val="32"/>
        </w:rPr>
      </w:pPr>
      <w:bookmarkStart w:id="133" w:name="_Toc43110567"/>
      <w:bookmarkEnd w:id="133"/>
      <w:bookmarkStart w:id="134" w:name="_Toc43388977"/>
      <w:bookmarkEnd w:id="134"/>
      <w:bookmarkStart w:id="135" w:name="_Toc43389050"/>
      <w:bookmarkEnd w:id="135"/>
      <w:bookmarkStart w:id="136" w:name="_Toc43414841"/>
      <w:bookmarkEnd w:id="136"/>
      <w:bookmarkStart w:id="137" w:name="_Toc43414896"/>
      <w:bookmarkEnd w:id="137"/>
      <w:bookmarkStart w:id="138" w:name="_Toc43414950"/>
      <w:bookmarkEnd w:id="138"/>
      <w:bookmarkStart w:id="139" w:name="_Toc43913889"/>
      <w:bookmarkEnd w:id="139"/>
      <w:bookmarkStart w:id="140" w:name="_Toc43914116"/>
      <w:bookmarkEnd w:id="140"/>
      <w:bookmarkStart w:id="141" w:name="_Toc43415044"/>
      <w:bookmarkEnd w:id="141"/>
      <w:bookmarkStart w:id="142" w:name="_Toc43914227"/>
      <w:bookmarkEnd w:id="142"/>
      <w:bookmarkStart w:id="143" w:name="_Toc43914338"/>
      <w:bookmarkEnd w:id="143"/>
      <w:bookmarkStart w:id="144" w:name="_Toc43914448"/>
      <w:bookmarkEnd w:id="144"/>
      <w:bookmarkStart w:id="145" w:name="_Toc42513050"/>
      <w:bookmarkEnd w:id="145"/>
      <w:bookmarkStart w:id="146" w:name="_Toc42624920"/>
      <w:bookmarkEnd w:id="146"/>
      <w:bookmarkStart w:id="147" w:name="_Toc27084"/>
    </w:p>
    <w:p>
      <w:pPr>
        <w:keepNext/>
        <w:keepLines/>
        <w:numPr>
          <w:ilvl w:val="2"/>
          <w:numId w:val="49"/>
        </w:numPr>
        <w:spacing w:before="120" w:after="120" w:line="360" w:lineRule="auto"/>
        <w:ind w:firstLine="640" w:firstLineChars="200"/>
        <w:outlineLvl w:val="2"/>
        <w:rPr>
          <w:rFonts w:ascii="Times New Roman" w:hAnsi="Times New Roman" w:eastAsia="黑体"/>
          <w:b w:val="0"/>
          <w:bCs/>
          <w:vanish/>
          <w:color w:val="auto"/>
          <w:kern w:val="2"/>
          <w:sz w:val="32"/>
          <w:szCs w:val="32"/>
        </w:rPr>
      </w:pPr>
      <w:bookmarkStart w:id="148" w:name="_Toc43414951"/>
      <w:bookmarkEnd w:id="148"/>
      <w:bookmarkStart w:id="149" w:name="_Toc42513051"/>
      <w:bookmarkEnd w:id="149"/>
      <w:bookmarkStart w:id="150" w:name="_Toc42624921"/>
      <w:bookmarkEnd w:id="150"/>
      <w:bookmarkStart w:id="151" w:name="_Toc43914228"/>
      <w:bookmarkEnd w:id="151"/>
      <w:bookmarkStart w:id="152" w:name="_Toc43415045"/>
      <w:bookmarkEnd w:id="152"/>
      <w:bookmarkStart w:id="153" w:name="_Toc43914117"/>
      <w:bookmarkEnd w:id="153"/>
      <w:bookmarkStart w:id="154" w:name="_Toc43913890"/>
      <w:bookmarkEnd w:id="154"/>
      <w:bookmarkStart w:id="155" w:name="_Toc43914449"/>
      <w:bookmarkEnd w:id="155"/>
      <w:bookmarkStart w:id="156" w:name="_Toc43388978"/>
      <w:bookmarkEnd w:id="156"/>
      <w:bookmarkStart w:id="157" w:name="_Toc43110568"/>
      <w:bookmarkEnd w:id="157"/>
      <w:bookmarkStart w:id="158" w:name="_Toc43414842"/>
      <w:bookmarkEnd w:id="158"/>
      <w:bookmarkStart w:id="159" w:name="_Toc43914339"/>
      <w:bookmarkEnd w:id="159"/>
      <w:bookmarkStart w:id="160" w:name="_Toc43414897"/>
      <w:bookmarkEnd w:id="160"/>
      <w:bookmarkStart w:id="161" w:name="_Toc43389051"/>
      <w:bookmarkEnd w:id="161"/>
    </w:p>
    <w:bookmarkEnd w:id="147"/>
    <w:p>
      <w:pPr>
        <w:spacing w:before="120" w:beforeLines="50" w:after="120" w:afterLines="50"/>
        <w:ind w:firstLine="442" w:firstLineChars="200"/>
        <w:rPr>
          <w:rFonts w:ascii="Cambria" w:hAnsi="Cambria" w:eastAsia="宋体"/>
          <w:b/>
          <w:bCs/>
          <w:color w:val="auto"/>
          <w:kern w:val="2"/>
          <w:sz w:val="28"/>
          <w:szCs w:val="28"/>
        </w:rPr>
      </w:pPr>
      <w:bookmarkStart w:id="162" w:name="_Toc40083779"/>
      <w:bookmarkStart w:id="163" w:name="_Toc35528852"/>
      <w:r>
        <w:rPr>
          <w:rFonts w:hint="eastAsia" w:ascii="宋体" w:eastAsia="宋体"/>
          <w:b/>
          <w:bCs/>
          <w:color w:val="auto"/>
          <w:kern w:val="2"/>
          <w:sz w:val="22"/>
          <w:szCs w:val="22"/>
        </w:rPr>
        <w:t>网络接入控制系统</w:t>
      </w:r>
      <w:bookmarkEnd w:id="162"/>
      <w:bookmarkEnd w:id="163"/>
    </w:p>
    <w:p>
      <w:pPr>
        <w:keepNext/>
        <w:keepLines/>
        <w:numPr>
          <w:ilvl w:val="2"/>
          <w:numId w:val="49"/>
        </w:numPr>
        <w:spacing w:before="120" w:after="120" w:line="360" w:lineRule="auto"/>
        <w:ind w:firstLine="640" w:firstLineChars="200"/>
        <w:outlineLvl w:val="2"/>
        <w:rPr>
          <w:rFonts w:ascii="Times New Roman" w:hAnsi="Times New Roman" w:eastAsia="黑体"/>
          <w:b w:val="0"/>
          <w:bCs/>
          <w:vanish/>
          <w:color w:val="auto"/>
          <w:kern w:val="2"/>
          <w:sz w:val="32"/>
          <w:szCs w:val="32"/>
        </w:rPr>
      </w:pPr>
      <w:bookmarkStart w:id="164" w:name="_Toc43389052"/>
      <w:bookmarkEnd w:id="164"/>
      <w:bookmarkStart w:id="165" w:name="_Toc43414952"/>
      <w:bookmarkEnd w:id="165"/>
      <w:bookmarkStart w:id="166" w:name="_Toc43913891"/>
      <w:bookmarkEnd w:id="166"/>
      <w:bookmarkStart w:id="167" w:name="_Toc43415046"/>
      <w:bookmarkEnd w:id="167"/>
      <w:bookmarkStart w:id="168" w:name="_Toc43414898"/>
      <w:bookmarkEnd w:id="168"/>
      <w:bookmarkStart w:id="169" w:name="_Toc43414843"/>
      <w:bookmarkEnd w:id="169"/>
      <w:bookmarkStart w:id="170" w:name="_Toc43914118"/>
      <w:bookmarkEnd w:id="170"/>
      <w:bookmarkStart w:id="171" w:name="_Toc43914229"/>
      <w:bookmarkEnd w:id="171"/>
      <w:bookmarkStart w:id="172" w:name="_Toc43914450"/>
      <w:bookmarkEnd w:id="172"/>
      <w:bookmarkStart w:id="173" w:name="_Toc42624923"/>
      <w:bookmarkEnd w:id="173"/>
      <w:bookmarkStart w:id="174" w:name="_Toc43110569"/>
      <w:bookmarkEnd w:id="174"/>
      <w:bookmarkStart w:id="175" w:name="_Toc43388979"/>
      <w:bookmarkEnd w:id="175"/>
      <w:bookmarkStart w:id="176" w:name="_Toc42513053"/>
      <w:bookmarkEnd w:id="176"/>
      <w:bookmarkStart w:id="177" w:name="_Toc43914340"/>
      <w:bookmarkEnd w:id="177"/>
      <w:bookmarkStart w:id="178" w:name="_Toc35528853"/>
      <w:bookmarkStart w:id="179" w:name="_Toc40083780"/>
    </w:p>
    <w:bookmarkEnd w:id="178"/>
    <w:bookmarkEnd w:id="179"/>
    <w:p>
      <w:pPr>
        <w:spacing w:line="360" w:lineRule="auto"/>
        <w:ind w:firstLine="440" w:firstLineChars="200"/>
        <w:rPr>
          <w:rFonts w:ascii="宋体" w:eastAsia="宋体"/>
          <w:b w:val="0"/>
          <w:color w:val="auto"/>
          <w:kern w:val="2"/>
          <w:sz w:val="22"/>
          <w:szCs w:val="22"/>
        </w:rPr>
      </w:pPr>
      <w:bookmarkStart w:id="180" w:name="_Toc40083781"/>
      <w:bookmarkStart w:id="181" w:name="_Toc35528854"/>
      <w:r>
        <w:rPr>
          <w:rFonts w:hint="eastAsia" w:ascii="宋体" w:eastAsia="宋体"/>
          <w:b w:val="0"/>
          <w:color w:val="auto"/>
          <w:kern w:val="2"/>
          <w:sz w:val="22"/>
          <w:szCs w:val="22"/>
        </w:rPr>
        <w:t>网络接入控制系统采用多重网络准入控制技术，对未注册终端访问网络进行准入控制。当未注册终端在接入网络，访问网络资源之前，系统可自动发现接入网络的未注册终端，并能识别终端类型，如属于应注册终端则对该终端进行强制认证、跳转注册，注册完成后系统对其进行入网体检，符合入网条件终端才可正常访问网络资源。</w:t>
      </w:r>
    </w:p>
    <w:p>
      <w:pPr>
        <w:spacing w:line="360" w:lineRule="auto"/>
        <w:ind w:firstLine="440" w:firstLineChars="200"/>
        <w:rPr>
          <w:rFonts w:ascii="宋体" w:eastAsia="宋体"/>
          <w:b w:val="0"/>
          <w:color w:val="auto"/>
          <w:kern w:val="2"/>
          <w:sz w:val="24"/>
          <w:szCs w:val="24"/>
        </w:rPr>
      </w:pPr>
      <w:r>
        <w:rPr>
          <w:rFonts w:hint="eastAsia" w:ascii="宋体" w:eastAsia="宋体"/>
          <w:b w:val="0"/>
          <w:color w:val="auto"/>
          <w:kern w:val="2"/>
          <w:sz w:val="22"/>
          <w:szCs w:val="22"/>
        </w:rPr>
        <w:t>网络接入控制系统其本身就是一个网络设备，采用旁路部署方式，支持动态</w:t>
      </w:r>
      <w:r>
        <w:rPr>
          <w:rFonts w:ascii="宋体" w:eastAsia="宋体"/>
          <w:b w:val="0"/>
          <w:color w:val="auto"/>
          <w:kern w:val="2"/>
          <w:sz w:val="22"/>
          <w:szCs w:val="22"/>
        </w:rPr>
        <w:t>IP与静态IP入网，不改变原有网络环境，具有很好的网络环境适应性；</w:t>
      </w:r>
      <w:r>
        <w:rPr>
          <w:rFonts w:hint="eastAsia" w:ascii="宋体" w:eastAsia="宋体"/>
          <w:b w:val="0"/>
          <w:color w:val="auto"/>
          <w:kern w:val="2"/>
          <w:sz w:val="22"/>
          <w:szCs w:val="22"/>
        </w:rPr>
        <w:t>支持对网中网设备的精确准入控制</w:t>
      </w:r>
      <w:r>
        <w:rPr>
          <w:rFonts w:ascii="宋体" w:eastAsia="宋体"/>
          <w:b w:val="0"/>
          <w:color w:val="auto"/>
          <w:kern w:val="2"/>
          <w:sz w:val="22"/>
          <w:szCs w:val="22"/>
        </w:rPr>
        <w:t>系统部署简单</w:t>
      </w:r>
      <w:r>
        <w:rPr>
          <w:rFonts w:hint="eastAsia" w:ascii="宋体" w:eastAsia="宋体"/>
          <w:b w:val="0"/>
          <w:color w:val="auto"/>
          <w:kern w:val="2"/>
          <w:sz w:val="22"/>
          <w:szCs w:val="22"/>
        </w:rPr>
        <w:t>；</w:t>
      </w:r>
      <w:r>
        <w:rPr>
          <w:rFonts w:ascii="宋体" w:eastAsia="宋体"/>
          <w:b w:val="0"/>
          <w:color w:val="auto"/>
          <w:kern w:val="2"/>
          <w:sz w:val="22"/>
          <w:szCs w:val="22"/>
        </w:rPr>
        <w:t>维护工作量小，切合用户实际要求。</w:t>
      </w:r>
    </w:p>
    <w:bookmarkEnd w:id="180"/>
    <w:bookmarkEnd w:id="181"/>
    <w:p>
      <w:pPr>
        <w:spacing w:before="120" w:beforeLines="50" w:after="120" w:afterLines="50"/>
        <w:ind w:firstLine="442" w:firstLineChars="200"/>
        <w:rPr>
          <w:rFonts w:ascii="Cambria" w:hAnsi="Cambria" w:eastAsia="宋体"/>
          <w:bCs/>
          <w:color w:val="auto"/>
          <w:kern w:val="2"/>
          <w:sz w:val="28"/>
          <w:szCs w:val="28"/>
        </w:rPr>
      </w:pPr>
      <w:bookmarkStart w:id="182" w:name="_Toc35528857"/>
      <w:bookmarkStart w:id="183" w:name="_Toc40083783"/>
      <w:r>
        <w:rPr>
          <w:rFonts w:hint="eastAsia" w:ascii="宋体" w:eastAsia="宋体"/>
          <w:b/>
          <w:bCs/>
          <w:color w:val="auto"/>
          <w:kern w:val="2"/>
          <w:sz w:val="22"/>
          <w:szCs w:val="22"/>
        </w:rPr>
        <w:t>网络资产与边界感知系统</w:t>
      </w:r>
      <w:bookmarkEnd w:id="182"/>
      <w:bookmarkEnd w:id="183"/>
    </w:p>
    <w:p>
      <w:pPr>
        <w:keepNext/>
        <w:keepLines/>
        <w:numPr>
          <w:ilvl w:val="2"/>
          <w:numId w:val="49"/>
        </w:numPr>
        <w:spacing w:before="120" w:after="120" w:line="360" w:lineRule="auto"/>
        <w:ind w:firstLine="640" w:firstLineChars="200"/>
        <w:outlineLvl w:val="2"/>
        <w:rPr>
          <w:rFonts w:ascii="Times New Roman" w:hAnsi="Times New Roman" w:eastAsia="黑体"/>
          <w:b w:val="0"/>
          <w:bCs/>
          <w:vanish/>
          <w:color w:val="auto"/>
          <w:kern w:val="2"/>
          <w:sz w:val="32"/>
          <w:szCs w:val="32"/>
        </w:rPr>
      </w:pPr>
      <w:bookmarkStart w:id="184" w:name="_Toc43110570"/>
      <w:bookmarkEnd w:id="184"/>
      <w:bookmarkStart w:id="185" w:name="_Toc43388980"/>
      <w:bookmarkEnd w:id="185"/>
      <w:bookmarkStart w:id="186" w:name="_Toc42513055"/>
      <w:bookmarkEnd w:id="186"/>
      <w:bookmarkStart w:id="187" w:name="_Toc43414844"/>
      <w:bookmarkEnd w:id="187"/>
      <w:bookmarkStart w:id="188" w:name="_Toc43414899"/>
      <w:bookmarkEnd w:id="188"/>
      <w:bookmarkStart w:id="189" w:name="_Toc43389053"/>
      <w:bookmarkEnd w:id="189"/>
      <w:bookmarkStart w:id="190" w:name="_Toc42624925"/>
      <w:bookmarkEnd w:id="190"/>
      <w:bookmarkStart w:id="191" w:name="_Toc43414953"/>
      <w:bookmarkEnd w:id="191"/>
      <w:bookmarkStart w:id="192" w:name="_Toc43914230"/>
      <w:bookmarkEnd w:id="192"/>
      <w:bookmarkStart w:id="193" w:name="_Toc43415047"/>
      <w:bookmarkEnd w:id="193"/>
      <w:bookmarkStart w:id="194" w:name="_Toc43914341"/>
      <w:bookmarkEnd w:id="194"/>
      <w:bookmarkStart w:id="195" w:name="_Toc43913892"/>
      <w:bookmarkEnd w:id="195"/>
      <w:bookmarkStart w:id="196" w:name="_Toc43914451"/>
      <w:bookmarkEnd w:id="196"/>
      <w:bookmarkStart w:id="197" w:name="_Toc43914119"/>
      <w:bookmarkEnd w:id="197"/>
      <w:bookmarkStart w:id="198" w:name="_Toc35528858"/>
      <w:bookmarkStart w:id="199" w:name="_Toc40083784"/>
    </w:p>
    <w:bookmarkEnd w:id="198"/>
    <w:bookmarkEnd w:id="199"/>
    <w:p>
      <w:pPr>
        <w:spacing w:line="360" w:lineRule="auto"/>
        <w:ind w:firstLine="440" w:firstLineChars="200"/>
        <w:rPr>
          <w:rFonts w:ascii="宋体" w:eastAsia="宋体"/>
          <w:b w:val="0"/>
          <w:color w:val="auto"/>
          <w:kern w:val="2"/>
          <w:sz w:val="22"/>
          <w:szCs w:val="22"/>
        </w:rPr>
      </w:pPr>
      <w:bookmarkStart w:id="200" w:name="_Toc35528859"/>
      <w:bookmarkStart w:id="201" w:name="_Toc40083785"/>
      <w:r>
        <w:rPr>
          <w:rFonts w:hint="eastAsia" w:ascii="宋体" w:eastAsia="宋体"/>
          <w:b w:val="0"/>
          <w:color w:val="auto"/>
          <w:kern w:val="2"/>
          <w:sz w:val="22"/>
          <w:szCs w:val="22"/>
        </w:rPr>
        <w:t>网络资产与边界感知系统是网关型产品，部署在交换机镜像口上，通过流量分析与主动探测实现机构或企业内网中的网络结构、硬件资产、服务资产、网络边界、违规行为的感知，核心目标是确保用户网络的边界完整性，保障用户网络的物理隔离和边界防护措施到位、有效，为内网安全运营提供技术支撑。</w:t>
      </w:r>
    </w:p>
    <w:p>
      <w:pPr>
        <w:spacing w:line="360" w:lineRule="auto"/>
        <w:ind w:firstLine="440" w:firstLineChars="200"/>
        <w:rPr>
          <w:rFonts w:ascii="宋体" w:eastAsia="宋体"/>
          <w:b w:val="0"/>
          <w:color w:val="auto"/>
          <w:kern w:val="2"/>
          <w:sz w:val="22"/>
          <w:szCs w:val="22"/>
        </w:rPr>
      </w:pPr>
      <w:r>
        <w:rPr>
          <w:rFonts w:hint="eastAsia" w:ascii="宋体" w:eastAsia="宋体"/>
          <w:b w:val="0"/>
          <w:color w:val="auto"/>
          <w:kern w:val="2"/>
          <w:sz w:val="22"/>
          <w:szCs w:val="22"/>
        </w:rPr>
        <w:t>网络资产与边界感知系统建设完成后，改变了传统的对边界及其他违规行为的检查模式，实现对边界及违规行为的日常化监测与检查。</w:t>
      </w:r>
    </w:p>
    <w:p>
      <w:pPr>
        <w:spacing w:line="360" w:lineRule="auto"/>
        <w:ind w:firstLine="440" w:firstLineChars="200"/>
        <w:rPr>
          <w:rFonts w:ascii="宋体" w:eastAsia="宋体"/>
          <w:b w:val="0"/>
          <w:color w:val="auto"/>
          <w:kern w:val="2"/>
          <w:sz w:val="22"/>
          <w:szCs w:val="22"/>
        </w:rPr>
      </w:pPr>
      <w:r>
        <w:rPr>
          <w:rFonts w:hint="eastAsia" w:ascii="宋体" w:eastAsia="宋体"/>
          <w:b w:val="0"/>
          <w:color w:val="auto"/>
          <w:kern w:val="2"/>
          <w:sz w:val="22"/>
          <w:szCs w:val="22"/>
        </w:rPr>
        <w:t>与传统的在服务端部署软件或在重要应用系统中植入插件代码方式相比，边界监测技术有四个优点：一、不会对服务器和应用系统产生影响，确保其稳定性；二、部署、实施简单，不改变网络结构、不影响现有环境；三、监测范围全面，只要从交换机经过的流量就能分析其合规性；四、互联网与内网服务器的双向认证保证了监测数据的准确性。</w:t>
      </w:r>
    </w:p>
    <w:p>
      <w:pPr>
        <w:spacing w:line="360" w:lineRule="auto"/>
        <w:ind w:firstLine="440" w:firstLineChars="200"/>
        <w:rPr>
          <w:rFonts w:ascii="宋体" w:eastAsia="宋体"/>
          <w:b w:val="0"/>
          <w:color w:val="auto"/>
          <w:kern w:val="2"/>
          <w:sz w:val="22"/>
          <w:szCs w:val="22"/>
        </w:rPr>
      </w:pPr>
      <w:r>
        <w:rPr>
          <w:rFonts w:hint="eastAsia" w:ascii="宋体" w:eastAsia="宋体"/>
          <w:b w:val="0"/>
          <w:color w:val="auto"/>
          <w:kern w:val="2"/>
          <w:sz w:val="22"/>
          <w:szCs w:val="22"/>
        </w:rPr>
        <w:t>系统主要功能：内外网互联行为发现、非授权外联行为发现、移动设备接入发现、信息外泄行为发现、</w:t>
      </w:r>
      <w:r>
        <w:rPr>
          <w:rFonts w:ascii="宋体" w:eastAsia="宋体"/>
          <w:b w:val="0"/>
          <w:color w:val="auto"/>
          <w:kern w:val="2"/>
          <w:sz w:val="22"/>
          <w:szCs w:val="22"/>
        </w:rPr>
        <w:t>NAT</w:t>
      </w:r>
      <w:r>
        <w:rPr>
          <w:rFonts w:hint="eastAsia" w:ascii="宋体" w:eastAsia="宋体"/>
          <w:b w:val="0"/>
          <w:color w:val="auto"/>
          <w:kern w:val="2"/>
          <w:sz w:val="22"/>
          <w:szCs w:val="22"/>
        </w:rPr>
        <w:t>边界发现、网闸发现、多网卡边界发现、网络出口、上网代理、无线</w:t>
      </w:r>
      <w:r>
        <w:rPr>
          <w:rFonts w:ascii="宋体" w:eastAsia="宋体"/>
          <w:b w:val="0"/>
          <w:color w:val="auto"/>
          <w:kern w:val="2"/>
          <w:sz w:val="22"/>
          <w:szCs w:val="22"/>
        </w:rPr>
        <w:t>AP</w:t>
      </w:r>
      <w:r>
        <w:rPr>
          <w:rFonts w:hint="eastAsia" w:ascii="宋体" w:eastAsia="宋体"/>
          <w:b w:val="0"/>
          <w:color w:val="auto"/>
          <w:kern w:val="2"/>
          <w:sz w:val="22"/>
          <w:szCs w:val="22"/>
        </w:rPr>
        <w:t>、边界备案。</w:t>
      </w:r>
    </w:p>
    <w:bookmarkEnd w:id="200"/>
    <w:bookmarkEnd w:id="201"/>
    <w:p>
      <w:pPr>
        <w:keepNext/>
        <w:keepLines/>
        <w:numPr>
          <w:ilvl w:val="1"/>
          <w:numId w:val="0"/>
        </w:numPr>
        <w:spacing w:line="360" w:lineRule="auto"/>
        <w:jc w:val="left"/>
        <w:outlineLvl w:val="1"/>
        <w:rPr>
          <w:rFonts w:hint="eastAsia" w:ascii="Cambria" w:hAnsi="Cambria" w:eastAsia="宋体" w:cs="Times New Roman"/>
          <w:b/>
          <w:bCs/>
          <w:color w:val="auto"/>
          <w:kern w:val="2"/>
          <w:sz w:val="24"/>
          <w:szCs w:val="24"/>
        </w:rPr>
      </w:pPr>
      <w:r>
        <w:rPr>
          <w:rFonts w:hint="eastAsia" w:ascii="Cambria" w:hAnsi="Cambria" w:eastAsia="宋体" w:cs="Times New Roman"/>
          <w:b/>
          <w:bCs/>
          <w:color w:val="auto"/>
          <w:kern w:val="2"/>
          <w:sz w:val="24"/>
          <w:szCs w:val="24"/>
        </w:rPr>
        <w:t>4.2配套软件</w:t>
      </w:r>
      <w:bookmarkEnd w:id="31"/>
      <w:r>
        <w:rPr>
          <w:rFonts w:hint="eastAsia" w:ascii="Cambria" w:hAnsi="Cambria" w:eastAsia="宋体" w:cs="Times New Roman"/>
          <w:b/>
          <w:bCs/>
          <w:color w:val="auto"/>
          <w:kern w:val="2"/>
          <w:sz w:val="24"/>
          <w:szCs w:val="24"/>
        </w:rPr>
        <w:t>系统要求</w:t>
      </w:r>
    </w:p>
    <w:p>
      <w:pPr>
        <w:keepNext/>
        <w:keepLines/>
        <w:numPr>
          <w:ilvl w:val="2"/>
          <w:numId w:val="0"/>
        </w:numPr>
        <w:spacing w:before="120" w:beforeLines="50" w:after="120" w:afterLines="50"/>
        <w:jc w:val="left"/>
        <w:outlineLvl w:val="2"/>
        <w:rPr>
          <w:rFonts w:ascii="Calibri" w:hAnsi="Calibri" w:eastAsia="宋体"/>
          <w:bCs/>
          <w:color w:val="auto"/>
          <w:kern w:val="2"/>
          <w:sz w:val="24"/>
          <w:szCs w:val="24"/>
        </w:rPr>
      </w:pPr>
      <w:r>
        <w:rPr>
          <w:rFonts w:hint="eastAsia" w:ascii="Calibri" w:hAnsi="Calibri" w:eastAsia="宋体"/>
          <w:b/>
          <w:bCs w:val="0"/>
          <w:color w:val="auto"/>
          <w:kern w:val="2"/>
          <w:sz w:val="24"/>
          <w:szCs w:val="24"/>
        </w:rPr>
        <w:t>4.</w:t>
      </w:r>
      <w:r>
        <w:rPr>
          <w:rFonts w:ascii="Calibri" w:hAnsi="Calibri" w:eastAsia="宋体"/>
          <w:b/>
          <w:bCs w:val="0"/>
          <w:color w:val="auto"/>
          <w:kern w:val="2"/>
          <w:sz w:val="24"/>
          <w:szCs w:val="24"/>
        </w:rPr>
        <w:t>2</w:t>
      </w:r>
      <w:r>
        <w:rPr>
          <w:rFonts w:hint="eastAsia" w:ascii="Calibri" w:hAnsi="Calibri" w:eastAsia="宋体"/>
          <w:b/>
          <w:bCs w:val="0"/>
          <w:color w:val="auto"/>
          <w:kern w:val="2"/>
          <w:sz w:val="24"/>
          <w:szCs w:val="24"/>
        </w:rPr>
        <w:t>.1路口车辆溢出事件检测及路段全程拼接交通事件感知应用</w:t>
      </w:r>
      <w:r>
        <w:rPr>
          <w:rFonts w:ascii="Calibri" w:hAnsi="Calibri" w:eastAsia="宋体"/>
          <w:b/>
          <w:bCs w:val="0"/>
          <w:color w:val="auto"/>
          <w:kern w:val="2"/>
          <w:sz w:val="24"/>
          <w:szCs w:val="24"/>
        </w:rPr>
        <w:t>平台</w:t>
      </w:r>
    </w:p>
    <w:p>
      <w:pPr>
        <w:pStyle w:val="2"/>
        <w:jc w:val="both"/>
        <w:rPr>
          <w:rFonts w:hint="eastAsia"/>
          <w:lang w:val="en-US"/>
        </w:rPr>
      </w:pPr>
      <w:r>
        <w:rPr>
          <w:rFonts w:hint="eastAsia" w:ascii="Calibri" w:hAnsi="Calibri" w:cs="Times New Roman"/>
          <w:bCs/>
          <w:color w:val="auto"/>
          <w:kern w:val="2"/>
          <w:sz w:val="24"/>
          <w:szCs w:val="24"/>
          <w:lang w:val="en-US"/>
        </w:rPr>
        <w:t>（1）</w:t>
      </w:r>
      <w:r>
        <w:rPr>
          <w:rFonts w:hint="eastAsia" w:ascii="Calibri" w:hAnsi="Calibri" w:cs="Times New Roman"/>
          <w:bCs/>
          <w:color w:val="auto"/>
          <w:kern w:val="2"/>
          <w:sz w:val="24"/>
          <w:szCs w:val="24"/>
          <w:lang w:val="en-GB"/>
        </w:rPr>
        <w:t>路口车辆溢出事件检测</w:t>
      </w:r>
    </w:p>
    <w:p>
      <w:pPr>
        <w:adjustRightInd w:val="0"/>
        <w:snapToGrid w:val="0"/>
        <w:spacing w:line="360" w:lineRule="auto"/>
        <w:ind w:firstLine="440" w:firstLineChars="200"/>
        <w:rPr>
          <w:rFonts w:ascii="宋体" w:eastAsia="宋体" w:cs="宋体"/>
          <w:b w:val="0"/>
          <w:bCs/>
          <w:sz w:val="22"/>
          <w:szCs w:val="22"/>
        </w:rPr>
      </w:pPr>
      <w:r>
        <w:rPr>
          <w:rFonts w:hint="eastAsia" w:ascii="宋体" w:eastAsia="宋体" w:cs="宋体"/>
          <w:b w:val="0"/>
          <w:bCs/>
          <w:sz w:val="22"/>
          <w:szCs w:val="22"/>
        </w:rPr>
        <w:t>广域雷达微波检测器大区域检测的特性，广域雷达可以做到“一机复用”的功能，兼顾监测出口道车辆运行状态，在降低设备的安装成本，提升路口的通行效率。此外，利用广域雷达特有的数据类型，升级瓶颈控制控制模型，以速度和区间车辆数来代替原有的压占式触发方式。</w:t>
      </w:r>
    </w:p>
    <w:p>
      <w:pPr>
        <w:adjustRightInd w:val="0"/>
        <w:snapToGrid w:val="0"/>
        <w:spacing w:line="360" w:lineRule="auto"/>
        <w:ind w:firstLine="440" w:firstLineChars="200"/>
        <w:rPr>
          <w:rFonts w:ascii="宋体" w:eastAsia="宋体" w:cs="宋体"/>
          <w:b w:val="0"/>
          <w:bCs/>
          <w:sz w:val="22"/>
          <w:szCs w:val="22"/>
        </w:rPr>
      </w:pPr>
      <w:r>
        <w:rPr>
          <w:rFonts w:hint="eastAsia" w:ascii="宋体" w:eastAsia="宋体" w:cs="宋体"/>
          <w:b w:val="0"/>
          <w:bCs/>
          <w:sz w:val="22"/>
          <w:szCs w:val="22"/>
        </w:rPr>
        <w:t>广域雷达微波车辆检测器安装于信号灯杆件，实时检测出口位置区域内每一辆目标，实时采集每个目标的速度、位置等信息，每隔一秒采集一次次空间占有率，并设定该区域内速度阀值与空间占有率阀值，阀值可根据实际情况设定，当雷达检测到该区域内目标速度和空间占有率数值超过设定阀值时秒级上报溢出信息，直到溢出信号解除，目标数值降至阀值之内，上报溢出解除信息。</w:t>
      </w:r>
    </w:p>
    <w:p>
      <w:pPr>
        <w:adjustRightInd w:val="0"/>
        <w:snapToGrid w:val="0"/>
        <w:spacing w:line="360" w:lineRule="auto"/>
        <w:ind w:firstLine="442" w:firstLineChars="200"/>
        <w:rPr>
          <w:b/>
          <w:bCs w:val="0"/>
        </w:rPr>
      </w:pPr>
      <w:r>
        <w:rPr>
          <w:rFonts w:hint="eastAsia" w:ascii="宋体" w:eastAsia="宋体" w:cs="宋体"/>
          <w:b/>
          <w:bCs w:val="0"/>
          <w:sz w:val="22"/>
          <w:szCs w:val="22"/>
        </w:rPr>
        <w:t>信号</w:t>
      </w:r>
      <w:r>
        <w:rPr>
          <w:rFonts w:ascii="宋体" w:eastAsia="宋体" w:cs="宋体"/>
          <w:b/>
          <w:bCs w:val="0"/>
          <w:sz w:val="22"/>
          <w:szCs w:val="22"/>
        </w:rPr>
        <w:t>控制</w:t>
      </w:r>
    </w:p>
    <w:p>
      <w:pPr>
        <w:adjustRightInd w:val="0"/>
        <w:snapToGrid w:val="0"/>
        <w:spacing w:line="360" w:lineRule="auto"/>
        <w:ind w:firstLine="440" w:firstLineChars="200"/>
        <w:rPr>
          <w:rFonts w:ascii="宋体" w:eastAsia="宋体" w:cs="宋体"/>
          <w:b w:val="0"/>
          <w:bCs/>
          <w:sz w:val="22"/>
          <w:szCs w:val="22"/>
        </w:rPr>
      </w:pPr>
      <w:r>
        <w:rPr>
          <w:rFonts w:hint="eastAsia" w:ascii="宋体" w:eastAsia="宋体" w:cs="宋体"/>
          <w:b w:val="0"/>
          <w:bCs/>
          <w:sz w:val="22"/>
          <w:szCs w:val="22"/>
        </w:rPr>
        <w:t>溢出事件信息通过网络上报给信控平台或者前端信号机，平台或信号机根据上报的路口溢出信息，及时切断出口方向信号灯绿灯状态，终止车辆的驶入，可以避免了交叉口的锁死。</w:t>
      </w:r>
    </w:p>
    <w:p>
      <w:pPr>
        <w:adjustRightInd w:val="0"/>
        <w:snapToGrid w:val="0"/>
        <w:spacing w:line="360" w:lineRule="auto"/>
        <w:ind w:firstLine="442" w:firstLineChars="200"/>
        <w:rPr>
          <w:b/>
          <w:bCs w:val="0"/>
        </w:rPr>
      </w:pPr>
      <w:r>
        <w:rPr>
          <w:rFonts w:hint="eastAsia" w:ascii="宋体" w:eastAsia="宋体" w:cs="宋体"/>
          <w:b/>
          <w:bCs w:val="0"/>
          <w:sz w:val="22"/>
          <w:szCs w:val="22"/>
        </w:rPr>
        <w:t>预警上报</w:t>
      </w:r>
    </w:p>
    <w:p>
      <w:pPr>
        <w:adjustRightInd w:val="0"/>
        <w:snapToGrid w:val="0"/>
        <w:spacing w:line="360" w:lineRule="auto"/>
        <w:ind w:firstLine="440" w:firstLineChars="200"/>
        <w:rPr>
          <w:rFonts w:ascii="宋体" w:eastAsia="宋体" w:cs="宋体"/>
          <w:b w:val="0"/>
          <w:bCs/>
          <w:sz w:val="22"/>
          <w:szCs w:val="22"/>
        </w:rPr>
      </w:pPr>
      <w:r>
        <w:rPr>
          <w:rFonts w:hint="eastAsia" w:ascii="宋体" w:eastAsia="宋体" w:cs="宋体"/>
          <w:b w:val="0"/>
          <w:bCs/>
          <w:sz w:val="22"/>
          <w:szCs w:val="22"/>
        </w:rPr>
        <w:t>雷达及时将溢出事件信息以JSON数据形式上报给后端指挥平台，后端平台可以调取视频查证，将溢出事件信息下发到外场交警手机上，对拥堵溢出交叉口及时的疏通。</w:t>
      </w:r>
    </w:p>
    <w:p>
      <w:pPr>
        <w:adjustRightInd w:val="0"/>
        <w:snapToGrid w:val="0"/>
        <w:spacing w:line="360" w:lineRule="auto"/>
        <w:ind w:firstLine="440" w:firstLineChars="200"/>
        <w:rPr>
          <w:rFonts w:hint="eastAsia"/>
        </w:rPr>
      </w:pPr>
      <w:r>
        <w:rPr>
          <w:rFonts w:hint="eastAsia" w:ascii="宋体" w:eastAsia="宋体" w:cs="宋体"/>
          <w:b w:val="0"/>
          <w:bCs/>
          <w:sz w:val="22"/>
          <w:szCs w:val="22"/>
        </w:rPr>
        <w:t>对城市各个交叉口的溢出事件数据可以做城市交通拥堵态势分析，同时可以对城市各区域的交通畅通状况做评价系统。</w:t>
      </w:r>
    </w:p>
    <w:p>
      <w:pPr>
        <w:pStyle w:val="2"/>
        <w:widowControl/>
        <w:overflowPunct w:val="0"/>
        <w:spacing w:before="0" w:after="0"/>
        <w:jc w:val="both"/>
        <w:textAlignment w:val="baseline"/>
        <w:outlineLvl w:val="9"/>
        <w:rPr>
          <w:rFonts w:hint="eastAsia" w:ascii="Times New Roman" w:hAnsi="Times New Roman" w:cs="Times New Roman"/>
          <w:bCs w:val="0"/>
          <w:color w:val="auto"/>
          <w:kern w:val="0"/>
          <w:sz w:val="24"/>
          <w:szCs w:val="22"/>
          <w:lang w:val="en-US"/>
        </w:rPr>
      </w:pPr>
      <w:r>
        <w:rPr>
          <w:rFonts w:hint="eastAsia" w:ascii="Times New Roman" w:hAnsi="Times New Roman" w:cs="Times New Roman"/>
          <w:bCs w:val="0"/>
          <w:color w:val="auto"/>
          <w:kern w:val="0"/>
          <w:sz w:val="24"/>
          <w:szCs w:val="22"/>
          <w:lang w:val="en-US"/>
        </w:rPr>
        <w:t>（2）路段全程拼接交通事件感知</w:t>
      </w:r>
    </w:p>
    <w:p>
      <w:pPr>
        <w:adjustRightInd w:val="0"/>
        <w:snapToGrid w:val="0"/>
        <w:spacing w:line="360" w:lineRule="auto"/>
        <w:ind w:firstLine="440" w:firstLineChars="200"/>
        <w:rPr>
          <w:rFonts w:ascii="宋体" w:eastAsia="宋体" w:cs="宋体"/>
          <w:b w:val="0"/>
          <w:bCs/>
          <w:sz w:val="22"/>
          <w:szCs w:val="22"/>
        </w:rPr>
      </w:pPr>
      <w:r>
        <w:rPr>
          <w:rFonts w:hint="eastAsia" w:ascii="宋体" w:eastAsia="宋体" w:cs="宋体"/>
          <w:b w:val="0"/>
          <w:bCs/>
          <w:sz w:val="22"/>
          <w:szCs w:val="22"/>
        </w:rPr>
        <w:t>基于广域雷达的路段综合感知系统可以通过多台设备拼接的方式，经过跟踪算法深度融合，对整条路段进行全程或重点路段无死角监控及车辆连续追踪。同时可以联动其他视频设备，可做到雷达监测与视频监控相融合，以达到全天候、精细化、数据多元化的道路运行状态监测。</w:t>
      </w:r>
    </w:p>
    <w:p>
      <w:pPr>
        <w:spacing w:before="120" w:beforeLines="50" w:line="360" w:lineRule="auto"/>
        <w:ind w:firstLine="440" w:firstLineChars="200"/>
        <w:rPr>
          <w:rFonts w:ascii="宋体" w:eastAsia="宋体"/>
          <w:b w:val="0"/>
          <w:color w:val="auto"/>
          <w:kern w:val="2"/>
          <w:sz w:val="22"/>
          <w:szCs w:val="22"/>
        </w:rPr>
      </w:pPr>
      <w:r>
        <w:rPr>
          <w:rFonts w:hint="eastAsia" w:ascii="宋体" w:eastAsia="宋体"/>
          <w:b w:val="0"/>
          <w:color w:val="auto"/>
          <w:kern w:val="2"/>
          <w:sz w:val="22"/>
          <w:szCs w:val="22"/>
        </w:rPr>
        <w:t>广域雷达前端检测事件功能结合枪机/雷球实现事件的抓拍。网络实时上传前端采集数据到事件报警平台，事件平台包含事件预警平台及数据存储处理，数据的深度处理等，平台具备前端交通异常事件的应急响应机制。广域雷达与高清球机相机相结合，该系统可设置雷达检测区域和球机对应检测位置，当车辆经过检测区域时，雷达对目标车辆进行全程跟踪，一旦车辆发生异常或违法事件，雷达立刻调动球机进行抓拍及录制视频取证。具体事件如：</w:t>
      </w:r>
    </w:p>
    <w:p>
      <w:pPr>
        <w:numPr>
          <w:ilvl w:val="0"/>
          <w:numId w:val="50"/>
        </w:numPr>
        <w:spacing w:line="360" w:lineRule="auto"/>
        <w:ind w:left="902"/>
        <w:rPr>
          <w:rFonts w:ascii="宋体" w:hAnsi="Calibri" w:eastAsia="宋体"/>
          <w:b w:val="0"/>
          <w:color w:val="auto"/>
          <w:kern w:val="2"/>
          <w:sz w:val="22"/>
          <w:szCs w:val="22"/>
        </w:rPr>
      </w:pPr>
      <w:r>
        <w:rPr>
          <w:rFonts w:hint="eastAsia" w:ascii="宋体" w:hAnsi="Calibri" w:eastAsia="宋体"/>
          <w:b w:val="0"/>
          <w:color w:val="auto"/>
          <w:kern w:val="2"/>
          <w:sz w:val="22"/>
          <w:szCs w:val="22"/>
        </w:rPr>
        <w:t>事故检测：通过对雷达检测区域分割成不同区间，对比不同区间的速度方差，来判断检测区域内是否有事故发生；</w:t>
      </w:r>
    </w:p>
    <w:p>
      <w:pPr>
        <w:numPr>
          <w:ilvl w:val="0"/>
          <w:numId w:val="50"/>
        </w:numPr>
        <w:spacing w:line="360" w:lineRule="auto"/>
        <w:ind w:left="902"/>
        <w:rPr>
          <w:rFonts w:ascii="宋体" w:hAnsi="Calibri" w:eastAsia="宋体"/>
          <w:b w:val="0"/>
          <w:color w:val="auto"/>
          <w:kern w:val="2"/>
          <w:sz w:val="22"/>
          <w:szCs w:val="22"/>
        </w:rPr>
      </w:pPr>
      <w:r>
        <w:rPr>
          <w:rFonts w:hint="eastAsia" w:ascii="宋体" w:hAnsi="Calibri" w:eastAsia="宋体"/>
          <w:b w:val="0"/>
          <w:color w:val="auto"/>
          <w:kern w:val="2"/>
          <w:sz w:val="22"/>
          <w:szCs w:val="22"/>
        </w:rPr>
        <w:t>异常停车：车辆在道路上由行驶改变为静止状态，且静止时间不小于某一设定值的交通事件，判断为异常停车。</w:t>
      </w:r>
    </w:p>
    <w:p>
      <w:pPr>
        <w:numPr>
          <w:ilvl w:val="0"/>
          <w:numId w:val="50"/>
        </w:numPr>
        <w:spacing w:line="360" w:lineRule="auto"/>
        <w:ind w:left="902"/>
        <w:rPr>
          <w:rFonts w:ascii="宋体" w:hAnsi="Calibri" w:eastAsia="宋体"/>
          <w:b w:val="0"/>
          <w:color w:val="auto"/>
          <w:kern w:val="2"/>
          <w:sz w:val="22"/>
          <w:szCs w:val="22"/>
        </w:rPr>
      </w:pPr>
      <w:r>
        <w:rPr>
          <w:rFonts w:hint="eastAsia" w:ascii="宋体" w:hAnsi="Calibri" w:eastAsia="宋体"/>
          <w:b w:val="0"/>
          <w:color w:val="auto"/>
          <w:kern w:val="2"/>
          <w:sz w:val="22"/>
          <w:szCs w:val="22"/>
        </w:rPr>
        <w:t>非法闯入：该区域禁止目标驶入，当目标违法规定闯入，判断为非法闯入，可进行警示、取证。</w:t>
      </w:r>
    </w:p>
    <w:p>
      <w:pPr>
        <w:numPr>
          <w:ilvl w:val="0"/>
          <w:numId w:val="50"/>
        </w:numPr>
        <w:spacing w:line="360" w:lineRule="auto"/>
        <w:ind w:left="902"/>
        <w:rPr>
          <w:rFonts w:ascii="宋体" w:hAnsi="Calibri" w:eastAsia="宋体"/>
          <w:b w:val="0"/>
          <w:color w:val="auto"/>
          <w:kern w:val="2"/>
          <w:sz w:val="22"/>
          <w:szCs w:val="22"/>
        </w:rPr>
      </w:pPr>
      <w:r>
        <w:rPr>
          <w:rFonts w:hint="eastAsia" w:ascii="宋体" w:hAnsi="Calibri" w:eastAsia="宋体"/>
          <w:b w:val="0"/>
          <w:color w:val="auto"/>
          <w:kern w:val="2"/>
          <w:sz w:val="22"/>
          <w:szCs w:val="22"/>
        </w:rPr>
        <w:t>车辆超高速、超低速：实时跟踪监测车辆速度、位置，发现车辆车速实时上报事件平台，或者结合视频进行抓拍。</w:t>
      </w:r>
    </w:p>
    <w:p>
      <w:pPr>
        <w:numPr>
          <w:ilvl w:val="0"/>
          <w:numId w:val="50"/>
        </w:numPr>
        <w:spacing w:line="360" w:lineRule="auto"/>
        <w:ind w:left="902"/>
        <w:rPr>
          <w:rFonts w:ascii="宋体" w:hAnsi="Calibri" w:eastAsia="宋体"/>
          <w:b w:val="0"/>
          <w:color w:val="auto"/>
          <w:kern w:val="2"/>
          <w:sz w:val="24"/>
          <w:szCs w:val="24"/>
        </w:rPr>
      </w:pPr>
      <w:r>
        <w:rPr>
          <w:rFonts w:hint="eastAsia" w:ascii="宋体" w:hAnsi="Calibri" w:eastAsia="宋体"/>
          <w:b w:val="0"/>
          <w:color w:val="auto"/>
          <w:kern w:val="2"/>
          <w:sz w:val="22"/>
          <w:szCs w:val="22"/>
        </w:rPr>
        <w:t>交通拥堵：根据区域内车辆的平均车速、空间占有率判断当前道路是否拥堵。</w:t>
      </w:r>
    </w:p>
    <w:p>
      <w:pPr>
        <w:keepNext/>
        <w:keepLines/>
        <w:numPr>
          <w:ilvl w:val="2"/>
          <w:numId w:val="0"/>
        </w:numPr>
        <w:spacing w:before="120" w:beforeLines="50" w:after="120" w:afterLines="50"/>
        <w:jc w:val="left"/>
        <w:outlineLvl w:val="2"/>
        <w:rPr>
          <w:rFonts w:hint="eastAsia"/>
        </w:rPr>
      </w:pPr>
      <w:bookmarkStart w:id="202" w:name="_Toc43415026"/>
      <w:bookmarkStart w:id="203" w:name="_Toc43914430"/>
      <w:r>
        <w:rPr>
          <w:rFonts w:hint="eastAsia" w:ascii="Calibri" w:hAnsi="Calibri" w:eastAsia="宋体"/>
          <w:b/>
          <w:bCs w:val="0"/>
          <w:color w:val="auto"/>
          <w:kern w:val="2"/>
          <w:sz w:val="24"/>
          <w:szCs w:val="24"/>
        </w:rPr>
        <w:t>4.2.</w:t>
      </w:r>
      <w:r>
        <w:rPr>
          <w:rFonts w:ascii="Calibri" w:hAnsi="Calibri" w:eastAsia="宋体"/>
          <w:b/>
          <w:bCs w:val="0"/>
          <w:color w:val="auto"/>
          <w:kern w:val="2"/>
          <w:sz w:val="24"/>
          <w:szCs w:val="24"/>
        </w:rPr>
        <w:t>2</w:t>
      </w:r>
      <w:r>
        <w:rPr>
          <w:rFonts w:hint="eastAsia" w:ascii="Calibri" w:hAnsi="Calibri" w:eastAsia="宋体"/>
          <w:b/>
          <w:bCs w:val="0"/>
          <w:color w:val="auto"/>
          <w:kern w:val="2"/>
          <w:sz w:val="24"/>
          <w:szCs w:val="24"/>
        </w:rPr>
        <w:t>路口诊断及应用系统</w:t>
      </w:r>
      <w:bookmarkEnd w:id="202"/>
      <w:bookmarkEnd w:id="203"/>
    </w:p>
    <w:p>
      <w:pPr>
        <w:adjustRightInd w:val="0"/>
        <w:snapToGrid w:val="0"/>
        <w:spacing w:line="360" w:lineRule="auto"/>
        <w:ind w:firstLine="440" w:firstLineChars="200"/>
        <w:rPr>
          <w:rFonts w:ascii="宋体" w:eastAsia="宋体" w:cs="宋体"/>
          <w:b w:val="0"/>
          <w:bCs/>
          <w:sz w:val="22"/>
          <w:szCs w:val="22"/>
        </w:rPr>
      </w:pPr>
      <w:r>
        <w:rPr>
          <w:rFonts w:hint="eastAsia" w:ascii="宋体" w:eastAsia="宋体" w:cs="宋体"/>
          <w:b w:val="0"/>
          <w:bCs/>
          <w:sz w:val="22"/>
          <w:szCs w:val="22"/>
        </w:rPr>
        <w:t>路口信号控制诊断系统</w:t>
      </w:r>
      <w:r>
        <w:rPr>
          <w:rFonts w:ascii="宋体" w:eastAsia="宋体" w:cs="宋体"/>
          <w:b w:val="0"/>
          <w:bCs/>
          <w:sz w:val="22"/>
          <w:szCs w:val="22"/>
        </w:rPr>
        <w:t>主要由</w:t>
      </w:r>
      <w:r>
        <w:rPr>
          <w:rFonts w:hint="eastAsia" w:ascii="宋体" w:eastAsia="宋体" w:cs="宋体"/>
          <w:b w:val="0"/>
          <w:bCs/>
          <w:sz w:val="22"/>
          <w:szCs w:val="22"/>
        </w:rPr>
        <w:t>数据对接子系统和信控应用子系统</w:t>
      </w:r>
      <w:r>
        <w:rPr>
          <w:rFonts w:ascii="宋体" w:eastAsia="宋体" w:cs="宋体"/>
          <w:b w:val="0"/>
          <w:bCs/>
          <w:sz w:val="22"/>
          <w:szCs w:val="22"/>
        </w:rPr>
        <w:t>构成。</w:t>
      </w:r>
      <w:r>
        <w:rPr>
          <w:rFonts w:hint="eastAsia" w:ascii="宋体" w:eastAsia="宋体" w:cs="宋体"/>
          <w:b w:val="0"/>
          <w:bCs/>
          <w:sz w:val="22"/>
          <w:szCs w:val="22"/>
        </w:rPr>
        <w:t>数据对接子系统主要包含互联网数据对接以及城区信号机对接两部分内容。信控应用子系统主要包含路口问题报警、路口指标计算以及配时优化建议工具三部分构成。信号控制诊断系统通过人工智能技术，形成对路口、干线、区域诊断，并能结合历史数据给出相应推荐解决方案。依托互联网数据</w:t>
      </w:r>
      <w:r>
        <w:rPr>
          <w:rFonts w:ascii="宋体" w:eastAsia="宋体" w:cs="宋体"/>
          <w:b w:val="0"/>
          <w:bCs/>
          <w:sz w:val="22"/>
          <w:szCs w:val="22"/>
        </w:rPr>
        <w:t>实现路口的问题诊断、信号优化</w:t>
      </w:r>
      <w:r>
        <w:rPr>
          <w:rFonts w:hint="eastAsia" w:ascii="宋体" w:eastAsia="宋体" w:cs="宋体"/>
          <w:b w:val="0"/>
          <w:bCs/>
          <w:sz w:val="22"/>
          <w:szCs w:val="22"/>
        </w:rPr>
        <w:t>建议</w:t>
      </w:r>
      <w:r>
        <w:rPr>
          <w:rFonts w:ascii="宋体" w:eastAsia="宋体" w:cs="宋体"/>
          <w:b w:val="0"/>
          <w:bCs/>
          <w:sz w:val="22"/>
          <w:szCs w:val="22"/>
        </w:rPr>
        <w:t>等重要功能。</w:t>
      </w:r>
      <w:r>
        <w:rPr>
          <w:rFonts w:hint="eastAsia" w:ascii="宋体" w:eastAsia="宋体" w:cs="宋体"/>
          <w:b w:val="0"/>
          <w:bCs/>
          <w:sz w:val="22"/>
          <w:szCs w:val="22"/>
        </w:rPr>
        <w:t>系统主要用于科学评估温州市城市交通运行的状态，提供城市交通运行指数，用于更好的评价和指导实际工作。</w:t>
      </w:r>
    </w:p>
    <w:p>
      <w:pPr>
        <w:pStyle w:val="2"/>
        <w:widowControl/>
        <w:overflowPunct w:val="0"/>
        <w:spacing w:before="0" w:after="0"/>
        <w:jc w:val="both"/>
        <w:textAlignment w:val="baseline"/>
        <w:outlineLvl w:val="9"/>
        <w:rPr>
          <w:rFonts w:hint="eastAsia" w:ascii="Times New Roman" w:hAnsi="Times New Roman" w:cs="Times New Roman"/>
          <w:bCs w:val="0"/>
          <w:color w:val="auto"/>
          <w:kern w:val="0"/>
          <w:sz w:val="24"/>
          <w:szCs w:val="22"/>
          <w:lang w:val="en-US"/>
        </w:rPr>
      </w:pPr>
      <w:r>
        <w:rPr>
          <w:rFonts w:hint="eastAsia" w:ascii="Times New Roman" w:hAnsi="Times New Roman" w:cs="Times New Roman"/>
          <w:bCs w:val="0"/>
          <w:color w:val="auto"/>
          <w:kern w:val="0"/>
          <w:sz w:val="24"/>
          <w:szCs w:val="22"/>
          <w:lang w:val="en-US"/>
        </w:rPr>
        <w:t>（1）数据对接子系统</w:t>
      </w:r>
    </w:p>
    <w:p>
      <w:pPr>
        <w:spacing w:before="120" w:beforeLines="50" w:after="120" w:afterLines="50"/>
        <w:ind w:firstLine="442" w:firstLineChars="200"/>
        <w:rPr>
          <w:rFonts w:ascii="宋体" w:eastAsia="宋体"/>
          <w:color w:val="auto"/>
          <w:kern w:val="2"/>
          <w:sz w:val="24"/>
          <w:szCs w:val="24"/>
        </w:rPr>
      </w:pPr>
      <w:r>
        <w:rPr>
          <w:rFonts w:hint="eastAsia" w:ascii="宋体" w:eastAsia="宋体"/>
          <w:b/>
          <w:bCs/>
          <w:color w:val="auto"/>
          <w:kern w:val="2"/>
          <w:sz w:val="22"/>
          <w:szCs w:val="22"/>
        </w:rPr>
        <w:t>互联网数据对接</w:t>
      </w:r>
    </w:p>
    <w:p>
      <w:pPr>
        <w:spacing w:before="120" w:beforeLines="50" w:line="360" w:lineRule="auto"/>
        <w:ind w:firstLine="440" w:firstLineChars="200"/>
        <w:rPr>
          <w:rFonts w:ascii="宋体" w:eastAsia="宋体"/>
          <w:b w:val="0"/>
          <w:color w:val="auto"/>
          <w:kern w:val="2"/>
          <w:sz w:val="24"/>
          <w:szCs w:val="24"/>
        </w:rPr>
      </w:pPr>
      <w:r>
        <w:rPr>
          <w:rFonts w:hint="eastAsia" w:ascii="宋体" w:eastAsia="宋体"/>
          <w:b w:val="0"/>
          <w:color w:val="auto"/>
          <w:kern w:val="2"/>
          <w:sz w:val="22"/>
          <w:szCs w:val="22"/>
        </w:rPr>
        <w:t>实时对接互联网数据，对接基于海量浮动车轨迹数据的交通数据服务。利用轨迹数据实时展示全城交通概览状态，以不同颜色标识信控拥堵状态。对延误/停车前20的路口进行排名显示，以不同颜色展示路段的拥堵程度。每个路口延误图时空图排队占比图的实时展示。</w:t>
      </w:r>
    </w:p>
    <w:p>
      <w:pPr>
        <w:spacing w:before="120" w:beforeLines="50" w:after="120" w:afterLines="50"/>
        <w:ind w:firstLine="442" w:firstLineChars="200"/>
        <w:rPr>
          <w:rFonts w:ascii="宋体" w:eastAsia="宋体"/>
          <w:color w:val="auto"/>
          <w:kern w:val="2"/>
          <w:sz w:val="24"/>
          <w:szCs w:val="24"/>
        </w:rPr>
      </w:pPr>
      <w:r>
        <w:rPr>
          <w:rFonts w:hint="eastAsia" w:ascii="宋体" w:eastAsia="宋体"/>
          <w:b/>
          <w:bCs/>
          <w:color w:val="auto"/>
          <w:kern w:val="2"/>
          <w:sz w:val="22"/>
          <w:szCs w:val="22"/>
        </w:rPr>
        <w:t>信号机对接</w:t>
      </w:r>
    </w:p>
    <w:p>
      <w:pPr>
        <w:spacing w:before="120" w:beforeLines="50" w:line="360" w:lineRule="auto"/>
        <w:ind w:firstLine="440" w:firstLineChars="200"/>
        <w:rPr>
          <w:rFonts w:ascii="宋体" w:eastAsia="宋体"/>
          <w:b w:val="0"/>
          <w:color w:val="auto"/>
          <w:kern w:val="2"/>
          <w:sz w:val="22"/>
          <w:szCs w:val="22"/>
        </w:rPr>
      </w:pPr>
      <w:r>
        <w:rPr>
          <w:rFonts w:hint="eastAsia" w:ascii="宋体" w:eastAsia="宋体"/>
          <w:b w:val="0"/>
          <w:color w:val="auto"/>
          <w:kern w:val="2"/>
          <w:sz w:val="22"/>
          <w:szCs w:val="22"/>
        </w:rPr>
        <w:t>与温州市区路口的信号机或信控平台（中策及SCATS）进行协议对接，获取其运行配时方案数据，定期获取其离线背景方案数据。支持SCATS多方案及中策等不同的配时格式，同时记录背景配时的历史版本，实现系统可视化展示查看。支持不同版本配时与其对应时间点的交通指标的同时展示和分析。</w:t>
      </w:r>
    </w:p>
    <w:p>
      <w:pPr>
        <w:spacing w:before="120" w:beforeLines="50" w:after="120" w:afterLines="50"/>
        <w:ind w:firstLine="442" w:firstLineChars="200"/>
        <w:rPr>
          <w:rFonts w:ascii="宋体" w:eastAsia="宋体"/>
          <w:b/>
          <w:bCs/>
          <w:color w:val="auto"/>
          <w:kern w:val="2"/>
          <w:sz w:val="24"/>
          <w:szCs w:val="24"/>
          <w:highlight w:val="yellow"/>
        </w:rPr>
      </w:pPr>
      <w:r>
        <w:rPr>
          <w:rFonts w:hint="eastAsia" w:ascii="宋体" w:eastAsia="宋体"/>
          <w:b/>
          <w:bCs/>
          <w:color w:val="auto"/>
          <w:kern w:val="2"/>
          <w:sz w:val="22"/>
          <w:szCs w:val="22"/>
        </w:rPr>
        <w:t>卡口视频对接</w:t>
      </w:r>
    </w:p>
    <w:p>
      <w:pPr>
        <w:spacing w:before="120" w:beforeLines="50" w:line="360" w:lineRule="auto"/>
        <w:ind w:firstLine="440" w:firstLineChars="200"/>
        <w:rPr>
          <w:rFonts w:ascii="宋体" w:eastAsia="宋体"/>
          <w:b w:val="0"/>
          <w:color w:val="auto"/>
          <w:kern w:val="2"/>
          <w:sz w:val="22"/>
          <w:szCs w:val="22"/>
        </w:rPr>
      </w:pPr>
      <w:r>
        <w:rPr>
          <w:rFonts w:hint="eastAsia" w:ascii="宋体" w:eastAsia="宋体"/>
          <w:b w:val="0"/>
          <w:color w:val="auto"/>
          <w:kern w:val="2"/>
          <w:sz w:val="22"/>
          <w:szCs w:val="22"/>
        </w:rPr>
        <w:t>与温州市城市大脑中枢进行协议对接，获取视频卡口点位信息及视频播放地址，能够在拥堵报警路口进行实时展示卡口视频。</w:t>
      </w:r>
    </w:p>
    <w:p>
      <w:pPr>
        <w:pStyle w:val="2"/>
        <w:jc w:val="both"/>
        <w:rPr>
          <w:rFonts w:ascii="Cambria" w:hAnsi="Cambria"/>
          <w:bCs/>
          <w:kern w:val="2"/>
          <w:sz w:val="28"/>
          <w:szCs w:val="28"/>
        </w:rPr>
      </w:pPr>
      <w:r>
        <w:rPr>
          <w:rFonts w:hint="eastAsia" w:ascii="Times New Roman" w:hAnsi="Times New Roman" w:cs="Times New Roman"/>
          <w:bCs w:val="0"/>
          <w:color w:val="auto"/>
          <w:kern w:val="0"/>
          <w:sz w:val="24"/>
          <w:szCs w:val="22"/>
          <w:lang w:val="en-US"/>
        </w:rPr>
        <w:t>（2）信控应用子系统</w:t>
      </w:r>
    </w:p>
    <w:p>
      <w:pPr>
        <w:spacing w:before="120" w:beforeLines="50" w:after="120" w:afterLines="50"/>
        <w:ind w:firstLine="442" w:firstLineChars="200"/>
        <w:rPr>
          <w:rFonts w:ascii="宋体" w:eastAsia="宋体"/>
          <w:color w:val="auto"/>
          <w:kern w:val="2"/>
          <w:sz w:val="24"/>
          <w:szCs w:val="24"/>
        </w:rPr>
      </w:pPr>
      <w:r>
        <w:rPr>
          <w:rFonts w:hint="eastAsia" w:ascii="宋体" w:eastAsia="宋体"/>
          <w:b/>
          <w:bCs/>
          <w:color w:val="auto"/>
          <w:kern w:val="2"/>
          <w:sz w:val="22"/>
          <w:szCs w:val="22"/>
        </w:rPr>
        <w:t>指标计算及路口问题诊断</w:t>
      </w:r>
    </w:p>
    <w:p>
      <w:pPr>
        <w:spacing w:before="120" w:beforeLines="50" w:line="360" w:lineRule="auto"/>
        <w:ind w:firstLine="440" w:firstLineChars="200"/>
        <w:rPr>
          <w:rFonts w:ascii="宋体" w:eastAsia="宋体"/>
          <w:b w:val="0"/>
          <w:color w:val="auto"/>
          <w:kern w:val="2"/>
          <w:sz w:val="24"/>
          <w:szCs w:val="24"/>
        </w:rPr>
      </w:pPr>
      <w:r>
        <w:rPr>
          <w:rFonts w:hint="eastAsia" w:ascii="宋体" w:eastAsia="宋体"/>
          <w:b w:val="0"/>
          <w:color w:val="auto"/>
          <w:kern w:val="2"/>
          <w:sz w:val="22"/>
          <w:szCs w:val="22"/>
        </w:rPr>
        <w:t>根据轨迹数据对延误、停车、流量、排队长度等基本交通指标进行计算及存储。根据轨迹指标计算，进一步发现路口的问题，对过饱和、溢流、失衡、空放等问题进行诊断和实时报警，依据历史融合交通指标数据的时空分析，对路口进行标签化处理，分析问题成因。针对自定义区域提供可自动生成的例行化的周报。</w:t>
      </w:r>
    </w:p>
    <w:p>
      <w:pPr>
        <w:spacing w:before="120" w:beforeLines="50" w:after="120" w:afterLines="50"/>
        <w:ind w:firstLine="442" w:firstLineChars="200"/>
        <w:rPr>
          <w:rFonts w:ascii="宋体" w:eastAsia="宋体"/>
          <w:color w:val="auto"/>
          <w:kern w:val="2"/>
          <w:sz w:val="24"/>
          <w:szCs w:val="24"/>
        </w:rPr>
      </w:pPr>
      <w:r>
        <w:rPr>
          <w:rFonts w:hint="eastAsia" w:ascii="宋体" w:eastAsia="宋体"/>
          <w:b/>
          <w:bCs/>
          <w:color w:val="auto"/>
          <w:kern w:val="2"/>
          <w:sz w:val="22"/>
          <w:szCs w:val="22"/>
        </w:rPr>
        <w:t>配时优化建议工具</w:t>
      </w:r>
    </w:p>
    <w:p>
      <w:pPr>
        <w:adjustRightInd w:val="0"/>
        <w:snapToGrid w:val="0"/>
        <w:spacing w:line="360" w:lineRule="auto"/>
        <w:ind w:firstLine="440" w:firstLineChars="200"/>
        <w:rPr>
          <w:rFonts w:ascii="宋体" w:eastAsia="宋体" w:cs="宋体"/>
          <w:b w:val="0"/>
          <w:bCs/>
          <w:sz w:val="22"/>
          <w:szCs w:val="22"/>
        </w:rPr>
      </w:pPr>
      <w:r>
        <w:rPr>
          <w:rFonts w:hint="eastAsia" w:ascii="宋体" w:eastAsia="宋体" w:cs="宋体"/>
          <w:b w:val="0"/>
          <w:bCs/>
          <w:sz w:val="22"/>
          <w:szCs w:val="22"/>
        </w:rPr>
        <w:t>依据轨迹数据基本评估指标和问题诊断，根据当前背景方案配时，给出配时运行情况分析，对子区划分、时段划分、周期、相位差、绿信比等参数给出诊断建议。针对SCATS系统的内在机制，提供建议的配时方案集。</w:t>
      </w:r>
    </w:p>
    <w:p>
      <w:pPr>
        <w:pStyle w:val="2"/>
        <w:jc w:val="both"/>
        <w:rPr>
          <w:rFonts w:ascii="Cambria" w:hAnsi="Cambria"/>
          <w:bCs/>
          <w:kern w:val="2"/>
          <w:sz w:val="28"/>
          <w:szCs w:val="28"/>
        </w:rPr>
      </w:pPr>
      <w:r>
        <w:rPr>
          <w:rFonts w:hint="eastAsia" w:ascii="Times New Roman" w:hAnsi="Times New Roman" w:cs="Times New Roman"/>
          <w:bCs w:val="0"/>
          <w:color w:val="auto"/>
          <w:kern w:val="0"/>
          <w:sz w:val="24"/>
          <w:szCs w:val="22"/>
          <w:lang w:val="en-US"/>
        </w:rPr>
        <w:t>（3）数据服务</w:t>
      </w:r>
    </w:p>
    <w:p>
      <w:pPr>
        <w:adjustRightInd w:val="0"/>
        <w:snapToGrid w:val="0"/>
        <w:spacing w:line="360" w:lineRule="auto"/>
        <w:ind w:firstLine="440" w:firstLineChars="200"/>
        <w:rPr>
          <w:rFonts w:ascii="宋体" w:eastAsia="宋体" w:cs="宋体"/>
          <w:b w:val="0"/>
          <w:bCs/>
          <w:sz w:val="22"/>
          <w:szCs w:val="22"/>
        </w:rPr>
      </w:pPr>
      <w:r>
        <w:rPr>
          <w:rFonts w:hint="eastAsia" w:ascii="宋体" w:eastAsia="宋体" w:cs="宋体"/>
          <w:b w:val="0"/>
          <w:bCs/>
          <w:sz w:val="22"/>
          <w:szCs w:val="22"/>
        </w:rPr>
        <w:t>提供温州市区范围内的实时、离线的浮动车结果指标数据，用于支撑平台功能及服务，并同步更新温州地图的瓦片数据（地图瓦片为背景地图，路况由路段指标数据在地图上实时渲染）。同时，为各县提供互联网端的区域概览，路口、干线评估等功能。</w:t>
      </w:r>
    </w:p>
    <w:p>
      <w:pPr>
        <w:adjustRightInd w:val="0"/>
        <w:snapToGrid w:val="0"/>
        <w:spacing w:line="360" w:lineRule="auto"/>
        <w:ind w:firstLine="440" w:firstLineChars="200"/>
        <w:rPr>
          <w:rFonts w:ascii="宋体" w:eastAsia="宋体" w:cs="宋体"/>
          <w:b w:val="0"/>
          <w:bCs/>
          <w:sz w:val="22"/>
          <w:szCs w:val="22"/>
        </w:rPr>
      </w:pPr>
      <w:r>
        <w:rPr>
          <w:rFonts w:hint="eastAsia" w:ascii="宋体" w:eastAsia="宋体" w:cs="宋体"/>
          <w:b w:val="0"/>
          <w:bCs/>
          <w:sz w:val="22"/>
          <w:szCs w:val="22"/>
        </w:rPr>
        <w:t>市区结果指标的质量标准为：实时指标类型不少于26种，全年平均每天不少于3千万条；离线指标类型不少于11种，平均每天不少于50万条。</w:t>
      </w:r>
    </w:p>
    <w:p>
      <w:pPr>
        <w:keepNext/>
        <w:keepLines/>
        <w:numPr>
          <w:ilvl w:val="2"/>
          <w:numId w:val="0"/>
        </w:numPr>
        <w:spacing w:before="120" w:beforeLines="50" w:after="120" w:afterLines="50"/>
        <w:jc w:val="left"/>
        <w:outlineLvl w:val="2"/>
        <w:rPr>
          <w:rFonts w:ascii="Calibri" w:hAnsi="Calibri"/>
          <w:b/>
          <w:bCs w:val="0"/>
          <w:kern w:val="2"/>
          <w:szCs w:val="24"/>
        </w:rPr>
      </w:pPr>
      <w:r>
        <w:rPr>
          <w:rFonts w:hint="eastAsia" w:ascii="Calibri" w:hAnsi="Calibri" w:eastAsia="宋体"/>
          <w:b/>
          <w:bCs w:val="0"/>
          <w:color w:val="auto"/>
          <w:kern w:val="2"/>
          <w:sz w:val="24"/>
          <w:szCs w:val="24"/>
        </w:rPr>
        <w:t>4.2.</w:t>
      </w:r>
      <w:r>
        <w:rPr>
          <w:rFonts w:ascii="Calibri" w:hAnsi="Calibri" w:eastAsia="宋体"/>
          <w:b/>
          <w:bCs w:val="0"/>
          <w:color w:val="auto"/>
          <w:kern w:val="2"/>
          <w:sz w:val="24"/>
          <w:szCs w:val="24"/>
        </w:rPr>
        <w:t>3</w:t>
      </w:r>
      <w:r>
        <w:rPr>
          <w:rFonts w:hint="eastAsia" w:ascii="Calibri" w:hAnsi="Calibri" w:eastAsia="宋体"/>
          <w:b/>
          <w:bCs w:val="0"/>
          <w:color w:val="auto"/>
          <w:kern w:val="2"/>
          <w:sz w:val="24"/>
          <w:szCs w:val="24"/>
        </w:rPr>
        <w:t>路口信号检测智能报障平台及故障维修全程监控管理平台</w:t>
      </w:r>
    </w:p>
    <w:p>
      <w:pPr>
        <w:adjustRightInd w:val="0"/>
        <w:snapToGrid w:val="0"/>
        <w:spacing w:line="360" w:lineRule="auto"/>
        <w:ind w:firstLine="440" w:firstLineChars="200"/>
        <w:rPr>
          <w:rFonts w:ascii="宋体" w:eastAsia="宋体" w:cs="宋体"/>
          <w:b w:val="0"/>
          <w:bCs/>
          <w:sz w:val="22"/>
          <w:szCs w:val="22"/>
        </w:rPr>
      </w:pPr>
      <w:r>
        <w:rPr>
          <w:rFonts w:hint="eastAsia" w:ascii="宋体" w:eastAsia="宋体" w:cs="宋体"/>
          <w:b w:val="0"/>
          <w:bCs/>
          <w:sz w:val="22"/>
          <w:szCs w:val="22"/>
        </w:rPr>
        <w:t>基于</w:t>
      </w:r>
      <w:r>
        <w:rPr>
          <w:rFonts w:ascii="宋体" w:eastAsia="宋体" w:cs="宋体"/>
          <w:b w:val="0"/>
          <w:bCs/>
          <w:sz w:val="22"/>
          <w:szCs w:val="22"/>
        </w:rPr>
        <w:t>手机端的快捷报障功能和PC端的联合处理。交</w:t>
      </w:r>
      <w:r>
        <w:rPr>
          <w:rFonts w:hint="eastAsia" w:ascii="宋体" w:eastAsia="宋体" w:cs="宋体"/>
          <w:b w:val="0"/>
          <w:bCs/>
          <w:sz w:val="22"/>
          <w:szCs w:val="22"/>
        </w:rPr>
        <w:t>管</w:t>
      </w:r>
      <w:r>
        <w:rPr>
          <w:rFonts w:ascii="宋体" w:eastAsia="宋体" w:cs="宋体"/>
          <w:b w:val="0"/>
          <w:bCs/>
          <w:sz w:val="22"/>
          <w:szCs w:val="22"/>
        </w:rPr>
        <w:t>部门通过手机端地图撒点功能可直观查看每一个信号设备的实时状态</w:t>
      </w:r>
      <w:r>
        <w:rPr>
          <w:rFonts w:hint="eastAsia" w:ascii="宋体" w:eastAsia="宋体" w:cs="宋体"/>
          <w:b w:val="0"/>
          <w:bCs/>
          <w:sz w:val="22"/>
          <w:szCs w:val="22"/>
        </w:rPr>
        <w:t>，能</w:t>
      </w:r>
      <w:r>
        <w:rPr>
          <w:rFonts w:ascii="宋体" w:eastAsia="宋体" w:cs="宋体"/>
          <w:b w:val="0"/>
          <w:bCs/>
          <w:sz w:val="22"/>
          <w:szCs w:val="22"/>
        </w:rPr>
        <w:t>准确定位到</w:t>
      </w:r>
      <w:r>
        <w:rPr>
          <w:rFonts w:hint="eastAsia" w:ascii="宋体" w:eastAsia="宋体" w:cs="宋体"/>
          <w:b w:val="0"/>
          <w:bCs/>
          <w:sz w:val="22"/>
          <w:szCs w:val="22"/>
        </w:rPr>
        <w:t>各</w:t>
      </w:r>
      <w:r>
        <w:rPr>
          <w:rFonts w:ascii="宋体" w:eastAsia="宋体" w:cs="宋体"/>
          <w:b w:val="0"/>
          <w:bCs/>
          <w:sz w:val="22"/>
          <w:szCs w:val="22"/>
        </w:rPr>
        <w:t>点位设备</w:t>
      </w:r>
      <w:r>
        <w:rPr>
          <w:rFonts w:hint="eastAsia" w:ascii="宋体" w:eastAsia="宋体" w:cs="宋体"/>
          <w:b w:val="0"/>
          <w:bCs/>
          <w:sz w:val="22"/>
          <w:szCs w:val="22"/>
        </w:rPr>
        <w:t>。</w:t>
      </w:r>
      <w:r>
        <w:rPr>
          <w:rFonts w:ascii="宋体" w:eastAsia="宋体" w:cs="宋体"/>
          <w:b w:val="0"/>
          <w:bCs/>
          <w:sz w:val="22"/>
          <w:szCs w:val="22"/>
        </w:rPr>
        <w:t>地图点位采取信息更新技术，可以在地图页面中选择</w:t>
      </w:r>
      <w:r>
        <w:rPr>
          <w:rFonts w:hint="eastAsia" w:ascii="宋体" w:eastAsia="宋体" w:cs="宋体"/>
          <w:b w:val="0"/>
          <w:bCs/>
          <w:sz w:val="22"/>
          <w:szCs w:val="22"/>
        </w:rPr>
        <w:t>所需</w:t>
      </w:r>
      <w:r>
        <w:rPr>
          <w:rFonts w:ascii="宋体" w:eastAsia="宋体" w:cs="宋体"/>
          <w:b w:val="0"/>
          <w:bCs/>
          <w:sz w:val="22"/>
          <w:szCs w:val="22"/>
        </w:rPr>
        <w:t>点位信息进行实时查看，快速</w:t>
      </w:r>
      <w:r>
        <w:rPr>
          <w:rFonts w:hint="eastAsia" w:ascii="宋体" w:eastAsia="宋体" w:cs="宋体"/>
          <w:b w:val="0"/>
          <w:bCs/>
          <w:sz w:val="22"/>
          <w:szCs w:val="22"/>
        </w:rPr>
        <w:t>定位</w:t>
      </w:r>
      <w:r>
        <w:rPr>
          <w:rFonts w:ascii="宋体" w:eastAsia="宋体" w:cs="宋体"/>
          <w:b w:val="0"/>
          <w:bCs/>
          <w:sz w:val="22"/>
          <w:szCs w:val="22"/>
        </w:rPr>
        <w:t>该点位的重要相关信息，从而快速的提交报障信息给相应的</w:t>
      </w:r>
      <w:r>
        <w:rPr>
          <w:rFonts w:hint="eastAsia" w:ascii="宋体" w:eastAsia="宋体" w:cs="宋体"/>
          <w:b w:val="0"/>
          <w:bCs/>
          <w:sz w:val="22"/>
          <w:szCs w:val="22"/>
        </w:rPr>
        <w:t>维护</w:t>
      </w:r>
      <w:r>
        <w:rPr>
          <w:rFonts w:ascii="宋体" w:eastAsia="宋体" w:cs="宋体"/>
          <w:b w:val="0"/>
          <w:bCs/>
          <w:sz w:val="22"/>
          <w:szCs w:val="22"/>
        </w:rPr>
        <w:t>单位；</w:t>
      </w:r>
      <w:r>
        <w:rPr>
          <w:rFonts w:hint="eastAsia" w:ascii="宋体" w:eastAsia="宋体" w:cs="宋体"/>
          <w:b w:val="0"/>
          <w:bCs/>
          <w:sz w:val="22"/>
          <w:szCs w:val="22"/>
        </w:rPr>
        <w:t>维护</w:t>
      </w:r>
      <w:r>
        <w:rPr>
          <w:rFonts w:ascii="宋体" w:eastAsia="宋体" w:cs="宋体"/>
          <w:b w:val="0"/>
          <w:bCs/>
          <w:sz w:val="22"/>
          <w:szCs w:val="22"/>
        </w:rPr>
        <w:t>单位实时接收报障信息，地图撒点功能可以帮助快速定位报障点位信息，敏捷规划</w:t>
      </w:r>
      <w:r>
        <w:rPr>
          <w:rFonts w:hint="eastAsia" w:ascii="宋体" w:eastAsia="宋体" w:cs="宋体"/>
          <w:b w:val="0"/>
          <w:bCs/>
          <w:sz w:val="22"/>
          <w:szCs w:val="22"/>
        </w:rPr>
        <w:t>维护</w:t>
      </w:r>
      <w:r>
        <w:rPr>
          <w:rFonts w:ascii="宋体" w:eastAsia="宋体" w:cs="宋体"/>
          <w:b w:val="0"/>
          <w:bCs/>
          <w:sz w:val="22"/>
          <w:szCs w:val="22"/>
        </w:rPr>
        <w:t>路线和计算出合理的</w:t>
      </w:r>
      <w:r>
        <w:rPr>
          <w:rFonts w:hint="eastAsia" w:ascii="宋体" w:eastAsia="宋体" w:cs="宋体"/>
          <w:b w:val="0"/>
          <w:bCs/>
          <w:sz w:val="22"/>
          <w:szCs w:val="22"/>
        </w:rPr>
        <w:t>维护</w:t>
      </w:r>
      <w:r>
        <w:rPr>
          <w:rFonts w:ascii="宋体" w:eastAsia="宋体" w:cs="宋体"/>
          <w:b w:val="0"/>
          <w:bCs/>
          <w:sz w:val="22"/>
          <w:szCs w:val="22"/>
        </w:rPr>
        <w:t>时间，手机端实时记录</w:t>
      </w:r>
      <w:r>
        <w:rPr>
          <w:rFonts w:hint="eastAsia" w:ascii="宋体" w:eastAsia="宋体" w:cs="宋体"/>
          <w:b w:val="0"/>
          <w:bCs/>
          <w:sz w:val="22"/>
          <w:szCs w:val="22"/>
        </w:rPr>
        <w:t>相应</w:t>
      </w:r>
      <w:r>
        <w:rPr>
          <w:rFonts w:ascii="宋体" w:eastAsia="宋体" w:cs="宋体"/>
          <w:b w:val="0"/>
          <w:bCs/>
          <w:sz w:val="22"/>
          <w:szCs w:val="22"/>
        </w:rPr>
        <w:t>轨迹，记录</w:t>
      </w:r>
      <w:r>
        <w:rPr>
          <w:rFonts w:hint="eastAsia" w:ascii="宋体" w:eastAsia="宋体" w:cs="宋体"/>
          <w:b w:val="0"/>
          <w:bCs/>
          <w:sz w:val="22"/>
          <w:szCs w:val="22"/>
        </w:rPr>
        <w:t>维护</w:t>
      </w:r>
      <w:r>
        <w:rPr>
          <w:rFonts w:ascii="宋体" w:eastAsia="宋体" w:cs="宋体"/>
          <w:b w:val="0"/>
          <w:bCs/>
          <w:sz w:val="22"/>
          <w:szCs w:val="22"/>
        </w:rPr>
        <w:t>过程；</w:t>
      </w:r>
      <w:r>
        <w:rPr>
          <w:rFonts w:hint="eastAsia" w:ascii="宋体" w:eastAsia="宋体" w:cs="宋体"/>
          <w:b w:val="0"/>
          <w:bCs/>
          <w:sz w:val="22"/>
          <w:szCs w:val="22"/>
        </w:rPr>
        <w:t>维护</w:t>
      </w:r>
      <w:r>
        <w:rPr>
          <w:rFonts w:ascii="宋体" w:eastAsia="宋体" w:cs="宋体"/>
          <w:b w:val="0"/>
          <w:bCs/>
          <w:sz w:val="22"/>
          <w:szCs w:val="22"/>
        </w:rPr>
        <w:t>单位可以通过PC端和智能终端</w:t>
      </w:r>
      <w:r>
        <w:rPr>
          <w:rFonts w:hint="eastAsia" w:ascii="宋体" w:eastAsia="宋体" w:cs="宋体"/>
          <w:b w:val="0"/>
          <w:bCs/>
          <w:sz w:val="22"/>
          <w:szCs w:val="22"/>
        </w:rPr>
        <w:t>实时反馈故障进度，提高故障点位维修效率。</w:t>
      </w:r>
    </w:p>
    <w:p>
      <w:pPr>
        <w:adjustRightInd w:val="0"/>
        <w:snapToGrid w:val="0"/>
        <w:spacing w:line="360" w:lineRule="auto"/>
        <w:ind w:firstLine="442" w:firstLineChars="200"/>
        <w:rPr>
          <w:rFonts w:ascii="宋体" w:eastAsia="宋体"/>
          <w:sz w:val="32"/>
          <w:szCs w:val="32"/>
        </w:rPr>
      </w:pPr>
      <w:r>
        <w:rPr>
          <w:rFonts w:hint="eastAsia" w:ascii="宋体" w:eastAsia="宋体" w:cs="宋体"/>
          <w:b/>
          <w:bCs w:val="0"/>
          <w:sz w:val="22"/>
          <w:szCs w:val="22"/>
        </w:rPr>
        <w:t>用户登录</w:t>
      </w:r>
    </w:p>
    <w:p>
      <w:pPr>
        <w:adjustRightInd w:val="0"/>
        <w:snapToGrid w:val="0"/>
        <w:spacing w:line="360" w:lineRule="auto"/>
        <w:ind w:firstLine="440" w:firstLineChars="200"/>
        <w:rPr>
          <w:rFonts w:ascii="宋体" w:eastAsia="宋体"/>
          <w:sz w:val="32"/>
          <w:szCs w:val="32"/>
        </w:rPr>
      </w:pPr>
      <w:r>
        <w:rPr>
          <w:rFonts w:hint="eastAsia" w:ascii="宋体" w:eastAsia="宋体" w:cs="宋体"/>
          <w:b w:val="0"/>
          <w:bCs/>
          <w:sz w:val="22"/>
          <w:szCs w:val="22"/>
        </w:rPr>
        <w:t>根据</w:t>
      </w:r>
      <w:r>
        <w:rPr>
          <w:rFonts w:ascii="宋体" w:eastAsia="宋体" w:cs="宋体"/>
          <w:b w:val="0"/>
          <w:bCs/>
          <w:sz w:val="22"/>
          <w:szCs w:val="22"/>
        </w:rPr>
        <w:t>要求</w:t>
      </w:r>
      <w:r>
        <w:rPr>
          <w:rFonts w:hint="eastAsia" w:ascii="宋体" w:eastAsia="宋体" w:cs="宋体"/>
          <w:b w:val="0"/>
          <w:bCs/>
          <w:sz w:val="22"/>
          <w:szCs w:val="22"/>
        </w:rPr>
        <w:t>提供指定账号在系统进行登录，非系统使用人员无法登录。</w:t>
      </w:r>
    </w:p>
    <w:p>
      <w:pPr>
        <w:adjustRightInd w:val="0"/>
        <w:snapToGrid w:val="0"/>
        <w:spacing w:line="360" w:lineRule="auto"/>
        <w:ind w:firstLine="442" w:firstLineChars="200"/>
        <w:rPr>
          <w:rFonts w:ascii="宋体" w:eastAsia="宋体"/>
          <w:b/>
          <w:bCs w:val="0"/>
          <w:sz w:val="32"/>
          <w:szCs w:val="32"/>
        </w:rPr>
      </w:pPr>
      <w:r>
        <w:rPr>
          <w:rFonts w:hint="eastAsia" w:ascii="宋体" w:eastAsia="宋体" w:cs="宋体"/>
          <w:b/>
          <w:bCs w:val="0"/>
          <w:sz w:val="22"/>
          <w:szCs w:val="22"/>
        </w:rPr>
        <w:t>用户管理</w:t>
      </w:r>
    </w:p>
    <w:p>
      <w:pPr>
        <w:adjustRightInd w:val="0"/>
        <w:snapToGrid w:val="0"/>
        <w:spacing w:line="360" w:lineRule="auto"/>
        <w:ind w:firstLine="440" w:firstLineChars="200"/>
        <w:rPr>
          <w:rFonts w:ascii="宋体" w:eastAsia="宋体"/>
          <w:sz w:val="32"/>
          <w:szCs w:val="32"/>
        </w:rPr>
      </w:pPr>
      <w:r>
        <w:rPr>
          <w:rFonts w:hint="eastAsia" w:ascii="宋体" w:eastAsia="宋体" w:cs="宋体"/>
          <w:b w:val="0"/>
          <w:bCs/>
          <w:sz w:val="22"/>
          <w:szCs w:val="22"/>
        </w:rPr>
        <w:t>系统在用户管理中统一管理用户信息，可以对交管部门，维护单位及交运等进行用户管理，在后台中可以对用户权限进行分配，同时提供包括查询、新增、导入、修改、启用、停用等功能。</w:t>
      </w:r>
    </w:p>
    <w:p>
      <w:pPr>
        <w:adjustRightInd w:val="0"/>
        <w:snapToGrid w:val="0"/>
        <w:spacing w:line="360" w:lineRule="auto"/>
        <w:ind w:firstLine="442" w:firstLineChars="200"/>
        <w:rPr>
          <w:rFonts w:ascii="宋体" w:eastAsia="宋体"/>
          <w:sz w:val="32"/>
          <w:szCs w:val="32"/>
        </w:rPr>
      </w:pPr>
      <w:r>
        <w:rPr>
          <w:rFonts w:hint="eastAsia" w:ascii="宋体" w:eastAsia="宋体" w:cs="宋体"/>
          <w:b/>
          <w:bCs w:val="0"/>
          <w:sz w:val="22"/>
          <w:szCs w:val="22"/>
        </w:rPr>
        <w:t>信号点位管理</w:t>
      </w:r>
    </w:p>
    <w:p>
      <w:pPr>
        <w:adjustRightInd w:val="0"/>
        <w:snapToGrid w:val="0"/>
        <w:spacing w:line="360" w:lineRule="auto"/>
        <w:ind w:firstLine="440" w:firstLineChars="200"/>
        <w:rPr>
          <w:rFonts w:ascii="宋体" w:eastAsia="宋体" w:cs="宋体"/>
          <w:b w:val="0"/>
          <w:bCs/>
          <w:sz w:val="22"/>
          <w:szCs w:val="22"/>
        </w:rPr>
      </w:pPr>
      <w:r>
        <w:rPr>
          <w:rFonts w:hint="eastAsia" w:ascii="宋体" w:eastAsia="宋体" w:cs="宋体"/>
          <w:b w:val="0"/>
          <w:bCs/>
          <w:sz w:val="22"/>
          <w:szCs w:val="22"/>
        </w:rPr>
        <w:t>PC端系统在点位管理模块统一管理点位信息，可以进行查询、新增、导入、修改、启用等操作；相关工作人员可以在手机端地图页面实时查看点位信息，对点位可进行快捷报障等操作。</w:t>
      </w:r>
    </w:p>
    <w:p>
      <w:pPr>
        <w:adjustRightInd w:val="0"/>
        <w:snapToGrid w:val="0"/>
        <w:spacing w:line="360" w:lineRule="auto"/>
        <w:ind w:firstLine="442" w:firstLineChars="200"/>
        <w:rPr>
          <w:rFonts w:ascii="宋体" w:eastAsia="宋体"/>
          <w:sz w:val="32"/>
          <w:szCs w:val="32"/>
        </w:rPr>
      </w:pPr>
      <w:r>
        <w:rPr>
          <w:rFonts w:hint="eastAsia" w:ascii="宋体" w:eastAsia="宋体" w:cs="宋体"/>
          <w:b/>
          <w:bCs w:val="0"/>
          <w:sz w:val="22"/>
          <w:szCs w:val="22"/>
        </w:rPr>
        <w:t>报障单管理</w:t>
      </w:r>
    </w:p>
    <w:p>
      <w:pPr>
        <w:adjustRightInd w:val="0"/>
        <w:snapToGrid w:val="0"/>
        <w:spacing w:line="360" w:lineRule="auto"/>
        <w:ind w:firstLine="440" w:firstLineChars="200"/>
        <w:rPr>
          <w:rFonts w:ascii="宋体" w:eastAsia="宋体"/>
          <w:sz w:val="32"/>
          <w:szCs w:val="32"/>
        </w:rPr>
      </w:pPr>
      <w:r>
        <w:rPr>
          <w:rFonts w:hint="eastAsia" w:ascii="宋体" w:eastAsia="宋体" w:cs="宋体"/>
          <w:b w:val="0"/>
          <w:bCs/>
          <w:sz w:val="22"/>
          <w:szCs w:val="22"/>
        </w:rPr>
        <w:t>可以通过名称/路口ID、运营单位搜索报障单，并进行转派维修单至运营单位及交运，同时实时呈现报障单状态（已完成、已中止、交运签收等）。</w:t>
      </w:r>
    </w:p>
    <w:p>
      <w:pPr>
        <w:adjustRightInd w:val="0"/>
        <w:snapToGrid w:val="0"/>
        <w:spacing w:line="360" w:lineRule="auto"/>
        <w:ind w:firstLine="442" w:firstLineChars="200"/>
        <w:rPr>
          <w:rFonts w:ascii="宋体" w:eastAsia="宋体"/>
          <w:b/>
          <w:bCs w:val="0"/>
          <w:sz w:val="32"/>
          <w:szCs w:val="32"/>
        </w:rPr>
      </w:pPr>
      <w:r>
        <w:rPr>
          <w:rFonts w:hint="eastAsia" w:ascii="宋体" w:eastAsia="宋体" w:cs="宋体"/>
          <w:b/>
          <w:bCs w:val="0"/>
          <w:sz w:val="22"/>
          <w:szCs w:val="22"/>
        </w:rPr>
        <w:t>用户报障</w:t>
      </w:r>
    </w:p>
    <w:p>
      <w:pPr>
        <w:adjustRightInd w:val="0"/>
        <w:snapToGrid w:val="0"/>
        <w:spacing w:line="360" w:lineRule="auto"/>
        <w:ind w:firstLine="440" w:firstLineChars="200"/>
        <w:rPr>
          <w:rFonts w:ascii="宋体" w:eastAsia="宋体"/>
          <w:sz w:val="32"/>
          <w:szCs w:val="32"/>
        </w:rPr>
      </w:pPr>
      <w:r>
        <w:rPr>
          <w:rFonts w:hint="eastAsia" w:ascii="宋体" w:eastAsia="宋体" w:cs="宋体"/>
          <w:b w:val="0"/>
          <w:bCs/>
          <w:sz w:val="22"/>
          <w:szCs w:val="22"/>
        </w:rPr>
        <w:t>用户可使用快捷报障，在地图中选择点位或者搜索点位填写报障信息进行报障，并可查看本人所有报障信息及报障状态，实时查看维修人员的行动轨迹和维修进度。</w:t>
      </w:r>
    </w:p>
    <w:p>
      <w:pPr>
        <w:adjustRightInd w:val="0"/>
        <w:snapToGrid w:val="0"/>
        <w:spacing w:line="360" w:lineRule="auto"/>
        <w:ind w:firstLine="440" w:firstLineChars="200"/>
        <w:rPr>
          <w:rFonts w:hint="eastAsia" w:ascii="宋体" w:eastAsia="宋体" w:cs="宋体"/>
          <w:b w:val="0"/>
          <w:bCs/>
          <w:sz w:val="22"/>
          <w:szCs w:val="22"/>
        </w:rPr>
      </w:pPr>
      <w:r>
        <w:rPr>
          <w:rFonts w:hint="eastAsia" w:ascii="宋体" w:eastAsia="宋体" w:cs="宋体"/>
          <w:bCs/>
          <w:sz w:val="22"/>
          <w:szCs w:val="22"/>
        </w:rPr>
        <w:t>点位维修</w:t>
      </w:r>
      <w:r>
        <w:rPr>
          <w:rFonts w:hint="eastAsia" w:ascii="宋体" w:eastAsia="宋体" w:cs="宋体"/>
          <w:b w:val="0"/>
          <w:bCs/>
          <w:sz w:val="22"/>
          <w:szCs w:val="22"/>
        </w:rPr>
        <w:t>维护单位接到故障派修单之后，前往指定</w:t>
      </w:r>
      <w:r>
        <w:rPr>
          <w:rFonts w:ascii="宋体" w:eastAsia="宋体" w:cs="宋体"/>
          <w:b w:val="0"/>
          <w:bCs/>
          <w:sz w:val="22"/>
          <w:szCs w:val="22"/>
        </w:rPr>
        <w:t>点位</w:t>
      </w:r>
      <w:r>
        <w:rPr>
          <w:rFonts w:hint="eastAsia" w:ascii="宋体" w:eastAsia="宋体" w:cs="宋体"/>
          <w:b w:val="0"/>
          <w:bCs/>
          <w:sz w:val="22"/>
          <w:szCs w:val="22"/>
        </w:rPr>
        <w:t>拍照上传签到并进行维修，并对维修情况进行实时上报，及时更新维修进度。</w:t>
      </w:r>
    </w:p>
    <w:p>
      <w:pPr>
        <w:ind w:firstLine="442" w:firstLineChars="200"/>
        <w:rPr>
          <w:rFonts w:ascii="宋体" w:eastAsia="宋体" w:cs="宋体"/>
          <w:bCs/>
          <w:sz w:val="22"/>
          <w:szCs w:val="22"/>
        </w:rPr>
      </w:pPr>
      <w:r>
        <w:rPr>
          <w:rFonts w:hint="eastAsia" w:ascii="宋体" w:eastAsia="宋体" w:cs="宋体"/>
          <w:b/>
          <w:bCs w:val="0"/>
          <w:sz w:val="22"/>
          <w:szCs w:val="22"/>
        </w:rPr>
        <w:t>重大警保卫任务报障</w:t>
      </w:r>
    </w:p>
    <w:p>
      <w:pPr>
        <w:adjustRightInd w:val="0"/>
        <w:snapToGrid w:val="0"/>
        <w:spacing w:line="360" w:lineRule="auto"/>
        <w:ind w:firstLine="440" w:firstLineChars="200"/>
        <w:rPr>
          <w:rFonts w:ascii="宋体" w:eastAsia="宋体" w:cs="宋体"/>
          <w:b w:val="0"/>
          <w:bCs/>
          <w:sz w:val="22"/>
          <w:szCs w:val="22"/>
        </w:rPr>
      </w:pPr>
      <w:r>
        <w:rPr>
          <w:rFonts w:ascii="宋体" w:eastAsia="宋体" w:cs="宋体"/>
          <w:b w:val="0"/>
          <w:bCs/>
          <w:sz w:val="22"/>
          <w:szCs w:val="22"/>
        </w:rPr>
        <w:t>在对于公安交警有重大警、保卫任务的，在公安交警提出要求时需在特定时间段，安排抢修人员在交警指定位置待命，并反馈待命信息。</w:t>
      </w:r>
    </w:p>
    <w:p>
      <w:pPr>
        <w:adjustRightInd w:val="0"/>
        <w:snapToGrid w:val="0"/>
        <w:spacing w:line="360" w:lineRule="auto"/>
        <w:ind w:firstLine="440" w:firstLineChars="200"/>
        <w:rPr>
          <w:rFonts w:ascii="宋体" w:eastAsia="宋体" w:cs="宋体"/>
          <w:b w:val="0"/>
          <w:bCs/>
          <w:sz w:val="22"/>
          <w:szCs w:val="22"/>
        </w:rPr>
      </w:pPr>
      <w:r>
        <w:rPr>
          <w:rFonts w:ascii="宋体" w:eastAsia="宋体" w:cs="宋体"/>
          <w:b w:val="0"/>
          <w:bCs/>
          <w:sz w:val="22"/>
          <w:szCs w:val="22"/>
        </w:rPr>
        <w:t>1、携带必要装备及配件，在指定时间前到达制定位置，并上传人员及车辆照片，在照片上自动加载时间和地点水印，不可调用相册图片。</w:t>
      </w:r>
    </w:p>
    <w:p>
      <w:pPr>
        <w:adjustRightInd w:val="0"/>
        <w:snapToGrid w:val="0"/>
        <w:spacing w:line="360" w:lineRule="auto"/>
        <w:ind w:firstLine="440" w:firstLineChars="200"/>
        <w:rPr>
          <w:rFonts w:ascii="宋体" w:eastAsia="宋体" w:cs="宋体"/>
          <w:b w:val="0"/>
          <w:bCs/>
          <w:sz w:val="22"/>
          <w:szCs w:val="22"/>
        </w:rPr>
      </w:pPr>
      <w:r>
        <w:rPr>
          <w:rFonts w:ascii="宋体" w:eastAsia="宋体" w:cs="宋体"/>
          <w:b w:val="0"/>
          <w:bCs/>
          <w:sz w:val="22"/>
          <w:szCs w:val="22"/>
        </w:rPr>
        <w:t>2、人员离开打卡位置500米，自动弹出提示，并记录轨迹。</w:t>
      </w:r>
    </w:p>
    <w:p>
      <w:pPr>
        <w:adjustRightInd w:val="0"/>
        <w:snapToGrid w:val="0"/>
        <w:spacing w:line="360" w:lineRule="auto"/>
        <w:ind w:firstLine="440" w:firstLineChars="200"/>
        <w:rPr>
          <w:rFonts w:ascii="宋体" w:eastAsia="宋体" w:cs="宋体"/>
          <w:b w:val="0"/>
          <w:bCs/>
          <w:sz w:val="22"/>
          <w:szCs w:val="22"/>
        </w:rPr>
      </w:pPr>
      <w:r>
        <w:rPr>
          <w:rFonts w:ascii="宋体" w:eastAsia="宋体" w:cs="宋体"/>
          <w:b w:val="0"/>
          <w:bCs/>
          <w:sz w:val="22"/>
          <w:szCs w:val="22"/>
        </w:rPr>
        <w:t>3、任务结束后，由指挥中心发布报障结束指令，保障人员方可撤离。</w:t>
      </w:r>
    </w:p>
    <w:p>
      <w:pPr>
        <w:pStyle w:val="2"/>
        <w:rPr>
          <w:lang w:val="en-US"/>
        </w:rPr>
      </w:pPr>
    </w:p>
    <w:p>
      <w:pPr>
        <w:pStyle w:val="3"/>
        <w:numPr>
          <w:ilvl w:val="0"/>
          <w:numId w:val="0"/>
        </w:numPr>
        <w:tabs>
          <w:tab w:val="left" w:pos="432"/>
        </w:tabs>
        <w:adjustRightInd w:val="0"/>
        <w:snapToGrid w:val="0"/>
        <w:spacing w:before="120" w:beforeLines="50" w:after="120" w:line="240" w:lineRule="auto"/>
        <w:ind w:leftChars="-153"/>
        <w:jc w:val="left"/>
        <w:rPr>
          <w:rFonts w:hint="eastAsia" w:ascii="宋体" w:hAnsi="宋体" w:eastAsia="宋体" w:cs="宋体"/>
          <w:bCs/>
          <w:sz w:val="22"/>
          <w:szCs w:val="22"/>
        </w:rPr>
      </w:pPr>
      <w:r>
        <w:rPr>
          <w:rFonts w:hint="eastAsia" w:ascii="宋体" w:hAnsi="宋体" w:eastAsia="宋体" w:cs="宋体"/>
          <w:b/>
          <w:bCs/>
          <w:sz w:val="24"/>
          <w:szCs w:val="24"/>
        </w:rPr>
        <w:t>五、系统维护</w:t>
      </w:r>
      <w:r>
        <w:rPr>
          <w:rFonts w:ascii="宋体" w:hAnsi="宋体" w:eastAsia="宋体" w:cs="宋体"/>
          <w:b/>
          <w:bCs/>
          <w:sz w:val="24"/>
          <w:szCs w:val="24"/>
        </w:rPr>
        <w:t>技术服务</w:t>
      </w:r>
      <w:r>
        <w:rPr>
          <w:rFonts w:hint="eastAsia" w:ascii="宋体" w:hAnsi="宋体" w:eastAsia="宋体" w:cs="宋体"/>
          <w:b/>
          <w:bCs/>
          <w:sz w:val="24"/>
          <w:szCs w:val="24"/>
        </w:rPr>
        <w:t>要求</w:t>
      </w:r>
      <w:bookmarkEnd w:id="32"/>
      <w:bookmarkEnd w:id="33"/>
    </w:p>
    <w:p>
      <w:pPr>
        <w:keepNext/>
        <w:keepLines/>
        <w:numPr>
          <w:ilvl w:val="1"/>
          <w:numId w:val="0"/>
        </w:numPr>
        <w:spacing w:line="360" w:lineRule="auto"/>
        <w:jc w:val="left"/>
        <w:outlineLvl w:val="1"/>
        <w:rPr>
          <w:rFonts w:hint="eastAsia" w:ascii="Cambria" w:hAnsi="Cambria" w:eastAsia="宋体" w:cs="Times New Roman"/>
          <w:b/>
          <w:bCs/>
          <w:color w:val="auto"/>
          <w:kern w:val="2"/>
          <w:sz w:val="24"/>
          <w:szCs w:val="24"/>
        </w:rPr>
      </w:pPr>
      <w:bookmarkStart w:id="204" w:name="_Toc383179142"/>
      <w:r>
        <w:rPr>
          <w:rFonts w:hint="eastAsia" w:ascii="Cambria" w:hAnsi="Cambria" w:eastAsia="宋体" w:cs="Times New Roman"/>
          <w:b/>
          <w:bCs/>
          <w:color w:val="auto"/>
          <w:kern w:val="2"/>
          <w:sz w:val="24"/>
          <w:szCs w:val="24"/>
        </w:rPr>
        <w:t>5.1服务承诺</w:t>
      </w:r>
      <w:bookmarkEnd w:id="204"/>
    </w:p>
    <w:p>
      <w:pPr>
        <w:spacing w:line="460" w:lineRule="exact"/>
        <w:ind w:firstLine="541" w:firstLineChars="245"/>
        <w:rPr>
          <w:rFonts w:hint="eastAsia" w:ascii="新宋体" w:hAnsi="新宋体" w:eastAsia="新宋体" w:cs="新宋体"/>
          <w:b w:val="0"/>
          <w:bCs/>
          <w:color w:val="auto"/>
          <w:kern w:val="2"/>
          <w:sz w:val="22"/>
          <w:szCs w:val="22"/>
        </w:rPr>
      </w:pPr>
      <w:r>
        <w:rPr>
          <w:rFonts w:hint="eastAsia" w:ascii="新宋体" w:hAnsi="新宋体" w:eastAsia="新宋体" w:cs="新宋体"/>
          <w:b/>
          <w:bCs w:val="0"/>
          <w:color w:val="auto"/>
          <w:kern w:val="2"/>
          <w:sz w:val="22"/>
          <w:szCs w:val="22"/>
          <w:u w:val="single"/>
        </w:rPr>
        <w:t>本项目中标人将承诺自20</w:t>
      </w:r>
      <w:r>
        <w:rPr>
          <w:rFonts w:ascii="新宋体" w:hAnsi="新宋体" w:eastAsia="新宋体" w:cs="新宋体"/>
          <w:b/>
          <w:bCs w:val="0"/>
          <w:color w:val="auto"/>
          <w:kern w:val="2"/>
          <w:sz w:val="22"/>
          <w:szCs w:val="22"/>
          <w:u w:val="single"/>
        </w:rPr>
        <w:t>20</w:t>
      </w:r>
      <w:r>
        <w:rPr>
          <w:rFonts w:hint="eastAsia" w:ascii="新宋体" w:hAnsi="新宋体" w:eastAsia="新宋体" w:cs="新宋体"/>
          <w:b/>
          <w:bCs w:val="0"/>
          <w:color w:val="auto"/>
          <w:kern w:val="2"/>
          <w:sz w:val="22"/>
          <w:szCs w:val="22"/>
          <w:u w:val="single"/>
        </w:rPr>
        <w:t>年11月1日起算，负责对本系统设备及所关联的系统提供5年维护的技术支持。</w:t>
      </w:r>
      <w:r>
        <w:rPr>
          <w:rFonts w:hint="eastAsia" w:ascii="新宋体" w:hAnsi="新宋体" w:eastAsia="新宋体" w:cs="新宋体"/>
          <w:b w:val="0"/>
          <w:bCs/>
          <w:color w:val="auto"/>
          <w:kern w:val="2"/>
          <w:sz w:val="22"/>
          <w:szCs w:val="22"/>
        </w:rPr>
        <w:t>定期对主要设备、软件、整个系统进行维护技术服务，检查系统运行情况，及时发现问题隐患并加以解决。中标人应承诺运维期内免费提供5个路口的移机服务（含道路管线开挖、施工及设备移机）。中标人应提供7×24小时的响应服务，派遣2名及以上维护技术服务人员常驻市交管局负责内场系统跟踪管理， 7*24小时外场设备跟踪管理，全面、及时地实施各类设备系统调整、优化及维修工作。有关内场驻点人员、外场维护人员工作工资及办公设备，已包括在本项目中。</w:t>
      </w:r>
    </w:p>
    <w:p>
      <w:pPr>
        <w:keepNext/>
        <w:keepLines/>
        <w:numPr>
          <w:ilvl w:val="1"/>
          <w:numId w:val="0"/>
        </w:numPr>
        <w:spacing w:line="360" w:lineRule="auto"/>
        <w:jc w:val="left"/>
        <w:outlineLvl w:val="1"/>
        <w:rPr>
          <w:rFonts w:hint="eastAsia" w:ascii="新宋体" w:hAnsi="新宋体" w:eastAsia="新宋体" w:cs="新宋体"/>
          <w:color w:val="auto"/>
          <w:kern w:val="2"/>
          <w:sz w:val="22"/>
          <w:szCs w:val="22"/>
        </w:rPr>
      </w:pPr>
      <w:bookmarkStart w:id="205" w:name="_Toc383179143"/>
      <w:r>
        <w:rPr>
          <w:rFonts w:hint="eastAsia" w:ascii="Cambria" w:hAnsi="Cambria" w:eastAsia="宋体" w:cs="Times New Roman"/>
          <w:b/>
          <w:bCs/>
          <w:color w:val="auto"/>
          <w:kern w:val="2"/>
          <w:sz w:val="24"/>
          <w:szCs w:val="24"/>
        </w:rPr>
        <w:t>5.2维护技术服务内容</w:t>
      </w:r>
      <w:bookmarkEnd w:id="205"/>
    </w:p>
    <w:p>
      <w:pPr>
        <w:spacing w:line="460" w:lineRule="exact"/>
        <w:ind w:firstLine="541" w:firstLineChars="245"/>
        <w:outlineLvl w:val="3"/>
        <w:rPr>
          <w:rFonts w:hint="eastAsia" w:ascii="新宋体" w:hAnsi="新宋体" w:eastAsia="新宋体" w:cs="新宋体"/>
          <w:color w:val="auto"/>
          <w:kern w:val="2"/>
          <w:sz w:val="22"/>
          <w:szCs w:val="22"/>
          <w:lang w:val="zh-CN"/>
        </w:rPr>
      </w:pPr>
      <w:r>
        <w:rPr>
          <w:rFonts w:hint="eastAsia" w:ascii="新宋体" w:hAnsi="新宋体" w:eastAsia="新宋体" w:cs="新宋体"/>
          <w:b/>
          <w:bCs/>
          <w:color w:val="auto"/>
          <w:kern w:val="2"/>
          <w:sz w:val="22"/>
          <w:szCs w:val="22"/>
          <w:lang w:val="zh-CN"/>
        </w:rPr>
        <w:t>5.2.1 日常巡检</w:t>
      </w:r>
    </w:p>
    <w:p>
      <w:pPr>
        <w:spacing w:line="460" w:lineRule="exact"/>
        <w:ind w:firstLine="539" w:firstLineChars="245"/>
        <w:rPr>
          <w:rFonts w:hint="eastAsia" w:ascii="新宋体" w:hAnsi="新宋体" w:eastAsia="新宋体" w:cs="新宋体"/>
          <w:b w:val="0"/>
          <w:bCs/>
          <w:color w:val="auto"/>
          <w:kern w:val="2"/>
          <w:sz w:val="22"/>
          <w:szCs w:val="22"/>
        </w:rPr>
      </w:pPr>
      <w:r>
        <w:rPr>
          <w:rFonts w:hint="eastAsia" w:ascii="新宋体" w:hAnsi="新宋体" w:eastAsia="新宋体" w:cs="新宋体"/>
          <w:b w:val="0"/>
          <w:bCs/>
          <w:color w:val="auto"/>
          <w:kern w:val="2"/>
          <w:sz w:val="22"/>
          <w:szCs w:val="22"/>
        </w:rPr>
        <w:t>系统日常巡检是对设备进行现场检查，及时发现包括硬件设备、软件系统的系统运行中出现的隐患，减少系统发生故障的概率，保证系统的稳定运行。中标人应设有专门维护人员，负责一般故障排除、日常设备巡检、更换易损易耗备件等工作，做好相关日常巡检记录。</w:t>
      </w:r>
    </w:p>
    <w:p>
      <w:pPr>
        <w:spacing w:line="460" w:lineRule="exact"/>
        <w:ind w:firstLine="541" w:firstLineChars="245"/>
        <w:outlineLvl w:val="3"/>
        <w:rPr>
          <w:rFonts w:hint="eastAsia" w:ascii="新宋体" w:hAnsi="新宋体" w:eastAsia="新宋体" w:cs="新宋体"/>
          <w:color w:val="auto"/>
          <w:kern w:val="2"/>
          <w:sz w:val="22"/>
          <w:szCs w:val="22"/>
          <w:lang w:val="zh-CN"/>
        </w:rPr>
      </w:pPr>
      <w:r>
        <w:rPr>
          <w:rFonts w:hint="eastAsia" w:ascii="新宋体" w:hAnsi="新宋体" w:eastAsia="新宋体" w:cs="新宋体"/>
          <w:b/>
          <w:bCs/>
          <w:color w:val="auto"/>
          <w:kern w:val="2"/>
          <w:sz w:val="22"/>
          <w:szCs w:val="22"/>
          <w:lang w:val="zh-CN"/>
        </w:rPr>
        <w:t>5.2.2定期养护</w:t>
      </w:r>
    </w:p>
    <w:p>
      <w:pPr>
        <w:spacing w:line="460" w:lineRule="exact"/>
        <w:ind w:firstLine="539" w:firstLineChars="245"/>
        <w:rPr>
          <w:rFonts w:hint="eastAsia"/>
        </w:rPr>
      </w:pPr>
      <w:r>
        <w:rPr>
          <w:rFonts w:hint="eastAsia" w:ascii="新宋体" w:hAnsi="新宋体" w:eastAsia="新宋体" w:cs="新宋体"/>
          <w:b w:val="0"/>
          <w:bCs/>
          <w:color w:val="auto"/>
          <w:kern w:val="2"/>
          <w:sz w:val="22"/>
          <w:szCs w:val="22"/>
        </w:rPr>
        <w:t>定期养护是定期对系统设备进行常规设备养护及日常性清洁养护工作。在养护工作中及时发现问题，防患于未然，减少设备的故障率，延长设备的使用寿命。在故障发生之前，及时检测到故障的先兆，将故障解决在萌芽初期，避免故障发生后抢修的费用，降低了设备配件更换费用，延长了设备使用寿命。对于某些特殊情况，要根据具体情况进行相应的养护措施，在进行定期的养护前，应协调好各方面的工作，确保养护工作的正常进行。还</w:t>
      </w:r>
      <w:r>
        <w:rPr>
          <w:rFonts w:ascii="新宋体" w:hAnsi="新宋体" w:eastAsia="新宋体" w:cs="新宋体"/>
          <w:b w:val="0"/>
          <w:bCs/>
          <w:color w:val="auto"/>
          <w:kern w:val="2"/>
          <w:sz w:val="22"/>
          <w:szCs w:val="22"/>
        </w:rPr>
        <w:t>应</w:t>
      </w:r>
      <w:r>
        <w:rPr>
          <w:rFonts w:hint="eastAsia" w:ascii="新宋体" w:hAnsi="新宋体" w:eastAsia="新宋体" w:cs="新宋体"/>
          <w:b w:val="0"/>
          <w:bCs/>
          <w:color w:val="auto"/>
          <w:kern w:val="2"/>
          <w:sz w:val="22"/>
          <w:szCs w:val="22"/>
        </w:rPr>
        <w:t>包括7*24小时热线技术支持、故障抢修、定期性现场巡检、系统性能调优、技术培训、应急演练、节假日重点保障、报告服务等服务内容。</w:t>
      </w:r>
    </w:p>
    <w:p>
      <w:pPr>
        <w:spacing w:line="460" w:lineRule="exact"/>
        <w:ind w:firstLine="541" w:firstLineChars="245"/>
        <w:outlineLvl w:val="3"/>
        <w:rPr>
          <w:rFonts w:hint="eastAsia" w:ascii="新宋体" w:hAnsi="新宋体" w:eastAsia="新宋体" w:cs="新宋体"/>
          <w:b/>
          <w:bCs/>
          <w:color w:val="auto"/>
          <w:kern w:val="2"/>
          <w:sz w:val="22"/>
          <w:szCs w:val="22"/>
          <w:lang w:val="zh-CN"/>
        </w:rPr>
      </w:pPr>
      <w:r>
        <w:rPr>
          <w:rFonts w:hint="eastAsia" w:ascii="新宋体" w:hAnsi="新宋体" w:eastAsia="新宋体" w:cs="新宋体"/>
          <w:b/>
          <w:bCs/>
          <w:color w:val="auto"/>
          <w:kern w:val="2"/>
          <w:sz w:val="22"/>
          <w:szCs w:val="22"/>
          <w:lang w:val="zh-CN"/>
        </w:rPr>
        <w:t>5.2.3备件服务及管理</w:t>
      </w:r>
    </w:p>
    <w:p>
      <w:pPr>
        <w:spacing w:line="460" w:lineRule="exact"/>
        <w:ind w:firstLine="541" w:firstLineChars="245"/>
        <w:rPr>
          <w:rFonts w:ascii="宋体"/>
          <w:szCs w:val="24"/>
        </w:rPr>
      </w:pPr>
      <w:r>
        <w:rPr>
          <w:rFonts w:hint="eastAsia" w:ascii="新宋体" w:hAnsi="新宋体" w:eastAsia="新宋体" w:cs="新宋体"/>
          <w:b/>
          <w:bCs/>
          <w:color w:val="auto"/>
          <w:kern w:val="2"/>
          <w:sz w:val="22"/>
          <w:szCs w:val="22"/>
        </w:rPr>
        <w:t>中标人根据各系统设备</w:t>
      </w:r>
      <w:r>
        <w:rPr>
          <w:rFonts w:hint="eastAsia" w:ascii="新宋体" w:hAnsi="新宋体" w:eastAsia="新宋体" w:cs="新宋体"/>
          <w:b w:val="0"/>
          <w:bCs/>
          <w:color w:val="auto"/>
          <w:kern w:val="2"/>
          <w:sz w:val="22"/>
          <w:szCs w:val="22"/>
        </w:rPr>
        <w:t>配置情况，购置</w:t>
      </w:r>
      <w:r>
        <w:rPr>
          <w:rFonts w:ascii="新宋体" w:hAnsi="新宋体" w:eastAsia="新宋体" w:cs="新宋体"/>
          <w:b w:val="0"/>
          <w:bCs/>
          <w:color w:val="auto"/>
          <w:kern w:val="2"/>
          <w:sz w:val="22"/>
          <w:szCs w:val="22"/>
        </w:rPr>
        <w:t>一定比例的</w:t>
      </w:r>
      <w:r>
        <w:rPr>
          <w:rFonts w:hint="eastAsia" w:ascii="新宋体" w:hAnsi="新宋体" w:eastAsia="新宋体" w:cs="新宋体"/>
          <w:b w:val="0"/>
          <w:bCs/>
          <w:color w:val="auto"/>
          <w:kern w:val="2"/>
          <w:sz w:val="22"/>
          <w:szCs w:val="22"/>
        </w:rPr>
        <w:t>且</w:t>
      </w:r>
      <w:r>
        <w:rPr>
          <w:rFonts w:ascii="新宋体" w:hAnsi="新宋体" w:eastAsia="新宋体" w:cs="新宋体"/>
          <w:b w:val="0"/>
          <w:bCs/>
          <w:color w:val="auto"/>
          <w:kern w:val="2"/>
          <w:sz w:val="22"/>
          <w:szCs w:val="22"/>
        </w:rPr>
        <w:t>满足原有系统</w:t>
      </w:r>
      <w:r>
        <w:rPr>
          <w:rFonts w:hint="eastAsia" w:ascii="新宋体" w:hAnsi="新宋体" w:eastAsia="新宋体" w:cs="新宋体"/>
          <w:b w:val="0"/>
          <w:bCs/>
          <w:color w:val="auto"/>
          <w:kern w:val="2"/>
          <w:sz w:val="22"/>
          <w:szCs w:val="22"/>
        </w:rPr>
        <w:t>正常</w:t>
      </w:r>
      <w:r>
        <w:rPr>
          <w:rFonts w:ascii="新宋体" w:hAnsi="新宋体" w:eastAsia="新宋体" w:cs="新宋体"/>
          <w:b w:val="0"/>
          <w:bCs/>
          <w:color w:val="auto"/>
          <w:kern w:val="2"/>
          <w:sz w:val="22"/>
          <w:szCs w:val="22"/>
        </w:rPr>
        <w:t>运行的</w:t>
      </w:r>
      <w:r>
        <w:rPr>
          <w:rFonts w:hint="eastAsia" w:ascii="新宋体" w:hAnsi="新宋体" w:eastAsia="新宋体" w:cs="新宋体"/>
          <w:b w:val="0"/>
          <w:bCs/>
          <w:color w:val="auto"/>
          <w:kern w:val="2"/>
          <w:sz w:val="22"/>
          <w:szCs w:val="22"/>
        </w:rPr>
        <w:t>配件服务，并对由维护单位提供足够的易损、易耗件及配套辅材，并负责提供存储仓库并保管，为保证本项目业务使用持续可用的服务。</w:t>
      </w:r>
    </w:p>
    <w:p>
      <w:pPr>
        <w:spacing w:line="460" w:lineRule="exact"/>
        <w:ind w:firstLine="541" w:firstLineChars="245"/>
        <w:rPr>
          <w:rFonts w:hint="eastAsia" w:ascii="新宋体" w:hAnsi="新宋体" w:eastAsia="新宋体" w:cs="新宋体"/>
          <w:b/>
          <w:bCs w:val="0"/>
          <w:color w:val="auto"/>
          <w:kern w:val="2"/>
          <w:sz w:val="22"/>
          <w:szCs w:val="22"/>
          <w:u w:val="single"/>
        </w:rPr>
      </w:pPr>
      <w:r>
        <w:rPr>
          <w:rFonts w:hint="eastAsia" w:ascii="新宋体" w:hAnsi="新宋体" w:eastAsia="新宋体" w:cs="新宋体"/>
          <w:b/>
          <w:bCs w:val="0"/>
          <w:color w:val="auto"/>
          <w:kern w:val="2"/>
          <w:sz w:val="22"/>
          <w:szCs w:val="22"/>
          <w:u w:val="single"/>
        </w:rPr>
        <w:t>需提供项目中建设的所有设备的资产登记、废弃淘汰设备报废登记等功能需求的软件，同时做好设备资产录入，相应的设备更新、维修记录（拍照留档）等备案登记，无法修复需报废的，按有关规定做好设备报废工作。</w:t>
      </w:r>
    </w:p>
    <w:p>
      <w:pPr>
        <w:spacing w:line="460" w:lineRule="exact"/>
        <w:ind w:firstLine="541" w:firstLineChars="245"/>
        <w:outlineLvl w:val="3"/>
        <w:rPr>
          <w:rFonts w:hint="eastAsia" w:ascii="新宋体" w:hAnsi="新宋体" w:eastAsia="新宋体" w:cs="新宋体"/>
          <w:color w:val="auto"/>
          <w:kern w:val="2"/>
          <w:sz w:val="22"/>
          <w:szCs w:val="22"/>
          <w:lang w:val="zh-CN"/>
        </w:rPr>
      </w:pPr>
      <w:r>
        <w:rPr>
          <w:rFonts w:hint="eastAsia" w:ascii="新宋体" w:hAnsi="新宋体" w:eastAsia="新宋体" w:cs="新宋体"/>
          <w:b/>
          <w:bCs w:val="0"/>
          <w:color w:val="auto"/>
          <w:kern w:val="2"/>
          <w:sz w:val="22"/>
          <w:szCs w:val="22"/>
          <w:lang w:val="zh-CN"/>
        </w:rPr>
        <w:t>5.2.4人员配置</w:t>
      </w:r>
    </w:p>
    <w:p>
      <w:pPr>
        <w:spacing w:line="460" w:lineRule="exact"/>
        <w:ind w:firstLine="539" w:firstLineChars="245"/>
        <w:rPr>
          <w:rFonts w:ascii="新宋体" w:hAnsi="新宋体" w:eastAsia="新宋体" w:cs="新宋体"/>
          <w:b w:val="0"/>
          <w:bCs/>
          <w:color w:val="auto"/>
          <w:kern w:val="2"/>
          <w:sz w:val="22"/>
          <w:szCs w:val="22"/>
        </w:rPr>
      </w:pPr>
      <w:r>
        <w:rPr>
          <w:rFonts w:hint="eastAsia" w:ascii="新宋体" w:hAnsi="新宋体" w:eastAsia="新宋体" w:cs="新宋体"/>
          <w:b w:val="0"/>
          <w:bCs/>
          <w:color w:val="auto"/>
          <w:kern w:val="2"/>
          <w:sz w:val="22"/>
          <w:szCs w:val="22"/>
        </w:rPr>
        <w:t>前端维护人员配置：要求配置属地化、专职的维护队伍，维护单位要确立内场</w:t>
      </w:r>
      <w:r>
        <w:rPr>
          <w:rFonts w:ascii="新宋体" w:hAnsi="新宋体" w:eastAsia="新宋体" w:cs="新宋体"/>
          <w:b w:val="0"/>
          <w:bCs/>
          <w:color w:val="auto"/>
          <w:kern w:val="2"/>
          <w:sz w:val="22"/>
          <w:szCs w:val="22"/>
        </w:rPr>
        <w:t>驻点</w:t>
      </w:r>
      <w:r>
        <w:rPr>
          <w:rFonts w:hint="eastAsia" w:ascii="新宋体" w:hAnsi="新宋体" w:eastAsia="新宋体" w:cs="新宋体"/>
          <w:b w:val="0"/>
          <w:bCs/>
          <w:color w:val="auto"/>
          <w:kern w:val="2"/>
          <w:sz w:val="22"/>
          <w:szCs w:val="22"/>
        </w:rPr>
        <w:t>维护</w:t>
      </w:r>
      <w:r>
        <w:rPr>
          <w:rFonts w:ascii="新宋体" w:hAnsi="新宋体" w:eastAsia="新宋体" w:cs="新宋体"/>
          <w:b w:val="0"/>
          <w:bCs/>
          <w:color w:val="auto"/>
          <w:kern w:val="2"/>
          <w:sz w:val="22"/>
          <w:szCs w:val="22"/>
        </w:rPr>
        <w:t>人员</w:t>
      </w:r>
      <w:r>
        <w:rPr>
          <w:rFonts w:hint="eastAsia" w:ascii="新宋体" w:hAnsi="新宋体" w:eastAsia="新宋体" w:cs="新宋体"/>
          <w:b w:val="0"/>
          <w:bCs/>
          <w:color w:val="auto"/>
          <w:kern w:val="2"/>
          <w:sz w:val="22"/>
          <w:szCs w:val="22"/>
        </w:rPr>
        <w:t>2人，</w:t>
      </w:r>
      <w:r>
        <w:rPr>
          <w:rFonts w:ascii="新宋体" w:hAnsi="新宋体" w:eastAsia="新宋体" w:cs="新宋体"/>
          <w:b w:val="0"/>
          <w:bCs/>
          <w:color w:val="auto"/>
          <w:kern w:val="2"/>
          <w:sz w:val="22"/>
          <w:szCs w:val="22"/>
        </w:rPr>
        <w:t>负责内场点位故障申报</w:t>
      </w:r>
      <w:r>
        <w:rPr>
          <w:rFonts w:hint="eastAsia" w:ascii="新宋体" w:hAnsi="新宋体" w:eastAsia="新宋体" w:cs="新宋体"/>
          <w:b w:val="0"/>
          <w:bCs/>
          <w:color w:val="auto"/>
          <w:kern w:val="2"/>
          <w:sz w:val="22"/>
          <w:szCs w:val="22"/>
        </w:rPr>
        <w:t>，</w:t>
      </w:r>
      <w:r>
        <w:rPr>
          <w:rFonts w:ascii="新宋体" w:hAnsi="新宋体" w:eastAsia="新宋体" w:cs="新宋体"/>
          <w:b w:val="0"/>
          <w:bCs/>
          <w:color w:val="auto"/>
          <w:kern w:val="2"/>
          <w:sz w:val="22"/>
          <w:szCs w:val="22"/>
        </w:rPr>
        <w:t>定期巡查、技术升级等服务</w:t>
      </w:r>
      <w:r>
        <w:rPr>
          <w:rFonts w:hint="eastAsia" w:ascii="新宋体" w:hAnsi="新宋体" w:eastAsia="新宋体" w:cs="新宋体"/>
          <w:b w:val="0"/>
          <w:bCs/>
          <w:color w:val="auto"/>
          <w:kern w:val="2"/>
          <w:sz w:val="22"/>
          <w:szCs w:val="22"/>
        </w:rPr>
        <w:t>；外场施工</w:t>
      </w:r>
      <w:r>
        <w:rPr>
          <w:rFonts w:ascii="新宋体" w:hAnsi="新宋体" w:eastAsia="新宋体" w:cs="新宋体"/>
          <w:b w:val="0"/>
          <w:bCs/>
          <w:color w:val="auto"/>
          <w:kern w:val="2"/>
          <w:sz w:val="22"/>
          <w:szCs w:val="22"/>
        </w:rPr>
        <w:t>技术</w:t>
      </w:r>
      <w:r>
        <w:rPr>
          <w:rFonts w:hint="eastAsia" w:ascii="新宋体" w:hAnsi="新宋体" w:eastAsia="新宋体" w:cs="新宋体"/>
          <w:b w:val="0"/>
          <w:bCs/>
          <w:color w:val="auto"/>
          <w:kern w:val="2"/>
          <w:sz w:val="22"/>
          <w:szCs w:val="22"/>
        </w:rPr>
        <w:t>人员</w:t>
      </w:r>
      <w:r>
        <w:rPr>
          <w:rFonts w:ascii="新宋体" w:hAnsi="新宋体" w:eastAsia="新宋体" w:cs="新宋体"/>
          <w:b w:val="0"/>
          <w:bCs/>
          <w:color w:val="auto"/>
          <w:kern w:val="2"/>
          <w:sz w:val="22"/>
          <w:szCs w:val="22"/>
        </w:rPr>
        <w:t>4</w:t>
      </w:r>
      <w:r>
        <w:rPr>
          <w:rFonts w:hint="eastAsia" w:ascii="新宋体" w:hAnsi="新宋体" w:eastAsia="新宋体" w:cs="新宋体"/>
          <w:b w:val="0"/>
          <w:bCs/>
          <w:color w:val="auto"/>
          <w:kern w:val="2"/>
          <w:sz w:val="22"/>
          <w:szCs w:val="22"/>
        </w:rPr>
        <w:t>组8人，负责外场设备的维修、巡检、清洁等工作的安排，及时将现场维护技术服务的情况传达到内场经理，可采用滚班制，保证24小时都能及时响应业主需求。如现有人员无法适应维护工作要求，应加派人员数量直至完成维护需求。</w:t>
      </w:r>
    </w:p>
    <w:p>
      <w:pPr>
        <w:spacing w:line="460" w:lineRule="exact"/>
        <w:ind w:firstLine="539" w:firstLineChars="245"/>
        <w:rPr>
          <w:rFonts w:ascii="新宋体" w:hAnsi="新宋体" w:eastAsia="新宋体" w:cs="新宋体"/>
          <w:b w:val="0"/>
          <w:bCs/>
          <w:color w:val="auto"/>
          <w:kern w:val="2"/>
          <w:sz w:val="22"/>
          <w:szCs w:val="22"/>
        </w:rPr>
      </w:pPr>
      <w:r>
        <w:rPr>
          <w:rFonts w:hint="eastAsia" w:ascii="新宋体" w:hAnsi="新宋体" w:eastAsia="新宋体" w:cs="新宋体"/>
          <w:b w:val="0"/>
          <w:bCs/>
          <w:color w:val="auto"/>
          <w:kern w:val="2"/>
          <w:sz w:val="22"/>
          <w:szCs w:val="22"/>
        </w:rPr>
        <w:t>驻点值班人员在指挥中心查看路面情况及调试路口的通行能力，根据指挥中心及大队要求及时调整信号配时，出现故障及时报告给外场维修人员进行现场处理。遇有重要节假日、警卫任务时，服从交警指挥中心安排，及时提供信号调整服务。</w:t>
      </w:r>
    </w:p>
    <w:p>
      <w:pPr>
        <w:spacing w:line="460" w:lineRule="exact"/>
        <w:ind w:firstLine="539" w:firstLineChars="245"/>
        <w:rPr>
          <w:rFonts w:hint="eastAsia" w:ascii="新宋体" w:hAnsi="新宋体" w:eastAsia="新宋体" w:cs="新宋体"/>
          <w:b w:val="0"/>
          <w:bCs/>
          <w:color w:val="auto"/>
          <w:kern w:val="2"/>
          <w:sz w:val="22"/>
          <w:szCs w:val="22"/>
        </w:rPr>
      </w:pPr>
      <w:r>
        <w:rPr>
          <w:rFonts w:hint="eastAsia" w:ascii="新宋体" w:hAnsi="新宋体" w:eastAsia="新宋体" w:cs="新宋体"/>
          <w:b w:val="0"/>
          <w:bCs/>
          <w:color w:val="auto"/>
          <w:kern w:val="2"/>
          <w:sz w:val="22"/>
          <w:szCs w:val="22"/>
        </w:rPr>
        <w:t>派驻人员工资已含在本项目中。</w:t>
      </w:r>
    </w:p>
    <w:p>
      <w:pPr>
        <w:keepNext/>
        <w:keepLines/>
        <w:numPr>
          <w:ilvl w:val="1"/>
          <w:numId w:val="0"/>
        </w:numPr>
        <w:spacing w:line="360" w:lineRule="auto"/>
        <w:jc w:val="left"/>
        <w:outlineLvl w:val="1"/>
        <w:rPr>
          <w:rFonts w:hint="eastAsia" w:ascii="Cambria" w:hAnsi="Cambria" w:eastAsia="宋体" w:cs="Times New Roman"/>
          <w:b/>
          <w:bCs/>
          <w:color w:val="auto"/>
          <w:kern w:val="2"/>
          <w:sz w:val="24"/>
          <w:szCs w:val="24"/>
          <w:lang w:val="zh-CN"/>
        </w:rPr>
      </w:pPr>
      <w:r>
        <w:rPr>
          <w:rFonts w:hint="eastAsia" w:ascii="Cambria" w:hAnsi="Cambria" w:eastAsia="宋体" w:cs="Times New Roman"/>
          <w:b/>
          <w:bCs/>
          <w:color w:val="auto"/>
          <w:kern w:val="2"/>
          <w:sz w:val="24"/>
          <w:szCs w:val="24"/>
        </w:rPr>
        <w:t>5.3运维技术服务效果应用</w:t>
      </w:r>
    </w:p>
    <w:p>
      <w:pPr>
        <w:spacing w:line="460" w:lineRule="exact"/>
        <w:ind w:firstLine="539" w:firstLineChars="245"/>
        <w:rPr>
          <w:rFonts w:hint="eastAsia" w:ascii="新宋体" w:hAnsi="新宋体" w:eastAsia="新宋体" w:cs="新宋体"/>
          <w:b w:val="0"/>
          <w:bCs/>
          <w:color w:val="auto"/>
          <w:kern w:val="2"/>
          <w:sz w:val="22"/>
          <w:szCs w:val="22"/>
          <w:lang w:val="zh-CN"/>
        </w:rPr>
      </w:pPr>
      <w:r>
        <w:rPr>
          <w:rFonts w:hint="eastAsia" w:ascii="新宋体" w:hAnsi="新宋体" w:eastAsia="新宋体" w:cs="新宋体"/>
          <w:b w:val="0"/>
          <w:bCs/>
          <w:color w:val="auto"/>
          <w:kern w:val="2"/>
          <w:sz w:val="22"/>
          <w:szCs w:val="22"/>
          <w:lang w:val="zh-CN"/>
        </w:rPr>
        <w:t>运维技术服务工作启动后，将根据各点位运行效果进行维护技术服务工作评价。对维护技术服务不及时或不到位情况，将扣除相应的运维技术服务费用。考核内容将根据实际管理需要予以调整，不同考核项目累计扣费。</w:t>
      </w:r>
    </w:p>
    <w:p>
      <w:pPr>
        <w:spacing w:line="460" w:lineRule="exact"/>
        <w:ind w:firstLine="541" w:firstLineChars="245"/>
        <w:outlineLvl w:val="3"/>
        <w:rPr>
          <w:rFonts w:hint="eastAsia" w:ascii="新宋体" w:hAnsi="新宋体" w:eastAsia="新宋体" w:cs="新宋体"/>
          <w:b/>
          <w:bCs/>
          <w:color w:val="auto"/>
          <w:kern w:val="2"/>
          <w:sz w:val="22"/>
          <w:szCs w:val="22"/>
          <w:lang w:val="zh-CN"/>
        </w:rPr>
      </w:pPr>
      <w:r>
        <w:rPr>
          <w:rFonts w:hint="eastAsia" w:ascii="新宋体" w:hAnsi="新宋体" w:eastAsia="新宋体" w:cs="新宋体"/>
          <w:b/>
          <w:bCs/>
          <w:color w:val="auto"/>
          <w:kern w:val="2"/>
          <w:sz w:val="22"/>
          <w:szCs w:val="22"/>
          <w:lang w:val="zh-CN"/>
        </w:rPr>
        <w:t>5.3.1 SCATS信号</w:t>
      </w:r>
    </w:p>
    <w:p>
      <w:pPr>
        <w:adjustRightInd w:val="0"/>
        <w:snapToGrid w:val="0"/>
        <w:spacing w:before="120" w:beforeLines="50" w:after="120" w:afterLines="50"/>
        <w:ind w:firstLine="442" w:firstLineChars="200"/>
        <w:jc w:val="left"/>
        <w:rPr>
          <w:rFonts w:ascii="宋体" w:eastAsia="宋体" w:cs="宋体"/>
          <w:b/>
          <w:bCs/>
          <w:sz w:val="22"/>
          <w:szCs w:val="22"/>
        </w:rPr>
      </w:pPr>
      <w:r>
        <w:rPr>
          <w:rFonts w:hint="eastAsia" w:ascii="新宋体" w:hAnsi="新宋体" w:eastAsia="新宋体" w:cs="新宋体"/>
          <w:b/>
          <w:bCs/>
          <w:color w:val="auto"/>
          <w:kern w:val="2"/>
          <w:sz w:val="22"/>
          <w:szCs w:val="22"/>
          <w:lang w:val="zh-CN"/>
        </w:rPr>
        <w:t>5.3.1.1</w:t>
      </w:r>
      <w:r>
        <w:rPr>
          <w:rFonts w:hint="eastAsia" w:ascii="宋体" w:eastAsia="宋体" w:cs="宋体"/>
          <w:b/>
          <w:bCs/>
          <w:sz w:val="22"/>
          <w:szCs w:val="22"/>
        </w:rPr>
        <w:t>信号运行状态</w:t>
      </w:r>
    </w:p>
    <w:p>
      <w:pPr>
        <w:adjustRightInd w:val="0"/>
        <w:snapToGrid w:val="0"/>
        <w:spacing w:line="360" w:lineRule="auto"/>
        <w:ind w:firstLine="440" w:firstLineChars="200"/>
        <w:rPr>
          <w:rFonts w:ascii="宋体" w:eastAsia="宋体" w:cs="宋体"/>
          <w:b w:val="0"/>
          <w:bCs/>
          <w:sz w:val="22"/>
          <w:szCs w:val="22"/>
        </w:rPr>
      </w:pPr>
      <w:r>
        <w:rPr>
          <w:rFonts w:hint="eastAsia" w:ascii="宋体" w:eastAsia="宋体" w:cs="宋体"/>
          <w:b w:val="0"/>
          <w:bCs/>
          <w:sz w:val="22"/>
          <w:szCs w:val="22"/>
        </w:rPr>
        <w:t>以系统数据为准，当月单口SCATS信号运行异常状态（除正常状态外）时间累计少于6小时的不扣费；大于、等于6小时，且少于12小时的，扣除单口1天服务费用；大于、等于12小时，且少于18小时的，扣除单口2天服务费用；大于、等于18小时，扣除单口月服务费用。</w:t>
      </w:r>
    </w:p>
    <w:p>
      <w:pPr>
        <w:adjustRightInd w:val="0"/>
        <w:snapToGrid w:val="0"/>
        <w:spacing w:before="120" w:beforeLines="50" w:after="120" w:afterLines="50"/>
        <w:ind w:firstLine="442" w:firstLineChars="200"/>
        <w:jc w:val="left"/>
        <w:rPr>
          <w:rFonts w:ascii="宋体" w:eastAsia="宋体" w:cs="宋体"/>
          <w:bCs/>
          <w:sz w:val="22"/>
          <w:szCs w:val="22"/>
        </w:rPr>
      </w:pPr>
      <w:r>
        <w:rPr>
          <w:rFonts w:hint="eastAsia" w:ascii="新宋体" w:hAnsi="新宋体" w:eastAsia="新宋体" w:cs="新宋体"/>
          <w:b/>
          <w:bCs/>
          <w:color w:val="auto"/>
          <w:kern w:val="2"/>
          <w:sz w:val="22"/>
          <w:szCs w:val="22"/>
          <w:lang w:val="zh-CN"/>
        </w:rPr>
        <w:t>5.3.1.2</w:t>
      </w:r>
      <w:r>
        <w:rPr>
          <w:rFonts w:hint="eastAsia" w:ascii="宋体" w:eastAsia="宋体" w:cs="宋体"/>
          <w:b/>
          <w:bCs/>
          <w:sz w:val="22"/>
          <w:szCs w:val="22"/>
        </w:rPr>
        <w:t>采集设备状态</w:t>
      </w:r>
    </w:p>
    <w:p>
      <w:pPr>
        <w:adjustRightInd w:val="0"/>
        <w:snapToGrid w:val="0"/>
        <w:spacing w:line="360" w:lineRule="auto"/>
        <w:ind w:firstLine="440" w:firstLineChars="200"/>
        <w:rPr>
          <w:rFonts w:hint="eastAsia" w:ascii="宋体" w:eastAsia="宋体" w:cs="宋体"/>
          <w:b w:val="0"/>
          <w:bCs/>
          <w:sz w:val="22"/>
          <w:szCs w:val="22"/>
        </w:rPr>
      </w:pPr>
      <w:r>
        <w:rPr>
          <w:rFonts w:hint="eastAsia" w:ascii="宋体" w:eastAsia="宋体" w:cs="宋体"/>
          <w:b w:val="0"/>
          <w:bCs/>
          <w:sz w:val="22"/>
          <w:szCs w:val="22"/>
        </w:rPr>
        <w:t>通过系统统计与人工抽查等方式，对微波雷达车辆检测器采集的流量数据质量进行监测，不达标的扣除相应的服务费用。具体考核方式及内容，由甲方根据实际管理需要制定。</w:t>
      </w:r>
    </w:p>
    <w:p>
      <w:pPr>
        <w:ind w:firstLine="442" w:firstLineChars="200"/>
        <w:rPr>
          <w:rFonts w:hint="eastAsia" w:ascii="宋体" w:eastAsia="宋体" w:cs="宋体"/>
          <w:bCs/>
          <w:sz w:val="22"/>
          <w:szCs w:val="22"/>
        </w:rPr>
      </w:pPr>
      <w:r>
        <w:rPr>
          <w:rFonts w:hint="eastAsia" w:ascii="新宋体" w:hAnsi="新宋体" w:eastAsia="新宋体" w:cs="新宋体"/>
          <w:b/>
          <w:bCs/>
          <w:color w:val="auto"/>
          <w:kern w:val="2"/>
          <w:sz w:val="22"/>
          <w:szCs w:val="22"/>
          <w:lang w:val="zh-CN"/>
        </w:rPr>
        <w:t>5.3.1.3</w:t>
      </w:r>
      <w:r>
        <w:rPr>
          <w:rFonts w:hint="eastAsia" w:ascii="宋体" w:eastAsia="宋体" w:cs="宋体"/>
          <w:b/>
          <w:bCs/>
          <w:sz w:val="22"/>
          <w:szCs w:val="22"/>
        </w:rPr>
        <w:t>重大警保卫任务报障</w:t>
      </w:r>
    </w:p>
    <w:p>
      <w:pPr>
        <w:adjustRightInd w:val="0"/>
        <w:snapToGrid w:val="0"/>
        <w:spacing w:line="360" w:lineRule="auto"/>
        <w:ind w:firstLine="440" w:firstLineChars="200"/>
        <w:rPr>
          <w:rFonts w:hint="eastAsia" w:ascii="宋体" w:eastAsia="宋体" w:cs="宋体"/>
          <w:b w:val="0"/>
          <w:bCs/>
          <w:sz w:val="22"/>
          <w:szCs w:val="22"/>
        </w:rPr>
      </w:pPr>
      <w:r>
        <w:rPr>
          <w:rFonts w:hint="eastAsia" w:ascii="宋体" w:eastAsia="宋体" w:cs="宋体"/>
          <w:b w:val="0"/>
          <w:bCs/>
          <w:sz w:val="22"/>
          <w:szCs w:val="22"/>
        </w:rPr>
        <w:t>重大警保任务未按规定保障的，扣除单口3天服务费用；造成后果的扣除单口月服务费用。</w:t>
      </w:r>
    </w:p>
    <w:p>
      <w:pPr>
        <w:ind w:firstLine="442" w:firstLineChars="200"/>
        <w:rPr>
          <w:rFonts w:hint="eastAsia" w:ascii="新宋体" w:hAnsi="新宋体" w:eastAsia="新宋体" w:cs="新宋体"/>
          <w:b/>
          <w:bCs/>
          <w:color w:val="auto"/>
          <w:kern w:val="2"/>
          <w:sz w:val="22"/>
          <w:szCs w:val="22"/>
          <w:lang w:val="zh-CN"/>
        </w:rPr>
      </w:pPr>
      <w:r>
        <w:rPr>
          <w:rFonts w:hint="eastAsia" w:ascii="新宋体" w:hAnsi="新宋体" w:eastAsia="新宋体" w:cs="新宋体"/>
          <w:b/>
          <w:bCs/>
          <w:color w:val="auto"/>
          <w:kern w:val="2"/>
          <w:sz w:val="22"/>
          <w:szCs w:val="22"/>
          <w:lang w:val="zh-CN"/>
        </w:rPr>
        <w:t>5.3.1.4故障维修</w:t>
      </w:r>
    </w:p>
    <w:p>
      <w:pPr>
        <w:adjustRightInd w:val="0"/>
        <w:snapToGrid w:val="0"/>
        <w:spacing w:line="360" w:lineRule="auto"/>
        <w:ind w:firstLine="315" w:firstLineChars="150"/>
        <w:rPr>
          <w:rFonts w:hint="eastAsia" w:ascii="宋体" w:eastAsia="宋体" w:cs="宋体"/>
          <w:b w:val="0"/>
          <w:bCs/>
          <w:sz w:val="22"/>
          <w:szCs w:val="22"/>
        </w:rPr>
      </w:pPr>
      <w:r>
        <w:rPr>
          <w:rFonts w:hint="eastAsia"/>
        </w:rPr>
        <w:t xml:space="preserve"> </w:t>
      </w:r>
      <w:r>
        <w:rPr>
          <w:rFonts w:hint="eastAsia" w:ascii="宋体" w:eastAsia="宋体" w:cs="宋体"/>
          <w:b w:val="0"/>
          <w:bCs/>
          <w:sz w:val="22"/>
          <w:szCs w:val="22"/>
        </w:rPr>
        <w:t>根据故障维修全程监控管理平台的跟踪数据，30分钟未到达故障现场或到达现场后因备件准备不齐，1小时内不能修复的扣除单口1天服务费用。</w:t>
      </w:r>
    </w:p>
    <w:p>
      <w:pPr>
        <w:pStyle w:val="2"/>
        <w:widowControl/>
        <w:overflowPunct w:val="0"/>
        <w:spacing w:before="0" w:after="0"/>
        <w:ind w:firstLine="482" w:firstLineChars="200"/>
        <w:jc w:val="both"/>
        <w:textAlignment w:val="baseline"/>
        <w:outlineLvl w:val="9"/>
        <w:rPr>
          <w:rFonts w:hint="eastAsia" w:ascii="Times New Roman" w:hAnsi="Times New Roman" w:cs="Times New Roman"/>
          <w:bCs w:val="0"/>
          <w:color w:val="auto"/>
          <w:kern w:val="0"/>
          <w:sz w:val="24"/>
          <w:szCs w:val="22"/>
          <w:lang w:val="en-US"/>
        </w:rPr>
      </w:pPr>
      <w:r>
        <w:rPr>
          <w:rFonts w:hint="eastAsia" w:ascii="Times New Roman" w:hAnsi="Times New Roman" w:cs="Times New Roman"/>
          <w:bCs w:val="0"/>
          <w:color w:val="auto"/>
          <w:kern w:val="0"/>
          <w:sz w:val="24"/>
          <w:szCs w:val="22"/>
          <w:lang w:val="en-US"/>
        </w:rPr>
        <w:t>5.3.1.5系统故障</w:t>
      </w:r>
    </w:p>
    <w:p>
      <w:pPr>
        <w:adjustRightInd w:val="0"/>
        <w:snapToGrid w:val="0"/>
        <w:spacing w:line="360" w:lineRule="auto"/>
        <w:ind w:firstLine="315" w:firstLineChars="150"/>
        <w:rPr>
          <w:rFonts w:hint="eastAsia" w:ascii="宋体" w:eastAsia="宋体" w:cs="宋体"/>
          <w:b w:val="0"/>
          <w:bCs/>
          <w:sz w:val="22"/>
          <w:szCs w:val="22"/>
        </w:rPr>
      </w:pPr>
      <w:r>
        <w:rPr>
          <w:rFonts w:hint="eastAsia"/>
        </w:rPr>
        <w:t xml:space="preserve"> </w:t>
      </w:r>
      <w:r>
        <w:rPr>
          <w:rFonts w:hint="eastAsia" w:ascii="宋体" w:eastAsia="宋体" w:cs="宋体"/>
          <w:b w:val="0"/>
          <w:bCs/>
          <w:sz w:val="22"/>
          <w:szCs w:val="22"/>
        </w:rPr>
        <w:t>因系统故障造成批量（10个口以上含）下线的，不能在1小时内恢复的，扣除批量（实际数）1天服务费；重大警保任务因系统故障造成批量（10个口以上含）下线的，不能在10分钟内恢复的，扣除批量（实际数）月服务费。</w:t>
      </w:r>
    </w:p>
    <w:p>
      <w:pPr>
        <w:pStyle w:val="2"/>
        <w:ind w:firstLine="465"/>
        <w:jc w:val="both"/>
        <w:rPr>
          <w:rFonts w:hint="eastAsia" w:ascii="Calibri" w:hAnsi="Calibri"/>
          <w:bCs/>
          <w:kern w:val="2"/>
          <w:szCs w:val="24"/>
        </w:rPr>
      </w:pPr>
      <w:r>
        <w:rPr>
          <w:rFonts w:hint="eastAsia" w:ascii="Times New Roman" w:hAnsi="Times New Roman" w:cs="Times New Roman"/>
          <w:bCs w:val="0"/>
          <w:color w:val="auto"/>
          <w:kern w:val="0"/>
          <w:sz w:val="24"/>
          <w:szCs w:val="22"/>
          <w:lang w:val="en-US"/>
        </w:rPr>
        <w:t>5.3.1.6智能报障平台及故障维修全程监控管理平台</w:t>
      </w:r>
    </w:p>
    <w:p>
      <w:pPr>
        <w:adjustRightInd w:val="0"/>
        <w:snapToGrid w:val="0"/>
        <w:spacing w:line="360" w:lineRule="auto"/>
        <w:ind w:firstLine="330" w:firstLineChars="150"/>
        <w:rPr>
          <w:rFonts w:hint="eastAsia" w:ascii="宋体" w:eastAsia="宋体" w:cs="宋体"/>
          <w:b w:val="0"/>
          <w:bCs/>
          <w:sz w:val="22"/>
          <w:szCs w:val="22"/>
        </w:rPr>
      </w:pPr>
      <w:r>
        <w:rPr>
          <w:rFonts w:hint="eastAsia" w:ascii="宋体" w:eastAsia="宋体" w:cs="宋体"/>
          <w:b w:val="0"/>
          <w:bCs/>
          <w:sz w:val="22"/>
          <w:szCs w:val="22"/>
        </w:rPr>
        <w:t>智能报障平台及故障维修全程监控管理平台不可用的，参照5.3.1.1信号运行状态扣款。</w:t>
      </w:r>
    </w:p>
    <w:p>
      <w:pPr>
        <w:adjustRightInd w:val="0"/>
        <w:snapToGrid w:val="0"/>
        <w:spacing w:line="360" w:lineRule="auto"/>
        <w:ind w:firstLine="316" w:firstLineChars="150"/>
        <w:rPr>
          <w:rFonts w:hint="eastAsia"/>
          <w:b/>
          <w:bCs/>
        </w:rPr>
      </w:pPr>
      <w:r>
        <w:rPr>
          <w:rFonts w:hint="eastAsia"/>
          <w:b/>
          <w:bCs/>
        </w:rPr>
        <w:t xml:space="preserve"> </w:t>
      </w:r>
      <w:r>
        <w:rPr>
          <w:rFonts w:hint="eastAsia" w:ascii="Times New Roman" w:hAnsi="Times New Roman" w:eastAsia="宋体"/>
          <w:b/>
          <w:bCs/>
          <w:color w:val="auto"/>
          <w:sz w:val="24"/>
        </w:rPr>
        <w:t>5.3.1.7人员要求</w:t>
      </w:r>
    </w:p>
    <w:p>
      <w:pPr>
        <w:adjustRightInd w:val="0"/>
        <w:snapToGrid w:val="0"/>
        <w:spacing w:line="360" w:lineRule="auto"/>
        <w:ind w:firstLine="330" w:firstLineChars="150"/>
        <w:rPr>
          <w:rFonts w:ascii="宋体" w:eastAsia="宋体" w:cs="宋体"/>
          <w:b w:val="0"/>
          <w:bCs/>
          <w:sz w:val="22"/>
          <w:szCs w:val="22"/>
        </w:rPr>
      </w:pPr>
      <w:r>
        <w:rPr>
          <w:rFonts w:ascii="宋体" w:eastAsia="宋体" w:cs="宋体"/>
          <w:b w:val="0"/>
          <w:bCs/>
          <w:sz w:val="22"/>
          <w:szCs w:val="22"/>
        </w:rPr>
        <w:t>中标方安排</w:t>
      </w:r>
      <w:r>
        <w:rPr>
          <w:rFonts w:hint="eastAsia" w:ascii="宋体" w:eastAsia="宋体" w:cs="宋体"/>
          <w:b w:val="0"/>
          <w:bCs/>
          <w:sz w:val="22"/>
          <w:szCs w:val="22"/>
        </w:rPr>
        <w:t>不少于2</w:t>
      </w:r>
      <w:r>
        <w:rPr>
          <w:rFonts w:ascii="宋体" w:eastAsia="宋体" w:cs="宋体"/>
          <w:b w:val="0"/>
          <w:bCs/>
          <w:sz w:val="22"/>
          <w:szCs w:val="22"/>
        </w:rPr>
        <w:t>人在采购方(</w:t>
      </w:r>
      <w:r>
        <w:rPr>
          <w:rFonts w:hint="eastAsia" w:ascii="宋体" w:eastAsia="宋体" w:cs="宋体"/>
          <w:b w:val="0"/>
          <w:bCs/>
          <w:sz w:val="22"/>
          <w:szCs w:val="22"/>
        </w:rPr>
        <w:t>交管局</w:t>
      </w:r>
      <w:r>
        <w:rPr>
          <w:rFonts w:ascii="宋体" w:eastAsia="宋体" w:cs="宋体"/>
          <w:b w:val="0"/>
          <w:bCs/>
          <w:sz w:val="22"/>
          <w:szCs w:val="22"/>
        </w:rPr>
        <w:t>)大楼驻点维护，驻点人员严格按照采购方的作息</w:t>
      </w:r>
      <w:r>
        <w:rPr>
          <w:rFonts w:hint="eastAsia" w:ascii="宋体" w:eastAsia="宋体" w:cs="宋体"/>
          <w:b w:val="0"/>
          <w:bCs/>
          <w:sz w:val="22"/>
          <w:szCs w:val="22"/>
        </w:rPr>
        <w:t>、着装</w:t>
      </w:r>
      <w:r>
        <w:rPr>
          <w:rFonts w:ascii="宋体" w:eastAsia="宋体" w:cs="宋体"/>
          <w:b w:val="0"/>
          <w:bCs/>
          <w:sz w:val="22"/>
          <w:szCs w:val="22"/>
        </w:rPr>
        <w:t>规定，准时上、</w:t>
      </w:r>
      <w:r>
        <w:rPr>
          <w:rFonts w:hint="eastAsia" w:ascii="宋体" w:eastAsia="宋体" w:cs="宋体"/>
          <w:b w:val="0"/>
          <w:bCs/>
          <w:sz w:val="22"/>
          <w:szCs w:val="22"/>
        </w:rPr>
        <w:t>下班，并遵守采购方的各项规章制度，每迟到、早退一次扣除</w:t>
      </w:r>
      <w:r>
        <w:rPr>
          <w:rFonts w:ascii="宋体" w:eastAsia="宋体" w:cs="宋体"/>
          <w:b w:val="0"/>
          <w:bCs/>
          <w:sz w:val="22"/>
          <w:szCs w:val="22"/>
        </w:rPr>
        <w:t>500元，直到扣完为止。</w:t>
      </w:r>
    </w:p>
    <w:p>
      <w:pPr>
        <w:spacing w:line="460" w:lineRule="exact"/>
        <w:ind w:firstLine="541" w:firstLineChars="245"/>
        <w:outlineLvl w:val="3"/>
        <w:rPr>
          <w:rFonts w:ascii="新宋体" w:hAnsi="新宋体" w:eastAsia="新宋体" w:cs="新宋体"/>
          <w:b/>
          <w:bCs/>
          <w:color w:val="auto"/>
          <w:kern w:val="2"/>
          <w:sz w:val="22"/>
          <w:szCs w:val="22"/>
          <w:lang w:val="zh-CN"/>
        </w:rPr>
      </w:pPr>
      <w:r>
        <w:rPr>
          <w:rFonts w:hint="eastAsia" w:ascii="新宋体" w:hAnsi="新宋体" w:eastAsia="新宋体" w:cs="新宋体"/>
          <w:b/>
          <w:bCs/>
          <w:color w:val="auto"/>
          <w:kern w:val="2"/>
          <w:sz w:val="22"/>
          <w:szCs w:val="22"/>
          <w:lang w:val="zh-CN"/>
        </w:rPr>
        <w:t>5.3.</w:t>
      </w:r>
      <w:r>
        <w:rPr>
          <w:rFonts w:ascii="新宋体" w:hAnsi="新宋体" w:eastAsia="新宋体" w:cs="新宋体"/>
          <w:b/>
          <w:bCs/>
          <w:color w:val="auto"/>
          <w:kern w:val="2"/>
          <w:sz w:val="22"/>
          <w:szCs w:val="22"/>
          <w:lang w:val="zh-CN"/>
        </w:rPr>
        <w:t>2</w:t>
      </w:r>
      <w:r>
        <w:rPr>
          <w:rFonts w:hint="eastAsia" w:ascii="新宋体" w:hAnsi="新宋体" w:eastAsia="新宋体" w:cs="新宋体"/>
          <w:b/>
          <w:bCs/>
          <w:color w:val="auto"/>
          <w:kern w:val="2"/>
          <w:sz w:val="22"/>
          <w:szCs w:val="22"/>
          <w:lang w:val="zh-CN"/>
        </w:rPr>
        <w:t xml:space="preserve"> 配套软件系统</w:t>
      </w:r>
    </w:p>
    <w:p>
      <w:pPr>
        <w:adjustRightInd w:val="0"/>
        <w:snapToGrid w:val="0"/>
        <w:spacing w:before="120" w:beforeLines="50" w:after="120" w:afterLines="50"/>
        <w:ind w:firstLine="442" w:firstLineChars="200"/>
        <w:jc w:val="left"/>
        <w:rPr>
          <w:rFonts w:hint="eastAsia" w:ascii="宋体" w:eastAsia="宋体" w:cs="宋体"/>
          <w:b w:val="0"/>
          <w:bCs/>
          <w:sz w:val="22"/>
          <w:szCs w:val="22"/>
        </w:rPr>
      </w:pPr>
      <w:r>
        <w:rPr>
          <w:rFonts w:hint="eastAsia" w:ascii="宋体" w:eastAsia="宋体" w:cs="宋体"/>
          <w:b/>
          <w:bCs/>
          <w:sz w:val="22"/>
          <w:szCs w:val="22"/>
        </w:rPr>
        <w:t xml:space="preserve"> 系统运维时效性</w:t>
      </w:r>
    </w:p>
    <w:p>
      <w:pPr>
        <w:adjustRightInd w:val="0"/>
        <w:snapToGrid w:val="0"/>
        <w:spacing w:line="360" w:lineRule="auto"/>
        <w:ind w:firstLine="440" w:firstLineChars="200"/>
        <w:rPr>
          <w:rFonts w:ascii="宋体" w:eastAsia="宋体" w:cs="宋体"/>
          <w:b w:val="0"/>
          <w:bCs/>
          <w:sz w:val="22"/>
          <w:szCs w:val="22"/>
        </w:rPr>
      </w:pPr>
      <w:r>
        <w:rPr>
          <w:rFonts w:hint="eastAsia" w:ascii="宋体" w:eastAsia="宋体" w:cs="宋体"/>
          <w:b w:val="0"/>
          <w:bCs/>
          <w:sz w:val="22"/>
          <w:szCs w:val="22"/>
        </w:rPr>
        <w:t>配套软件系统发生不可登入、功能不可用等问题，12小时内需解决故障。因故障逾期未解决而造成影响的，每次扣除当月系统维护费的20%。因故障逾期未解决，被上级领导部门通报的，每次扣除当月系统维护费的50%。</w:t>
      </w:r>
    </w:p>
    <w:p>
      <w:pPr>
        <w:adjustRightInd w:val="0"/>
        <w:snapToGrid w:val="0"/>
        <w:spacing w:after="120" w:afterLines="50"/>
        <w:ind w:firstLine="442" w:firstLineChars="200"/>
        <w:jc w:val="left"/>
        <w:rPr>
          <w:rFonts w:hint="eastAsia" w:ascii="宋体" w:eastAsia="宋体" w:cs="宋体"/>
          <w:b/>
          <w:bCs w:val="0"/>
          <w:sz w:val="22"/>
          <w:szCs w:val="22"/>
        </w:rPr>
      </w:pPr>
      <w:r>
        <w:rPr>
          <w:rFonts w:hint="eastAsia" w:ascii="宋体" w:eastAsia="宋体" w:cs="宋体"/>
          <w:b/>
          <w:bCs w:val="0"/>
          <w:sz w:val="22"/>
          <w:szCs w:val="22"/>
        </w:rPr>
        <w:t>其他</w:t>
      </w:r>
    </w:p>
    <w:p>
      <w:pPr>
        <w:adjustRightInd w:val="0"/>
        <w:snapToGrid w:val="0"/>
        <w:spacing w:line="360" w:lineRule="auto"/>
        <w:ind w:firstLine="440" w:firstLineChars="200"/>
        <w:rPr>
          <w:rFonts w:hint="eastAsia" w:eastAsia="新宋体" w:cs="新宋体"/>
          <w:szCs w:val="21"/>
        </w:rPr>
      </w:pPr>
      <w:r>
        <w:rPr>
          <w:rFonts w:hint="eastAsia" w:ascii="宋体" w:eastAsia="宋体" w:cs="宋体"/>
          <w:b w:val="0"/>
          <w:bCs/>
          <w:sz w:val="22"/>
          <w:szCs w:val="22"/>
        </w:rPr>
        <w:t>维护期内软件更新升级导致系统不稳定、停电或其它不可抗拒原因造成的故障需提交故障确认单由交管部门签字确认。</w:t>
      </w:r>
    </w:p>
    <w:p>
      <w:pPr>
        <w:pStyle w:val="3"/>
        <w:numPr>
          <w:ilvl w:val="0"/>
          <w:numId w:val="0"/>
        </w:numPr>
        <w:tabs>
          <w:tab w:val="left" w:pos="432"/>
        </w:tabs>
        <w:adjustRightInd w:val="0"/>
        <w:snapToGrid w:val="0"/>
        <w:spacing w:before="120" w:beforeLines="50" w:after="120" w:line="240" w:lineRule="auto"/>
        <w:ind w:leftChars="-153"/>
        <w:jc w:val="left"/>
        <w:rPr>
          <w:rFonts w:hint="eastAsia" w:ascii="宋体" w:hAnsi="宋体" w:eastAsia="宋体" w:cs="宋体"/>
          <w:bCs/>
          <w:sz w:val="22"/>
          <w:szCs w:val="22"/>
        </w:rPr>
      </w:pPr>
      <w:bookmarkStart w:id="206" w:name="_Toc384111253"/>
      <w:bookmarkStart w:id="207" w:name="_Toc383636771"/>
      <w:r>
        <w:rPr>
          <w:rFonts w:hint="eastAsia" w:ascii="宋体" w:hAnsi="宋体" w:eastAsia="宋体" w:cs="宋体"/>
          <w:b/>
          <w:bCs/>
          <w:sz w:val="24"/>
          <w:szCs w:val="24"/>
        </w:rPr>
        <w:t>六、采购清单及技术参数要求</w:t>
      </w:r>
      <w:bookmarkEnd w:id="206"/>
      <w:bookmarkEnd w:id="207"/>
    </w:p>
    <w:p>
      <w:pPr>
        <w:adjustRightInd w:val="0"/>
        <w:snapToGrid w:val="0"/>
        <w:spacing w:line="360" w:lineRule="auto"/>
        <w:ind w:firstLine="440" w:firstLineChars="200"/>
        <w:rPr>
          <w:rFonts w:ascii="宋体" w:eastAsia="宋体" w:cs="宋体"/>
          <w:b w:val="0"/>
          <w:bCs/>
          <w:sz w:val="22"/>
          <w:szCs w:val="22"/>
        </w:rPr>
      </w:pPr>
      <w:r>
        <w:rPr>
          <w:rFonts w:hint="eastAsia" w:ascii="宋体" w:eastAsia="宋体" w:cs="宋体"/>
          <w:b w:val="0"/>
          <w:bCs/>
          <w:sz w:val="22"/>
          <w:szCs w:val="22"/>
        </w:rPr>
        <w:t>维护内容包括对前端</w:t>
      </w:r>
      <w:r>
        <w:rPr>
          <w:rFonts w:ascii="宋体" w:eastAsia="宋体" w:cs="宋体"/>
          <w:b w:val="0"/>
          <w:bCs/>
          <w:sz w:val="22"/>
          <w:szCs w:val="22"/>
        </w:rPr>
        <w:t>所有</w:t>
      </w:r>
      <w:r>
        <w:rPr>
          <w:rFonts w:hint="eastAsia" w:ascii="宋体" w:eastAsia="宋体" w:cs="宋体"/>
          <w:b w:val="0"/>
          <w:bCs/>
          <w:sz w:val="22"/>
          <w:szCs w:val="22"/>
        </w:rPr>
        <w:t>设备硬件的拆装、维修、调试、更换，基础管线施工维修，光纤网络维护，系统平台维护等等，其他未列费用均已包含在内。</w:t>
      </w:r>
    </w:p>
    <w:tbl>
      <w:tblPr>
        <w:tblStyle w:val="69"/>
        <w:tblW w:w="9681" w:type="dxa"/>
        <w:jc w:val="center"/>
        <w:tblLayout w:type="autofit"/>
        <w:tblCellMar>
          <w:top w:w="0" w:type="dxa"/>
          <w:left w:w="108" w:type="dxa"/>
          <w:bottom w:w="0" w:type="dxa"/>
          <w:right w:w="108" w:type="dxa"/>
        </w:tblCellMar>
      </w:tblPr>
      <w:tblGrid>
        <w:gridCol w:w="513"/>
        <w:gridCol w:w="1148"/>
        <w:gridCol w:w="6027"/>
        <w:gridCol w:w="640"/>
        <w:gridCol w:w="636"/>
        <w:gridCol w:w="717"/>
      </w:tblGrid>
      <w:tr>
        <w:tblPrEx>
          <w:tblCellMar>
            <w:top w:w="0" w:type="dxa"/>
            <w:left w:w="108" w:type="dxa"/>
            <w:bottom w:w="0" w:type="dxa"/>
            <w:right w:w="108" w:type="dxa"/>
          </w:tblCellMar>
        </w:tblPrEx>
        <w:trPr>
          <w:trHeight w:val="480" w:hRule="atLeast"/>
          <w:jc w:val="center"/>
        </w:trPr>
        <w:tc>
          <w:tcPr>
            <w:tcW w:w="51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eastAsia="宋体" w:cs="宋体"/>
                <w:b/>
                <w:bCs w:val="0"/>
                <w:sz w:val="19"/>
                <w:szCs w:val="19"/>
              </w:rPr>
            </w:pPr>
            <w:r>
              <w:rPr>
                <w:rFonts w:hint="eastAsia" w:ascii="宋体" w:eastAsia="宋体" w:cs="宋体"/>
                <w:b/>
                <w:bCs w:val="0"/>
                <w:sz w:val="19"/>
                <w:szCs w:val="19"/>
              </w:rPr>
              <w:t>序号</w:t>
            </w:r>
          </w:p>
        </w:tc>
        <w:tc>
          <w:tcPr>
            <w:tcW w:w="114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eastAsia="宋体" w:cs="宋体"/>
                <w:b/>
                <w:bCs w:val="0"/>
                <w:sz w:val="19"/>
                <w:szCs w:val="19"/>
              </w:rPr>
            </w:pPr>
            <w:r>
              <w:rPr>
                <w:rFonts w:hint="eastAsia" w:ascii="宋体" w:eastAsia="宋体" w:cs="宋体"/>
                <w:b/>
                <w:bCs w:val="0"/>
                <w:sz w:val="19"/>
                <w:szCs w:val="19"/>
              </w:rPr>
              <w:t>项目内容</w:t>
            </w:r>
          </w:p>
        </w:tc>
        <w:tc>
          <w:tcPr>
            <w:tcW w:w="6027"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eastAsia="宋体" w:cs="宋体"/>
                <w:b/>
                <w:bCs w:val="0"/>
                <w:sz w:val="19"/>
                <w:szCs w:val="19"/>
              </w:rPr>
            </w:pPr>
            <w:r>
              <w:rPr>
                <w:rFonts w:hint="eastAsia" w:ascii="宋体" w:eastAsia="宋体" w:cs="宋体"/>
                <w:b/>
                <w:bCs w:val="0"/>
                <w:sz w:val="19"/>
                <w:szCs w:val="19"/>
              </w:rPr>
              <w:t>主要参数</w:t>
            </w:r>
          </w:p>
        </w:tc>
        <w:tc>
          <w:tcPr>
            <w:tcW w:w="64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eastAsia="宋体" w:cs="宋体"/>
                <w:b/>
                <w:bCs w:val="0"/>
                <w:sz w:val="19"/>
                <w:szCs w:val="19"/>
              </w:rPr>
            </w:pPr>
            <w:r>
              <w:rPr>
                <w:rFonts w:hint="eastAsia" w:ascii="宋体" w:eastAsia="宋体" w:cs="宋体"/>
                <w:b/>
                <w:bCs w:val="0"/>
                <w:sz w:val="19"/>
                <w:szCs w:val="19"/>
              </w:rPr>
              <w:t>数量</w:t>
            </w:r>
          </w:p>
        </w:tc>
        <w:tc>
          <w:tcPr>
            <w:tcW w:w="63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eastAsia="宋体" w:cs="宋体"/>
                <w:b/>
                <w:bCs w:val="0"/>
                <w:sz w:val="19"/>
                <w:szCs w:val="19"/>
              </w:rPr>
            </w:pPr>
            <w:r>
              <w:rPr>
                <w:rFonts w:hint="eastAsia" w:ascii="宋体" w:eastAsia="宋体" w:cs="宋体"/>
                <w:b/>
                <w:bCs w:val="0"/>
                <w:sz w:val="19"/>
                <w:szCs w:val="19"/>
              </w:rPr>
              <w:t>单位</w:t>
            </w:r>
          </w:p>
        </w:tc>
        <w:tc>
          <w:tcPr>
            <w:tcW w:w="717"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eastAsia="宋体" w:cs="宋体"/>
                <w:b/>
                <w:bCs w:val="0"/>
                <w:sz w:val="19"/>
                <w:szCs w:val="19"/>
              </w:rPr>
            </w:pPr>
            <w:r>
              <w:rPr>
                <w:rFonts w:hint="eastAsia" w:ascii="宋体" w:eastAsia="宋体" w:cs="宋体"/>
                <w:b/>
                <w:bCs w:val="0"/>
                <w:sz w:val="19"/>
                <w:szCs w:val="19"/>
              </w:rPr>
              <w:t>备注</w:t>
            </w:r>
          </w:p>
        </w:tc>
      </w:tr>
      <w:tr>
        <w:tblPrEx>
          <w:tblCellMar>
            <w:top w:w="0" w:type="dxa"/>
            <w:left w:w="108" w:type="dxa"/>
            <w:bottom w:w="0" w:type="dxa"/>
            <w:right w:w="108" w:type="dxa"/>
          </w:tblCellMar>
        </w:tblPrEx>
        <w:trPr>
          <w:trHeight w:val="480" w:hRule="atLeast"/>
          <w:jc w:val="center"/>
        </w:trPr>
        <w:tc>
          <w:tcPr>
            <w:tcW w:w="9681" w:type="dxa"/>
            <w:gridSpan w:val="6"/>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宋体" w:eastAsia="宋体" w:cs="宋体"/>
                <w:b/>
                <w:bCs w:val="0"/>
                <w:sz w:val="19"/>
                <w:szCs w:val="19"/>
              </w:rPr>
            </w:pPr>
            <w:r>
              <w:rPr>
                <w:rFonts w:hint="eastAsia" w:ascii="宋体" w:eastAsia="宋体" w:cs="宋体"/>
                <w:b/>
                <w:bCs w:val="0"/>
                <w:sz w:val="19"/>
                <w:szCs w:val="19"/>
              </w:rPr>
              <w:t>一</w:t>
            </w:r>
            <w:r>
              <w:rPr>
                <w:rFonts w:ascii="宋体" w:eastAsia="宋体" w:cs="宋体"/>
                <w:b/>
                <w:bCs w:val="0"/>
                <w:sz w:val="19"/>
                <w:szCs w:val="19"/>
              </w:rPr>
              <w:t>、</w:t>
            </w:r>
            <w:r>
              <w:rPr>
                <w:rFonts w:hint="eastAsia" w:ascii="宋体" w:eastAsia="宋体" w:cs="宋体"/>
                <w:b/>
                <w:bCs w:val="0"/>
                <w:sz w:val="19"/>
                <w:szCs w:val="19"/>
              </w:rPr>
              <w:t>系统</w:t>
            </w:r>
            <w:r>
              <w:rPr>
                <w:rFonts w:ascii="宋体" w:eastAsia="宋体" w:cs="宋体"/>
                <w:b/>
                <w:bCs w:val="0"/>
                <w:sz w:val="19"/>
                <w:szCs w:val="19"/>
              </w:rPr>
              <w:t>改造</w:t>
            </w:r>
            <w:r>
              <w:rPr>
                <w:rFonts w:hint="eastAsia" w:ascii="宋体" w:eastAsia="宋体" w:cs="宋体"/>
                <w:b/>
                <w:bCs w:val="0"/>
                <w:sz w:val="19"/>
                <w:szCs w:val="19"/>
              </w:rPr>
              <w:t>升级</w:t>
            </w:r>
            <w:r>
              <w:rPr>
                <w:rFonts w:ascii="宋体" w:eastAsia="宋体" w:cs="宋体"/>
                <w:b/>
                <w:bCs w:val="0"/>
                <w:sz w:val="19"/>
                <w:szCs w:val="19"/>
              </w:rPr>
              <w:t>部分</w:t>
            </w:r>
          </w:p>
        </w:tc>
      </w:tr>
      <w:tr>
        <w:tblPrEx>
          <w:tblCellMar>
            <w:top w:w="0" w:type="dxa"/>
            <w:left w:w="108" w:type="dxa"/>
            <w:bottom w:w="0" w:type="dxa"/>
            <w:right w:w="108" w:type="dxa"/>
          </w:tblCellMar>
        </w:tblPrEx>
        <w:trPr>
          <w:trHeight w:val="1050" w:hRule="atLeast"/>
          <w:jc w:val="center"/>
        </w:trPr>
        <w:tc>
          <w:tcPr>
            <w:tcW w:w="5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1</w:t>
            </w:r>
          </w:p>
        </w:tc>
        <w:tc>
          <w:tcPr>
            <w:tcW w:w="1148"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广域雷达路口多功能检测器</w:t>
            </w:r>
          </w:p>
        </w:tc>
        <w:tc>
          <w:tcPr>
            <w:tcW w:w="6027" w:type="dxa"/>
            <w:tcBorders>
              <w:top w:val="nil"/>
              <w:left w:val="nil"/>
              <w:bottom w:val="single" w:color="auto" w:sz="4" w:space="0"/>
              <w:right w:val="single" w:color="auto" w:sz="4" w:space="0"/>
            </w:tcBorders>
            <w:noWrap w:val="0"/>
            <w:vAlign w:val="center"/>
          </w:tcPr>
          <w:p>
            <w:pPr>
              <w:widowControl/>
              <w:jc w:val="left"/>
              <w:rPr>
                <w:rFonts w:ascii="宋体" w:eastAsia="宋体" w:cs="宋体"/>
                <w:b w:val="0"/>
                <w:color w:val="auto"/>
                <w:sz w:val="19"/>
                <w:szCs w:val="19"/>
              </w:rPr>
            </w:pPr>
            <w:r>
              <w:rPr>
                <w:rFonts w:hint="eastAsia" w:ascii="宋体" w:eastAsia="宋体" w:cs="宋体"/>
                <w:b w:val="0"/>
                <w:color w:val="auto"/>
                <w:sz w:val="19"/>
                <w:szCs w:val="19"/>
              </w:rPr>
              <w:t>1. 可无条件接入SCATS信号系统；按SCATS流量采集标准及要求，实现车流量、车道占有状态等多种数据采集，有效输出至SCATS信号控制系统。</w:t>
            </w:r>
            <w:r>
              <w:rPr>
                <w:rFonts w:hint="eastAsia" w:ascii="宋体" w:eastAsia="宋体" w:cs="宋体"/>
                <w:b w:val="0"/>
                <w:color w:val="auto"/>
                <w:sz w:val="19"/>
                <w:szCs w:val="19"/>
              </w:rPr>
              <w:br w:type="textWrapping"/>
            </w:r>
            <w:r>
              <w:rPr>
                <w:rFonts w:hint="eastAsia" w:ascii="宋体" w:eastAsia="宋体" w:cs="宋体"/>
                <w:b w:val="0"/>
                <w:color w:val="auto"/>
                <w:sz w:val="19"/>
                <w:szCs w:val="19"/>
              </w:rPr>
              <w:t>2. 可采集数据类型，除SCATS信号系统所要求的数据类型外，还应采集分车道的车辆实时位置、即时速度、车型分类、车道信息、车道流量、平均速度、时间占有率、车头时距、车间时距、排队长度等数据。数据采样周期范围为1至3600秒，可调整。</w:t>
            </w:r>
            <w:r>
              <w:rPr>
                <w:rFonts w:hint="eastAsia" w:ascii="宋体" w:eastAsia="宋体" w:cs="宋体"/>
                <w:b w:val="0"/>
                <w:color w:val="auto"/>
                <w:sz w:val="19"/>
                <w:szCs w:val="19"/>
              </w:rPr>
              <w:br w:type="textWrapping"/>
            </w:r>
            <w:r>
              <w:rPr>
                <w:rFonts w:hint="eastAsia" w:ascii="宋体" w:eastAsia="宋体" w:cs="宋体"/>
                <w:b w:val="0"/>
                <w:color w:val="auto"/>
                <w:sz w:val="19"/>
                <w:szCs w:val="19"/>
              </w:rPr>
              <w:t>3. 可实现大区域检测，单台设备沿来车方向纵向检测区域长度≥340米，横向检测覆盖车道数≥10个；可同时跟踪检测目标≥256个。</w:t>
            </w:r>
            <w:r>
              <w:rPr>
                <w:rFonts w:hint="eastAsia" w:ascii="宋体" w:eastAsia="宋体" w:cs="宋体"/>
                <w:b w:val="0"/>
                <w:color w:val="auto"/>
                <w:sz w:val="19"/>
                <w:szCs w:val="19"/>
              </w:rPr>
              <w:br w:type="textWrapping"/>
            </w:r>
            <w:r>
              <w:rPr>
                <w:rFonts w:hint="eastAsia" w:ascii="宋体" w:eastAsia="宋体" w:cs="宋体"/>
                <w:b w:val="0"/>
                <w:color w:val="auto"/>
                <w:sz w:val="19"/>
                <w:szCs w:val="19"/>
              </w:rPr>
              <w:t>4. 可通过软件在每个车道上设置1~9个检测断面（含正向车道和反向车道），可根据要求设置各线圈位置、长度、宽度，并实时输出线圈压占状态。</w:t>
            </w:r>
            <w:r>
              <w:rPr>
                <w:rFonts w:hint="eastAsia" w:ascii="宋体" w:eastAsia="宋体" w:cs="宋体"/>
                <w:b w:val="0"/>
                <w:color w:val="auto"/>
                <w:sz w:val="19"/>
                <w:szCs w:val="19"/>
              </w:rPr>
              <w:br w:type="textWrapping"/>
            </w:r>
            <w:r>
              <w:rPr>
                <w:rFonts w:hint="eastAsia" w:ascii="宋体" w:eastAsia="宋体" w:cs="宋体"/>
                <w:b w:val="0"/>
                <w:color w:val="auto"/>
                <w:sz w:val="19"/>
                <w:szCs w:val="19"/>
              </w:rPr>
              <w:t>5.可对行人进行检测，检测距离≥160米</w:t>
            </w:r>
            <w:r>
              <w:rPr>
                <w:rFonts w:hint="eastAsia" w:ascii="宋体" w:eastAsia="宋体" w:cs="宋体"/>
                <w:b w:val="0"/>
                <w:color w:val="auto"/>
                <w:sz w:val="19"/>
                <w:szCs w:val="19"/>
              </w:rPr>
              <w:br w:type="textWrapping"/>
            </w:r>
            <w:r>
              <w:rPr>
                <w:rFonts w:hint="eastAsia" w:ascii="宋体" w:eastAsia="宋体" w:cs="宋体"/>
                <w:b w:val="0"/>
                <w:color w:val="auto"/>
                <w:sz w:val="19"/>
                <w:szCs w:val="19"/>
              </w:rPr>
              <w:t>6. 可接受信号机指令，根据信号周期的起始与截止，同步统计周期，输出信号周期的交通参数统计数据</w:t>
            </w:r>
            <w:r>
              <w:rPr>
                <w:rFonts w:hint="eastAsia" w:ascii="宋体" w:eastAsia="宋体" w:cs="宋体"/>
                <w:b w:val="0"/>
                <w:color w:val="auto"/>
                <w:sz w:val="19"/>
                <w:szCs w:val="19"/>
              </w:rPr>
              <w:br w:type="textWrapping"/>
            </w:r>
            <w:r>
              <w:rPr>
                <w:rFonts w:hint="eastAsia" w:ascii="宋体" w:eastAsia="宋体" w:cs="宋体"/>
                <w:b w:val="0"/>
                <w:color w:val="auto"/>
                <w:sz w:val="19"/>
                <w:szCs w:val="19"/>
              </w:rPr>
              <w:t>7. 各主要采集数据参数需通过第三方检测认定，其中：机动车流量检测准确度：≥95%，机动车占有率检准确度：≥95% ；距离检测精度：＜±0.25米，速度检测精度：＜±0.28米/秒。</w:t>
            </w:r>
            <w:r>
              <w:rPr>
                <w:rFonts w:hint="eastAsia" w:ascii="宋体" w:eastAsia="宋体" w:cs="宋体"/>
                <w:b w:val="0"/>
                <w:color w:val="auto"/>
                <w:sz w:val="19"/>
                <w:szCs w:val="19"/>
              </w:rPr>
              <w:br w:type="textWrapping"/>
            </w:r>
            <w:r>
              <w:rPr>
                <w:rFonts w:hint="eastAsia" w:ascii="宋体" w:eastAsia="宋体" w:cs="宋体"/>
                <w:b w:val="0"/>
                <w:color w:val="auto"/>
                <w:sz w:val="19"/>
                <w:szCs w:val="19"/>
              </w:rPr>
              <w:t>8. 可在全气候环境下稳定工作，包括雨、雪、雾、霾、大风、冰冻、冰雹、沙尘等恶劣天气，并具有自校准以及故障自诊断功能。</w:t>
            </w:r>
            <w:r>
              <w:rPr>
                <w:rFonts w:hint="eastAsia" w:ascii="宋体" w:eastAsia="宋体" w:cs="宋体"/>
                <w:b w:val="0"/>
                <w:color w:val="auto"/>
                <w:sz w:val="19"/>
                <w:szCs w:val="19"/>
              </w:rPr>
              <w:br w:type="textWrapping"/>
            </w:r>
            <w:r>
              <w:rPr>
                <w:rFonts w:hint="eastAsia" w:ascii="宋体" w:eastAsia="宋体" w:cs="宋体"/>
                <w:b w:val="0"/>
                <w:color w:val="auto"/>
                <w:sz w:val="19"/>
                <w:szCs w:val="19"/>
              </w:rPr>
              <w:t>9. 设备安装采可用前向检测方式，支持正装和侧装；安装高度6至10米；设置过压和防雷保护；通过网络可实现设备远程调试、升级；支持接口包括 RS485或RJ45。</w:t>
            </w:r>
            <w:r>
              <w:rPr>
                <w:rFonts w:hint="eastAsia" w:ascii="宋体" w:eastAsia="宋体" w:cs="宋体"/>
                <w:b w:val="0"/>
                <w:color w:val="auto"/>
                <w:sz w:val="19"/>
                <w:szCs w:val="19"/>
              </w:rPr>
              <w:br w:type="textWrapping"/>
            </w:r>
            <w:r>
              <w:rPr>
                <w:rFonts w:hint="eastAsia" w:ascii="宋体" w:eastAsia="宋体" w:cs="宋体"/>
                <w:b w:val="0"/>
                <w:color w:val="auto"/>
                <w:sz w:val="19"/>
                <w:szCs w:val="19"/>
              </w:rPr>
              <w:t>10. 支持温度：－40℃~ +85℃；湿度：最大100％；电源：12-24VDC；功率：≤9W。</w:t>
            </w:r>
            <w:r>
              <w:rPr>
                <w:rFonts w:hint="eastAsia" w:ascii="宋体" w:eastAsia="宋体" w:cs="宋体"/>
                <w:b w:val="0"/>
                <w:color w:val="auto"/>
                <w:sz w:val="19"/>
                <w:szCs w:val="19"/>
              </w:rPr>
              <w:br w:type="textWrapping"/>
            </w:r>
            <w:r>
              <w:rPr>
                <w:rFonts w:hint="eastAsia" w:ascii="宋体" w:eastAsia="宋体" w:cs="宋体"/>
                <w:b w:val="0"/>
                <w:color w:val="auto"/>
                <w:sz w:val="19"/>
                <w:szCs w:val="19"/>
              </w:rPr>
              <w:t>11. 外壳防护标准达到IP67。</w:t>
            </w:r>
            <w:r>
              <w:rPr>
                <w:rFonts w:hint="eastAsia" w:ascii="宋体" w:eastAsia="宋体" w:cs="宋体"/>
                <w:b w:val="0"/>
                <w:color w:val="auto"/>
                <w:sz w:val="19"/>
                <w:szCs w:val="19"/>
              </w:rPr>
              <w:br w:type="textWrapping"/>
            </w:r>
            <w:r>
              <w:rPr>
                <w:rFonts w:hint="eastAsia" w:ascii="宋体" w:eastAsia="宋体" w:cs="宋体"/>
                <w:b w:val="0"/>
                <w:color w:val="auto"/>
                <w:sz w:val="19"/>
                <w:szCs w:val="19"/>
              </w:rPr>
              <w:t>12. MTBF≥10年，7*24连续不间断工作。</w:t>
            </w:r>
            <w:r>
              <w:rPr>
                <w:rFonts w:hint="eastAsia" w:ascii="宋体" w:eastAsia="宋体" w:cs="宋体"/>
                <w:b w:val="0"/>
                <w:color w:val="auto"/>
                <w:sz w:val="19"/>
                <w:szCs w:val="19"/>
              </w:rPr>
              <w:br w:type="textWrapping"/>
            </w:r>
            <w:r>
              <w:rPr>
                <w:rFonts w:hint="eastAsia" w:ascii="宋体" w:eastAsia="宋体" w:cs="宋体"/>
                <w:b w:val="0"/>
                <w:color w:val="auto"/>
                <w:sz w:val="19"/>
                <w:szCs w:val="19"/>
              </w:rPr>
              <w:t>13. 提供厂家自带的雷达检测器图形化操作软件，实时显示每个目标在检测区域内被跟踪情况以及车辆即时位置、速度、车辆长度等实时信息；可定制触发报警，以位置、车速、和车型为触发条件，</w:t>
            </w:r>
            <w:r>
              <w:rPr>
                <w:rFonts w:hint="eastAsia" w:ascii="宋体" w:eastAsia="宋体" w:cs="宋体"/>
                <w:b w:val="0"/>
                <w:color w:val="auto"/>
                <w:sz w:val="19"/>
                <w:szCs w:val="19"/>
              </w:rPr>
              <w:br w:type="textWrapping"/>
            </w:r>
            <w:r>
              <w:rPr>
                <w:rFonts w:hint="eastAsia" w:ascii="宋体" w:eastAsia="宋体" w:cs="宋体"/>
                <w:b w:val="0"/>
                <w:color w:val="auto"/>
                <w:sz w:val="19"/>
                <w:szCs w:val="19"/>
              </w:rPr>
              <w:t>14. 提供公安部安全与警用电子产品质量检测中心出具的有效期内的检测报告证明</w:t>
            </w:r>
          </w:p>
          <w:p>
            <w:pPr>
              <w:pStyle w:val="2"/>
              <w:jc w:val="both"/>
              <w:rPr>
                <w:rFonts w:hint="eastAsia"/>
                <w:lang w:val="en-US"/>
              </w:rPr>
            </w:pPr>
            <w:r>
              <w:rPr>
                <w:rFonts w:hint="eastAsia" w:ascii="宋体" w:hAnsi="宋体" w:cs="宋体"/>
                <w:b w:val="0"/>
                <w:sz w:val="19"/>
                <w:szCs w:val="19"/>
                <w:lang w:val="en-US"/>
              </w:rPr>
              <w:t>15.具体安装点位</w:t>
            </w:r>
            <w:r>
              <w:rPr>
                <w:rFonts w:ascii="宋体" w:hAnsi="宋体" w:cs="宋体"/>
                <w:b w:val="0"/>
                <w:sz w:val="19"/>
                <w:szCs w:val="19"/>
                <w:lang w:val="en-US"/>
              </w:rPr>
              <w:t>根据</w:t>
            </w:r>
            <w:r>
              <w:rPr>
                <w:rFonts w:hint="eastAsia" w:ascii="宋体" w:hAnsi="宋体" w:cs="宋体"/>
                <w:b w:val="0"/>
                <w:sz w:val="19"/>
                <w:szCs w:val="19"/>
                <w:lang w:val="en-US"/>
              </w:rPr>
              <w:t>交管</w:t>
            </w:r>
            <w:r>
              <w:rPr>
                <w:rFonts w:ascii="宋体" w:hAnsi="宋体" w:cs="宋体"/>
                <w:b w:val="0"/>
                <w:sz w:val="19"/>
                <w:szCs w:val="19"/>
                <w:lang w:val="en-US"/>
              </w:rPr>
              <w:t>部门实际需求</w:t>
            </w:r>
            <w:r>
              <w:rPr>
                <w:rFonts w:hint="eastAsia" w:ascii="宋体" w:hAnsi="宋体" w:cs="宋体"/>
                <w:b w:val="0"/>
                <w:sz w:val="19"/>
                <w:szCs w:val="19"/>
                <w:lang w:val="en-US"/>
              </w:rPr>
              <w:t>。</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526</w:t>
            </w:r>
          </w:p>
        </w:tc>
        <w:tc>
          <w:tcPr>
            <w:tcW w:w="636"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套</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eastAsia="宋体" w:cs="宋体"/>
                <w:b w:val="0"/>
                <w:color w:val="auto"/>
                <w:sz w:val="19"/>
                <w:szCs w:val="19"/>
              </w:rPr>
            </w:pPr>
            <w:r>
              <w:rPr>
                <w:rFonts w:hint="eastAsia" w:ascii="宋体" w:eastAsia="宋体" w:cs="宋体"/>
                <w:b w:val="0"/>
                <w:color w:val="auto"/>
                <w:sz w:val="19"/>
                <w:szCs w:val="19"/>
              </w:rPr>
              <w:t>5年</w:t>
            </w:r>
          </w:p>
          <w:p>
            <w:pPr>
              <w:widowControl/>
              <w:jc w:val="center"/>
              <w:rPr>
                <w:rFonts w:hint="eastAsia" w:ascii="宋体" w:eastAsia="宋体" w:cs="宋体"/>
                <w:b w:val="0"/>
                <w:color w:val="auto"/>
                <w:sz w:val="19"/>
                <w:szCs w:val="19"/>
              </w:rPr>
            </w:pPr>
            <w:r>
              <w:rPr>
                <w:rFonts w:ascii="宋体" w:eastAsia="宋体" w:cs="宋体"/>
                <w:b w:val="0"/>
                <w:color w:val="auto"/>
                <w:sz w:val="19"/>
                <w:szCs w:val="19"/>
              </w:rPr>
              <w:t>质保</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2</w:t>
            </w:r>
          </w:p>
        </w:tc>
        <w:tc>
          <w:tcPr>
            <w:tcW w:w="1148"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支架</w:t>
            </w:r>
          </w:p>
        </w:tc>
        <w:tc>
          <w:tcPr>
            <w:tcW w:w="6027"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b w:val="0"/>
                <w:color w:val="auto"/>
                <w:sz w:val="19"/>
                <w:szCs w:val="19"/>
              </w:rPr>
            </w:pPr>
            <w:r>
              <w:rPr>
                <w:rFonts w:hint="eastAsia" w:ascii="宋体" w:eastAsia="宋体" w:cs="宋体"/>
                <w:b w:val="0"/>
                <w:color w:val="auto"/>
                <w:sz w:val="19"/>
                <w:szCs w:val="19"/>
              </w:rPr>
              <w:t>根据现场实际情况定制</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526</w:t>
            </w:r>
          </w:p>
        </w:tc>
        <w:tc>
          <w:tcPr>
            <w:tcW w:w="636"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套</w:t>
            </w:r>
          </w:p>
        </w:tc>
        <w:tc>
          <w:tcPr>
            <w:tcW w:w="717" w:type="dxa"/>
            <w:tcBorders>
              <w:top w:val="nil"/>
              <w:left w:val="nil"/>
              <w:bottom w:val="single" w:color="auto" w:sz="4" w:space="0"/>
              <w:right w:val="single" w:color="auto" w:sz="4" w:space="0"/>
            </w:tcBorders>
            <w:noWrap w:val="0"/>
            <w:vAlign w:val="top"/>
          </w:tcPr>
          <w:p>
            <w:pPr>
              <w:widowControl/>
              <w:jc w:val="center"/>
              <w:rPr>
                <w:rFonts w:hint="eastAsia" w:ascii="宋体" w:eastAsia="宋体" w:cs="宋体"/>
                <w:b w:val="0"/>
                <w:color w:val="auto"/>
                <w:sz w:val="19"/>
                <w:szCs w:val="19"/>
              </w:rPr>
            </w:pPr>
          </w:p>
        </w:tc>
      </w:tr>
      <w:tr>
        <w:tblPrEx>
          <w:tblCellMar>
            <w:top w:w="0" w:type="dxa"/>
            <w:left w:w="108" w:type="dxa"/>
            <w:bottom w:w="0" w:type="dxa"/>
            <w:right w:w="108" w:type="dxa"/>
          </w:tblCellMar>
        </w:tblPrEx>
        <w:trPr>
          <w:trHeight w:val="480" w:hRule="atLeast"/>
          <w:jc w:val="center"/>
        </w:trPr>
        <w:tc>
          <w:tcPr>
            <w:tcW w:w="5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3</w:t>
            </w:r>
          </w:p>
        </w:tc>
        <w:tc>
          <w:tcPr>
            <w:tcW w:w="11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eastAsia="宋体" w:cs="宋体"/>
                <w:b w:val="0"/>
                <w:color w:val="auto"/>
                <w:sz w:val="19"/>
                <w:szCs w:val="19"/>
              </w:rPr>
            </w:pPr>
            <w:r>
              <w:rPr>
                <w:rFonts w:hint="eastAsia" w:ascii="宋体" w:eastAsia="宋体" w:cs="宋体"/>
                <w:b w:val="0"/>
                <w:color w:val="auto"/>
                <w:sz w:val="19"/>
                <w:szCs w:val="19"/>
              </w:rPr>
              <w:t>雷达数据</w:t>
            </w:r>
          </w:p>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处理器</w:t>
            </w:r>
          </w:p>
        </w:tc>
        <w:tc>
          <w:tcPr>
            <w:tcW w:w="602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eastAsia="宋体" w:cs="宋体"/>
                <w:b w:val="0"/>
                <w:color w:val="auto"/>
                <w:sz w:val="19"/>
                <w:szCs w:val="19"/>
              </w:rPr>
            </w:pPr>
            <w:r>
              <w:rPr>
                <w:rFonts w:hint="eastAsia" w:ascii="宋体" w:eastAsia="宋体" w:cs="宋体"/>
                <w:b w:val="0"/>
                <w:color w:val="auto"/>
                <w:sz w:val="19"/>
                <w:szCs w:val="19"/>
              </w:rPr>
              <w:t>1.实现单路雷达数据分析和处理，与SCATS等信号主机通过继电器方式对接。</w:t>
            </w:r>
            <w:r>
              <w:rPr>
                <w:rFonts w:hint="eastAsia" w:ascii="宋体" w:eastAsia="宋体" w:cs="宋体"/>
                <w:b w:val="0"/>
                <w:color w:val="auto"/>
                <w:sz w:val="19"/>
                <w:szCs w:val="19"/>
              </w:rPr>
              <w:br w:type="textWrapping"/>
            </w:r>
            <w:r>
              <w:rPr>
                <w:rFonts w:hint="eastAsia" w:ascii="宋体" w:eastAsia="宋体" w:cs="宋体"/>
                <w:b w:val="0"/>
                <w:color w:val="auto"/>
                <w:sz w:val="19"/>
                <w:szCs w:val="19"/>
              </w:rPr>
              <w:t>2. 存在信号输出</w:t>
            </w:r>
            <w:r>
              <w:rPr>
                <w:rFonts w:hint="eastAsia" w:ascii="宋体" w:eastAsia="宋体" w:cs="宋体"/>
                <w:b w:val="0"/>
                <w:color w:val="auto"/>
                <w:sz w:val="19"/>
                <w:szCs w:val="19"/>
              </w:rPr>
              <w:br w:type="textWrapping"/>
            </w:r>
            <w:r>
              <w:rPr>
                <w:rFonts w:hint="eastAsia" w:ascii="宋体" w:eastAsia="宋体" w:cs="宋体"/>
                <w:b w:val="0"/>
                <w:color w:val="auto"/>
                <w:sz w:val="19"/>
                <w:szCs w:val="19"/>
              </w:rPr>
              <w:t>3. 支持8路继电器输出，继电方式可以兼容常开或者常闭</w:t>
            </w:r>
            <w:r>
              <w:rPr>
                <w:rFonts w:hint="eastAsia" w:ascii="宋体" w:eastAsia="宋体" w:cs="宋体"/>
                <w:b w:val="0"/>
                <w:color w:val="auto"/>
                <w:sz w:val="19"/>
                <w:szCs w:val="19"/>
              </w:rPr>
              <w:br w:type="textWrapping"/>
            </w:r>
            <w:r>
              <w:rPr>
                <w:rFonts w:hint="eastAsia" w:ascii="宋体" w:eastAsia="宋体" w:cs="宋体"/>
                <w:b w:val="0"/>
                <w:color w:val="auto"/>
                <w:sz w:val="19"/>
                <w:szCs w:val="19"/>
              </w:rPr>
              <w:t>4. 功率≤5W；电压输入DC12～24 V</w:t>
            </w:r>
            <w:r>
              <w:rPr>
                <w:rFonts w:hint="eastAsia" w:ascii="宋体" w:eastAsia="宋体" w:cs="宋体"/>
                <w:b w:val="0"/>
                <w:color w:val="auto"/>
                <w:sz w:val="19"/>
                <w:szCs w:val="19"/>
              </w:rPr>
              <w:br w:type="textWrapping"/>
            </w:r>
            <w:r>
              <w:rPr>
                <w:rFonts w:hint="eastAsia" w:ascii="宋体" w:eastAsia="宋体" w:cs="宋体"/>
                <w:b w:val="0"/>
                <w:color w:val="auto"/>
                <w:sz w:val="19"/>
                <w:szCs w:val="19"/>
              </w:rPr>
              <w:t>5. 温度：-40 ～+85℃</w:t>
            </w:r>
          </w:p>
        </w:tc>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526</w:t>
            </w:r>
          </w:p>
        </w:tc>
        <w:tc>
          <w:tcPr>
            <w:tcW w:w="6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套</w:t>
            </w:r>
          </w:p>
        </w:tc>
        <w:tc>
          <w:tcPr>
            <w:tcW w:w="7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eastAsia="宋体" w:cs="宋体"/>
                <w:b w:val="0"/>
                <w:color w:val="auto"/>
                <w:sz w:val="19"/>
                <w:szCs w:val="19"/>
              </w:rPr>
            </w:pPr>
            <w:r>
              <w:rPr>
                <w:rFonts w:hint="eastAsia" w:ascii="宋体" w:eastAsia="宋体" w:cs="宋体"/>
                <w:b w:val="0"/>
                <w:color w:val="auto"/>
                <w:sz w:val="19"/>
                <w:szCs w:val="19"/>
              </w:rPr>
              <w:t>5年</w:t>
            </w:r>
          </w:p>
          <w:p>
            <w:pPr>
              <w:widowControl/>
              <w:jc w:val="center"/>
              <w:rPr>
                <w:rFonts w:hint="eastAsia" w:ascii="宋体" w:eastAsia="宋体" w:cs="宋体"/>
                <w:b w:val="0"/>
                <w:color w:val="auto"/>
                <w:sz w:val="19"/>
                <w:szCs w:val="19"/>
              </w:rPr>
            </w:pPr>
            <w:r>
              <w:rPr>
                <w:rFonts w:ascii="宋体" w:eastAsia="宋体" w:cs="宋体"/>
                <w:b w:val="0"/>
                <w:color w:val="auto"/>
                <w:sz w:val="19"/>
                <w:szCs w:val="19"/>
              </w:rPr>
              <w:t>质保</w:t>
            </w:r>
          </w:p>
        </w:tc>
      </w:tr>
      <w:tr>
        <w:tblPrEx>
          <w:tblCellMar>
            <w:top w:w="0" w:type="dxa"/>
            <w:left w:w="108" w:type="dxa"/>
            <w:bottom w:w="0" w:type="dxa"/>
            <w:right w:w="108" w:type="dxa"/>
          </w:tblCellMar>
        </w:tblPrEx>
        <w:trPr>
          <w:trHeight w:val="480" w:hRule="atLeast"/>
          <w:jc w:val="center"/>
        </w:trPr>
        <w:tc>
          <w:tcPr>
            <w:tcW w:w="5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4</w:t>
            </w:r>
          </w:p>
        </w:tc>
        <w:tc>
          <w:tcPr>
            <w:tcW w:w="114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以太网板卡</w:t>
            </w:r>
          </w:p>
        </w:tc>
        <w:tc>
          <w:tcPr>
            <w:tcW w:w="6027"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eastAsia="宋体" w:cs="宋体"/>
                <w:b w:val="0"/>
                <w:color w:val="auto"/>
                <w:sz w:val="19"/>
                <w:szCs w:val="19"/>
              </w:rPr>
            </w:pPr>
            <w:r>
              <w:rPr>
                <w:rFonts w:hint="eastAsia" w:ascii="宋体" w:eastAsia="宋体" w:cs="宋体"/>
                <w:b w:val="0"/>
                <w:color w:val="auto"/>
                <w:sz w:val="19"/>
                <w:szCs w:val="19"/>
              </w:rPr>
              <w:t>标准RJ45接口，10/100M Base-T自适应；支持TCP/IP,UDP,Telnet,DHCP,ICM；自动寻找系统主机地址，自动建立通讯通道；通讯信息缓存功能，允许网络延时；</w:t>
            </w:r>
          </w:p>
        </w:tc>
        <w:tc>
          <w:tcPr>
            <w:tcW w:w="6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173</w:t>
            </w:r>
          </w:p>
        </w:tc>
        <w:tc>
          <w:tcPr>
            <w:tcW w:w="63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套</w:t>
            </w:r>
          </w:p>
        </w:tc>
        <w:tc>
          <w:tcPr>
            <w:tcW w:w="717" w:type="dxa"/>
            <w:tcBorders>
              <w:top w:val="single" w:color="auto" w:sz="4" w:space="0"/>
              <w:left w:val="nil"/>
              <w:bottom w:val="single" w:color="auto" w:sz="4" w:space="0"/>
              <w:right w:val="single" w:color="auto" w:sz="4" w:space="0"/>
            </w:tcBorders>
            <w:noWrap w:val="0"/>
            <w:vAlign w:val="center"/>
          </w:tcPr>
          <w:p>
            <w:pPr>
              <w:widowControl/>
              <w:jc w:val="center"/>
              <w:rPr>
                <w:rFonts w:ascii="宋体" w:eastAsia="宋体" w:cs="宋体"/>
                <w:b w:val="0"/>
                <w:color w:val="auto"/>
                <w:sz w:val="19"/>
                <w:szCs w:val="19"/>
              </w:rPr>
            </w:pPr>
            <w:r>
              <w:rPr>
                <w:rFonts w:hint="eastAsia" w:ascii="宋体" w:eastAsia="宋体" w:cs="宋体"/>
                <w:b w:val="0"/>
                <w:color w:val="auto"/>
                <w:sz w:val="19"/>
                <w:szCs w:val="19"/>
              </w:rPr>
              <w:t>5年</w:t>
            </w:r>
          </w:p>
          <w:p>
            <w:pPr>
              <w:widowControl/>
              <w:jc w:val="center"/>
              <w:rPr>
                <w:rFonts w:hint="eastAsia" w:ascii="宋体" w:eastAsia="宋体" w:cs="宋体"/>
                <w:b w:val="0"/>
                <w:color w:val="auto"/>
                <w:sz w:val="19"/>
                <w:szCs w:val="19"/>
              </w:rPr>
            </w:pPr>
            <w:r>
              <w:rPr>
                <w:rFonts w:ascii="宋体" w:eastAsia="宋体" w:cs="宋体"/>
                <w:b w:val="0"/>
                <w:color w:val="auto"/>
                <w:sz w:val="19"/>
                <w:szCs w:val="19"/>
              </w:rPr>
              <w:t>质保</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5</w:t>
            </w:r>
          </w:p>
        </w:tc>
        <w:tc>
          <w:tcPr>
            <w:tcW w:w="1148"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抱杆</w:t>
            </w:r>
            <w:r>
              <w:rPr>
                <w:rFonts w:hint="eastAsia" w:ascii="宋体" w:eastAsia="宋体" w:cs="宋体"/>
                <w:b w:val="0"/>
                <w:color w:val="auto"/>
                <w:sz w:val="19"/>
                <w:szCs w:val="19"/>
              </w:rPr>
              <w:br w:type="textWrapping"/>
            </w:r>
            <w:r>
              <w:rPr>
                <w:rFonts w:hint="eastAsia" w:ascii="宋体" w:eastAsia="宋体" w:cs="宋体"/>
                <w:b w:val="0"/>
                <w:color w:val="auto"/>
                <w:sz w:val="19"/>
                <w:szCs w:val="19"/>
              </w:rPr>
              <w:t>机箱</w:t>
            </w:r>
          </w:p>
        </w:tc>
        <w:tc>
          <w:tcPr>
            <w:tcW w:w="6027"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b w:val="0"/>
                <w:color w:val="auto"/>
                <w:sz w:val="19"/>
                <w:szCs w:val="19"/>
              </w:rPr>
            </w:pPr>
            <w:r>
              <w:rPr>
                <w:rFonts w:hint="eastAsia" w:ascii="宋体" w:eastAsia="宋体" w:cs="宋体"/>
                <w:b w:val="0"/>
                <w:color w:val="auto"/>
                <w:sz w:val="19"/>
                <w:szCs w:val="19"/>
              </w:rPr>
              <w:t>箱体规格：体积&gt;420*480*150（mm);材质&gt;1.2（mm) 配备二层隔板及绝缘板；配置1只带漏电保护10A-2P空开（施耐德、梅兰、正泰），1只10A多口插排（公牛）,含接地铜牌，光纤盘，安装抱箍等辅材，内部布局合理、设备摆放整齐，易于安装维护。喷塑镀锌防腐防锈处理，室外防雨防尘,通风散热设计。质保5年　</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526</w:t>
            </w:r>
          </w:p>
        </w:tc>
        <w:tc>
          <w:tcPr>
            <w:tcW w:w="636"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套</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eastAsia="宋体" w:cs="宋体"/>
                <w:b w:val="0"/>
                <w:color w:val="auto"/>
                <w:sz w:val="19"/>
                <w:szCs w:val="19"/>
              </w:rPr>
            </w:pPr>
            <w:r>
              <w:rPr>
                <w:rFonts w:hint="eastAsia" w:ascii="宋体" w:eastAsia="宋体" w:cs="宋体"/>
                <w:b w:val="0"/>
                <w:color w:val="auto"/>
                <w:sz w:val="19"/>
                <w:szCs w:val="19"/>
              </w:rPr>
              <w:t>5年</w:t>
            </w:r>
          </w:p>
          <w:p>
            <w:pPr>
              <w:widowControl/>
              <w:jc w:val="center"/>
              <w:rPr>
                <w:rFonts w:hint="eastAsia" w:ascii="宋体" w:eastAsia="宋体" w:cs="宋体"/>
                <w:b w:val="0"/>
                <w:color w:val="auto"/>
                <w:sz w:val="19"/>
                <w:szCs w:val="19"/>
              </w:rPr>
            </w:pPr>
            <w:r>
              <w:rPr>
                <w:rFonts w:ascii="宋体" w:eastAsia="宋体" w:cs="宋体"/>
                <w:b w:val="0"/>
                <w:color w:val="auto"/>
                <w:sz w:val="19"/>
                <w:szCs w:val="19"/>
              </w:rPr>
              <w:t>质保</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6</w:t>
            </w:r>
          </w:p>
        </w:tc>
        <w:tc>
          <w:tcPr>
            <w:tcW w:w="1148"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光网设备</w:t>
            </w:r>
          </w:p>
        </w:tc>
        <w:tc>
          <w:tcPr>
            <w:tcW w:w="6027"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b w:val="0"/>
                <w:color w:val="auto"/>
                <w:sz w:val="19"/>
                <w:szCs w:val="19"/>
              </w:rPr>
            </w:pPr>
            <w:r>
              <w:rPr>
                <w:rFonts w:hint="eastAsia" w:ascii="宋体" w:eastAsia="宋体" w:cs="宋体"/>
                <w:b w:val="0"/>
                <w:color w:val="auto"/>
                <w:sz w:val="19"/>
                <w:szCs w:val="19"/>
              </w:rPr>
              <w:t>使用灵活，支持GPON上行，支持PPPOE/静态IP/DHCP或支持带千兆光口的网络设备，根据运营商提供的网络方式定制。</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173</w:t>
            </w:r>
          </w:p>
        </w:tc>
        <w:tc>
          <w:tcPr>
            <w:tcW w:w="636"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台</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eastAsia="宋体" w:cs="宋体"/>
                <w:b w:val="0"/>
                <w:color w:val="auto"/>
                <w:sz w:val="19"/>
                <w:szCs w:val="19"/>
              </w:rPr>
            </w:pPr>
            <w:r>
              <w:rPr>
                <w:rFonts w:hint="eastAsia" w:ascii="宋体" w:eastAsia="宋体" w:cs="宋体"/>
                <w:b w:val="0"/>
                <w:color w:val="auto"/>
                <w:sz w:val="19"/>
                <w:szCs w:val="19"/>
              </w:rPr>
              <w:t>5年</w:t>
            </w:r>
          </w:p>
          <w:p>
            <w:pPr>
              <w:widowControl/>
              <w:jc w:val="center"/>
              <w:rPr>
                <w:rFonts w:hint="eastAsia" w:ascii="宋体" w:eastAsia="宋体" w:cs="宋体"/>
                <w:b w:val="0"/>
                <w:color w:val="auto"/>
                <w:sz w:val="19"/>
                <w:szCs w:val="19"/>
              </w:rPr>
            </w:pPr>
            <w:r>
              <w:rPr>
                <w:rFonts w:ascii="宋体" w:eastAsia="宋体" w:cs="宋体"/>
                <w:b w:val="0"/>
                <w:color w:val="auto"/>
                <w:sz w:val="19"/>
                <w:szCs w:val="19"/>
              </w:rPr>
              <w:t>质保</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7</w:t>
            </w:r>
          </w:p>
        </w:tc>
        <w:tc>
          <w:tcPr>
            <w:tcW w:w="1148"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路口工业级交换机</w:t>
            </w:r>
          </w:p>
        </w:tc>
        <w:tc>
          <w:tcPr>
            <w:tcW w:w="6027"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b w:val="0"/>
                <w:color w:val="auto"/>
                <w:sz w:val="19"/>
                <w:szCs w:val="19"/>
              </w:rPr>
            </w:pPr>
            <w:r>
              <w:rPr>
                <w:rFonts w:hint="eastAsia" w:ascii="宋体" w:eastAsia="宋体" w:cs="宋体"/>
                <w:b w:val="0"/>
                <w:color w:val="auto"/>
                <w:sz w:val="19"/>
                <w:szCs w:val="19"/>
              </w:rPr>
              <w:t>　8个10/100M自适应电口，2个100M/1G SFP光口，2个复用的10/100/1000M自适应电口，温度范围为5~55℃，防雷能力10KV</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173</w:t>
            </w:r>
          </w:p>
        </w:tc>
        <w:tc>
          <w:tcPr>
            <w:tcW w:w="636"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台</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eastAsia="宋体" w:cs="宋体"/>
                <w:b w:val="0"/>
                <w:color w:val="auto"/>
                <w:sz w:val="19"/>
                <w:szCs w:val="19"/>
              </w:rPr>
            </w:pPr>
            <w:r>
              <w:rPr>
                <w:rFonts w:hint="eastAsia" w:ascii="宋体" w:eastAsia="宋体" w:cs="宋体"/>
                <w:b w:val="0"/>
                <w:color w:val="auto"/>
                <w:sz w:val="19"/>
                <w:szCs w:val="19"/>
              </w:rPr>
              <w:t>5年</w:t>
            </w:r>
          </w:p>
          <w:p>
            <w:pPr>
              <w:widowControl/>
              <w:jc w:val="center"/>
              <w:rPr>
                <w:rFonts w:hint="eastAsia" w:ascii="宋体" w:eastAsia="宋体" w:cs="宋体"/>
                <w:b w:val="0"/>
                <w:color w:val="auto"/>
                <w:sz w:val="19"/>
                <w:szCs w:val="19"/>
              </w:rPr>
            </w:pPr>
            <w:r>
              <w:rPr>
                <w:rFonts w:ascii="宋体" w:eastAsia="宋体" w:cs="宋体"/>
                <w:b w:val="0"/>
                <w:color w:val="auto"/>
                <w:sz w:val="19"/>
                <w:szCs w:val="19"/>
              </w:rPr>
              <w:t>质保</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8</w:t>
            </w:r>
          </w:p>
        </w:tc>
        <w:tc>
          <w:tcPr>
            <w:tcW w:w="1148"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光纤收发器（雷达）</w:t>
            </w:r>
          </w:p>
        </w:tc>
        <w:tc>
          <w:tcPr>
            <w:tcW w:w="6027"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b w:val="0"/>
                <w:color w:val="auto"/>
                <w:sz w:val="19"/>
                <w:szCs w:val="19"/>
              </w:rPr>
            </w:pPr>
            <w:r>
              <w:rPr>
                <w:rFonts w:hint="eastAsia" w:ascii="宋体" w:eastAsia="宋体" w:cs="宋体"/>
                <w:b w:val="0"/>
                <w:color w:val="auto"/>
                <w:sz w:val="19"/>
                <w:szCs w:val="19"/>
              </w:rPr>
              <w:t>路口汇聚点除外的方向。1个百兆光+1个百兆电+1路双向485、全双工、SC接口、单模单纤、20公里、  含电源、导轨式DC12~48V双电源防反插供电 宽温（-40℃-85℃）</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353</w:t>
            </w:r>
          </w:p>
        </w:tc>
        <w:tc>
          <w:tcPr>
            <w:tcW w:w="636"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台</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eastAsia="宋体" w:cs="宋体"/>
                <w:b w:val="0"/>
                <w:color w:val="auto"/>
                <w:sz w:val="19"/>
                <w:szCs w:val="19"/>
              </w:rPr>
            </w:pPr>
            <w:r>
              <w:rPr>
                <w:rFonts w:hint="eastAsia" w:ascii="宋体" w:eastAsia="宋体" w:cs="宋体"/>
                <w:b w:val="0"/>
                <w:color w:val="auto"/>
                <w:sz w:val="19"/>
                <w:szCs w:val="19"/>
              </w:rPr>
              <w:t>5年</w:t>
            </w:r>
          </w:p>
          <w:p>
            <w:pPr>
              <w:widowControl/>
              <w:jc w:val="center"/>
              <w:rPr>
                <w:rFonts w:hint="eastAsia" w:ascii="宋体" w:eastAsia="宋体" w:cs="宋体"/>
                <w:b w:val="0"/>
                <w:color w:val="auto"/>
                <w:sz w:val="19"/>
                <w:szCs w:val="19"/>
              </w:rPr>
            </w:pPr>
            <w:r>
              <w:rPr>
                <w:rFonts w:ascii="宋体" w:eastAsia="宋体" w:cs="宋体"/>
                <w:b w:val="0"/>
                <w:color w:val="auto"/>
                <w:sz w:val="19"/>
                <w:szCs w:val="19"/>
              </w:rPr>
              <w:t>质保</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9</w:t>
            </w:r>
          </w:p>
        </w:tc>
        <w:tc>
          <w:tcPr>
            <w:tcW w:w="1148"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人行信号灯倒计时芯片</w:t>
            </w:r>
          </w:p>
        </w:tc>
        <w:tc>
          <w:tcPr>
            <w:tcW w:w="6027"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b w:val="0"/>
                <w:color w:val="auto"/>
                <w:sz w:val="19"/>
                <w:szCs w:val="19"/>
              </w:rPr>
            </w:pPr>
            <w:r>
              <w:rPr>
                <w:rFonts w:hint="eastAsia" w:ascii="宋体" w:eastAsia="宋体" w:cs="宋体"/>
                <w:b w:val="0"/>
                <w:color w:val="auto"/>
                <w:sz w:val="19"/>
                <w:szCs w:val="19"/>
              </w:rPr>
              <w:t>信号灯（车灯、人灯）倒计时芯片提升服务，实现车灯、人灯同步的半（全）程倒计时（可调），每个路口配置数量视情而定　</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173</w:t>
            </w:r>
          </w:p>
        </w:tc>
        <w:tc>
          <w:tcPr>
            <w:tcW w:w="636"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项</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eastAsia="宋体" w:cs="宋体"/>
                <w:b w:val="0"/>
                <w:color w:val="auto"/>
                <w:sz w:val="19"/>
                <w:szCs w:val="19"/>
              </w:rPr>
            </w:pPr>
            <w:r>
              <w:rPr>
                <w:rFonts w:hint="eastAsia" w:ascii="宋体" w:eastAsia="宋体" w:cs="宋体"/>
                <w:b w:val="0"/>
                <w:color w:val="auto"/>
                <w:sz w:val="19"/>
                <w:szCs w:val="19"/>
              </w:rPr>
              <w:t>5年</w:t>
            </w:r>
          </w:p>
          <w:p>
            <w:pPr>
              <w:widowControl/>
              <w:jc w:val="center"/>
              <w:rPr>
                <w:rFonts w:hint="eastAsia" w:ascii="宋体" w:eastAsia="宋体" w:cs="宋体"/>
                <w:b w:val="0"/>
                <w:color w:val="auto"/>
                <w:sz w:val="19"/>
                <w:szCs w:val="19"/>
              </w:rPr>
            </w:pPr>
            <w:r>
              <w:rPr>
                <w:rFonts w:ascii="宋体" w:eastAsia="宋体" w:cs="宋体"/>
                <w:b w:val="0"/>
                <w:color w:val="auto"/>
                <w:sz w:val="19"/>
                <w:szCs w:val="19"/>
              </w:rPr>
              <w:t>质保</w:t>
            </w:r>
          </w:p>
        </w:tc>
      </w:tr>
      <w:tr>
        <w:tblPrEx>
          <w:tblCellMar>
            <w:top w:w="0" w:type="dxa"/>
            <w:left w:w="108" w:type="dxa"/>
            <w:bottom w:w="0" w:type="dxa"/>
            <w:right w:w="108" w:type="dxa"/>
          </w:tblCellMar>
        </w:tblPrEx>
        <w:trPr>
          <w:trHeight w:val="1110" w:hRule="atLeast"/>
          <w:jc w:val="center"/>
        </w:trPr>
        <w:tc>
          <w:tcPr>
            <w:tcW w:w="5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10</w:t>
            </w:r>
          </w:p>
        </w:tc>
        <w:tc>
          <w:tcPr>
            <w:tcW w:w="1148"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区域服务器</w:t>
            </w:r>
          </w:p>
        </w:tc>
        <w:tc>
          <w:tcPr>
            <w:tcW w:w="6027"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b w:val="0"/>
                <w:color w:val="auto"/>
                <w:sz w:val="19"/>
                <w:szCs w:val="19"/>
              </w:rPr>
            </w:pPr>
            <w:r>
              <w:rPr>
                <w:rFonts w:hint="eastAsia" w:ascii="宋体" w:eastAsia="宋体" w:cs="宋体"/>
                <w:b w:val="0"/>
                <w:color w:val="auto"/>
                <w:sz w:val="19"/>
                <w:szCs w:val="19"/>
              </w:rPr>
              <w:t>机架式2U服务器/英特尔至强8核4110CPU 2.1GHZ*2/16GB DDR4*6/600GB SAS 10K*5/H730P 2GB RAID控制器/双口千兆/750W单电源/上架导轨</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2</w:t>
            </w:r>
          </w:p>
        </w:tc>
        <w:tc>
          <w:tcPr>
            <w:tcW w:w="636"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台</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eastAsia="宋体" w:cs="宋体"/>
                <w:b w:val="0"/>
                <w:color w:val="auto"/>
                <w:sz w:val="19"/>
                <w:szCs w:val="19"/>
              </w:rPr>
            </w:pPr>
            <w:r>
              <w:rPr>
                <w:rFonts w:hint="eastAsia" w:ascii="宋体" w:eastAsia="宋体" w:cs="宋体"/>
                <w:b w:val="0"/>
                <w:color w:val="auto"/>
                <w:sz w:val="19"/>
                <w:szCs w:val="19"/>
              </w:rPr>
              <w:t>5年</w:t>
            </w:r>
          </w:p>
          <w:p>
            <w:pPr>
              <w:widowControl/>
              <w:jc w:val="center"/>
              <w:rPr>
                <w:rFonts w:hint="eastAsia" w:ascii="宋体" w:eastAsia="宋体" w:cs="宋体"/>
                <w:b w:val="0"/>
                <w:color w:val="auto"/>
                <w:sz w:val="19"/>
                <w:szCs w:val="19"/>
              </w:rPr>
            </w:pPr>
            <w:r>
              <w:rPr>
                <w:rFonts w:ascii="宋体" w:eastAsia="宋体" w:cs="宋体"/>
                <w:b w:val="0"/>
                <w:color w:val="auto"/>
                <w:sz w:val="19"/>
                <w:szCs w:val="19"/>
              </w:rPr>
              <w:t>质保</w:t>
            </w:r>
          </w:p>
        </w:tc>
      </w:tr>
      <w:tr>
        <w:tblPrEx>
          <w:tblCellMar>
            <w:top w:w="0" w:type="dxa"/>
            <w:left w:w="108" w:type="dxa"/>
            <w:bottom w:w="0" w:type="dxa"/>
            <w:right w:w="108" w:type="dxa"/>
          </w:tblCellMar>
        </w:tblPrEx>
        <w:trPr>
          <w:trHeight w:val="720" w:hRule="atLeast"/>
          <w:jc w:val="center"/>
        </w:trPr>
        <w:tc>
          <w:tcPr>
            <w:tcW w:w="5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11</w:t>
            </w:r>
          </w:p>
        </w:tc>
        <w:tc>
          <w:tcPr>
            <w:tcW w:w="1148"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雷达专用</w:t>
            </w:r>
            <w:r>
              <w:rPr>
                <w:rFonts w:hint="eastAsia" w:ascii="宋体" w:eastAsia="宋体" w:cs="宋体"/>
                <w:b w:val="0"/>
                <w:color w:val="auto"/>
                <w:sz w:val="19"/>
                <w:szCs w:val="19"/>
              </w:rPr>
              <w:br w:type="textWrapping"/>
            </w:r>
            <w:r>
              <w:rPr>
                <w:rFonts w:hint="eastAsia" w:ascii="宋体" w:eastAsia="宋体" w:cs="宋体"/>
                <w:b w:val="0"/>
                <w:color w:val="auto"/>
                <w:sz w:val="19"/>
                <w:szCs w:val="19"/>
              </w:rPr>
              <w:t>服务器</w:t>
            </w:r>
          </w:p>
        </w:tc>
        <w:tc>
          <w:tcPr>
            <w:tcW w:w="6027"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b w:val="0"/>
                <w:color w:val="auto"/>
                <w:sz w:val="19"/>
                <w:szCs w:val="19"/>
              </w:rPr>
            </w:pPr>
            <w:r>
              <w:rPr>
                <w:rFonts w:hint="eastAsia" w:ascii="宋体" w:eastAsia="宋体" w:cs="宋体"/>
                <w:b w:val="0"/>
                <w:color w:val="auto"/>
                <w:sz w:val="19"/>
                <w:szCs w:val="19"/>
              </w:rPr>
              <w:t>机架式2U服务器/英特尔至强银牌16核4216 2.1GHZ*2/32GB（16GB DDR4 2666*2）/4TB SAS 7.2K*3（RAID5）/Ｈ330 RAID卡/四口千兆/750W双电源/上架导轨/　</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2</w:t>
            </w:r>
          </w:p>
        </w:tc>
        <w:tc>
          <w:tcPr>
            <w:tcW w:w="636"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台</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eastAsia="宋体" w:cs="宋体"/>
                <w:b w:val="0"/>
                <w:color w:val="auto"/>
                <w:sz w:val="19"/>
                <w:szCs w:val="19"/>
              </w:rPr>
            </w:pPr>
            <w:r>
              <w:rPr>
                <w:rFonts w:hint="eastAsia" w:ascii="宋体" w:eastAsia="宋体" w:cs="宋体"/>
                <w:b w:val="0"/>
                <w:color w:val="auto"/>
                <w:sz w:val="19"/>
                <w:szCs w:val="19"/>
              </w:rPr>
              <w:t>5年</w:t>
            </w:r>
          </w:p>
          <w:p>
            <w:pPr>
              <w:widowControl/>
              <w:jc w:val="center"/>
              <w:rPr>
                <w:rFonts w:hint="eastAsia" w:ascii="宋体" w:eastAsia="宋体" w:cs="宋体"/>
                <w:b w:val="0"/>
                <w:color w:val="auto"/>
                <w:sz w:val="19"/>
                <w:szCs w:val="19"/>
              </w:rPr>
            </w:pPr>
            <w:r>
              <w:rPr>
                <w:rFonts w:ascii="宋体" w:eastAsia="宋体" w:cs="宋体"/>
                <w:b w:val="0"/>
                <w:color w:val="auto"/>
                <w:sz w:val="19"/>
                <w:szCs w:val="19"/>
              </w:rPr>
              <w:t>质保</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12</w:t>
            </w:r>
          </w:p>
        </w:tc>
        <w:tc>
          <w:tcPr>
            <w:tcW w:w="1148"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流量检测单元安装调试</w:t>
            </w:r>
          </w:p>
        </w:tc>
        <w:tc>
          <w:tcPr>
            <w:tcW w:w="6027"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b w:val="0"/>
                <w:color w:val="auto"/>
                <w:sz w:val="19"/>
                <w:szCs w:val="19"/>
              </w:rPr>
            </w:pPr>
            <w:r>
              <w:rPr>
                <w:rFonts w:hint="eastAsia" w:ascii="宋体" w:eastAsia="宋体" w:cs="宋体"/>
                <w:b w:val="0"/>
                <w:color w:val="auto"/>
                <w:sz w:val="19"/>
                <w:szCs w:val="19"/>
              </w:rPr>
              <w:t>1.包括流量检测相机等其配套设备（收发器、抱杆机箱等）的的安装调试工作</w:t>
            </w:r>
            <w:r>
              <w:rPr>
                <w:rFonts w:hint="eastAsia" w:ascii="宋体" w:eastAsia="宋体" w:cs="宋体"/>
                <w:b w:val="0"/>
                <w:color w:val="auto"/>
                <w:sz w:val="19"/>
                <w:szCs w:val="19"/>
              </w:rPr>
              <w:br w:type="textWrapping"/>
            </w:r>
            <w:r>
              <w:rPr>
                <w:rFonts w:hint="eastAsia" w:ascii="宋体" w:eastAsia="宋体" w:cs="宋体"/>
                <w:b w:val="0"/>
                <w:color w:val="auto"/>
                <w:sz w:val="19"/>
                <w:szCs w:val="19"/>
              </w:rPr>
              <w:t>2.包含本工作中所需的Q9视频头、网线头、标签、扎带、绝缘胶带、抱箍、螺栓螺帽等必备辅材；</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526</w:t>
            </w:r>
          </w:p>
        </w:tc>
        <w:tc>
          <w:tcPr>
            <w:tcW w:w="636"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套</w:t>
            </w:r>
          </w:p>
        </w:tc>
        <w:tc>
          <w:tcPr>
            <w:tcW w:w="717" w:type="dxa"/>
            <w:tcBorders>
              <w:top w:val="nil"/>
              <w:left w:val="nil"/>
              <w:bottom w:val="single" w:color="auto" w:sz="4" w:space="0"/>
              <w:right w:val="single" w:color="auto" w:sz="4" w:space="0"/>
            </w:tcBorders>
            <w:noWrap w:val="0"/>
            <w:vAlign w:val="top"/>
          </w:tcPr>
          <w:p>
            <w:pPr>
              <w:widowControl/>
              <w:jc w:val="center"/>
              <w:rPr>
                <w:rFonts w:hint="eastAsia" w:ascii="宋体" w:eastAsia="宋体" w:cs="宋体"/>
                <w:b w:val="0"/>
                <w:color w:val="auto"/>
                <w:sz w:val="19"/>
                <w:szCs w:val="19"/>
              </w:rPr>
            </w:pP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13</w:t>
            </w:r>
          </w:p>
        </w:tc>
        <w:tc>
          <w:tcPr>
            <w:tcW w:w="1148"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线材和线材施工费</w:t>
            </w:r>
          </w:p>
        </w:tc>
        <w:tc>
          <w:tcPr>
            <w:tcW w:w="6027" w:type="dxa"/>
            <w:tcBorders>
              <w:top w:val="nil"/>
              <w:left w:val="nil"/>
              <w:bottom w:val="single" w:color="auto" w:sz="4" w:space="0"/>
              <w:right w:val="single" w:color="auto" w:sz="4" w:space="0"/>
            </w:tcBorders>
            <w:noWrap w:val="0"/>
            <w:vAlign w:val="center"/>
          </w:tcPr>
          <w:p>
            <w:pPr>
              <w:widowControl/>
              <w:jc w:val="left"/>
              <w:rPr>
                <w:rFonts w:hint="eastAsia" w:ascii="宋体" w:eastAsia="宋体" w:cs="宋体"/>
                <w:b w:val="0"/>
                <w:color w:val="auto"/>
                <w:sz w:val="19"/>
                <w:szCs w:val="19"/>
              </w:rPr>
            </w:pPr>
            <w:r>
              <w:rPr>
                <w:rFonts w:hint="eastAsia" w:ascii="宋体" w:eastAsia="宋体" w:cs="宋体"/>
                <w:b w:val="0"/>
                <w:color w:val="auto"/>
                <w:sz w:val="19"/>
                <w:szCs w:val="19"/>
              </w:rPr>
              <w:t>根据路口实际情况定制，含光纤熔接、辅材、附件、工具、人工等的全部费用。</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173</w:t>
            </w:r>
          </w:p>
        </w:tc>
        <w:tc>
          <w:tcPr>
            <w:tcW w:w="636"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路口</w:t>
            </w:r>
          </w:p>
        </w:tc>
        <w:tc>
          <w:tcPr>
            <w:tcW w:w="717" w:type="dxa"/>
            <w:tcBorders>
              <w:top w:val="nil"/>
              <w:left w:val="nil"/>
              <w:bottom w:val="single" w:color="auto" w:sz="4" w:space="0"/>
              <w:right w:val="single" w:color="auto" w:sz="4" w:space="0"/>
            </w:tcBorders>
            <w:noWrap w:val="0"/>
            <w:vAlign w:val="top"/>
          </w:tcPr>
          <w:p>
            <w:pPr>
              <w:widowControl/>
              <w:jc w:val="center"/>
              <w:rPr>
                <w:rFonts w:hint="eastAsia" w:ascii="宋体" w:eastAsia="宋体" w:cs="宋体"/>
                <w:b w:val="0"/>
                <w:color w:val="auto"/>
                <w:sz w:val="19"/>
                <w:szCs w:val="19"/>
              </w:rPr>
            </w:pP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14</w:t>
            </w:r>
          </w:p>
        </w:tc>
        <w:tc>
          <w:tcPr>
            <w:tcW w:w="1148"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新老机转换板施工</w:t>
            </w:r>
          </w:p>
        </w:tc>
        <w:tc>
          <w:tcPr>
            <w:tcW w:w="6027" w:type="dxa"/>
            <w:tcBorders>
              <w:top w:val="nil"/>
              <w:left w:val="nil"/>
              <w:bottom w:val="single" w:color="auto" w:sz="4" w:space="0"/>
              <w:right w:val="single" w:color="auto" w:sz="4" w:space="0"/>
            </w:tcBorders>
            <w:noWrap/>
            <w:vAlign w:val="center"/>
          </w:tcPr>
          <w:p>
            <w:pPr>
              <w:widowControl/>
              <w:jc w:val="left"/>
              <w:rPr>
                <w:rFonts w:hint="eastAsia" w:ascii="宋体" w:eastAsia="宋体" w:cs="宋体"/>
                <w:b w:val="0"/>
                <w:sz w:val="19"/>
                <w:szCs w:val="19"/>
              </w:rPr>
            </w:pPr>
            <w:r>
              <w:rPr>
                <w:rFonts w:hint="eastAsia" w:ascii="宋体" w:eastAsia="宋体" w:cs="宋体"/>
                <w:b w:val="0"/>
                <w:sz w:val="19"/>
                <w:szCs w:val="19"/>
              </w:rPr>
              <w:t>含原有板卡拆除和新板卡安装、接线、调测等</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158</w:t>
            </w:r>
          </w:p>
        </w:tc>
        <w:tc>
          <w:tcPr>
            <w:tcW w:w="636"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路口</w:t>
            </w:r>
          </w:p>
        </w:tc>
        <w:tc>
          <w:tcPr>
            <w:tcW w:w="717" w:type="dxa"/>
            <w:tcBorders>
              <w:top w:val="nil"/>
              <w:left w:val="nil"/>
              <w:bottom w:val="single" w:color="auto" w:sz="4" w:space="0"/>
              <w:right w:val="single" w:color="auto" w:sz="4" w:space="0"/>
            </w:tcBorders>
            <w:noWrap w:val="0"/>
            <w:vAlign w:val="top"/>
          </w:tcPr>
          <w:p>
            <w:pPr>
              <w:widowControl/>
              <w:jc w:val="center"/>
              <w:rPr>
                <w:rFonts w:hint="eastAsia" w:ascii="宋体" w:eastAsia="宋体" w:cs="宋体"/>
                <w:b w:val="0"/>
                <w:color w:val="auto"/>
                <w:sz w:val="19"/>
                <w:szCs w:val="19"/>
              </w:rPr>
            </w:pP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eastAsia="宋体"/>
                <w:b w:val="0"/>
                <w:color w:val="auto"/>
                <w:sz w:val="20"/>
              </w:rPr>
            </w:pPr>
            <w:r>
              <w:rPr>
                <w:rFonts w:hint="eastAsia"/>
                <w:b w:val="0"/>
                <w:sz w:val="20"/>
              </w:rPr>
              <w:t>15</w:t>
            </w:r>
          </w:p>
        </w:tc>
        <w:tc>
          <w:tcPr>
            <w:tcW w:w="114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eastAsia="宋体" w:cs="宋体"/>
                <w:b w:val="0"/>
                <w:color w:val="auto"/>
                <w:sz w:val="19"/>
                <w:szCs w:val="19"/>
              </w:rPr>
            </w:pPr>
            <w:r>
              <w:rPr>
                <w:rFonts w:hint="eastAsia" w:ascii="宋体" w:eastAsia="宋体" w:cs="宋体"/>
                <w:b w:val="0"/>
                <w:color w:val="auto"/>
                <w:sz w:val="19"/>
                <w:szCs w:val="19"/>
              </w:rPr>
              <w:t>信号运维图形工作站</w:t>
            </w:r>
          </w:p>
        </w:tc>
        <w:tc>
          <w:tcPr>
            <w:tcW w:w="6027" w:type="dxa"/>
            <w:tcBorders>
              <w:top w:val="nil"/>
              <w:left w:val="nil"/>
              <w:bottom w:val="single" w:color="auto" w:sz="4" w:space="0"/>
              <w:right w:val="single" w:color="auto" w:sz="4" w:space="0"/>
            </w:tcBorders>
            <w:shd w:val="clear" w:color="000000" w:fill="FFFFFF"/>
            <w:noWrap w:val="0"/>
            <w:vAlign w:val="center"/>
          </w:tcPr>
          <w:p>
            <w:pPr>
              <w:jc w:val="center"/>
              <w:rPr>
                <w:rFonts w:hint="eastAsia" w:ascii="宋体" w:eastAsia="宋体" w:cs="宋体"/>
                <w:b w:val="0"/>
                <w:color w:val="auto"/>
                <w:sz w:val="19"/>
                <w:szCs w:val="19"/>
              </w:rPr>
            </w:pPr>
            <w:r>
              <w:rPr>
                <w:rFonts w:hint="eastAsia" w:ascii="宋体" w:eastAsia="宋体" w:cs="宋体"/>
                <w:b w:val="0"/>
                <w:color w:val="auto"/>
                <w:sz w:val="19"/>
                <w:szCs w:val="19"/>
              </w:rPr>
              <w:t>I9-10900K/内存4*8G/固态硬盘256G/RTX3080/品牌塔式工作站</w:t>
            </w:r>
          </w:p>
        </w:tc>
        <w:tc>
          <w:tcPr>
            <w:tcW w:w="640" w:type="dxa"/>
            <w:tcBorders>
              <w:top w:val="nil"/>
              <w:left w:val="nil"/>
              <w:bottom w:val="single" w:color="auto" w:sz="4" w:space="0"/>
              <w:right w:val="single" w:color="auto" w:sz="4" w:space="0"/>
            </w:tcBorders>
            <w:noWrap w:val="0"/>
            <w:vAlign w:val="center"/>
          </w:tcPr>
          <w:p>
            <w:pPr>
              <w:jc w:val="center"/>
              <w:rPr>
                <w:rFonts w:hint="eastAsia" w:ascii="宋体" w:eastAsia="宋体" w:cs="宋体"/>
                <w:b w:val="0"/>
                <w:color w:val="auto"/>
                <w:sz w:val="19"/>
                <w:szCs w:val="19"/>
              </w:rPr>
            </w:pPr>
            <w:r>
              <w:rPr>
                <w:rFonts w:hint="eastAsia" w:ascii="宋体" w:eastAsia="宋体" w:cs="宋体"/>
                <w:b w:val="0"/>
                <w:color w:val="auto"/>
                <w:sz w:val="19"/>
                <w:szCs w:val="19"/>
              </w:rPr>
              <w:t>1</w:t>
            </w:r>
          </w:p>
        </w:tc>
        <w:tc>
          <w:tcPr>
            <w:tcW w:w="636" w:type="dxa"/>
            <w:tcBorders>
              <w:top w:val="nil"/>
              <w:left w:val="nil"/>
              <w:bottom w:val="single" w:color="auto" w:sz="4" w:space="0"/>
              <w:right w:val="single" w:color="auto" w:sz="4" w:space="0"/>
            </w:tcBorders>
            <w:noWrap/>
            <w:vAlign w:val="center"/>
          </w:tcPr>
          <w:p>
            <w:pPr>
              <w:jc w:val="center"/>
              <w:rPr>
                <w:rFonts w:hint="eastAsia" w:ascii="宋体" w:eastAsia="宋体" w:cs="宋体"/>
                <w:b w:val="0"/>
                <w:color w:val="auto"/>
                <w:sz w:val="19"/>
                <w:szCs w:val="19"/>
              </w:rPr>
            </w:pPr>
            <w:r>
              <w:rPr>
                <w:rFonts w:hint="eastAsia" w:ascii="宋体" w:eastAsia="宋体" w:cs="宋体"/>
                <w:b w:val="0"/>
                <w:color w:val="auto"/>
                <w:sz w:val="19"/>
                <w:szCs w:val="19"/>
              </w:rPr>
              <w:t>台</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eastAsia="宋体" w:cs="宋体"/>
                <w:b w:val="0"/>
                <w:color w:val="auto"/>
                <w:sz w:val="19"/>
                <w:szCs w:val="19"/>
              </w:rPr>
            </w:pPr>
            <w:r>
              <w:rPr>
                <w:rFonts w:hint="eastAsia" w:ascii="宋体" w:eastAsia="宋体" w:cs="宋体"/>
                <w:b w:val="0"/>
                <w:color w:val="auto"/>
                <w:sz w:val="19"/>
                <w:szCs w:val="19"/>
              </w:rPr>
              <w:t>5年</w:t>
            </w:r>
          </w:p>
          <w:p>
            <w:pPr>
              <w:jc w:val="center"/>
              <w:rPr>
                <w:rFonts w:hint="eastAsia" w:ascii="宋体" w:eastAsia="宋体" w:cs="宋体"/>
                <w:b w:val="0"/>
                <w:color w:val="auto"/>
                <w:sz w:val="19"/>
                <w:szCs w:val="19"/>
              </w:rPr>
            </w:pPr>
            <w:r>
              <w:rPr>
                <w:rFonts w:ascii="宋体" w:eastAsia="宋体" w:cs="宋体"/>
                <w:b w:val="0"/>
                <w:color w:val="auto"/>
                <w:sz w:val="19"/>
                <w:szCs w:val="19"/>
              </w:rPr>
              <w:t>质保</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b w:val="0"/>
                <w:sz w:val="20"/>
              </w:rPr>
            </w:pPr>
            <w:r>
              <w:rPr>
                <w:rFonts w:hint="eastAsia"/>
                <w:b w:val="0"/>
                <w:sz w:val="20"/>
              </w:rPr>
              <w:t>16</w:t>
            </w:r>
          </w:p>
        </w:tc>
        <w:tc>
          <w:tcPr>
            <w:tcW w:w="1148" w:type="dxa"/>
            <w:tcBorders>
              <w:top w:val="nil"/>
              <w:left w:val="nil"/>
              <w:bottom w:val="single" w:color="auto" w:sz="4" w:space="0"/>
              <w:right w:val="single" w:color="auto" w:sz="4" w:space="0"/>
            </w:tcBorders>
            <w:shd w:val="clear" w:color="000000" w:fill="FFFFFF"/>
            <w:noWrap w:val="0"/>
            <w:vAlign w:val="center"/>
          </w:tcPr>
          <w:p>
            <w:pPr>
              <w:jc w:val="center"/>
              <w:rPr>
                <w:rFonts w:hint="eastAsia" w:ascii="宋体" w:eastAsia="宋体" w:cs="宋体"/>
                <w:b w:val="0"/>
                <w:color w:val="auto"/>
                <w:sz w:val="19"/>
                <w:szCs w:val="19"/>
              </w:rPr>
            </w:pPr>
            <w:r>
              <w:rPr>
                <w:rFonts w:hint="eastAsia" w:ascii="宋体" w:eastAsia="宋体" w:cs="宋体"/>
                <w:b w:val="0"/>
                <w:color w:val="auto"/>
                <w:sz w:val="19"/>
                <w:szCs w:val="19"/>
              </w:rPr>
              <w:t>信号运维大屏专用图形工作站</w:t>
            </w:r>
          </w:p>
        </w:tc>
        <w:tc>
          <w:tcPr>
            <w:tcW w:w="6027" w:type="dxa"/>
            <w:tcBorders>
              <w:top w:val="nil"/>
              <w:left w:val="nil"/>
              <w:bottom w:val="single" w:color="auto" w:sz="4" w:space="0"/>
              <w:right w:val="single" w:color="auto" w:sz="4" w:space="0"/>
            </w:tcBorders>
            <w:shd w:val="clear" w:color="000000" w:fill="FFFFFF"/>
            <w:noWrap w:val="0"/>
            <w:vAlign w:val="center"/>
          </w:tcPr>
          <w:p>
            <w:pPr>
              <w:jc w:val="center"/>
              <w:rPr>
                <w:rFonts w:hint="eastAsia" w:ascii="宋体" w:eastAsia="宋体" w:cs="宋体"/>
                <w:b w:val="0"/>
                <w:color w:val="auto"/>
                <w:sz w:val="19"/>
                <w:szCs w:val="19"/>
              </w:rPr>
            </w:pPr>
            <w:r>
              <w:rPr>
                <w:rFonts w:hint="eastAsia" w:ascii="宋体" w:eastAsia="宋体" w:cs="宋体"/>
                <w:b w:val="0"/>
                <w:color w:val="auto"/>
                <w:sz w:val="19"/>
                <w:szCs w:val="19"/>
              </w:rPr>
              <w:t xml:space="preserve">双路主板，Intel 5218R（5218R20核40线程），6*8G ECC 内存，512G SSD*1(接口M.2),4TB HHD*1，RTX3080 </w:t>
            </w:r>
          </w:p>
        </w:tc>
        <w:tc>
          <w:tcPr>
            <w:tcW w:w="640" w:type="dxa"/>
            <w:tcBorders>
              <w:top w:val="nil"/>
              <w:left w:val="nil"/>
              <w:bottom w:val="single" w:color="auto" w:sz="4" w:space="0"/>
              <w:right w:val="single" w:color="auto" w:sz="4" w:space="0"/>
            </w:tcBorders>
            <w:noWrap w:val="0"/>
            <w:vAlign w:val="center"/>
          </w:tcPr>
          <w:p>
            <w:pPr>
              <w:jc w:val="center"/>
              <w:rPr>
                <w:rFonts w:hint="eastAsia" w:ascii="宋体" w:eastAsia="宋体" w:cs="宋体"/>
                <w:b w:val="0"/>
                <w:color w:val="auto"/>
                <w:sz w:val="19"/>
                <w:szCs w:val="19"/>
              </w:rPr>
            </w:pPr>
            <w:r>
              <w:rPr>
                <w:rFonts w:hint="eastAsia" w:ascii="宋体" w:eastAsia="宋体" w:cs="宋体"/>
                <w:b w:val="0"/>
                <w:color w:val="auto"/>
                <w:sz w:val="19"/>
                <w:szCs w:val="19"/>
              </w:rPr>
              <w:t>1</w:t>
            </w:r>
          </w:p>
        </w:tc>
        <w:tc>
          <w:tcPr>
            <w:tcW w:w="636" w:type="dxa"/>
            <w:tcBorders>
              <w:top w:val="nil"/>
              <w:left w:val="nil"/>
              <w:bottom w:val="single" w:color="auto" w:sz="4" w:space="0"/>
              <w:right w:val="single" w:color="auto" w:sz="4" w:space="0"/>
            </w:tcBorders>
            <w:noWrap/>
            <w:vAlign w:val="center"/>
          </w:tcPr>
          <w:p>
            <w:pPr>
              <w:jc w:val="center"/>
              <w:rPr>
                <w:rFonts w:hint="eastAsia" w:ascii="宋体" w:eastAsia="宋体" w:cs="宋体"/>
                <w:b w:val="0"/>
                <w:color w:val="auto"/>
                <w:sz w:val="19"/>
                <w:szCs w:val="19"/>
              </w:rPr>
            </w:pPr>
            <w:r>
              <w:rPr>
                <w:rFonts w:hint="eastAsia" w:ascii="宋体" w:eastAsia="宋体" w:cs="宋体"/>
                <w:b w:val="0"/>
                <w:color w:val="auto"/>
                <w:sz w:val="19"/>
                <w:szCs w:val="19"/>
              </w:rPr>
              <w:t>台</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eastAsia="宋体" w:cs="宋体"/>
                <w:b w:val="0"/>
                <w:color w:val="auto"/>
                <w:sz w:val="19"/>
                <w:szCs w:val="19"/>
              </w:rPr>
            </w:pPr>
            <w:r>
              <w:rPr>
                <w:rFonts w:hint="eastAsia" w:ascii="宋体" w:eastAsia="宋体" w:cs="宋体"/>
                <w:b w:val="0"/>
                <w:color w:val="auto"/>
                <w:sz w:val="19"/>
                <w:szCs w:val="19"/>
              </w:rPr>
              <w:t>5年</w:t>
            </w:r>
          </w:p>
          <w:p>
            <w:pPr>
              <w:jc w:val="center"/>
              <w:rPr>
                <w:rFonts w:hint="eastAsia" w:ascii="宋体" w:eastAsia="宋体" w:cs="宋体"/>
                <w:b w:val="0"/>
                <w:color w:val="auto"/>
                <w:sz w:val="19"/>
                <w:szCs w:val="19"/>
              </w:rPr>
            </w:pPr>
            <w:r>
              <w:rPr>
                <w:rFonts w:ascii="宋体" w:eastAsia="宋体" w:cs="宋体"/>
                <w:b w:val="0"/>
                <w:color w:val="auto"/>
                <w:sz w:val="19"/>
                <w:szCs w:val="19"/>
              </w:rPr>
              <w:t>质保</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b w:val="0"/>
                <w:sz w:val="20"/>
              </w:rPr>
            </w:pPr>
            <w:r>
              <w:rPr>
                <w:rFonts w:hint="eastAsia"/>
                <w:b w:val="0"/>
                <w:sz w:val="20"/>
              </w:rPr>
              <w:t>17</w:t>
            </w:r>
          </w:p>
        </w:tc>
        <w:tc>
          <w:tcPr>
            <w:tcW w:w="114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eastAsia="宋体" w:cs="宋体"/>
                <w:b w:val="0"/>
                <w:color w:val="auto"/>
                <w:sz w:val="19"/>
                <w:szCs w:val="19"/>
              </w:rPr>
            </w:pPr>
            <w:r>
              <w:rPr>
                <w:rFonts w:hint="eastAsia" w:ascii="宋体" w:eastAsia="宋体" w:cs="宋体"/>
                <w:b w:val="0"/>
                <w:color w:val="auto"/>
                <w:sz w:val="19"/>
                <w:szCs w:val="19"/>
              </w:rPr>
              <w:t>台式电脑配套显示器</w:t>
            </w:r>
          </w:p>
        </w:tc>
        <w:tc>
          <w:tcPr>
            <w:tcW w:w="6027" w:type="dxa"/>
            <w:tcBorders>
              <w:top w:val="nil"/>
              <w:left w:val="nil"/>
              <w:bottom w:val="single" w:color="auto" w:sz="4" w:space="0"/>
              <w:right w:val="single" w:color="auto" w:sz="4" w:space="0"/>
            </w:tcBorders>
            <w:shd w:val="clear" w:color="000000" w:fill="FFFFFF"/>
            <w:noWrap w:val="0"/>
            <w:vAlign w:val="center"/>
          </w:tcPr>
          <w:p>
            <w:pPr>
              <w:jc w:val="center"/>
              <w:rPr>
                <w:rFonts w:hint="eastAsia" w:ascii="宋体" w:eastAsia="宋体" w:cs="宋体"/>
                <w:b w:val="0"/>
                <w:color w:val="auto"/>
                <w:sz w:val="19"/>
                <w:szCs w:val="19"/>
              </w:rPr>
            </w:pPr>
            <w:r>
              <w:rPr>
                <w:rFonts w:hint="eastAsia" w:ascii="宋体" w:eastAsia="宋体" w:cs="宋体"/>
                <w:b w:val="0"/>
                <w:color w:val="auto"/>
                <w:sz w:val="19"/>
                <w:szCs w:val="19"/>
              </w:rPr>
              <w:t>2K分辨率/支持HDR400/DCI-P3显色</w:t>
            </w:r>
          </w:p>
        </w:tc>
        <w:tc>
          <w:tcPr>
            <w:tcW w:w="640" w:type="dxa"/>
            <w:tcBorders>
              <w:top w:val="nil"/>
              <w:left w:val="nil"/>
              <w:bottom w:val="single" w:color="auto" w:sz="4" w:space="0"/>
              <w:right w:val="single" w:color="auto" w:sz="4" w:space="0"/>
            </w:tcBorders>
            <w:noWrap w:val="0"/>
            <w:vAlign w:val="center"/>
          </w:tcPr>
          <w:p>
            <w:pPr>
              <w:jc w:val="center"/>
              <w:rPr>
                <w:rFonts w:hint="eastAsia" w:ascii="宋体" w:eastAsia="宋体" w:cs="宋体"/>
                <w:b w:val="0"/>
                <w:color w:val="auto"/>
                <w:sz w:val="19"/>
                <w:szCs w:val="19"/>
              </w:rPr>
            </w:pPr>
            <w:r>
              <w:rPr>
                <w:rFonts w:hint="eastAsia" w:ascii="宋体" w:eastAsia="宋体" w:cs="宋体"/>
                <w:b w:val="0"/>
                <w:color w:val="auto"/>
                <w:sz w:val="19"/>
                <w:szCs w:val="19"/>
              </w:rPr>
              <w:t>2</w:t>
            </w:r>
          </w:p>
        </w:tc>
        <w:tc>
          <w:tcPr>
            <w:tcW w:w="636" w:type="dxa"/>
            <w:tcBorders>
              <w:top w:val="nil"/>
              <w:left w:val="nil"/>
              <w:bottom w:val="single" w:color="auto" w:sz="4" w:space="0"/>
              <w:right w:val="single" w:color="auto" w:sz="4" w:space="0"/>
            </w:tcBorders>
            <w:noWrap/>
            <w:vAlign w:val="center"/>
          </w:tcPr>
          <w:p>
            <w:pPr>
              <w:jc w:val="center"/>
              <w:rPr>
                <w:rFonts w:hint="eastAsia" w:ascii="宋体" w:eastAsia="宋体" w:cs="宋体"/>
                <w:b w:val="0"/>
                <w:color w:val="auto"/>
                <w:sz w:val="19"/>
                <w:szCs w:val="19"/>
              </w:rPr>
            </w:pPr>
            <w:r>
              <w:rPr>
                <w:rFonts w:hint="eastAsia" w:ascii="宋体" w:eastAsia="宋体" w:cs="宋体"/>
                <w:b w:val="0"/>
                <w:color w:val="auto"/>
                <w:sz w:val="19"/>
                <w:szCs w:val="19"/>
              </w:rPr>
              <w:t>台</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eastAsia="宋体" w:cs="宋体"/>
                <w:b w:val="0"/>
                <w:color w:val="auto"/>
                <w:sz w:val="19"/>
                <w:szCs w:val="19"/>
              </w:rPr>
            </w:pPr>
            <w:r>
              <w:rPr>
                <w:rFonts w:hint="eastAsia" w:ascii="宋体" w:eastAsia="宋体" w:cs="宋体"/>
                <w:b w:val="0"/>
                <w:color w:val="auto"/>
                <w:sz w:val="19"/>
                <w:szCs w:val="19"/>
              </w:rPr>
              <w:t>5年</w:t>
            </w:r>
          </w:p>
          <w:p>
            <w:pPr>
              <w:jc w:val="center"/>
              <w:rPr>
                <w:rFonts w:hint="eastAsia" w:ascii="宋体" w:eastAsia="宋体" w:cs="宋体"/>
                <w:b w:val="0"/>
                <w:color w:val="auto"/>
                <w:sz w:val="19"/>
                <w:szCs w:val="19"/>
              </w:rPr>
            </w:pPr>
            <w:r>
              <w:rPr>
                <w:rFonts w:ascii="宋体" w:eastAsia="宋体" w:cs="宋体"/>
                <w:b w:val="0"/>
                <w:color w:val="auto"/>
                <w:sz w:val="19"/>
                <w:szCs w:val="19"/>
              </w:rPr>
              <w:t>质保</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b w:val="0"/>
                <w:sz w:val="20"/>
              </w:rPr>
            </w:pPr>
            <w:r>
              <w:rPr>
                <w:rFonts w:hint="eastAsia"/>
                <w:b w:val="0"/>
                <w:sz w:val="20"/>
              </w:rPr>
              <w:t>18</w:t>
            </w:r>
          </w:p>
        </w:tc>
        <w:tc>
          <w:tcPr>
            <w:tcW w:w="114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eastAsia="宋体" w:cs="宋体"/>
                <w:b w:val="0"/>
                <w:color w:val="auto"/>
                <w:sz w:val="19"/>
                <w:szCs w:val="19"/>
              </w:rPr>
            </w:pPr>
            <w:r>
              <w:rPr>
                <w:rFonts w:hint="eastAsia" w:ascii="宋体" w:eastAsia="宋体" w:cs="宋体"/>
                <w:b w:val="0"/>
                <w:color w:val="auto"/>
                <w:sz w:val="19"/>
                <w:szCs w:val="19"/>
              </w:rPr>
              <w:t>ITS数据交换服务器（内网）</w:t>
            </w:r>
          </w:p>
        </w:tc>
        <w:tc>
          <w:tcPr>
            <w:tcW w:w="6027" w:type="dxa"/>
            <w:tcBorders>
              <w:top w:val="nil"/>
              <w:left w:val="nil"/>
              <w:bottom w:val="single" w:color="auto" w:sz="4" w:space="0"/>
              <w:right w:val="single" w:color="auto" w:sz="4" w:space="0"/>
            </w:tcBorders>
            <w:shd w:val="clear" w:color="000000" w:fill="FFFFFF"/>
            <w:noWrap w:val="0"/>
            <w:vAlign w:val="center"/>
          </w:tcPr>
          <w:p>
            <w:pPr>
              <w:jc w:val="center"/>
              <w:rPr>
                <w:rFonts w:hint="eastAsia" w:ascii="宋体" w:eastAsia="宋体" w:cs="宋体"/>
                <w:b w:val="0"/>
                <w:color w:val="auto"/>
                <w:sz w:val="19"/>
                <w:szCs w:val="19"/>
              </w:rPr>
            </w:pPr>
            <w:r>
              <w:rPr>
                <w:rFonts w:hint="eastAsia" w:ascii="宋体" w:eastAsia="宋体" w:cs="宋体"/>
                <w:b w:val="0"/>
                <w:color w:val="auto"/>
                <w:sz w:val="19"/>
                <w:szCs w:val="19"/>
              </w:rPr>
              <w:t>双路主板，2U机架式，10Gb iSCSI主机端口*2，Intel 4214R CPU*2；64GB内存，480G 企业级SSD*1(接口M.2/PCIE)，冗余热插拔电源</w:t>
            </w:r>
          </w:p>
        </w:tc>
        <w:tc>
          <w:tcPr>
            <w:tcW w:w="640" w:type="dxa"/>
            <w:tcBorders>
              <w:top w:val="nil"/>
              <w:left w:val="nil"/>
              <w:bottom w:val="single" w:color="auto" w:sz="4" w:space="0"/>
              <w:right w:val="single" w:color="auto" w:sz="4" w:space="0"/>
            </w:tcBorders>
            <w:noWrap w:val="0"/>
            <w:vAlign w:val="center"/>
          </w:tcPr>
          <w:p>
            <w:pPr>
              <w:jc w:val="center"/>
              <w:rPr>
                <w:rFonts w:hint="eastAsia" w:ascii="宋体" w:eastAsia="宋体" w:cs="宋体"/>
                <w:b w:val="0"/>
                <w:color w:val="auto"/>
                <w:sz w:val="19"/>
                <w:szCs w:val="19"/>
              </w:rPr>
            </w:pPr>
            <w:r>
              <w:rPr>
                <w:rFonts w:hint="eastAsia" w:ascii="宋体" w:eastAsia="宋体" w:cs="宋体"/>
                <w:b w:val="0"/>
                <w:color w:val="auto"/>
                <w:sz w:val="19"/>
                <w:szCs w:val="19"/>
              </w:rPr>
              <w:t>1</w:t>
            </w:r>
          </w:p>
        </w:tc>
        <w:tc>
          <w:tcPr>
            <w:tcW w:w="636" w:type="dxa"/>
            <w:tcBorders>
              <w:top w:val="nil"/>
              <w:left w:val="nil"/>
              <w:bottom w:val="single" w:color="auto" w:sz="4" w:space="0"/>
              <w:right w:val="single" w:color="auto" w:sz="4" w:space="0"/>
            </w:tcBorders>
            <w:noWrap/>
            <w:vAlign w:val="center"/>
          </w:tcPr>
          <w:p>
            <w:pPr>
              <w:jc w:val="center"/>
              <w:rPr>
                <w:rFonts w:hint="eastAsia" w:ascii="宋体" w:eastAsia="宋体" w:cs="宋体"/>
                <w:b w:val="0"/>
                <w:color w:val="auto"/>
                <w:sz w:val="19"/>
                <w:szCs w:val="19"/>
              </w:rPr>
            </w:pPr>
            <w:r>
              <w:rPr>
                <w:rFonts w:hint="eastAsia" w:ascii="宋体" w:eastAsia="宋体" w:cs="宋体"/>
                <w:b w:val="0"/>
                <w:color w:val="auto"/>
                <w:sz w:val="19"/>
                <w:szCs w:val="19"/>
              </w:rPr>
              <w:t>台</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eastAsia="宋体" w:cs="宋体"/>
                <w:b w:val="0"/>
                <w:color w:val="auto"/>
                <w:sz w:val="19"/>
                <w:szCs w:val="19"/>
              </w:rPr>
            </w:pPr>
            <w:r>
              <w:rPr>
                <w:rFonts w:hint="eastAsia" w:ascii="宋体" w:eastAsia="宋体" w:cs="宋体"/>
                <w:b w:val="0"/>
                <w:color w:val="auto"/>
                <w:sz w:val="19"/>
                <w:szCs w:val="19"/>
              </w:rPr>
              <w:t>5年</w:t>
            </w:r>
          </w:p>
          <w:p>
            <w:pPr>
              <w:jc w:val="center"/>
              <w:rPr>
                <w:rFonts w:hint="eastAsia" w:ascii="宋体" w:eastAsia="宋体" w:cs="宋体"/>
                <w:b w:val="0"/>
                <w:color w:val="auto"/>
                <w:sz w:val="19"/>
                <w:szCs w:val="19"/>
              </w:rPr>
            </w:pPr>
            <w:r>
              <w:rPr>
                <w:rFonts w:ascii="宋体" w:eastAsia="宋体" w:cs="宋体"/>
                <w:b w:val="0"/>
                <w:color w:val="auto"/>
                <w:sz w:val="19"/>
                <w:szCs w:val="19"/>
              </w:rPr>
              <w:t>质保</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b w:val="0"/>
                <w:sz w:val="20"/>
              </w:rPr>
            </w:pPr>
            <w:r>
              <w:rPr>
                <w:rFonts w:hint="eastAsia"/>
                <w:b w:val="0"/>
                <w:sz w:val="20"/>
              </w:rPr>
              <w:t>19</w:t>
            </w:r>
          </w:p>
        </w:tc>
        <w:tc>
          <w:tcPr>
            <w:tcW w:w="1148" w:type="dxa"/>
            <w:tcBorders>
              <w:top w:val="nil"/>
              <w:left w:val="nil"/>
              <w:bottom w:val="single" w:color="auto" w:sz="4" w:space="0"/>
              <w:right w:val="single" w:color="auto" w:sz="4" w:space="0"/>
            </w:tcBorders>
            <w:shd w:val="clear" w:color="000000" w:fill="FFFFFF"/>
            <w:noWrap w:val="0"/>
            <w:vAlign w:val="center"/>
          </w:tcPr>
          <w:p>
            <w:pPr>
              <w:jc w:val="center"/>
              <w:rPr>
                <w:rFonts w:hint="eastAsia" w:ascii="宋体" w:eastAsia="宋体" w:cs="宋体"/>
                <w:b w:val="0"/>
                <w:color w:val="auto"/>
                <w:sz w:val="19"/>
                <w:szCs w:val="19"/>
              </w:rPr>
            </w:pPr>
            <w:r>
              <w:rPr>
                <w:rFonts w:hint="eastAsia" w:ascii="宋体" w:eastAsia="宋体" w:cs="宋体"/>
                <w:b w:val="0"/>
                <w:color w:val="auto"/>
                <w:sz w:val="19"/>
                <w:szCs w:val="19"/>
              </w:rPr>
              <w:t>ITS数据交换服务器（外网）</w:t>
            </w:r>
          </w:p>
        </w:tc>
        <w:tc>
          <w:tcPr>
            <w:tcW w:w="6027" w:type="dxa"/>
            <w:tcBorders>
              <w:top w:val="nil"/>
              <w:left w:val="nil"/>
              <w:bottom w:val="single" w:color="auto" w:sz="4" w:space="0"/>
              <w:right w:val="single" w:color="auto" w:sz="4" w:space="0"/>
            </w:tcBorders>
            <w:shd w:val="clear" w:color="000000" w:fill="FFFFFF"/>
            <w:noWrap w:val="0"/>
            <w:vAlign w:val="center"/>
          </w:tcPr>
          <w:p>
            <w:pPr>
              <w:jc w:val="center"/>
              <w:rPr>
                <w:rFonts w:hint="eastAsia" w:ascii="宋体" w:eastAsia="宋体" w:cs="宋体"/>
                <w:b w:val="0"/>
                <w:color w:val="auto"/>
                <w:sz w:val="19"/>
                <w:szCs w:val="19"/>
              </w:rPr>
            </w:pPr>
            <w:r>
              <w:rPr>
                <w:rFonts w:hint="eastAsia" w:ascii="宋体" w:eastAsia="宋体" w:cs="宋体"/>
                <w:b w:val="0"/>
                <w:color w:val="auto"/>
                <w:sz w:val="19"/>
                <w:szCs w:val="19"/>
              </w:rPr>
              <w:t>双路主板，2U机架式，10Gb iSCSI主机端口*2，Intel 4214R CPU*2；64GB内存，480G 企业级SSD*1(接口M.2/PCIE)，冗余热插拔电源</w:t>
            </w:r>
          </w:p>
        </w:tc>
        <w:tc>
          <w:tcPr>
            <w:tcW w:w="640" w:type="dxa"/>
            <w:tcBorders>
              <w:top w:val="nil"/>
              <w:left w:val="nil"/>
              <w:bottom w:val="single" w:color="auto" w:sz="4" w:space="0"/>
              <w:right w:val="single" w:color="auto" w:sz="4" w:space="0"/>
            </w:tcBorders>
            <w:noWrap w:val="0"/>
            <w:vAlign w:val="center"/>
          </w:tcPr>
          <w:p>
            <w:pPr>
              <w:jc w:val="center"/>
              <w:rPr>
                <w:rFonts w:hint="eastAsia" w:ascii="宋体" w:eastAsia="宋体" w:cs="宋体"/>
                <w:b w:val="0"/>
                <w:color w:val="auto"/>
                <w:sz w:val="19"/>
                <w:szCs w:val="19"/>
              </w:rPr>
            </w:pPr>
            <w:r>
              <w:rPr>
                <w:rFonts w:hint="eastAsia" w:ascii="宋体" w:eastAsia="宋体" w:cs="宋体"/>
                <w:b w:val="0"/>
                <w:color w:val="auto"/>
                <w:sz w:val="19"/>
                <w:szCs w:val="19"/>
              </w:rPr>
              <w:t>1</w:t>
            </w:r>
          </w:p>
        </w:tc>
        <w:tc>
          <w:tcPr>
            <w:tcW w:w="636" w:type="dxa"/>
            <w:tcBorders>
              <w:top w:val="nil"/>
              <w:left w:val="nil"/>
              <w:bottom w:val="single" w:color="auto" w:sz="4" w:space="0"/>
              <w:right w:val="single" w:color="auto" w:sz="4" w:space="0"/>
            </w:tcBorders>
            <w:noWrap/>
            <w:vAlign w:val="center"/>
          </w:tcPr>
          <w:p>
            <w:pPr>
              <w:jc w:val="center"/>
              <w:rPr>
                <w:rFonts w:hint="eastAsia" w:ascii="宋体" w:eastAsia="宋体" w:cs="宋体"/>
                <w:b w:val="0"/>
                <w:color w:val="auto"/>
                <w:sz w:val="19"/>
                <w:szCs w:val="19"/>
              </w:rPr>
            </w:pPr>
            <w:r>
              <w:rPr>
                <w:rFonts w:hint="eastAsia" w:ascii="宋体" w:eastAsia="宋体" w:cs="宋体"/>
                <w:b w:val="0"/>
                <w:color w:val="auto"/>
                <w:sz w:val="19"/>
                <w:szCs w:val="19"/>
              </w:rPr>
              <w:t>台</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eastAsia="宋体" w:cs="宋体"/>
                <w:b w:val="0"/>
                <w:color w:val="auto"/>
                <w:sz w:val="19"/>
                <w:szCs w:val="19"/>
              </w:rPr>
            </w:pPr>
            <w:r>
              <w:rPr>
                <w:rFonts w:hint="eastAsia" w:ascii="宋体" w:eastAsia="宋体" w:cs="宋体"/>
                <w:b w:val="0"/>
                <w:color w:val="auto"/>
                <w:sz w:val="19"/>
                <w:szCs w:val="19"/>
              </w:rPr>
              <w:t>5年</w:t>
            </w:r>
          </w:p>
          <w:p>
            <w:pPr>
              <w:jc w:val="center"/>
              <w:rPr>
                <w:rFonts w:hint="eastAsia" w:ascii="宋体" w:eastAsia="宋体" w:cs="宋体"/>
                <w:b w:val="0"/>
                <w:color w:val="auto"/>
                <w:sz w:val="19"/>
                <w:szCs w:val="19"/>
              </w:rPr>
            </w:pPr>
            <w:r>
              <w:rPr>
                <w:rFonts w:ascii="宋体" w:eastAsia="宋体" w:cs="宋体"/>
                <w:b w:val="0"/>
                <w:color w:val="auto"/>
                <w:sz w:val="19"/>
                <w:szCs w:val="19"/>
              </w:rPr>
              <w:t>质保</w:t>
            </w:r>
          </w:p>
        </w:tc>
      </w:tr>
      <w:tr>
        <w:tblPrEx>
          <w:tblCellMar>
            <w:top w:w="0" w:type="dxa"/>
            <w:left w:w="108" w:type="dxa"/>
            <w:bottom w:w="0" w:type="dxa"/>
            <w:right w:w="108" w:type="dxa"/>
          </w:tblCellMar>
        </w:tblPrEx>
        <w:trPr>
          <w:trHeight w:val="480" w:hRule="atLeast"/>
          <w:jc w:val="center"/>
        </w:trPr>
        <w:tc>
          <w:tcPr>
            <w:tcW w:w="5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b w:val="0"/>
                <w:sz w:val="20"/>
              </w:rPr>
            </w:pPr>
            <w:r>
              <w:rPr>
                <w:rFonts w:hint="eastAsia"/>
                <w:b w:val="0"/>
                <w:sz w:val="20"/>
              </w:rPr>
              <w:t>20</w:t>
            </w:r>
          </w:p>
        </w:tc>
        <w:tc>
          <w:tcPr>
            <w:tcW w:w="114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eastAsia="宋体" w:cs="宋体"/>
                <w:b w:val="0"/>
                <w:color w:val="auto"/>
                <w:sz w:val="19"/>
                <w:szCs w:val="19"/>
              </w:rPr>
            </w:pPr>
            <w:r>
              <w:rPr>
                <w:rFonts w:hint="eastAsia" w:ascii="宋体" w:eastAsia="宋体" w:cs="宋体"/>
                <w:b w:val="0"/>
                <w:color w:val="auto"/>
                <w:sz w:val="19"/>
                <w:szCs w:val="19"/>
              </w:rPr>
              <w:t>前端部署服务器</w:t>
            </w:r>
          </w:p>
        </w:tc>
        <w:tc>
          <w:tcPr>
            <w:tcW w:w="602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hint="eastAsia" w:ascii="宋体" w:eastAsia="宋体" w:cs="宋体"/>
                <w:b w:val="0"/>
                <w:color w:val="auto"/>
                <w:sz w:val="19"/>
                <w:szCs w:val="19"/>
              </w:rPr>
            </w:pPr>
            <w:r>
              <w:rPr>
                <w:rFonts w:hint="eastAsia" w:ascii="宋体" w:eastAsia="宋体" w:cs="宋体"/>
                <w:b w:val="0"/>
                <w:color w:val="auto"/>
                <w:sz w:val="19"/>
                <w:szCs w:val="19"/>
              </w:rPr>
              <w:t>双路主板，2U机架式，10GbiSCSI主机端口*4,Intel 5218R CPU*2；128G内存，480G 企业级SSD*1(接口M.2/PCIE),7.2K SAS 8TB*3; 冗余热插拔电源</w:t>
            </w:r>
          </w:p>
        </w:tc>
        <w:tc>
          <w:tcPr>
            <w:tcW w:w="6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eastAsia="宋体" w:cs="宋体"/>
                <w:b w:val="0"/>
                <w:color w:val="auto"/>
                <w:sz w:val="19"/>
                <w:szCs w:val="19"/>
              </w:rPr>
            </w:pPr>
            <w:r>
              <w:rPr>
                <w:rFonts w:hint="eastAsia" w:ascii="宋体" w:eastAsia="宋体" w:cs="宋体"/>
                <w:b w:val="0"/>
                <w:color w:val="auto"/>
                <w:sz w:val="19"/>
                <w:szCs w:val="19"/>
              </w:rPr>
              <w:t>1</w:t>
            </w:r>
          </w:p>
        </w:tc>
        <w:tc>
          <w:tcPr>
            <w:tcW w:w="636"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eastAsia="宋体" w:cs="宋体"/>
                <w:b w:val="0"/>
                <w:color w:val="auto"/>
                <w:sz w:val="19"/>
                <w:szCs w:val="19"/>
              </w:rPr>
            </w:pPr>
            <w:r>
              <w:rPr>
                <w:rFonts w:hint="eastAsia" w:ascii="宋体" w:eastAsia="宋体" w:cs="宋体"/>
                <w:b w:val="0"/>
                <w:color w:val="auto"/>
                <w:sz w:val="19"/>
                <w:szCs w:val="19"/>
              </w:rPr>
              <w:t>台</w:t>
            </w:r>
          </w:p>
        </w:tc>
        <w:tc>
          <w:tcPr>
            <w:tcW w:w="7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eastAsia="宋体" w:cs="宋体"/>
                <w:b w:val="0"/>
                <w:color w:val="auto"/>
                <w:sz w:val="19"/>
                <w:szCs w:val="19"/>
              </w:rPr>
            </w:pPr>
            <w:r>
              <w:rPr>
                <w:rFonts w:hint="eastAsia" w:ascii="宋体" w:eastAsia="宋体" w:cs="宋体"/>
                <w:b w:val="0"/>
                <w:color w:val="auto"/>
                <w:sz w:val="19"/>
                <w:szCs w:val="19"/>
              </w:rPr>
              <w:t>5年</w:t>
            </w:r>
          </w:p>
          <w:p>
            <w:pPr>
              <w:jc w:val="center"/>
              <w:rPr>
                <w:rFonts w:hint="eastAsia" w:ascii="宋体" w:eastAsia="宋体" w:cs="宋体"/>
                <w:b w:val="0"/>
                <w:color w:val="auto"/>
                <w:sz w:val="19"/>
                <w:szCs w:val="19"/>
              </w:rPr>
            </w:pPr>
            <w:r>
              <w:rPr>
                <w:rFonts w:ascii="宋体" w:eastAsia="宋体" w:cs="宋体"/>
                <w:b w:val="0"/>
                <w:color w:val="auto"/>
                <w:sz w:val="19"/>
                <w:szCs w:val="19"/>
              </w:rPr>
              <w:t>质保</w:t>
            </w:r>
          </w:p>
        </w:tc>
      </w:tr>
      <w:tr>
        <w:tblPrEx>
          <w:tblCellMar>
            <w:top w:w="0" w:type="dxa"/>
            <w:left w:w="108" w:type="dxa"/>
            <w:bottom w:w="0" w:type="dxa"/>
            <w:right w:w="108" w:type="dxa"/>
          </w:tblCellMar>
        </w:tblPrEx>
        <w:trPr>
          <w:trHeight w:val="480" w:hRule="atLeast"/>
          <w:jc w:val="center"/>
        </w:trPr>
        <w:tc>
          <w:tcPr>
            <w:tcW w:w="5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eastAsia="宋体" w:cs="宋体"/>
                <w:b w:val="0"/>
                <w:color w:val="auto"/>
                <w:sz w:val="19"/>
                <w:szCs w:val="19"/>
              </w:rPr>
            </w:pPr>
            <w:r>
              <w:rPr>
                <w:rFonts w:ascii="宋体" w:eastAsia="宋体" w:cs="宋体"/>
                <w:b w:val="0"/>
                <w:color w:val="auto"/>
                <w:sz w:val="19"/>
                <w:szCs w:val="19"/>
              </w:rPr>
              <w:t>2</w:t>
            </w:r>
            <w:r>
              <w:rPr>
                <w:rFonts w:hint="eastAsia" w:ascii="宋体" w:eastAsia="宋体" w:cs="宋体"/>
                <w:b w:val="0"/>
                <w:color w:val="auto"/>
                <w:sz w:val="19"/>
                <w:szCs w:val="19"/>
              </w:rPr>
              <w:t>1</w:t>
            </w:r>
          </w:p>
        </w:tc>
        <w:tc>
          <w:tcPr>
            <w:tcW w:w="1148"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宋体" w:eastAsia="宋体" w:cs="宋体"/>
                <w:b w:val="0"/>
                <w:color w:val="auto"/>
                <w:sz w:val="19"/>
                <w:szCs w:val="19"/>
              </w:rPr>
            </w:pPr>
            <w:r>
              <w:rPr>
                <w:rFonts w:hint="eastAsia" w:ascii="宋体" w:eastAsia="宋体" w:cs="宋体"/>
                <w:b w:val="0"/>
                <w:color w:val="auto"/>
                <w:sz w:val="19"/>
                <w:szCs w:val="19"/>
              </w:rPr>
              <w:t>后端接口代理服务器</w:t>
            </w:r>
          </w:p>
        </w:tc>
        <w:tc>
          <w:tcPr>
            <w:tcW w:w="6027"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宋体" w:eastAsia="宋体" w:cs="宋体"/>
                <w:b w:val="0"/>
                <w:color w:val="auto"/>
                <w:sz w:val="19"/>
                <w:szCs w:val="19"/>
              </w:rPr>
            </w:pPr>
            <w:r>
              <w:rPr>
                <w:rFonts w:hint="eastAsia" w:ascii="宋体" w:eastAsia="宋体" w:cs="宋体"/>
                <w:b w:val="0"/>
                <w:color w:val="auto"/>
                <w:sz w:val="19"/>
                <w:szCs w:val="19"/>
              </w:rPr>
              <w:t>双路主板，2U机架式，10GbiSCSI主机端口*4,Intel 5218R CPU*2；128G内存，480G 企业级SSD*1(接口M.2/PCIE),</w:t>
            </w:r>
            <w:r>
              <w:rPr>
                <w:rFonts w:ascii="宋体" w:eastAsia="宋体" w:cs="宋体"/>
                <w:b w:val="0"/>
                <w:color w:val="auto"/>
                <w:sz w:val="19"/>
                <w:szCs w:val="19"/>
              </w:rPr>
              <w:t>7.2</w:t>
            </w:r>
            <w:r>
              <w:rPr>
                <w:rFonts w:hint="eastAsia" w:ascii="宋体" w:eastAsia="宋体" w:cs="宋体"/>
                <w:b w:val="0"/>
                <w:color w:val="auto"/>
                <w:sz w:val="19"/>
                <w:szCs w:val="19"/>
              </w:rPr>
              <w:t>K SAS 8TB*3; 冗余热插拔电源</w:t>
            </w:r>
          </w:p>
        </w:tc>
        <w:tc>
          <w:tcPr>
            <w:tcW w:w="640" w:type="dxa"/>
            <w:tcBorders>
              <w:top w:val="single" w:color="auto" w:sz="4" w:space="0"/>
              <w:left w:val="nil"/>
              <w:bottom w:val="single" w:color="auto" w:sz="4" w:space="0"/>
              <w:right w:val="single" w:color="auto" w:sz="4" w:space="0"/>
            </w:tcBorders>
            <w:noWrap w:val="0"/>
            <w:vAlign w:val="center"/>
          </w:tcPr>
          <w:p>
            <w:pPr>
              <w:jc w:val="center"/>
              <w:rPr>
                <w:rFonts w:hint="eastAsia" w:ascii="宋体" w:eastAsia="宋体" w:cs="宋体"/>
                <w:b w:val="0"/>
                <w:color w:val="auto"/>
                <w:sz w:val="19"/>
                <w:szCs w:val="19"/>
              </w:rPr>
            </w:pPr>
            <w:r>
              <w:rPr>
                <w:rFonts w:hint="eastAsia" w:ascii="宋体" w:eastAsia="宋体" w:cs="宋体"/>
                <w:b w:val="0"/>
                <w:color w:val="auto"/>
                <w:sz w:val="19"/>
                <w:szCs w:val="19"/>
              </w:rPr>
              <w:t>2</w:t>
            </w:r>
          </w:p>
        </w:tc>
        <w:tc>
          <w:tcPr>
            <w:tcW w:w="636" w:type="dxa"/>
            <w:tcBorders>
              <w:top w:val="single" w:color="auto" w:sz="4" w:space="0"/>
              <w:left w:val="nil"/>
              <w:bottom w:val="single" w:color="auto" w:sz="4" w:space="0"/>
              <w:right w:val="single" w:color="auto" w:sz="4" w:space="0"/>
            </w:tcBorders>
            <w:noWrap/>
            <w:vAlign w:val="center"/>
          </w:tcPr>
          <w:p>
            <w:pPr>
              <w:jc w:val="center"/>
              <w:rPr>
                <w:rFonts w:hint="eastAsia" w:ascii="宋体" w:eastAsia="宋体" w:cs="宋体"/>
                <w:b w:val="0"/>
                <w:color w:val="auto"/>
                <w:sz w:val="19"/>
                <w:szCs w:val="19"/>
              </w:rPr>
            </w:pPr>
            <w:r>
              <w:rPr>
                <w:rFonts w:hint="eastAsia" w:ascii="宋体" w:eastAsia="宋体" w:cs="宋体"/>
                <w:b w:val="0"/>
                <w:color w:val="auto"/>
                <w:sz w:val="19"/>
                <w:szCs w:val="19"/>
              </w:rPr>
              <w:t>台</w:t>
            </w:r>
          </w:p>
        </w:tc>
        <w:tc>
          <w:tcPr>
            <w:tcW w:w="717" w:type="dxa"/>
            <w:tcBorders>
              <w:top w:val="single" w:color="auto" w:sz="4" w:space="0"/>
              <w:left w:val="nil"/>
              <w:bottom w:val="single" w:color="auto" w:sz="4" w:space="0"/>
              <w:right w:val="single" w:color="auto" w:sz="4" w:space="0"/>
            </w:tcBorders>
            <w:noWrap w:val="0"/>
            <w:vAlign w:val="center"/>
          </w:tcPr>
          <w:p>
            <w:pPr>
              <w:widowControl/>
              <w:jc w:val="center"/>
              <w:rPr>
                <w:rFonts w:ascii="宋体" w:eastAsia="宋体" w:cs="宋体"/>
                <w:b w:val="0"/>
                <w:color w:val="auto"/>
                <w:sz w:val="19"/>
                <w:szCs w:val="19"/>
              </w:rPr>
            </w:pPr>
            <w:r>
              <w:rPr>
                <w:rFonts w:hint="eastAsia" w:ascii="宋体" w:eastAsia="宋体" w:cs="宋体"/>
                <w:b w:val="0"/>
                <w:color w:val="auto"/>
                <w:sz w:val="19"/>
                <w:szCs w:val="19"/>
              </w:rPr>
              <w:t>5年</w:t>
            </w:r>
          </w:p>
          <w:p>
            <w:pPr>
              <w:jc w:val="center"/>
              <w:rPr>
                <w:rFonts w:hint="eastAsia" w:ascii="宋体" w:eastAsia="宋体" w:cs="宋体"/>
                <w:b w:val="0"/>
                <w:color w:val="auto"/>
                <w:sz w:val="19"/>
                <w:szCs w:val="19"/>
              </w:rPr>
            </w:pPr>
            <w:r>
              <w:rPr>
                <w:rFonts w:ascii="宋体" w:eastAsia="宋体" w:cs="宋体"/>
                <w:b w:val="0"/>
                <w:color w:val="auto"/>
                <w:sz w:val="19"/>
                <w:szCs w:val="19"/>
              </w:rPr>
              <w:t>质保</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eastAsia="宋体" w:cs="宋体"/>
                <w:b w:val="0"/>
                <w:color w:val="auto"/>
                <w:sz w:val="19"/>
                <w:szCs w:val="19"/>
              </w:rPr>
            </w:pPr>
            <w:r>
              <w:rPr>
                <w:rFonts w:ascii="宋体" w:eastAsia="宋体" w:cs="宋体"/>
                <w:b w:val="0"/>
                <w:color w:val="auto"/>
                <w:sz w:val="19"/>
                <w:szCs w:val="19"/>
              </w:rPr>
              <w:t>22</w:t>
            </w:r>
          </w:p>
        </w:tc>
        <w:tc>
          <w:tcPr>
            <w:tcW w:w="1148"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边界交换平台-安全交换平台</w:t>
            </w:r>
          </w:p>
        </w:tc>
        <w:tc>
          <w:tcPr>
            <w:tcW w:w="6027"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eastAsia="宋体" w:cs="宋体"/>
                <w:b w:val="0"/>
                <w:color w:val="auto"/>
                <w:sz w:val="19"/>
                <w:szCs w:val="19"/>
              </w:rPr>
            </w:pPr>
            <w:r>
              <w:rPr>
                <w:rFonts w:hint="eastAsia" w:ascii="宋体" w:eastAsia="宋体" w:cs="宋体"/>
                <w:b w:val="0"/>
                <w:color w:val="auto"/>
                <w:sz w:val="19"/>
                <w:szCs w:val="19"/>
              </w:rPr>
              <w:t>技术架构：</w:t>
            </w:r>
            <w:r>
              <w:rPr>
                <w:rFonts w:hint="eastAsia" w:ascii="宋体" w:eastAsia="宋体" w:cs="宋体"/>
                <w:b w:val="0"/>
                <w:color w:val="auto"/>
                <w:sz w:val="19"/>
                <w:szCs w:val="19"/>
              </w:rPr>
              <w:br w:type="textWrapping"/>
            </w:r>
            <w:r>
              <w:rPr>
                <w:rFonts w:hint="eastAsia" w:ascii="宋体" w:eastAsia="宋体" w:cs="宋体"/>
                <w:b w:val="0"/>
                <w:color w:val="auto"/>
                <w:sz w:val="19"/>
                <w:szCs w:val="19"/>
              </w:rPr>
              <w:t>平台由内网数据交换服务器和外网数据交换服务器两个设备组成，均为标准机架式设备。</w:t>
            </w:r>
            <w:r>
              <w:rPr>
                <w:rFonts w:hint="eastAsia" w:ascii="宋体" w:eastAsia="宋体" w:cs="宋体"/>
                <w:b w:val="0"/>
                <w:color w:val="auto"/>
                <w:sz w:val="19"/>
                <w:szCs w:val="19"/>
              </w:rPr>
              <w:br w:type="textWrapping"/>
            </w:r>
            <w:r>
              <w:rPr>
                <w:rFonts w:hint="eastAsia" w:ascii="宋体" w:eastAsia="宋体" w:cs="宋体"/>
                <w:b w:val="0"/>
                <w:color w:val="auto"/>
                <w:sz w:val="19"/>
                <w:szCs w:val="19"/>
              </w:rPr>
              <w:t>硬件配置：</w:t>
            </w:r>
            <w:r>
              <w:rPr>
                <w:rFonts w:hint="eastAsia" w:ascii="宋体" w:eastAsia="宋体" w:cs="宋体"/>
                <w:b w:val="0"/>
                <w:color w:val="auto"/>
                <w:sz w:val="19"/>
                <w:szCs w:val="19"/>
              </w:rPr>
              <w:br w:type="textWrapping"/>
            </w:r>
            <w:r>
              <w:rPr>
                <w:rFonts w:hint="eastAsia" w:ascii="宋体" w:eastAsia="宋体" w:cs="宋体"/>
                <w:b w:val="0"/>
                <w:color w:val="auto"/>
                <w:sz w:val="19"/>
                <w:szCs w:val="19"/>
              </w:rPr>
              <w:t>2台2U设备各提供不少于4个1000M 电口，1个管理口，2个USB口，预留扩展槽位；冗余电源。</w:t>
            </w:r>
            <w:r>
              <w:rPr>
                <w:rFonts w:hint="eastAsia" w:ascii="宋体" w:eastAsia="宋体" w:cs="宋体"/>
                <w:b w:val="0"/>
                <w:color w:val="auto"/>
                <w:sz w:val="19"/>
                <w:szCs w:val="19"/>
              </w:rPr>
              <w:br w:type="textWrapping"/>
            </w:r>
            <w:r>
              <w:rPr>
                <w:rFonts w:hint="eastAsia" w:ascii="宋体" w:eastAsia="宋体" w:cs="宋体"/>
                <w:b w:val="0"/>
                <w:color w:val="auto"/>
                <w:sz w:val="19"/>
                <w:szCs w:val="19"/>
              </w:rPr>
              <w:t>性能指标：</w:t>
            </w:r>
            <w:r>
              <w:rPr>
                <w:rFonts w:hint="eastAsia" w:ascii="宋体" w:eastAsia="宋体" w:cs="宋体"/>
                <w:b w:val="0"/>
                <w:color w:val="auto"/>
                <w:sz w:val="19"/>
                <w:szCs w:val="19"/>
              </w:rPr>
              <w:br w:type="textWrapping"/>
            </w:r>
            <w:r>
              <w:rPr>
                <w:rFonts w:hint="eastAsia" w:ascii="宋体" w:eastAsia="宋体" w:cs="宋体"/>
                <w:b w:val="0"/>
                <w:color w:val="auto"/>
                <w:sz w:val="19"/>
                <w:szCs w:val="19"/>
              </w:rPr>
              <w:t>平均无故障稳定性运行时间(MTBF)&gt;50000小时；交换能力≥400Mbps；并发会话数≥5000个；</w:t>
            </w:r>
            <w:r>
              <w:rPr>
                <w:rFonts w:hint="eastAsia" w:ascii="宋体" w:eastAsia="宋体" w:cs="宋体"/>
                <w:b w:val="0"/>
                <w:color w:val="auto"/>
                <w:sz w:val="19"/>
                <w:szCs w:val="19"/>
              </w:rPr>
              <w:br w:type="textWrapping"/>
            </w:r>
            <w:r>
              <w:rPr>
                <w:rFonts w:hint="eastAsia" w:ascii="宋体" w:eastAsia="宋体" w:cs="宋体"/>
                <w:b w:val="0"/>
                <w:color w:val="auto"/>
                <w:sz w:val="19"/>
                <w:szCs w:val="19"/>
              </w:rPr>
              <w:t>任务调度粒度：秒级；最大传输延时&lt;30ms。</w:t>
            </w:r>
            <w:r>
              <w:rPr>
                <w:rFonts w:hint="eastAsia" w:ascii="宋体" w:eastAsia="宋体" w:cs="宋体"/>
                <w:b w:val="0"/>
                <w:color w:val="auto"/>
                <w:sz w:val="19"/>
                <w:szCs w:val="19"/>
              </w:rPr>
              <w:br w:type="textWrapping"/>
            </w:r>
            <w:r>
              <w:rPr>
                <w:rFonts w:hint="eastAsia" w:ascii="宋体" w:eastAsia="宋体" w:cs="宋体"/>
                <w:b w:val="0"/>
                <w:color w:val="auto"/>
                <w:sz w:val="19"/>
                <w:szCs w:val="19"/>
              </w:rPr>
              <w:t>主要功能：</w:t>
            </w:r>
            <w:r>
              <w:rPr>
                <w:rFonts w:hint="eastAsia" w:ascii="宋体" w:eastAsia="宋体" w:cs="宋体"/>
                <w:b w:val="0"/>
                <w:color w:val="auto"/>
                <w:sz w:val="19"/>
                <w:szCs w:val="19"/>
              </w:rPr>
              <w:br w:type="textWrapping"/>
            </w:r>
            <w:r>
              <w:rPr>
                <w:rFonts w:hint="eastAsia" w:ascii="宋体" w:eastAsia="宋体" w:cs="宋体"/>
                <w:b w:val="0"/>
                <w:color w:val="auto"/>
                <w:sz w:val="19"/>
                <w:szCs w:val="19"/>
              </w:rPr>
              <w:t>1、提供Web可视化监控中心，支持设备健康状态实时自我监测，包括CPU、内存、I/O、进程数、队列深度、阻塞状态等。</w:t>
            </w:r>
            <w:r>
              <w:rPr>
                <w:rFonts w:hint="eastAsia" w:ascii="宋体" w:eastAsia="宋体" w:cs="宋体"/>
                <w:b w:val="0"/>
                <w:color w:val="auto"/>
                <w:sz w:val="19"/>
                <w:szCs w:val="19"/>
              </w:rPr>
              <w:br w:type="textWrapping"/>
            </w:r>
            <w:r>
              <w:rPr>
                <w:rFonts w:hint="eastAsia" w:ascii="宋体" w:eastAsia="宋体" w:cs="宋体"/>
                <w:b w:val="0"/>
                <w:color w:val="auto"/>
                <w:sz w:val="19"/>
                <w:szCs w:val="19"/>
              </w:rPr>
              <w:t>2、支持作业异常、设备状态异常告警，支持邮件、弹窗、短信等实时告警方式。</w:t>
            </w:r>
            <w:r>
              <w:rPr>
                <w:rFonts w:hint="eastAsia" w:ascii="宋体" w:eastAsia="宋体" w:cs="宋体"/>
                <w:b w:val="0"/>
                <w:color w:val="auto"/>
                <w:sz w:val="19"/>
                <w:szCs w:val="19"/>
              </w:rPr>
              <w:br w:type="textWrapping"/>
            </w:r>
            <w:r>
              <w:rPr>
                <w:rFonts w:hint="eastAsia" w:ascii="宋体" w:eastAsia="宋体" w:cs="宋体"/>
                <w:b w:val="0"/>
                <w:color w:val="auto"/>
                <w:sz w:val="19"/>
                <w:szCs w:val="19"/>
              </w:rPr>
              <w:t>3、支持IP+MAC、静态口令+密码、动态令牌、数字证书等认证方式；支持对接PKI/CA数字证书认证体系。</w:t>
            </w:r>
            <w:r>
              <w:rPr>
                <w:rFonts w:hint="eastAsia" w:ascii="宋体" w:eastAsia="宋体" w:cs="宋体"/>
                <w:b w:val="0"/>
                <w:color w:val="auto"/>
                <w:sz w:val="19"/>
                <w:szCs w:val="19"/>
              </w:rPr>
              <w:br w:type="textWrapping"/>
            </w:r>
            <w:r>
              <w:rPr>
                <w:rFonts w:hint="eastAsia" w:ascii="宋体" w:eastAsia="宋体" w:cs="宋体"/>
                <w:b w:val="0"/>
                <w:color w:val="auto"/>
                <w:sz w:val="19"/>
                <w:szCs w:val="19"/>
              </w:rPr>
              <w:t>4、支持以Restful、Websocket标准的API交换，支持对报文进行过滤，提供报文、消息过滤器，通过自定义的规则实现对报文消息中参数类型、WEB资源文件名后缀（zip、rar、doc、exe、asp、html、txt等）、URL内容关键字、WEB返回内容关键字、参数值等进行过滤和校验。</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1</w:t>
            </w:r>
          </w:p>
        </w:tc>
        <w:tc>
          <w:tcPr>
            <w:tcW w:w="636" w:type="dxa"/>
            <w:tcBorders>
              <w:top w:val="nil"/>
              <w:left w:val="nil"/>
              <w:bottom w:val="single" w:color="auto" w:sz="4" w:space="0"/>
              <w:right w:val="single" w:color="auto" w:sz="4" w:space="0"/>
            </w:tcBorders>
            <w:noWrap/>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套</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eastAsia="宋体" w:cs="宋体"/>
                <w:b w:val="0"/>
                <w:color w:val="auto"/>
                <w:sz w:val="19"/>
                <w:szCs w:val="19"/>
              </w:rPr>
            </w:pPr>
            <w:r>
              <w:rPr>
                <w:rFonts w:hint="eastAsia" w:ascii="宋体" w:eastAsia="宋体" w:cs="宋体"/>
                <w:b w:val="0"/>
                <w:color w:val="auto"/>
                <w:sz w:val="19"/>
                <w:szCs w:val="19"/>
              </w:rPr>
              <w:t>5年</w:t>
            </w:r>
          </w:p>
          <w:p>
            <w:pPr>
              <w:jc w:val="center"/>
              <w:rPr>
                <w:rFonts w:hint="eastAsia" w:ascii="宋体" w:eastAsia="宋体" w:cs="宋体"/>
                <w:b w:val="0"/>
                <w:color w:val="auto"/>
                <w:sz w:val="19"/>
                <w:szCs w:val="19"/>
              </w:rPr>
            </w:pPr>
            <w:r>
              <w:rPr>
                <w:rFonts w:ascii="宋体" w:eastAsia="宋体" w:cs="宋体"/>
                <w:b w:val="0"/>
                <w:color w:val="auto"/>
                <w:sz w:val="19"/>
                <w:szCs w:val="19"/>
              </w:rPr>
              <w:t>质保</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eastAsia="宋体" w:cs="宋体"/>
                <w:b w:val="0"/>
                <w:color w:val="auto"/>
                <w:sz w:val="19"/>
                <w:szCs w:val="19"/>
              </w:rPr>
            </w:pPr>
            <w:r>
              <w:rPr>
                <w:rFonts w:ascii="宋体" w:eastAsia="宋体" w:cs="宋体"/>
                <w:b w:val="0"/>
                <w:color w:val="auto"/>
                <w:sz w:val="19"/>
                <w:szCs w:val="19"/>
              </w:rPr>
              <w:t>23</w:t>
            </w:r>
          </w:p>
        </w:tc>
        <w:tc>
          <w:tcPr>
            <w:tcW w:w="1148"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边界交换平台-单向光闸</w:t>
            </w:r>
          </w:p>
        </w:tc>
        <w:tc>
          <w:tcPr>
            <w:tcW w:w="6027"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eastAsia="宋体" w:cs="宋体"/>
                <w:b w:val="0"/>
                <w:color w:val="auto"/>
                <w:sz w:val="19"/>
                <w:szCs w:val="19"/>
              </w:rPr>
            </w:pPr>
            <w:r>
              <w:rPr>
                <w:rFonts w:hint="eastAsia" w:ascii="宋体" w:eastAsia="宋体" w:cs="宋体"/>
                <w:b w:val="0"/>
                <w:color w:val="auto"/>
                <w:sz w:val="19"/>
                <w:szCs w:val="19"/>
              </w:rPr>
              <w:t>技术架构：</w:t>
            </w:r>
            <w:r>
              <w:rPr>
                <w:rFonts w:hint="eastAsia" w:ascii="宋体" w:eastAsia="宋体" w:cs="宋体"/>
                <w:b w:val="0"/>
                <w:color w:val="auto"/>
                <w:sz w:val="19"/>
                <w:szCs w:val="19"/>
              </w:rPr>
              <w:br w:type="textWrapping"/>
            </w:r>
            <w:r>
              <w:rPr>
                <w:rFonts w:hint="eastAsia" w:ascii="宋体" w:eastAsia="宋体" w:cs="宋体"/>
                <w:b w:val="0"/>
                <w:color w:val="auto"/>
                <w:sz w:val="19"/>
                <w:szCs w:val="19"/>
              </w:rPr>
              <w:t>采用“2+1”硬件系统架构，即由内外两个主机系统模块和一个单向传输专用硬件模块三部分组成。</w:t>
            </w:r>
            <w:r>
              <w:rPr>
                <w:rFonts w:hint="eastAsia" w:ascii="宋体" w:eastAsia="宋体" w:cs="宋体"/>
                <w:b w:val="0"/>
                <w:color w:val="auto"/>
                <w:sz w:val="19"/>
                <w:szCs w:val="19"/>
              </w:rPr>
              <w:br w:type="textWrapping"/>
            </w:r>
            <w:r>
              <w:rPr>
                <w:rFonts w:hint="eastAsia" w:ascii="宋体" w:eastAsia="宋体" w:cs="宋体"/>
                <w:b w:val="0"/>
                <w:color w:val="auto"/>
                <w:sz w:val="19"/>
                <w:szCs w:val="19"/>
              </w:rPr>
              <w:t>硬件参数：</w:t>
            </w:r>
            <w:r>
              <w:rPr>
                <w:rFonts w:hint="eastAsia" w:ascii="宋体" w:eastAsia="宋体" w:cs="宋体"/>
                <w:b w:val="0"/>
                <w:color w:val="auto"/>
                <w:sz w:val="19"/>
                <w:szCs w:val="19"/>
              </w:rPr>
              <w:br w:type="textWrapping"/>
            </w:r>
            <w:r>
              <w:rPr>
                <w:rFonts w:hint="eastAsia" w:ascii="宋体" w:eastAsia="宋体" w:cs="宋体"/>
                <w:b w:val="0"/>
                <w:color w:val="auto"/>
                <w:sz w:val="19"/>
                <w:szCs w:val="19"/>
              </w:rPr>
              <w:t>内外网主机模块均提供不少于6个10/100/1000M Base-T网络接口，1个console口，2个USB口，预留扩展槽位；冗余电源。</w:t>
            </w:r>
            <w:r>
              <w:rPr>
                <w:rFonts w:hint="eastAsia" w:ascii="宋体" w:eastAsia="宋体" w:cs="宋体"/>
                <w:b w:val="0"/>
                <w:color w:val="auto"/>
                <w:sz w:val="19"/>
                <w:szCs w:val="19"/>
              </w:rPr>
              <w:br w:type="textWrapping"/>
            </w:r>
            <w:r>
              <w:rPr>
                <w:rFonts w:hint="eastAsia" w:ascii="宋体" w:eastAsia="宋体" w:cs="宋体"/>
                <w:b w:val="0"/>
                <w:color w:val="auto"/>
                <w:sz w:val="19"/>
                <w:szCs w:val="19"/>
              </w:rPr>
              <w:t>性能要求：</w:t>
            </w:r>
            <w:r>
              <w:rPr>
                <w:rFonts w:hint="eastAsia" w:ascii="宋体" w:eastAsia="宋体" w:cs="宋体"/>
                <w:b w:val="0"/>
                <w:color w:val="auto"/>
                <w:sz w:val="19"/>
                <w:szCs w:val="19"/>
              </w:rPr>
              <w:br w:type="textWrapping"/>
            </w:r>
            <w:r>
              <w:rPr>
                <w:rFonts w:hint="eastAsia" w:ascii="宋体" w:eastAsia="宋体" w:cs="宋体"/>
                <w:b w:val="0"/>
                <w:color w:val="auto"/>
                <w:sz w:val="19"/>
                <w:szCs w:val="19"/>
              </w:rPr>
              <w:t xml:space="preserve">平均无故障稳定性运行时间(MTBF)&gt;50000小时；最大TCP并发连接数≥5000；整机网络吞吐量≥400Mbps; </w:t>
            </w:r>
            <w:r>
              <w:rPr>
                <w:rFonts w:hint="eastAsia" w:ascii="宋体" w:eastAsia="宋体" w:cs="宋体"/>
                <w:b w:val="0"/>
                <w:color w:val="auto"/>
                <w:sz w:val="19"/>
                <w:szCs w:val="19"/>
              </w:rPr>
              <w:br w:type="textWrapping"/>
            </w:r>
            <w:r>
              <w:rPr>
                <w:rFonts w:hint="eastAsia" w:ascii="宋体" w:eastAsia="宋体" w:cs="宋体"/>
                <w:b w:val="0"/>
                <w:color w:val="auto"/>
                <w:sz w:val="19"/>
                <w:szCs w:val="19"/>
              </w:rPr>
              <w:t>功能要求：</w:t>
            </w:r>
            <w:r>
              <w:rPr>
                <w:rFonts w:hint="eastAsia" w:ascii="宋体" w:eastAsia="宋体" w:cs="宋体"/>
                <w:b w:val="0"/>
                <w:color w:val="auto"/>
                <w:sz w:val="19"/>
                <w:szCs w:val="19"/>
              </w:rPr>
              <w:br w:type="textWrapping"/>
            </w:r>
            <w:r>
              <w:rPr>
                <w:rFonts w:hint="eastAsia" w:ascii="宋体" w:eastAsia="宋体" w:cs="宋体"/>
                <w:b w:val="0"/>
                <w:color w:val="auto"/>
                <w:sz w:val="19"/>
                <w:szCs w:val="19"/>
              </w:rPr>
              <w:t>1、支持IP/MAC绑定、数字证书、用户名口令等方式认证机制；</w:t>
            </w:r>
            <w:r>
              <w:rPr>
                <w:rFonts w:hint="eastAsia" w:ascii="宋体" w:eastAsia="宋体" w:cs="宋体"/>
                <w:b w:val="0"/>
                <w:color w:val="auto"/>
                <w:sz w:val="19"/>
                <w:szCs w:val="19"/>
              </w:rPr>
              <w:br w:type="textWrapping"/>
            </w:r>
            <w:r>
              <w:rPr>
                <w:rFonts w:hint="eastAsia" w:ascii="宋体" w:eastAsia="宋体" w:cs="宋体"/>
                <w:b w:val="0"/>
                <w:color w:val="auto"/>
                <w:sz w:val="19"/>
                <w:szCs w:val="19"/>
              </w:rPr>
              <w:t>2、支持配置两台不同方向单向光闸，实现API请求与响应功能；</w:t>
            </w:r>
            <w:r>
              <w:rPr>
                <w:rFonts w:hint="eastAsia" w:ascii="宋体" w:eastAsia="宋体" w:cs="宋体"/>
                <w:b w:val="0"/>
                <w:color w:val="auto"/>
                <w:sz w:val="19"/>
                <w:szCs w:val="19"/>
              </w:rPr>
              <w:br w:type="textWrapping"/>
            </w:r>
            <w:r>
              <w:rPr>
                <w:rFonts w:hint="eastAsia" w:ascii="宋体" w:eastAsia="宋体" w:cs="宋体"/>
                <w:b w:val="0"/>
                <w:color w:val="auto"/>
                <w:sz w:val="19"/>
                <w:szCs w:val="19"/>
              </w:rPr>
              <w:t>3、支持系统防爆处理，对管理员登陆有密码错误次数限制，密码输入错误超过限定次数，自动锁定设备，阻止非法管理员再次登录。根据限定期限，可自动解除锁定；</w:t>
            </w:r>
            <w:r>
              <w:rPr>
                <w:rFonts w:hint="eastAsia" w:ascii="宋体" w:eastAsia="宋体" w:cs="宋体"/>
                <w:b w:val="0"/>
                <w:color w:val="auto"/>
                <w:sz w:val="19"/>
                <w:szCs w:val="19"/>
              </w:rPr>
              <w:br w:type="textWrapping"/>
            </w:r>
            <w:r>
              <w:rPr>
                <w:rFonts w:hint="eastAsia" w:ascii="宋体" w:eastAsia="宋体" w:cs="宋体"/>
                <w:b w:val="0"/>
                <w:color w:val="auto"/>
                <w:sz w:val="19"/>
                <w:szCs w:val="19"/>
              </w:rPr>
              <w:t>4、提供日志管理和审计功能，可对日志进行导出备份、存储周期、存储路径等进行设置。提供操作如案例日志审计功能，支持日志查询。支持将日志信息SYSLOG导出给第三方系统备、分析；</w:t>
            </w:r>
            <w:r>
              <w:rPr>
                <w:rFonts w:hint="eastAsia" w:ascii="宋体" w:eastAsia="宋体" w:cs="宋体"/>
                <w:b w:val="0"/>
                <w:color w:val="auto"/>
                <w:sz w:val="19"/>
                <w:szCs w:val="19"/>
              </w:rPr>
              <w:br w:type="textWrapping"/>
            </w:r>
            <w:r>
              <w:rPr>
                <w:rFonts w:hint="eastAsia" w:ascii="宋体" w:eastAsia="宋体" w:cs="宋体"/>
                <w:b w:val="0"/>
                <w:color w:val="auto"/>
                <w:sz w:val="19"/>
                <w:szCs w:val="19"/>
              </w:rPr>
              <w:t>5、通过独立管理口（带外管理），可以使用浏览器进行基于HTTPS的Web管理，实现远程管理信息加密传输。</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2</w:t>
            </w:r>
          </w:p>
        </w:tc>
        <w:tc>
          <w:tcPr>
            <w:tcW w:w="636" w:type="dxa"/>
            <w:tcBorders>
              <w:top w:val="nil"/>
              <w:left w:val="nil"/>
              <w:bottom w:val="single" w:color="auto" w:sz="4" w:space="0"/>
              <w:right w:val="single" w:color="auto" w:sz="4" w:space="0"/>
            </w:tcBorders>
            <w:noWrap/>
            <w:vAlign w:val="center"/>
          </w:tcPr>
          <w:p>
            <w:pPr>
              <w:widowControl/>
              <w:jc w:val="center"/>
              <w:rPr>
                <w:rFonts w:hint="eastAsia" w:ascii="宋体" w:eastAsia="宋体" w:cs="宋体"/>
                <w:b w:val="0"/>
                <w:sz w:val="19"/>
                <w:szCs w:val="19"/>
              </w:rPr>
            </w:pPr>
            <w:r>
              <w:rPr>
                <w:rFonts w:hint="eastAsia" w:ascii="宋体" w:eastAsia="宋体" w:cs="宋体"/>
                <w:b w:val="0"/>
                <w:sz w:val="19"/>
                <w:szCs w:val="19"/>
              </w:rPr>
              <w:t>台</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eastAsia="宋体" w:cs="宋体"/>
                <w:b w:val="0"/>
                <w:color w:val="auto"/>
                <w:sz w:val="19"/>
                <w:szCs w:val="19"/>
              </w:rPr>
            </w:pPr>
            <w:r>
              <w:rPr>
                <w:rFonts w:hint="eastAsia" w:ascii="宋体" w:eastAsia="宋体" w:cs="宋体"/>
                <w:b w:val="0"/>
                <w:color w:val="auto"/>
                <w:sz w:val="19"/>
                <w:szCs w:val="19"/>
              </w:rPr>
              <w:t>5年</w:t>
            </w:r>
          </w:p>
          <w:p>
            <w:pPr>
              <w:jc w:val="center"/>
              <w:rPr>
                <w:rFonts w:hint="eastAsia" w:ascii="宋体" w:eastAsia="宋体" w:cs="宋体"/>
                <w:b w:val="0"/>
                <w:color w:val="auto"/>
                <w:sz w:val="19"/>
                <w:szCs w:val="19"/>
              </w:rPr>
            </w:pPr>
            <w:r>
              <w:rPr>
                <w:rFonts w:ascii="宋体" w:eastAsia="宋体" w:cs="宋体"/>
                <w:b w:val="0"/>
                <w:color w:val="auto"/>
                <w:sz w:val="19"/>
                <w:szCs w:val="19"/>
              </w:rPr>
              <w:t>质保</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eastAsia="宋体" w:cs="宋体"/>
                <w:b w:val="0"/>
                <w:color w:val="auto"/>
                <w:sz w:val="19"/>
                <w:szCs w:val="19"/>
              </w:rPr>
            </w:pPr>
            <w:r>
              <w:rPr>
                <w:rFonts w:ascii="宋体" w:eastAsia="宋体" w:cs="宋体"/>
                <w:b w:val="0"/>
                <w:color w:val="auto"/>
                <w:sz w:val="19"/>
                <w:szCs w:val="19"/>
              </w:rPr>
              <w:t>24</w:t>
            </w:r>
          </w:p>
        </w:tc>
        <w:tc>
          <w:tcPr>
            <w:tcW w:w="1148"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边界交换平台-千兆交换机</w:t>
            </w:r>
          </w:p>
        </w:tc>
        <w:tc>
          <w:tcPr>
            <w:tcW w:w="6027"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eastAsia="宋体" w:cs="宋体"/>
                <w:b w:val="0"/>
                <w:color w:val="auto"/>
                <w:sz w:val="19"/>
                <w:szCs w:val="19"/>
              </w:rPr>
            </w:pPr>
            <w:r>
              <w:rPr>
                <w:rFonts w:hint="eastAsia" w:ascii="宋体" w:eastAsia="宋体" w:cs="宋体"/>
                <w:b w:val="0"/>
                <w:color w:val="auto"/>
                <w:sz w:val="19"/>
                <w:szCs w:val="19"/>
              </w:rPr>
              <w:t>24个10/100/1000BASE-T以太网端口,4个千兆SFP；冗余电源</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2</w:t>
            </w:r>
          </w:p>
        </w:tc>
        <w:tc>
          <w:tcPr>
            <w:tcW w:w="636" w:type="dxa"/>
            <w:tcBorders>
              <w:top w:val="nil"/>
              <w:left w:val="nil"/>
              <w:bottom w:val="single" w:color="auto" w:sz="4" w:space="0"/>
              <w:right w:val="single" w:color="auto" w:sz="4" w:space="0"/>
            </w:tcBorders>
            <w:noWrap/>
            <w:vAlign w:val="center"/>
          </w:tcPr>
          <w:p>
            <w:pPr>
              <w:widowControl/>
              <w:jc w:val="center"/>
              <w:rPr>
                <w:rFonts w:hint="eastAsia" w:ascii="宋体" w:eastAsia="宋体" w:cs="宋体"/>
                <w:b w:val="0"/>
                <w:sz w:val="19"/>
                <w:szCs w:val="19"/>
              </w:rPr>
            </w:pPr>
            <w:r>
              <w:rPr>
                <w:rFonts w:hint="eastAsia" w:ascii="宋体" w:eastAsia="宋体" w:cs="宋体"/>
                <w:b w:val="0"/>
                <w:sz w:val="19"/>
                <w:szCs w:val="19"/>
              </w:rPr>
              <w:t>台</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eastAsia="宋体" w:cs="宋体"/>
                <w:b w:val="0"/>
                <w:color w:val="auto"/>
                <w:sz w:val="19"/>
                <w:szCs w:val="19"/>
              </w:rPr>
            </w:pPr>
            <w:r>
              <w:rPr>
                <w:rFonts w:hint="eastAsia" w:ascii="宋体" w:eastAsia="宋体" w:cs="宋体"/>
                <w:b w:val="0"/>
                <w:color w:val="auto"/>
                <w:sz w:val="19"/>
                <w:szCs w:val="19"/>
              </w:rPr>
              <w:t>5年</w:t>
            </w:r>
          </w:p>
          <w:p>
            <w:pPr>
              <w:jc w:val="center"/>
              <w:rPr>
                <w:rFonts w:hint="eastAsia" w:ascii="宋体" w:eastAsia="宋体" w:cs="宋体"/>
                <w:b w:val="0"/>
                <w:color w:val="auto"/>
                <w:sz w:val="19"/>
                <w:szCs w:val="19"/>
              </w:rPr>
            </w:pPr>
            <w:r>
              <w:rPr>
                <w:rFonts w:ascii="宋体" w:eastAsia="宋体" w:cs="宋体"/>
                <w:b w:val="0"/>
                <w:color w:val="auto"/>
                <w:sz w:val="19"/>
                <w:szCs w:val="19"/>
              </w:rPr>
              <w:t>质保</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eastAsia="宋体" w:cs="宋体"/>
                <w:b w:val="0"/>
                <w:color w:val="auto"/>
                <w:sz w:val="19"/>
                <w:szCs w:val="19"/>
              </w:rPr>
            </w:pPr>
            <w:r>
              <w:rPr>
                <w:rFonts w:ascii="宋体" w:eastAsia="宋体" w:cs="宋体"/>
                <w:b w:val="0"/>
                <w:color w:val="auto"/>
                <w:sz w:val="19"/>
                <w:szCs w:val="19"/>
              </w:rPr>
              <w:t>25</w:t>
            </w:r>
          </w:p>
        </w:tc>
        <w:tc>
          <w:tcPr>
            <w:tcW w:w="1148"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视频专网安全监管系统</w:t>
            </w:r>
          </w:p>
        </w:tc>
        <w:tc>
          <w:tcPr>
            <w:tcW w:w="6027"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eastAsia="宋体" w:cs="宋体"/>
                <w:b w:val="0"/>
                <w:color w:val="auto"/>
                <w:sz w:val="19"/>
                <w:szCs w:val="19"/>
              </w:rPr>
            </w:pPr>
            <w:r>
              <w:rPr>
                <w:rFonts w:hint="eastAsia" w:ascii="宋体" w:eastAsia="宋体" w:cs="宋体"/>
                <w:b w:val="0"/>
                <w:color w:val="auto"/>
                <w:sz w:val="19"/>
                <w:szCs w:val="19"/>
              </w:rPr>
              <w:t>采用标准机架式的硬件设备，全内置封闭式结构，Intel 酷睿i7 ，内存 32GB，硬盘：2TB硬盘， 网络接口 ：2个千兆电口。实现将网络安全态势集中展现、全网资产实时统计、安全风险自动发现、入网设备统一管控等主要功能。</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1</w:t>
            </w:r>
          </w:p>
        </w:tc>
        <w:tc>
          <w:tcPr>
            <w:tcW w:w="636" w:type="dxa"/>
            <w:tcBorders>
              <w:top w:val="nil"/>
              <w:left w:val="nil"/>
              <w:bottom w:val="single" w:color="auto" w:sz="4" w:space="0"/>
              <w:right w:val="single" w:color="auto" w:sz="4" w:space="0"/>
            </w:tcBorders>
            <w:noWrap/>
            <w:vAlign w:val="center"/>
          </w:tcPr>
          <w:p>
            <w:pPr>
              <w:widowControl/>
              <w:jc w:val="center"/>
              <w:rPr>
                <w:rFonts w:hint="eastAsia" w:ascii="宋体" w:eastAsia="宋体" w:cs="宋体"/>
                <w:b w:val="0"/>
                <w:sz w:val="19"/>
                <w:szCs w:val="19"/>
              </w:rPr>
            </w:pPr>
            <w:r>
              <w:rPr>
                <w:rFonts w:hint="eastAsia" w:ascii="宋体" w:eastAsia="宋体" w:cs="宋体"/>
                <w:b w:val="0"/>
                <w:sz w:val="19"/>
                <w:szCs w:val="19"/>
              </w:rPr>
              <w:t>项</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eastAsia="宋体" w:cs="宋体"/>
                <w:b w:val="0"/>
                <w:color w:val="auto"/>
                <w:sz w:val="19"/>
                <w:szCs w:val="19"/>
              </w:rPr>
            </w:pPr>
            <w:r>
              <w:rPr>
                <w:rFonts w:hint="eastAsia" w:ascii="宋体" w:eastAsia="宋体" w:cs="宋体"/>
                <w:b w:val="0"/>
                <w:color w:val="auto"/>
                <w:sz w:val="19"/>
                <w:szCs w:val="19"/>
              </w:rPr>
              <w:t>5年</w:t>
            </w:r>
          </w:p>
          <w:p>
            <w:pPr>
              <w:jc w:val="center"/>
              <w:rPr>
                <w:rFonts w:hint="eastAsia" w:ascii="宋体" w:eastAsia="宋体" w:cs="宋体"/>
                <w:b w:val="0"/>
                <w:color w:val="auto"/>
                <w:sz w:val="19"/>
                <w:szCs w:val="19"/>
              </w:rPr>
            </w:pPr>
            <w:r>
              <w:rPr>
                <w:rFonts w:ascii="宋体" w:eastAsia="宋体" w:cs="宋体"/>
                <w:b w:val="0"/>
                <w:color w:val="auto"/>
                <w:sz w:val="19"/>
                <w:szCs w:val="19"/>
              </w:rPr>
              <w:t>质保</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eastAsia="宋体" w:cs="宋体"/>
                <w:b w:val="0"/>
                <w:color w:val="auto"/>
                <w:sz w:val="19"/>
                <w:szCs w:val="19"/>
              </w:rPr>
            </w:pPr>
            <w:r>
              <w:rPr>
                <w:rFonts w:ascii="宋体" w:eastAsia="宋体" w:cs="宋体"/>
                <w:b w:val="0"/>
                <w:color w:val="auto"/>
                <w:sz w:val="19"/>
                <w:szCs w:val="19"/>
              </w:rPr>
              <w:t>26</w:t>
            </w:r>
          </w:p>
        </w:tc>
        <w:tc>
          <w:tcPr>
            <w:tcW w:w="1148"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主机监控与审计系统（增强版）</w:t>
            </w:r>
          </w:p>
        </w:tc>
        <w:tc>
          <w:tcPr>
            <w:tcW w:w="6027"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eastAsia="宋体" w:cs="宋体"/>
                <w:b w:val="0"/>
                <w:color w:val="auto"/>
                <w:sz w:val="19"/>
                <w:szCs w:val="19"/>
              </w:rPr>
            </w:pPr>
            <w:r>
              <w:rPr>
                <w:rFonts w:hint="eastAsia" w:ascii="宋体" w:eastAsia="宋体" w:cs="宋体"/>
                <w:b w:val="0"/>
                <w:color w:val="auto"/>
                <w:sz w:val="19"/>
                <w:szCs w:val="19"/>
              </w:rPr>
              <w:t>1、网络状态监测组件：实时监测计算机的网络状态变化情况，第一时间发现其网络结构特性变化后启动违规外联分析，如发现违规外联则第一时间调用通信防火墙中断该计算机的网络通信，确保公安视频网信息安全。</w:t>
            </w:r>
            <w:r>
              <w:rPr>
                <w:rFonts w:hint="eastAsia" w:ascii="宋体" w:eastAsia="宋体" w:cs="宋体"/>
                <w:b w:val="0"/>
                <w:color w:val="auto"/>
                <w:sz w:val="19"/>
                <w:szCs w:val="19"/>
              </w:rPr>
              <w:br w:type="textWrapping"/>
            </w:r>
            <w:r>
              <w:rPr>
                <w:rFonts w:hint="eastAsia" w:ascii="宋体" w:eastAsia="宋体" w:cs="宋体"/>
                <w:b w:val="0"/>
                <w:color w:val="auto"/>
                <w:sz w:val="19"/>
                <w:szCs w:val="19"/>
              </w:rPr>
              <w:t>2、实时抓包分析：实时抓包分析组件在计算机存在网络通信的情况下，实时监测其所有网络通信数据包，发现存在非视频网网络范围内的网络通信数据包，实时启动违规外联分析。</w:t>
            </w:r>
            <w:r>
              <w:rPr>
                <w:rFonts w:hint="eastAsia" w:ascii="宋体" w:eastAsia="宋体" w:cs="宋体"/>
                <w:b w:val="0"/>
                <w:color w:val="auto"/>
                <w:sz w:val="19"/>
                <w:szCs w:val="19"/>
              </w:rPr>
              <w:br w:type="textWrapping"/>
            </w:r>
            <w:r>
              <w:rPr>
                <w:rFonts w:hint="eastAsia" w:ascii="宋体" w:eastAsia="宋体" w:cs="宋体"/>
                <w:b w:val="0"/>
                <w:color w:val="auto"/>
                <w:sz w:val="19"/>
                <w:szCs w:val="19"/>
              </w:rPr>
              <w:t>3、定时外联监测：定时外联监测是传统的违规外联监测方式，本平台中也结合了此种方式，以一定的时间频率探测计算机的违规外联行为，如发现可疑行为，即刻启动违规外联分析。</w:t>
            </w:r>
            <w:r>
              <w:rPr>
                <w:rFonts w:hint="eastAsia" w:ascii="宋体" w:eastAsia="宋体" w:cs="宋体"/>
                <w:b w:val="0"/>
                <w:color w:val="auto"/>
                <w:sz w:val="19"/>
                <w:szCs w:val="19"/>
              </w:rPr>
              <w:br w:type="textWrapping"/>
            </w:r>
            <w:r>
              <w:rPr>
                <w:rFonts w:hint="eastAsia" w:ascii="宋体" w:eastAsia="宋体" w:cs="宋体"/>
                <w:b w:val="0"/>
                <w:color w:val="auto"/>
                <w:sz w:val="19"/>
                <w:szCs w:val="19"/>
              </w:rPr>
              <w:t>4、网络数据通讯控制：所有已注册视频网计算机的客户端与平台管控中心之间始终保持网络连接，由此来判断该设备处于在线还是脱缰或断网。平台按不同协议类型，对注册计算机的本地和目标端口进行设置，将目标计算机与外界的通讯进行有效管制。同时可以设置目标地址白名单，部署在客户端的内置通讯防火墙会在开机启动目标地址白名单过滤。任何非白名单目标地址IP数据包将被通讯防火墙阻止，从而保证连接公安视频网的计算机只能访问视频网资源。</w:t>
            </w:r>
            <w:r>
              <w:rPr>
                <w:rFonts w:hint="eastAsia" w:ascii="宋体" w:eastAsia="宋体" w:cs="宋体"/>
                <w:b w:val="0"/>
                <w:color w:val="auto"/>
                <w:sz w:val="19"/>
                <w:szCs w:val="19"/>
              </w:rPr>
              <w:br w:type="textWrapping"/>
            </w:r>
            <w:r>
              <w:rPr>
                <w:rFonts w:hint="eastAsia" w:ascii="宋体" w:eastAsia="宋体" w:cs="宋体"/>
                <w:b w:val="0"/>
                <w:color w:val="auto"/>
                <w:sz w:val="19"/>
                <w:szCs w:val="19"/>
              </w:rPr>
              <w:t>5、禁用端口设备：公安视频网计算机上不用的外设端口如开放，给视频网的安全带来了风险，也给违规外联带来了可能性，因此，可将视频网计算机上红外、蓝牙、无线网卡、调制解调器等外设端口全部禁用，防范违规外联的发生。</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1</w:t>
            </w:r>
          </w:p>
        </w:tc>
        <w:tc>
          <w:tcPr>
            <w:tcW w:w="636" w:type="dxa"/>
            <w:tcBorders>
              <w:top w:val="nil"/>
              <w:left w:val="nil"/>
              <w:bottom w:val="single" w:color="auto" w:sz="4" w:space="0"/>
              <w:right w:val="single" w:color="auto" w:sz="4" w:space="0"/>
            </w:tcBorders>
            <w:noWrap/>
            <w:vAlign w:val="center"/>
          </w:tcPr>
          <w:p>
            <w:pPr>
              <w:widowControl/>
              <w:jc w:val="center"/>
              <w:rPr>
                <w:rFonts w:hint="eastAsia" w:ascii="宋体" w:eastAsia="宋体" w:cs="宋体"/>
                <w:b w:val="0"/>
                <w:sz w:val="19"/>
                <w:szCs w:val="19"/>
              </w:rPr>
            </w:pPr>
            <w:r>
              <w:rPr>
                <w:rFonts w:hint="eastAsia" w:ascii="宋体" w:eastAsia="宋体" w:cs="宋体"/>
                <w:b w:val="0"/>
                <w:sz w:val="19"/>
                <w:szCs w:val="19"/>
              </w:rPr>
              <w:t>项</w:t>
            </w:r>
          </w:p>
        </w:tc>
        <w:tc>
          <w:tcPr>
            <w:tcW w:w="717" w:type="dxa"/>
            <w:tcBorders>
              <w:top w:val="nil"/>
              <w:left w:val="nil"/>
              <w:bottom w:val="single" w:color="auto" w:sz="4" w:space="0"/>
              <w:right w:val="single" w:color="auto" w:sz="4" w:space="0"/>
            </w:tcBorders>
            <w:noWrap w:val="0"/>
            <w:vAlign w:val="top"/>
          </w:tcPr>
          <w:p>
            <w:pPr>
              <w:widowControl/>
              <w:jc w:val="center"/>
              <w:rPr>
                <w:rFonts w:hint="eastAsia" w:ascii="宋体" w:eastAsia="宋体" w:cs="宋体"/>
                <w:b w:val="0"/>
                <w:sz w:val="19"/>
                <w:szCs w:val="19"/>
              </w:rPr>
            </w:pP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eastAsia="宋体" w:cs="宋体"/>
                <w:b w:val="0"/>
                <w:color w:val="auto"/>
                <w:sz w:val="19"/>
                <w:szCs w:val="19"/>
              </w:rPr>
            </w:pPr>
            <w:r>
              <w:rPr>
                <w:rFonts w:ascii="宋体" w:eastAsia="宋体" w:cs="宋体"/>
                <w:b w:val="0"/>
                <w:color w:val="auto"/>
                <w:sz w:val="19"/>
                <w:szCs w:val="19"/>
              </w:rPr>
              <w:t>27</w:t>
            </w:r>
          </w:p>
        </w:tc>
        <w:tc>
          <w:tcPr>
            <w:tcW w:w="1148"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网络接入</w:t>
            </w:r>
            <w:r>
              <w:rPr>
                <w:rFonts w:hint="eastAsia" w:ascii="宋体" w:eastAsia="宋体" w:cs="宋体"/>
                <w:b w:val="0"/>
                <w:color w:val="auto"/>
                <w:sz w:val="19"/>
                <w:szCs w:val="19"/>
              </w:rPr>
              <w:br w:type="textWrapping"/>
            </w:r>
            <w:r>
              <w:rPr>
                <w:rFonts w:hint="eastAsia" w:ascii="宋体" w:eastAsia="宋体" w:cs="宋体"/>
                <w:b w:val="0"/>
                <w:color w:val="auto"/>
                <w:sz w:val="19"/>
                <w:szCs w:val="19"/>
              </w:rPr>
              <w:t>控制系统</w:t>
            </w:r>
          </w:p>
        </w:tc>
        <w:tc>
          <w:tcPr>
            <w:tcW w:w="6027"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eastAsia="宋体" w:cs="宋体"/>
                <w:b w:val="0"/>
                <w:color w:val="auto"/>
                <w:sz w:val="19"/>
                <w:szCs w:val="19"/>
              </w:rPr>
            </w:pPr>
            <w:r>
              <w:rPr>
                <w:rFonts w:hint="eastAsia" w:ascii="宋体" w:eastAsia="宋体" w:cs="宋体"/>
                <w:b w:val="0"/>
                <w:color w:val="auto"/>
                <w:sz w:val="19"/>
                <w:szCs w:val="19"/>
              </w:rPr>
              <w:t>采用标准机架式的1U硬件设备，全内置封闭式结构，外尺寸：440mm（宽）× 43.6mm（高）× 500mm（深）</w:t>
            </w:r>
            <w:r>
              <w:rPr>
                <w:rFonts w:hint="eastAsia" w:ascii="宋体" w:eastAsia="宋体" w:cs="宋体"/>
                <w:b w:val="0"/>
                <w:color w:val="auto"/>
                <w:sz w:val="19"/>
                <w:szCs w:val="19"/>
              </w:rPr>
              <w:br w:type="textWrapping"/>
            </w:r>
            <w:r>
              <w:rPr>
                <w:rFonts w:hint="eastAsia" w:ascii="宋体" w:eastAsia="宋体" w:cs="宋体"/>
                <w:b w:val="0"/>
                <w:color w:val="auto"/>
                <w:sz w:val="19"/>
                <w:szCs w:val="19"/>
              </w:rPr>
              <w:t>重量：8kg （不含包装、配件）；工作温度：0℃～45℃存储温度：-10℃～+60℃湿度：恒定湿热：40℃，30%～90%（非凝结状态）</w:t>
            </w:r>
            <w:r>
              <w:rPr>
                <w:rFonts w:hint="eastAsia" w:ascii="宋体" w:eastAsia="宋体" w:cs="宋体"/>
                <w:b w:val="0"/>
                <w:color w:val="auto"/>
                <w:sz w:val="19"/>
                <w:szCs w:val="19"/>
              </w:rPr>
              <w:br w:type="textWrapping"/>
            </w:r>
            <w:r>
              <w:rPr>
                <w:rFonts w:hint="eastAsia" w:ascii="宋体" w:eastAsia="宋体" w:cs="宋体"/>
                <w:b w:val="0"/>
                <w:color w:val="auto"/>
                <w:sz w:val="19"/>
                <w:szCs w:val="19"/>
              </w:rPr>
              <w:t>电磁兼容性：</w:t>
            </w:r>
            <w:r>
              <w:rPr>
                <w:rFonts w:hint="eastAsia" w:ascii="宋体" w:eastAsia="宋体" w:cs="宋体"/>
                <w:b w:val="0"/>
                <w:color w:val="auto"/>
                <w:sz w:val="19"/>
                <w:szCs w:val="19"/>
              </w:rPr>
              <w:br w:type="textWrapping"/>
            </w:r>
            <w:r>
              <w:rPr>
                <w:rFonts w:hint="eastAsia" w:ascii="宋体" w:eastAsia="宋体" w:cs="宋体"/>
                <w:b w:val="0"/>
                <w:color w:val="auto"/>
                <w:sz w:val="19"/>
                <w:szCs w:val="19"/>
              </w:rPr>
              <w:t>辐射骚扰GB 9254-2008 A级</w:t>
            </w:r>
            <w:r>
              <w:rPr>
                <w:rFonts w:hint="eastAsia" w:ascii="宋体" w:eastAsia="宋体" w:cs="宋体"/>
                <w:b w:val="0"/>
                <w:color w:val="auto"/>
                <w:sz w:val="19"/>
                <w:szCs w:val="19"/>
              </w:rPr>
              <w:br w:type="textWrapping"/>
            </w:r>
            <w:r>
              <w:rPr>
                <w:rFonts w:hint="eastAsia" w:ascii="宋体" w:eastAsia="宋体" w:cs="宋体"/>
                <w:b w:val="0"/>
                <w:color w:val="auto"/>
                <w:sz w:val="19"/>
                <w:szCs w:val="19"/>
              </w:rPr>
              <w:t>传导骚扰GB 9254-2008 A级</w:t>
            </w:r>
            <w:r>
              <w:rPr>
                <w:rFonts w:hint="eastAsia" w:ascii="宋体" w:eastAsia="宋体" w:cs="宋体"/>
                <w:b w:val="0"/>
                <w:color w:val="auto"/>
                <w:sz w:val="19"/>
                <w:szCs w:val="19"/>
              </w:rPr>
              <w:br w:type="textWrapping"/>
            </w:r>
            <w:r>
              <w:rPr>
                <w:rFonts w:hint="eastAsia" w:ascii="宋体" w:eastAsia="宋体" w:cs="宋体"/>
                <w:b w:val="0"/>
                <w:color w:val="auto"/>
                <w:sz w:val="19"/>
                <w:szCs w:val="19"/>
              </w:rPr>
              <w:t>GB/T 17626.2-2006 静电放电2级</w:t>
            </w:r>
            <w:r>
              <w:rPr>
                <w:rFonts w:hint="eastAsia" w:ascii="宋体" w:eastAsia="宋体" w:cs="宋体"/>
                <w:b w:val="0"/>
                <w:color w:val="auto"/>
                <w:sz w:val="19"/>
                <w:szCs w:val="19"/>
              </w:rPr>
              <w:br w:type="textWrapping"/>
            </w:r>
            <w:r>
              <w:rPr>
                <w:rFonts w:hint="eastAsia" w:ascii="宋体" w:eastAsia="宋体" w:cs="宋体"/>
                <w:b w:val="0"/>
                <w:color w:val="auto"/>
                <w:sz w:val="19"/>
                <w:szCs w:val="19"/>
              </w:rPr>
              <w:t>GB/T 17626.4-2006 脉冲群抗扰度2级；处理器：Intel 酷睿i7内存：32GB硬盘：2TB硬盘</w:t>
            </w:r>
            <w:r>
              <w:rPr>
                <w:rFonts w:hint="eastAsia" w:ascii="宋体" w:eastAsia="宋体" w:cs="宋体"/>
                <w:b w:val="0"/>
                <w:color w:val="auto"/>
                <w:sz w:val="19"/>
                <w:szCs w:val="19"/>
              </w:rPr>
              <w:br w:type="textWrapping"/>
            </w:r>
            <w:r>
              <w:rPr>
                <w:rFonts w:hint="eastAsia" w:ascii="宋体" w:eastAsia="宋体" w:cs="宋体"/>
                <w:b w:val="0"/>
                <w:color w:val="auto"/>
                <w:sz w:val="19"/>
                <w:szCs w:val="19"/>
              </w:rPr>
              <w:t>网络接口：6个千兆电口，2个万兆光口；其他接口：1个VGA接口，2个USB接口，电源输入电压/频率：220VAC/50Hz，电源功率：75W；最大镜像流量：20Gbps，设备入网控制最大IP点数：4000点</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1</w:t>
            </w:r>
          </w:p>
        </w:tc>
        <w:tc>
          <w:tcPr>
            <w:tcW w:w="636" w:type="dxa"/>
            <w:tcBorders>
              <w:top w:val="nil"/>
              <w:left w:val="nil"/>
              <w:bottom w:val="single" w:color="auto" w:sz="4" w:space="0"/>
              <w:right w:val="single" w:color="auto" w:sz="4" w:space="0"/>
            </w:tcBorders>
            <w:noWrap/>
            <w:vAlign w:val="center"/>
          </w:tcPr>
          <w:p>
            <w:pPr>
              <w:widowControl/>
              <w:jc w:val="center"/>
              <w:rPr>
                <w:rFonts w:hint="eastAsia" w:ascii="宋体" w:eastAsia="宋体" w:cs="宋体"/>
                <w:b w:val="0"/>
                <w:sz w:val="19"/>
                <w:szCs w:val="19"/>
              </w:rPr>
            </w:pPr>
            <w:r>
              <w:rPr>
                <w:rFonts w:hint="eastAsia" w:ascii="宋体" w:eastAsia="宋体" w:cs="宋体"/>
                <w:b w:val="0"/>
                <w:sz w:val="19"/>
                <w:szCs w:val="19"/>
              </w:rPr>
              <w:t>项</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eastAsia="宋体" w:cs="宋体"/>
                <w:b w:val="0"/>
                <w:color w:val="auto"/>
                <w:sz w:val="19"/>
                <w:szCs w:val="19"/>
              </w:rPr>
            </w:pPr>
            <w:r>
              <w:rPr>
                <w:rFonts w:hint="eastAsia" w:ascii="宋体" w:eastAsia="宋体" w:cs="宋体"/>
                <w:b w:val="0"/>
                <w:color w:val="auto"/>
                <w:sz w:val="19"/>
                <w:szCs w:val="19"/>
              </w:rPr>
              <w:t>5年</w:t>
            </w:r>
          </w:p>
          <w:p>
            <w:pPr>
              <w:jc w:val="center"/>
              <w:rPr>
                <w:rFonts w:hint="eastAsia" w:ascii="宋体" w:eastAsia="宋体" w:cs="宋体"/>
                <w:b w:val="0"/>
                <w:color w:val="auto"/>
                <w:sz w:val="19"/>
                <w:szCs w:val="19"/>
              </w:rPr>
            </w:pPr>
            <w:r>
              <w:rPr>
                <w:rFonts w:ascii="宋体" w:eastAsia="宋体" w:cs="宋体"/>
                <w:b w:val="0"/>
                <w:color w:val="auto"/>
                <w:sz w:val="19"/>
                <w:szCs w:val="19"/>
              </w:rPr>
              <w:t>质保</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eastAsia="宋体" w:cs="宋体"/>
                <w:b w:val="0"/>
                <w:color w:val="auto"/>
                <w:sz w:val="19"/>
                <w:szCs w:val="19"/>
              </w:rPr>
            </w:pPr>
            <w:r>
              <w:rPr>
                <w:rFonts w:ascii="宋体" w:eastAsia="宋体" w:cs="宋体"/>
                <w:b w:val="0"/>
                <w:color w:val="auto"/>
                <w:sz w:val="19"/>
                <w:szCs w:val="19"/>
              </w:rPr>
              <w:t>28</w:t>
            </w:r>
          </w:p>
        </w:tc>
        <w:tc>
          <w:tcPr>
            <w:tcW w:w="1148"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网络资产与边界感知系统</w:t>
            </w:r>
          </w:p>
        </w:tc>
        <w:tc>
          <w:tcPr>
            <w:tcW w:w="6027"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eastAsia="宋体" w:cs="宋体"/>
                <w:b w:val="0"/>
                <w:color w:val="auto"/>
                <w:sz w:val="19"/>
                <w:szCs w:val="19"/>
              </w:rPr>
            </w:pPr>
            <w:r>
              <w:rPr>
                <w:rFonts w:hint="eastAsia" w:ascii="宋体" w:eastAsia="宋体" w:cs="宋体"/>
                <w:b w:val="0"/>
                <w:color w:val="auto"/>
                <w:sz w:val="19"/>
                <w:szCs w:val="19"/>
              </w:rPr>
              <w:t>采用高性能规格的机架式1U硬件设备，全内置封闭式结构，专用安全加固Linux操作系统；处理器：Intel 酷睿i7内存：16GB（最大支持16GB*2），硬盘：128GB硬盘，网络接口：6个千兆电口，2个万兆光口，其他接口：1个VGA接口，2个USB接口，最大镜像流量：20Gbps，最大扫描扫描速率：50Mb/s，扫描耗时：8个B类网段平均扫描耗时约40秒</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1</w:t>
            </w:r>
          </w:p>
        </w:tc>
        <w:tc>
          <w:tcPr>
            <w:tcW w:w="636" w:type="dxa"/>
            <w:tcBorders>
              <w:top w:val="nil"/>
              <w:left w:val="nil"/>
              <w:bottom w:val="single" w:color="auto" w:sz="4" w:space="0"/>
              <w:right w:val="single" w:color="auto" w:sz="4" w:space="0"/>
            </w:tcBorders>
            <w:noWrap/>
            <w:vAlign w:val="center"/>
          </w:tcPr>
          <w:p>
            <w:pPr>
              <w:widowControl/>
              <w:jc w:val="center"/>
              <w:rPr>
                <w:rFonts w:hint="eastAsia" w:ascii="宋体" w:eastAsia="宋体" w:cs="宋体"/>
                <w:b w:val="0"/>
                <w:sz w:val="19"/>
                <w:szCs w:val="19"/>
              </w:rPr>
            </w:pPr>
            <w:r>
              <w:rPr>
                <w:rFonts w:hint="eastAsia" w:ascii="宋体" w:eastAsia="宋体" w:cs="宋体"/>
                <w:b w:val="0"/>
                <w:sz w:val="19"/>
                <w:szCs w:val="19"/>
              </w:rPr>
              <w:t>项</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eastAsia="宋体" w:cs="宋体"/>
                <w:b w:val="0"/>
                <w:color w:val="auto"/>
                <w:sz w:val="19"/>
                <w:szCs w:val="19"/>
              </w:rPr>
            </w:pPr>
            <w:r>
              <w:rPr>
                <w:rFonts w:hint="eastAsia" w:ascii="宋体" w:eastAsia="宋体" w:cs="宋体"/>
                <w:b w:val="0"/>
                <w:color w:val="auto"/>
                <w:sz w:val="19"/>
                <w:szCs w:val="19"/>
              </w:rPr>
              <w:t>5年</w:t>
            </w:r>
          </w:p>
          <w:p>
            <w:pPr>
              <w:jc w:val="center"/>
              <w:rPr>
                <w:rFonts w:hint="eastAsia" w:ascii="宋体" w:eastAsia="宋体" w:cs="宋体"/>
                <w:b w:val="0"/>
                <w:color w:val="auto"/>
                <w:sz w:val="19"/>
                <w:szCs w:val="19"/>
              </w:rPr>
            </w:pPr>
            <w:r>
              <w:rPr>
                <w:rFonts w:ascii="宋体" w:eastAsia="宋体" w:cs="宋体"/>
                <w:b w:val="0"/>
                <w:color w:val="auto"/>
                <w:sz w:val="19"/>
                <w:szCs w:val="19"/>
              </w:rPr>
              <w:t>质保</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eastAsia="宋体" w:cs="宋体"/>
                <w:b w:val="0"/>
                <w:color w:val="auto"/>
                <w:sz w:val="19"/>
                <w:szCs w:val="19"/>
              </w:rPr>
            </w:pPr>
            <w:r>
              <w:rPr>
                <w:rFonts w:ascii="宋体" w:eastAsia="宋体" w:cs="宋体"/>
                <w:b w:val="0"/>
                <w:color w:val="auto"/>
                <w:sz w:val="19"/>
                <w:szCs w:val="19"/>
              </w:rPr>
              <w:t>2</w:t>
            </w:r>
            <w:r>
              <w:rPr>
                <w:rFonts w:hint="eastAsia" w:ascii="宋体" w:eastAsia="宋体" w:cs="宋体"/>
                <w:b w:val="0"/>
                <w:color w:val="auto"/>
                <w:sz w:val="19"/>
                <w:szCs w:val="19"/>
              </w:rPr>
              <w:t>9</w:t>
            </w:r>
          </w:p>
        </w:tc>
        <w:tc>
          <w:tcPr>
            <w:tcW w:w="1148" w:type="dxa"/>
            <w:tcBorders>
              <w:top w:val="nil"/>
              <w:left w:val="nil"/>
              <w:bottom w:val="single" w:color="auto" w:sz="4" w:space="0"/>
              <w:right w:val="single" w:color="auto" w:sz="4" w:space="0"/>
            </w:tcBorders>
            <w:shd w:val="clear" w:color="000000" w:fill="FFFFFF"/>
            <w:noWrap w:val="0"/>
            <w:vAlign w:val="center"/>
          </w:tcPr>
          <w:p>
            <w:pPr>
              <w:jc w:val="center"/>
              <w:rPr>
                <w:rFonts w:ascii="宋体" w:eastAsia="宋体" w:cs="宋体"/>
                <w:b w:val="0"/>
                <w:color w:val="auto"/>
                <w:sz w:val="19"/>
                <w:szCs w:val="19"/>
              </w:rPr>
            </w:pPr>
            <w:r>
              <w:rPr>
                <w:rFonts w:hint="eastAsia" w:ascii="宋体" w:eastAsia="宋体" w:cs="宋体"/>
                <w:b w:val="0"/>
                <w:color w:val="auto"/>
                <w:sz w:val="19"/>
                <w:szCs w:val="19"/>
              </w:rPr>
              <w:t>视频服务</w:t>
            </w:r>
          </w:p>
          <w:p>
            <w:pPr>
              <w:jc w:val="center"/>
              <w:rPr>
                <w:rFonts w:hint="eastAsia" w:ascii="宋体" w:eastAsia="宋体" w:cs="宋体"/>
                <w:b w:val="0"/>
                <w:color w:val="auto"/>
                <w:sz w:val="19"/>
                <w:szCs w:val="19"/>
              </w:rPr>
            </w:pPr>
            <w:r>
              <w:rPr>
                <w:rFonts w:hint="eastAsia" w:ascii="宋体" w:eastAsia="宋体" w:cs="宋体"/>
                <w:b w:val="0"/>
                <w:color w:val="auto"/>
                <w:sz w:val="19"/>
                <w:szCs w:val="19"/>
              </w:rPr>
              <w:t>网关</w:t>
            </w:r>
          </w:p>
        </w:tc>
        <w:tc>
          <w:tcPr>
            <w:tcW w:w="6027" w:type="dxa"/>
            <w:tcBorders>
              <w:top w:val="nil"/>
              <w:left w:val="nil"/>
              <w:bottom w:val="single" w:color="auto" w:sz="4" w:space="0"/>
              <w:right w:val="single" w:color="auto" w:sz="4" w:space="0"/>
            </w:tcBorders>
            <w:shd w:val="clear" w:color="000000" w:fill="FFFFFF"/>
            <w:noWrap w:val="0"/>
            <w:vAlign w:val="center"/>
          </w:tcPr>
          <w:p>
            <w:pPr>
              <w:jc w:val="left"/>
              <w:rPr>
                <w:rFonts w:hint="eastAsia" w:ascii="宋体" w:eastAsia="宋体" w:cs="宋体"/>
                <w:b w:val="0"/>
                <w:color w:val="auto"/>
                <w:sz w:val="19"/>
                <w:szCs w:val="19"/>
              </w:rPr>
            </w:pPr>
            <w:r>
              <w:rPr>
                <w:rFonts w:hint="eastAsia" w:ascii="宋体" w:eastAsia="宋体" w:cs="宋体"/>
                <w:b w:val="0"/>
                <w:color w:val="auto"/>
                <w:sz w:val="19"/>
                <w:szCs w:val="19"/>
              </w:rPr>
              <w:t>1、能无缝接入“公安交通集成指挥平台”、“公安交通管理综合应用平台”，提供各种视频显示、控制、目录查询、录像查询和下载等服务功能；</w:t>
            </w:r>
            <w:r>
              <w:rPr>
                <w:rFonts w:hint="eastAsia" w:ascii="宋体" w:eastAsia="宋体" w:cs="宋体"/>
                <w:b w:val="0"/>
                <w:color w:val="auto"/>
                <w:sz w:val="19"/>
                <w:szCs w:val="19"/>
              </w:rPr>
              <w:br w:type="textWrapping"/>
            </w:r>
            <w:r>
              <w:rPr>
                <w:rFonts w:hint="eastAsia" w:ascii="宋体" w:eastAsia="宋体" w:cs="宋体"/>
                <w:b w:val="0"/>
                <w:color w:val="auto"/>
                <w:sz w:val="19"/>
                <w:szCs w:val="19"/>
              </w:rPr>
              <w:t>2、支持GB/T28181-2016标准，视频编码符合GB/T28181 H.264、H.265规格，支持主流厂商监控平台接入，包括海康、大华、宇视、科达、安徽蓝盾、华为、天地伟业、互信互通、汉邦高科、高新兴、东方网力、英飞拓；</w:t>
            </w:r>
            <w:r>
              <w:rPr>
                <w:rFonts w:hint="eastAsia" w:ascii="宋体" w:eastAsia="宋体" w:cs="宋体"/>
                <w:b w:val="0"/>
                <w:color w:val="auto"/>
                <w:sz w:val="19"/>
                <w:szCs w:val="19"/>
              </w:rPr>
              <w:br w:type="textWrapping"/>
            </w:r>
            <w:r>
              <w:rPr>
                <w:rFonts w:hint="eastAsia" w:ascii="宋体" w:eastAsia="宋体" w:cs="宋体"/>
                <w:b w:val="0"/>
                <w:color w:val="auto"/>
                <w:sz w:val="19"/>
                <w:szCs w:val="19"/>
              </w:rPr>
              <w:t>3、支持TCP与UDP互转，TCP模式时，网络丢包高达3%时，不出现马赛克和停顿现象；</w:t>
            </w:r>
            <w:r>
              <w:rPr>
                <w:rFonts w:hint="eastAsia" w:ascii="宋体" w:eastAsia="宋体" w:cs="宋体"/>
                <w:b w:val="0"/>
                <w:color w:val="auto"/>
                <w:sz w:val="19"/>
                <w:szCs w:val="19"/>
              </w:rPr>
              <w:br w:type="textWrapping"/>
            </w:r>
            <w:r>
              <w:rPr>
                <w:rFonts w:hint="eastAsia" w:ascii="宋体" w:eastAsia="宋体" w:cs="宋体"/>
                <w:b w:val="0"/>
                <w:color w:val="auto"/>
                <w:sz w:val="19"/>
                <w:szCs w:val="19"/>
              </w:rPr>
              <w:t>4、单台并发数：128路,媒体转发能力：&gt;400Mbps*2；</w:t>
            </w:r>
            <w:r>
              <w:rPr>
                <w:rFonts w:hint="eastAsia" w:ascii="宋体" w:eastAsia="宋体" w:cs="宋体"/>
                <w:b w:val="0"/>
                <w:color w:val="auto"/>
                <w:sz w:val="19"/>
                <w:szCs w:val="19"/>
              </w:rPr>
              <w:br w:type="textWrapping"/>
            </w:r>
            <w:r>
              <w:rPr>
                <w:rFonts w:hint="eastAsia" w:ascii="宋体" w:eastAsia="宋体" w:cs="宋体"/>
                <w:b w:val="0"/>
                <w:color w:val="auto"/>
                <w:sz w:val="19"/>
                <w:szCs w:val="19"/>
              </w:rPr>
              <w:t>5、支持同时接入10个监控联网平台，最大支持管理50000个监控点位</w:t>
            </w:r>
            <w:r>
              <w:rPr>
                <w:rFonts w:hint="eastAsia" w:ascii="宋体" w:eastAsia="宋体" w:cs="宋体"/>
                <w:b w:val="0"/>
                <w:color w:val="auto"/>
                <w:sz w:val="19"/>
                <w:szCs w:val="19"/>
              </w:rPr>
              <w:br w:type="textWrapping"/>
            </w:r>
            <w:r>
              <w:rPr>
                <w:rFonts w:hint="eastAsia" w:ascii="宋体" w:eastAsia="宋体" w:cs="宋体"/>
                <w:b w:val="0"/>
                <w:color w:val="auto"/>
                <w:sz w:val="19"/>
                <w:szCs w:val="19"/>
              </w:rPr>
              <w:t>6、支持图像分辨率：CIF/2CIF/4CIF/D1/720p/1080p；支持PAL制式25fps；</w:t>
            </w:r>
            <w:r>
              <w:rPr>
                <w:rFonts w:hint="eastAsia" w:ascii="宋体" w:eastAsia="宋体" w:cs="宋体"/>
                <w:b w:val="0"/>
                <w:color w:val="auto"/>
                <w:sz w:val="19"/>
                <w:szCs w:val="19"/>
              </w:rPr>
              <w:br w:type="textWrapping"/>
            </w:r>
            <w:r>
              <w:rPr>
                <w:rFonts w:hint="eastAsia" w:ascii="宋体" w:eastAsia="宋体" w:cs="宋体"/>
                <w:b w:val="0"/>
                <w:color w:val="auto"/>
                <w:sz w:val="19"/>
                <w:szCs w:val="19"/>
              </w:rPr>
              <w:t>7、具备较强的扩展能力，支持集群负载均衡，能实现多台堆叠扩容；</w:t>
            </w:r>
            <w:r>
              <w:rPr>
                <w:rFonts w:hint="eastAsia" w:ascii="宋体" w:eastAsia="宋体" w:cs="宋体"/>
                <w:b w:val="0"/>
                <w:color w:val="auto"/>
                <w:sz w:val="19"/>
                <w:szCs w:val="19"/>
              </w:rPr>
              <w:br w:type="textWrapping"/>
            </w:r>
            <w:r>
              <w:rPr>
                <w:rFonts w:hint="eastAsia" w:ascii="宋体" w:eastAsia="宋体" w:cs="宋体"/>
                <w:b w:val="0"/>
                <w:color w:val="auto"/>
                <w:sz w:val="19"/>
                <w:szCs w:val="19"/>
              </w:rPr>
              <w:t>8、支持SDK、OCX、JSX 多种模式视频播放控制服务；</w:t>
            </w:r>
            <w:r>
              <w:rPr>
                <w:rFonts w:hint="eastAsia" w:ascii="宋体" w:eastAsia="宋体" w:cs="宋体"/>
                <w:b w:val="0"/>
                <w:color w:val="auto"/>
                <w:sz w:val="19"/>
                <w:szCs w:val="19"/>
              </w:rPr>
              <w:br w:type="textWrapping"/>
            </w:r>
            <w:r>
              <w:rPr>
                <w:rFonts w:hint="eastAsia" w:ascii="宋体" w:eastAsia="宋体" w:cs="宋体"/>
                <w:b w:val="0"/>
                <w:color w:val="auto"/>
                <w:sz w:val="19"/>
                <w:szCs w:val="19"/>
              </w:rPr>
              <w:t>9、为保证系统安全性，系统应在LIUNX操作系统下运行；</w:t>
            </w:r>
            <w:r>
              <w:rPr>
                <w:rFonts w:hint="eastAsia" w:ascii="宋体" w:eastAsia="宋体" w:cs="宋体"/>
                <w:b w:val="0"/>
                <w:color w:val="auto"/>
                <w:sz w:val="19"/>
                <w:szCs w:val="19"/>
              </w:rPr>
              <w:br w:type="textWrapping"/>
            </w:r>
            <w:r>
              <w:rPr>
                <w:rFonts w:hint="eastAsia" w:ascii="宋体" w:eastAsia="宋体" w:cs="宋体"/>
                <w:b w:val="0"/>
                <w:color w:val="auto"/>
                <w:sz w:val="19"/>
                <w:szCs w:val="19"/>
              </w:rPr>
              <w:t>10、提供5年质保及运维服务。</w:t>
            </w:r>
          </w:p>
        </w:tc>
        <w:tc>
          <w:tcPr>
            <w:tcW w:w="640" w:type="dxa"/>
            <w:tcBorders>
              <w:top w:val="nil"/>
              <w:left w:val="nil"/>
              <w:bottom w:val="single" w:color="auto" w:sz="4" w:space="0"/>
              <w:right w:val="single" w:color="auto" w:sz="4" w:space="0"/>
            </w:tcBorders>
            <w:noWrap w:val="0"/>
            <w:vAlign w:val="center"/>
          </w:tcPr>
          <w:p>
            <w:pPr>
              <w:jc w:val="center"/>
              <w:rPr>
                <w:rFonts w:hint="eastAsia" w:ascii="宋体" w:eastAsia="宋体" w:cs="宋体"/>
                <w:b w:val="0"/>
                <w:color w:val="auto"/>
                <w:sz w:val="19"/>
                <w:szCs w:val="19"/>
              </w:rPr>
            </w:pPr>
            <w:r>
              <w:rPr>
                <w:rFonts w:hint="eastAsia" w:ascii="宋体" w:eastAsia="宋体" w:cs="宋体"/>
                <w:b w:val="0"/>
                <w:color w:val="auto"/>
                <w:sz w:val="19"/>
                <w:szCs w:val="19"/>
              </w:rPr>
              <w:t>1</w:t>
            </w:r>
          </w:p>
        </w:tc>
        <w:tc>
          <w:tcPr>
            <w:tcW w:w="636" w:type="dxa"/>
            <w:tcBorders>
              <w:top w:val="nil"/>
              <w:left w:val="nil"/>
              <w:bottom w:val="single" w:color="auto" w:sz="4" w:space="0"/>
              <w:right w:val="single" w:color="auto" w:sz="4" w:space="0"/>
            </w:tcBorders>
            <w:noWrap/>
            <w:vAlign w:val="center"/>
          </w:tcPr>
          <w:p>
            <w:pPr>
              <w:jc w:val="center"/>
              <w:rPr>
                <w:rFonts w:hint="eastAsia" w:ascii="宋体" w:eastAsia="宋体" w:cs="宋体"/>
                <w:b w:val="0"/>
                <w:color w:val="auto"/>
                <w:sz w:val="19"/>
                <w:szCs w:val="19"/>
              </w:rPr>
            </w:pPr>
            <w:r>
              <w:rPr>
                <w:rFonts w:hint="eastAsia" w:ascii="宋体" w:eastAsia="宋体" w:cs="宋体"/>
                <w:b w:val="0"/>
                <w:color w:val="auto"/>
                <w:sz w:val="19"/>
                <w:szCs w:val="19"/>
              </w:rPr>
              <w:t>项</w:t>
            </w:r>
          </w:p>
        </w:tc>
        <w:tc>
          <w:tcPr>
            <w:tcW w:w="717" w:type="dxa"/>
            <w:tcBorders>
              <w:top w:val="nil"/>
              <w:left w:val="nil"/>
              <w:bottom w:val="single" w:color="auto" w:sz="4" w:space="0"/>
              <w:right w:val="single" w:color="auto" w:sz="4" w:space="0"/>
            </w:tcBorders>
            <w:noWrap w:val="0"/>
            <w:vAlign w:val="top"/>
          </w:tcPr>
          <w:p>
            <w:pPr>
              <w:jc w:val="center"/>
              <w:rPr>
                <w:rFonts w:hint="eastAsia" w:ascii="宋体" w:eastAsia="宋体" w:cs="宋体"/>
                <w:b w:val="0"/>
                <w:color w:val="auto"/>
                <w:sz w:val="19"/>
                <w:szCs w:val="19"/>
              </w:rPr>
            </w:pP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eastAsia="宋体" w:cs="宋体"/>
                <w:b w:val="0"/>
                <w:color w:val="auto"/>
                <w:sz w:val="19"/>
                <w:szCs w:val="19"/>
              </w:rPr>
            </w:pPr>
            <w:r>
              <w:rPr>
                <w:rFonts w:ascii="宋体" w:eastAsia="宋体" w:cs="宋体"/>
                <w:b w:val="0"/>
                <w:color w:val="auto"/>
                <w:sz w:val="19"/>
                <w:szCs w:val="19"/>
              </w:rPr>
              <w:t>30</w:t>
            </w:r>
          </w:p>
        </w:tc>
        <w:tc>
          <w:tcPr>
            <w:tcW w:w="1148"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下一代防火墙（IPS）</w:t>
            </w:r>
          </w:p>
        </w:tc>
        <w:tc>
          <w:tcPr>
            <w:tcW w:w="6027"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eastAsia="宋体" w:cs="宋体"/>
                <w:b w:val="0"/>
                <w:color w:val="auto"/>
                <w:sz w:val="19"/>
                <w:szCs w:val="19"/>
              </w:rPr>
            </w:pPr>
            <w:r>
              <w:rPr>
                <w:rFonts w:hint="eastAsia" w:ascii="宋体" w:eastAsia="宋体" w:cs="宋体"/>
                <w:b w:val="0"/>
                <w:color w:val="auto"/>
                <w:sz w:val="19"/>
                <w:szCs w:val="19"/>
              </w:rPr>
              <w:t>采用多核网络专用架构，使用64位MIPS多核处理器，非X86多核架构或ASIC架构</w:t>
            </w:r>
            <w:r>
              <w:rPr>
                <w:rFonts w:hint="eastAsia" w:ascii="宋体" w:eastAsia="宋体" w:cs="宋体"/>
                <w:b w:val="0"/>
                <w:color w:val="auto"/>
                <w:sz w:val="19"/>
                <w:szCs w:val="19"/>
              </w:rPr>
              <w:br w:type="textWrapping"/>
            </w:r>
            <w:r>
              <w:rPr>
                <w:rFonts w:hint="eastAsia" w:ascii="宋体" w:eastAsia="宋体" w:cs="宋体"/>
                <w:b w:val="0"/>
                <w:color w:val="auto"/>
                <w:sz w:val="19"/>
                <w:szCs w:val="19"/>
              </w:rPr>
              <w:t>标准2U专用万兆硬件平台，内置交流双电源，硬盘1 T</w:t>
            </w:r>
            <w:r>
              <w:rPr>
                <w:rFonts w:hint="eastAsia" w:ascii="宋体" w:eastAsia="宋体" w:cs="宋体"/>
                <w:b w:val="0"/>
                <w:color w:val="auto"/>
                <w:sz w:val="19"/>
                <w:szCs w:val="19"/>
              </w:rPr>
              <w:br w:type="textWrapping"/>
            </w:r>
            <w:r>
              <w:rPr>
                <w:rFonts w:hint="eastAsia" w:ascii="宋体" w:eastAsia="宋体" w:cs="宋体"/>
                <w:b w:val="0"/>
                <w:color w:val="auto"/>
                <w:sz w:val="19"/>
                <w:szCs w:val="19"/>
              </w:rPr>
              <w:t>12*GE电口，12*SFP光口，2*SFP+光口</w:t>
            </w:r>
            <w:r>
              <w:rPr>
                <w:rFonts w:hint="eastAsia" w:ascii="宋体" w:eastAsia="宋体" w:cs="宋体"/>
                <w:b w:val="0"/>
                <w:color w:val="auto"/>
                <w:sz w:val="19"/>
                <w:szCs w:val="19"/>
              </w:rPr>
              <w:br w:type="textWrapping"/>
            </w:r>
            <w:r>
              <w:rPr>
                <w:rFonts w:hint="eastAsia" w:ascii="宋体" w:eastAsia="宋体" w:cs="宋体"/>
                <w:b w:val="0"/>
                <w:color w:val="auto"/>
                <w:sz w:val="19"/>
                <w:szCs w:val="19"/>
              </w:rPr>
              <w:t>设备最大吞吐量10 Gbps，HTTP吞吐量8.9 Gbps，IPS吞吐量1.6 Gbps，AV吞吐量1.1 Gbps，IPSec VPN性能2.9 Gbps，最大并发连接数400万，每秒新建连接数20万，IPSec VPN隧道数1024，SSL VPN接入数1500</w:t>
            </w:r>
            <w:r>
              <w:rPr>
                <w:rFonts w:hint="eastAsia" w:ascii="宋体" w:eastAsia="宋体" w:cs="宋体"/>
                <w:b w:val="0"/>
                <w:color w:val="auto"/>
                <w:sz w:val="19"/>
                <w:szCs w:val="19"/>
              </w:rPr>
              <w:br w:type="textWrapping"/>
            </w:r>
            <w:r>
              <w:rPr>
                <w:rFonts w:hint="eastAsia" w:ascii="宋体" w:eastAsia="宋体" w:cs="宋体"/>
                <w:b w:val="0"/>
                <w:color w:val="auto"/>
                <w:sz w:val="19"/>
                <w:szCs w:val="19"/>
              </w:rPr>
              <w:t>支持自定义IPS特征,支持IPS高阶告警功能，可以配置多种告警条件</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ascii="宋体" w:eastAsia="宋体" w:cs="宋体"/>
                <w:b w:val="0"/>
                <w:color w:val="auto"/>
                <w:sz w:val="19"/>
                <w:szCs w:val="19"/>
              </w:rPr>
              <w:t>2</w:t>
            </w:r>
          </w:p>
        </w:tc>
        <w:tc>
          <w:tcPr>
            <w:tcW w:w="636" w:type="dxa"/>
            <w:tcBorders>
              <w:top w:val="nil"/>
              <w:left w:val="nil"/>
              <w:bottom w:val="single" w:color="auto" w:sz="4" w:space="0"/>
              <w:right w:val="single" w:color="auto" w:sz="4" w:space="0"/>
            </w:tcBorders>
            <w:noWrap/>
            <w:vAlign w:val="center"/>
          </w:tcPr>
          <w:p>
            <w:pPr>
              <w:widowControl/>
              <w:jc w:val="center"/>
              <w:rPr>
                <w:rFonts w:hint="eastAsia" w:ascii="宋体" w:eastAsia="宋体" w:cs="宋体"/>
                <w:b w:val="0"/>
                <w:sz w:val="19"/>
                <w:szCs w:val="19"/>
              </w:rPr>
            </w:pPr>
            <w:r>
              <w:rPr>
                <w:rFonts w:hint="eastAsia" w:ascii="宋体" w:eastAsia="宋体" w:cs="宋体"/>
                <w:b w:val="0"/>
                <w:sz w:val="19"/>
                <w:szCs w:val="19"/>
              </w:rPr>
              <w:t>台</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eastAsia="宋体" w:cs="宋体"/>
                <w:b w:val="0"/>
                <w:color w:val="auto"/>
                <w:sz w:val="19"/>
                <w:szCs w:val="19"/>
              </w:rPr>
            </w:pPr>
            <w:r>
              <w:rPr>
                <w:rFonts w:hint="eastAsia" w:ascii="宋体" w:eastAsia="宋体" w:cs="宋体"/>
                <w:b w:val="0"/>
                <w:color w:val="auto"/>
                <w:sz w:val="19"/>
                <w:szCs w:val="19"/>
              </w:rPr>
              <w:t>5年</w:t>
            </w:r>
          </w:p>
          <w:p>
            <w:pPr>
              <w:jc w:val="center"/>
              <w:rPr>
                <w:rFonts w:hint="eastAsia" w:ascii="宋体" w:eastAsia="宋体" w:cs="宋体"/>
                <w:b w:val="0"/>
                <w:color w:val="auto"/>
                <w:sz w:val="19"/>
                <w:szCs w:val="19"/>
              </w:rPr>
            </w:pPr>
            <w:r>
              <w:rPr>
                <w:rFonts w:ascii="宋体" w:eastAsia="宋体" w:cs="宋体"/>
                <w:b w:val="0"/>
                <w:color w:val="auto"/>
                <w:sz w:val="19"/>
                <w:szCs w:val="19"/>
              </w:rPr>
              <w:t>质保</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eastAsia="宋体" w:cs="宋体"/>
                <w:b w:val="0"/>
                <w:color w:val="auto"/>
                <w:sz w:val="19"/>
                <w:szCs w:val="19"/>
              </w:rPr>
            </w:pPr>
            <w:r>
              <w:rPr>
                <w:rFonts w:ascii="宋体" w:eastAsia="宋体" w:cs="宋体"/>
                <w:b w:val="0"/>
                <w:color w:val="auto"/>
                <w:sz w:val="19"/>
                <w:szCs w:val="19"/>
              </w:rPr>
              <w:t>31</w:t>
            </w:r>
          </w:p>
        </w:tc>
        <w:tc>
          <w:tcPr>
            <w:tcW w:w="114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eastAsia="宋体" w:cs="宋体"/>
                <w:b w:val="0"/>
                <w:color w:val="auto"/>
                <w:sz w:val="19"/>
                <w:szCs w:val="19"/>
              </w:rPr>
            </w:pPr>
            <w:r>
              <w:rPr>
                <w:rFonts w:hint="eastAsia" w:ascii="宋体" w:eastAsia="宋体" w:cs="宋体"/>
                <w:b w:val="0"/>
                <w:color w:val="auto"/>
                <w:sz w:val="19"/>
                <w:szCs w:val="19"/>
              </w:rPr>
              <w:t>机房专用机柜</w:t>
            </w:r>
          </w:p>
        </w:tc>
        <w:tc>
          <w:tcPr>
            <w:tcW w:w="6027" w:type="dxa"/>
            <w:tcBorders>
              <w:top w:val="nil"/>
              <w:left w:val="nil"/>
              <w:bottom w:val="single" w:color="auto" w:sz="4" w:space="0"/>
              <w:right w:val="single" w:color="auto" w:sz="4" w:space="0"/>
            </w:tcBorders>
            <w:shd w:val="clear" w:color="000000" w:fill="FFFFFF"/>
            <w:noWrap w:val="0"/>
            <w:vAlign w:val="center"/>
          </w:tcPr>
          <w:p>
            <w:pPr>
              <w:jc w:val="left"/>
              <w:rPr>
                <w:rFonts w:hint="eastAsia" w:ascii="宋体" w:eastAsia="宋体" w:cs="宋体"/>
                <w:b w:val="0"/>
                <w:color w:val="auto"/>
                <w:sz w:val="19"/>
                <w:szCs w:val="19"/>
              </w:rPr>
            </w:pPr>
            <w:r>
              <w:rPr>
                <w:rFonts w:hint="eastAsia" w:ascii="宋体" w:eastAsia="宋体" w:cs="宋体"/>
                <w:b w:val="0"/>
                <w:color w:val="auto"/>
                <w:sz w:val="19"/>
                <w:szCs w:val="19"/>
              </w:rPr>
              <w:t>尺寸600*1000*20000，黑色，容量42U，前后网门，PDU插排4个，静载500KG</w:t>
            </w:r>
          </w:p>
        </w:tc>
        <w:tc>
          <w:tcPr>
            <w:tcW w:w="640" w:type="dxa"/>
            <w:tcBorders>
              <w:top w:val="nil"/>
              <w:left w:val="nil"/>
              <w:bottom w:val="single" w:color="auto" w:sz="4" w:space="0"/>
              <w:right w:val="single" w:color="auto" w:sz="4" w:space="0"/>
            </w:tcBorders>
            <w:noWrap w:val="0"/>
            <w:vAlign w:val="center"/>
          </w:tcPr>
          <w:p>
            <w:pPr>
              <w:jc w:val="center"/>
              <w:rPr>
                <w:rFonts w:hint="eastAsia" w:ascii="宋体" w:eastAsia="宋体" w:cs="宋体"/>
                <w:b w:val="0"/>
                <w:color w:val="auto"/>
                <w:sz w:val="19"/>
                <w:szCs w:val="19"/>
              </w:rPr>
            </w:pPr>
            <w:r>
              <w:rPr>
                <w:rFonts w:hint="eastAsia" w:ascii="宋体" w:eastAsia="宋体" w:cs="宋体"/>
                <w:b w:val="0"/>
                <w:color w:val="auto"/>
                <w:sz w:val="19"/>
                <w:szCs w:val="19"/>
              </w:rPr>
              <w:t>2</w:t>
            </w:r>
          </w:p>
        </w:tc>
        <w:tc>
          <w:tcPr>
            <w:tcW w:w="636" w:type="dxa"/>
            <w:tcBorders>
              <w:top w:val="nil"/>
              <w:left w:val="nil"/>
              <w:bottom w:val="single" w:color="auto" w:sz="4" w:space="0"/>
              <w:right w:val="single" w:color="auto" w:sz="4" w:space="0"/>
            </w:tcBorders>
            <w:noWrap/>
            <w:vAlign w:val="center"/>
          </w:tcPr>
          <w:p>
            <w:pPr>
              <w:jc w:val="center"/>
              <w:rPr>
                <w:rFonts w:hint="eastAsia" w:ascii="宋体" w:eastAsia="宋体" w:cs="宋体"/>
                <w:b w:val="0"/>
                <w:color w:val="auto"/>
                <w:sz w:val="19"/>
                <w:szCs w:val="19"/>
              </w:rPr>
            </w:pPr>
            <w:r>
              <w:rPr>
                <w:rFonts w:hint="eastAsia" w:ascii="宋体" w:eastAsia="宋体" w:cs="宋体"/>
                <w:b w:val="0"/>
                <w:color w:val="auto"/>
                <w:sz w:val="19"/>
                <w:szCs w:val="19"/>
              </w:rPr>
              <w:t>台</w:t>
            </w:r>
          </w:p>
        </w:tc>
        <w:tc>
          <w:tcPr>
            <w:tcW w:w="717" w:type="dxa"/>
            <w:tcBorders>
              <w:top w:val="nil"/>
              <w:left w:val="nil"/>
              <w:bottom w:val="single" w:color="auto" w:sz="4" w:space="0"/>
              <w:right w:val="single" w:color="auto" w:sz="4" w:space="0"/>
            </w:tcBorders>
            <w:noWrap w:val="0"/>
            <w:vAlign w:val="top"/>
          </w:tcPr>
          <w:p>
            <w:pPr>
              <w:jc w:val="center"/>
              <w:rPr>
                <w:rFonts w:hint="eastAsia" w:ascii="宋体" w:eastAsia="宋体" w:cs="宋体"/>
                <w:b w:val="0"/>
                <w:color w:val="auto"/>
                <w:sz w:val="19"/>
                <w:szCs w:val="19"/>
              </w:rPr>
            </w:pP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32</w:t>
            </w:r>
          </w:p>
        </w:tc>
        <w:tc>
          <w:tcPr>
            <w:tcW w:w="1148"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机房设备安装费</w:t>
            </w:r>
          </w:p>
        </w:tc>
        <w:tc>
          <w:tcPr>
            <w:tcW w:w="6027"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eastAsia="宋体" w:cs="宋体"/>
                <w:b w:val="0"/>
                <w:color w:val="auto"/>
                <w:sz w:val="19"/>
                <w:szCs w:val="19"/>
              </w:rPr>
            </w:pPr>
            <w:r>
              <w:rPr>
                <w:rFonts w:hint="eastAsia" w:ascii="宋体" w:eastAsia="宋体" w:cs="宋体"/>
                <w:b w:val="0"/>
                <w:color w:val="auto"/>
                <w:sz w:val="19"/>
                <w:szCs w:val="19"/>
              </w:rPr>
              <w:t>机房所有设备上架、安装、调测等以及配套辅材等费用</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1</w:t>
            </w:r>
          </w:p>
        </w:tc>
        <w:tc>
          <w:tcPr>
            <w:tcW w:w="636" w:type="dxa"/>
            <w:tcBorders>
              <w:top w:val="nil"/>
              <w:left w:val="nil"/>
              <w:bottom w:val="single" w:color="auto" w:sz="4" w:space="0"/>
              <w:right w:val="single" w:color="auto" w:sz="4" w:space="0"/>
            </w:tcBorders>
            <w:noWrap/>
            <w:vAlign w:val="center"/>
          </w:tcPr>
          <w:p>
            <w:pPr>
              <w:widowControl/>
              <w:jc w:val="center"/>
              <w:rPr>
                <w:rFonts w:hint="eastAsia" w:ascii="宋体" w:eastAsia="宋体" w:cs="宋体"/>
                <w:b w:val="0"/>
                <w:sz w:val="19"/>
                <w:szCs w:val="19"/>
              </w:rPr>
            </w:pPr>
            <w:r>
              <w:rPr>
                <w:rFonts w:hint="eastAsia" w:ascii="宋体" w:eastAsia="宋体" w:cs="宋体"/>
                <w:b w:val="0"/>
                <w:sz w:val="19"/>
                <w:szCs w:val="19"/>
              </w:rPr>
              <w:t>项</w:t>
            </w:r>
          </w:p>
        </w:tc>
        <w:tc>
          <w:tcPr>
            <w:tcW w:w="717" w:type="dxa"/>
            <w:tcBorders>
              <w:top w:val="nil"/>
              <w:left w:val="nil"/>
              <w:bottom w:val="single" w:color="auto" w:sz="4" w:space="0"/>
              <w:right w:val="single" w:color="auto" w:sz="4" w:space="0"/>
            </w:tcBorders>
            <w:noWrap w:val="0"/>
            <w:vAlign w:val="top"/>
          </w:tcPr>
          <w:p>
            <w:pPr>
              <w:widowControl/>
              <w:jc w:val="center"/>
              <w:rPr>
                <w:rFonts w:hint="eastAsia" w:ascii="宋体" w:eastAsia="宋体" w:cs="宋体"/>
                <w:b w:val="0"/>
                <w:sz w:val="19"/>
                <w:szCs w:val="19"/>
              </w:rPr>
            </w:pPr>
          </w:p>
        </w:tc>
      </w:tr>
      <w:tr>
        <w:tblPrEx>
          <w:tblCellMar>
            <w:top w:w="0" w:type="dxa"/>
            <w:left w:w="108" w:type="dxa"/>
            <w:bottom w:w="0" w:type="dxa"/>
            <w:right w:w="108" w:type="dxa"/>
          </w:tblCellMar>
        </w:tblPrEx>
        <w:trPr>
          <w:trHeight w:val="480" w:hRule="atLeast"/>
          <w:jc w:val="center"/>
        </w:trPr>
        <w:tc>
          <w:tcPr>
            <w:tcW w:w="8964" w:type="dxa"/>
            <w:gridSpan w:val="5"/>
            <w:tcBorders>
              <w:top w:val="nil"/>
              <w:left w:val="single" w:color="auto" w:sz="4" w:space="0"/>
              <w:bottom w:val="single" w:color="auto" w:sz="4" w:space="0"/>
              <w:right w:val="single" w:color="auto" w:sz="4" w:space="0"/>
            </w:tcBorders>
            <w:noWrap w:val="0"/>
            <w:vAlign w:val="center"/>
          </w:tcPr>
          <w:p>
            <w:pPr>
              <w:widowControl/>
              <w:jc w:val="left"/>
              <w:rPr>
                <w:rFonts w:hint="eastAsia" w:ascii="宋体" w:eastAsia="宋体" w:cs="宋体"/>
                <w:b w:val="0"/>
                <w:sz w:val="19"/>
                <w:szCs w:val="19"/>
              </w:rPr>
            </w:pPr>
            <w:r>
              <w:rPr>
                <w:rFonts w:hint="eastAsia" w:ascii="宋体" w:eastAsia="宋体" w:cs="宋体"/>
                <w:b/>
                <w:bCs w:val="0"/>
                <w:sz w:val="19"/>
                <w:szCs w:val="19"/>
              </w:rPr>
              <w:t>二</w:t>
            </w:r>
            <w:r>
              <w:rPr>
                <w:rFonts w:ascii="宋体" w:eastAsia="宋体" w:cs="宋体"/>
                <w:b/>
                <w:bCs w:val="0"/>
                <w:sz w:val="19"/>
                <w:szCs w:val="19"/>
              </w:rPr>
              <w:t>、</w:t>
            </w:r>
            <w:r>
              <w:rPr>
                <w:rFonts w:hint="eastAsia" w:ascii="宋体" w:eastAsia="宋体" w:cs="宋体"/>
                <w:b/>
                <w:bCs w:val="0"/>
                <w:sz w:val="19"/>
                <w:szCs w:val="19"/>
              </w:rPr>
              <w:t>配套软件</w:t>
            </w:r>
            <w:r>
              <w:rPr>
                <w:rFonts w:ascii="宋体" w:eastAsia="宋体" w:cs="宋体"/>
                <w:b/>
                <w:bCs w:val="0"/>
                <w:sz w:val="19"/>
                <w:szCs w:val="19"/>
              </w:rPr>
              <w:t>系统部分</w:t>
            </w:r>
          </w:p>
        </w:tc>
        <w:tc>
          <w:tcPr>
            <w:tcW w:w="717" w:type="dxa"/>
            <w:tcBorders>
              <w:top w:val="nil"/>
              <w:left w:val="single" w:color="auto" w:sz="4" w:space="0"/>
              <w:bottom w:val="single" w:color="auto" w:sz="4" w:space="0"/>
              <w:right w:val="single" w:color="auto" w:sz="4" w:space="0"/>
            </w:tcBorders>
            <w:noWrap w:val="0"/>
            <w:vAlign w:val="top"/>
          </w:tcPr>
          <w:p>
            <w:pPr>
              <w:widowControl/>
              <w:jc w:val="left"/>
              <w:rPr>
                <w:rFonts w:hint="eastAsia" w:ascii="宋体" w:eastAsia="宋体" w:cs="宋体"/>
                <w:bCs/>
                <w:sz w:val="19"/>
                <w:szCs w:val="19"/>
              </w:rPr>
            </w:pP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eastAsia="宋体" w:cs="宋体"/>
                <w:b w:val="0"/>
                <w:color w:val="auto"/>
                <w:sz w:val="19"/>
                <w:szCs w:val="19"/>
              </w:rPr>
            </w:pPr>
            <w:r>
              <w:rPr>
                <w:rFonts w:ascii="宋体" w:eastAsia="宋体" w:cs="宋体"/>
                <w:b w:val="0"/>
                <w:color w:val="auto"/>
                <w:sz w:val="19"/>
                <w:szCs w:val="19"/>
              </w:rPr>
              <w:t>1</w:t>
            </w:r>
          </w:p>
        </w:tc>
        <w:tc>
          <w:tcPr>
            <w:tcW w:w="1148"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路口车辆溢出事件检测应急平台及路段全程拼接交通事件感知应用平台</w:t>
            </w:r>
          </w:p>
        </w:tc>
        <w:tc>
          <w:tcPr>
            <w:tcW w:w="6027"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详见</w:t>
            </w:r>
            <w:r>
              <w:rPr>
                <w:rFonts w:ascii="宋体" w:eastAsia="宋体" w:cs="宋体"/>
                <w:b w:val="0"/>
                <w:color w:val="auto"/>
                <w:sz w:val="19"/>
                <w:szCs w:val="19"/>
              </w:rPr>
              <w:t>招标文件要求</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1</w:t>
            </w:r>
          </w:p>
        </w:tc>
        <w:tc>
          <w:tcPr>
            <w:tcW w:w="636" w:type="dxa"/>
            <w:tcBorders>
              <w:top w:val="nil"/>
              <w:left w:val="nil"/>
              <w:bottom w:val="single" w:color="auto" w:sz="4" w:space="0"/>
              <w:right w:val="single" w:color="auto" w:sz="4" w:space="0"/>
            </w:tcBorders>
            <w:noWrap/>
            <w:vAlign w:val="center"/>
          </w:tcPr>
          <w:p>
            <w:pPr>
              <w:widowControl/>
              <w:jc w:val="center"/>
              <w:rPr>
                <w:rFonts w:hint="eastAsia" w:ascii="宋体" w:eastAsia="宋体" w:cs="宋体"/>
                <w:b w:val="0"/>
                <w:sz w:val="19"/>
                <w:szCs w:val="19"/>
              </w:rPr>
            </w:pPr>
            <w:r>
              <w:rPr>
                <w:rFonts w:hint="eastAsia" w:ascii="宋体" w:eastAsia="宋体" w:cs="宋体"/>
                <w:b w:val="0"/>
                <w:sz w:val="19"/>
                <w:szCs w:val="19"/>
              </w:rPr>
              <w:t>项</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eastAsia="宋体" w:cs="宋体"/>
                <w:b w:val="0"/>
                <w:sz w:val="19"/>
                <w:szCs w:val="19"/>
              </w:rPr>
            </w:pPr>
            <w:r>
              <w:rPr>
                <w:rFonts w:hint="eastAsia" w:ascii="宋体" w:eastAsia="宋体" w:cs="宋体"/>
                <w:b w:val="0"/>
                <w:sz w:val="19"/>
                <w:szCs w:val="19"/>
              </w:rPr>
              <w:t>5年</w:t>
            </w:r>
          </w:p>
          <w:p>
            <w:pPr>
              <w:widowControl/>
              <w:jc w:val="center"/>
              <w:rPr>
                <w:rFonts w:hint="eastAsia" w:ascii="宋体" w:eastAsia="宋体" w:cs="宋体"/>
                <w:b w:val="0"/>
                <w:sz w:val="19"/>
                <w:szCs w:val="19"/>
              </w:rPr>
            </w:pPr>
            <w:r>
              <w:rPr>
                <w:rFonts w:ascii="宋体" w:eastAsia="宋体" w:cs="宋体"/>
                <w:b w:val="0"/>
                <w:sz w:val="19"/>
                <w:szCs w:val="19"/>
              </w:rPr>
              <w:t>维护</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eastAsia="宋体" w:cs="宋体"/>
                <w:b w:val="0"/>
                <w:color w:val="auto"/>
                <w:sz w:val="19"/>
                <w:szCs w:val="19"/>
              </w:rPr>
            </w:pPr>
            <w:r>
              <w:rPr>
                <w:rFonts w:ascii="宋体" w:eastAsia="宋体" w:cs="宋体"/>
                <w:b w:val="0"/>
                <w:color w:val="auto"/>
                <w:sz w:val="19"/>
                <w:szCs w:val="19"/>
              </w:rPr>
              <w:t>2</w:t>
            </w:r>
          </w:p>
        </w:tc>
        <w:tc>
          <w:tcPr>
            <w:tcW w:w="1148"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路口诊断及应用系统</w:t>
            </w:r>
          </w:p>
        </w:tc>
        <w:tc>
          <w:tcPr>
            <w:tcW w:w="6027"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详见</w:t>
            </w:r>
            <w:r>
              <w:rPr>
                <w:rFonts w:ascii="宋体" w:eastAsia="宋体" w:cs="宋体"/>
                <w:b w:val="0"/>
                <w:color w:val="auto"/>
                <w:sz w:val="19"/>
                <w:szCs w:val="19"/>
              </w:rPr>
              <w:t>招标文件要求</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1</w:t>
            </w:r>
          </w:p>
        </w:tc>
        <w:tc>
          <w:tcPr>
            <w:tcW w:w="636" w:type="dxa"/>
            <w:tcBorders>
              <w:top w:val="nil"/>
              <w:left w:val="nil"/>
              <w:bottom w:val="single" w:color="auto" w:sz="4" w:space="0"/>
              <w:right w:val="single" w:color="auto" w:sz="4" w:space="0"/>
            </w:tcBorders>
            <w:noWrap/>
            <w:vAlign w:val="center"/>
          </w:tcPr>
          <w:p>
            <w:pPr>
              <w:widowControl/>
              <w:jc w:val="center"/>
              <w:rPr>
                <w:rFonts w:hint="eastAsia" w:ascii="宋体" w:eastAsia="宋体" w:cs="宋体"/>
                <w:b w:val="0"/>
                <w:sz w:val="19"/>
                <w:szCs w:val="19"/>
              </w:rPr>
            </w:pPr>
            <w:r>
              <w:rPr>
                <w:rFonts w:hint="eastAsia" w:ascii="宋体" w:eastAsia="宋体" w:cs="宋体"/>
                <w:b w:val="0"/>
                <w:sz w:val="19"/>
                <w:szCs w:val="19"/>
              </w:rPr>
              <w:t>项</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eastAsia="宋体" w:cs="宋体"/>
                <w:b w:val="0"/>
                <w:sz w:val="19"/>
                <w:szCs w:val="19"/>
              </w:rPr>
            </w:pPr>
            <w:r>
              <w:rPr>
                <w:rFonts w:hint="eastAsia" w:ascii="宋体" w:eastAsia="宋体" w:cs="宋体"/>
                <w:b w:val="0"/>
                <w:sz w:val="19"/>
                <w:szCs w:val="19"/>
              </w:rPr>
              <w:t>1年</w:t>
            </w:r>
          </w:p>
          <w:p>
            <w:pPr>
              <w:widowControl/>
              <w:jc w:val="center"/>
              <w:rPr>
                <w:rFonts w:hint="eastAsia" w:ascii="宋体" w:eastAsia="宋体" w:cs="宋体"/>
                <w:b w:val="0"/>
                <w:sz w:val="19"/>
                <w:szCs w:val="19"/>
              </w:rPr>
            </w:pPr>
            <w:r>
              <w:rPr>
                <w:rFonts w:ascii="宋体" w:eastAsia="宋体" w:cs="宋体"/>
                <w:b w:val="0"/>
                <w:sz w:val="19"/>
                <w:szCs w:val="19"/>
              </w:rPr>
              <w:t>维护</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eastAsia="宋体" w:cs="宋体"/>
                <w:b w:val="0"/>
                <w:color w:val="auto"/>
                <w:sz w:val="19"/>
                <w:szCs w:val="19"/>
              </w:rPr>
            </w:pPr>
            <w:r>
              <w:rPr>
                <w:rFonts w:ascii="宋体" w:eastAsia="宋体" w:cs="宋体"/>
                <w:b w:val="0"/>
                <w:color w:val="auto"/>
                <w:sz w:val="19"/>
                <w:szCs w:val="19"/>
              </w:rPr>
              <w:t>3</w:t>
            </w:r>
          </w:p>
        </w:tc>
        <w:tc>
          <w:tcPr>
            <w:tcW w:w="1148"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路口信号检测智能报障平台及故障维修全程监控管理平台</w:t>
            </w:r>
          </w:p>
        </w:tc>
        <w:tc>
          <w:tcPr>
            <w:tcW w:w="6027"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详见</w:t>
            </w:r>
            <w:r>
              <w:rPr>
                <w:rFonts w:ascii="宋体" w:eastAsia="宋体" w:cs="宋体"/>
                <w:b w:val="0"/>
                <w:color w:val="auto"/>
                <w:sz w:val="19"/>
                <w:szCs w:val="19"/>
              </w:rPr>
              <w:t>招标文件要求</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1</w:t>
            </w:r>
          </w:p>
        </w:tc>
        <w:tc>
          <w:tcPr>
            <w:tcW w:w="636" w:type="dxa"/>
            <w:tcBorders>
              <w:top w:val="nil"/>
              <w:left w:val="nil"/>
              <w:bottom w:val="single" w:color="auto" w:sz="4" w:space="0"/>
              <w:right w:val="single" w:color="auto" w:sz="4" w:space="0"/>
            </w:tcBorders>
            <w:noWrap/>
            <w:vAlign w:val="center"/>
          </w:tcPr>
          <w:p>
            <w:pPr>
              <w:widowControl/>
              <w:jc w:val="center"/>
              <w:rPr>
                <w:rFonts w:hint="eastAsia" w:ascii="宋体" w:eastAsia="宋体" w:cs="宋体"/>
                <w:b w:val="0"/>
                <w:sz w:val="19"/>
                <w:szCs w:val="19"/>
              </w:rPr>
            </w:pPr>
            <w:r>
              <w:rPr>
                <w:rFonts w:hint="eastAsia" w:ascii="宋体" w:eastAsia="宋体" w:cs="宋体"/>
                <w:b w:val="0"/>
                <w:sz w:val="19"/>
                <w:szCs w:val="19"/>
              </w:rPr>
              <w:t>项</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eastAsia="宋体" w:cs="宋体"/>
                <w:b w:val="0"/>
                <w:sz w:val="19"/>
                <w:szCs w:val="19"/>
              </w:rPr>
            </w:pPr>
            <w:r>
              <w:rPr>
                <w:rFonts w:hint="eastAsia" w:ascii="宋体" w:eastAsia="宋体" w:cs="宋体"/>
                <w:b w:val="0"/>
                <w:sz w:val="19"/>
                <w:szCs w:val="19"/>
              </w:rPr>
              <w:t>5年</w:t>
            </w:r>
          </w:p>
          <w:p>
            <w:pPr>
              <w:widowControl/>
              <w:jc w:val="center"/>
              <w:rPr>
                <w:rFonts w:hint="eastAsia" w:ascii="宋体" w:eastAsia="宋体" w:cs="宋体"/>
                <w:b w:val="0"/>
                <w:sz w:val="19"/>
                <w:szCs w:val="19"/>
              </w:rPr>
            </w:pPr>
            <w:r>
              <w:rPr>
                <w:rFonts w:ascii="宋体" w:eastAsia="宋体" w:cs="宋体"/>
                <w:b w:val="0"/>
                <w:sz w:val="19"/>
                <w:szCs w:val="19"/>
              </w:rPr>
              <w:t>维护</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eastAsia="宋体" w:cs="宋体"/>
                <w:b w:val="0"/>
                <w:color w:val="auto"/>
                <w:sz w:val="19"/>
                <w:szCs w:val="19"/>
              </w:rPr>
            </w:pPr>
            <w:r>
              <w:rPr>
                <w:rFonts w:ascii="宋体" w:eastAsia="宋体" w:cs="宋体"/>
                <w:b w:val="0"/>
                <w:color w:val="auto"/>
                <w:sz w:val="19"/>
                <w:szCs w:val="19"/>
              </w:rPr>
              <w:t>4</w:t>
            </w:r>
          </w:p>
        </w:tc>
        <w:tc>
          <w:tcPr>
            <w:tcW w:w="1148"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二级等保测评服务费</w:t>
            </w:r>
          </w:p>
        </w:tc>
        <w:tc>
          <w:tcPr>
            <w:tcW w:w="6027"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eastAsia="宋体" w:cs="宋体"/>
                <w:b w:val="0"/>
                <w:color w:val="auto"/>
                <w:sz w:val="19"/>
                <w:szCs w:val="19"/>
              </w:rPr>
            </w:pPr>
            <w:r>
              <w:rPr>
                <w:rFonts w:hint="eastAsia" w:ascii="宋体" w:eastAsia="宋体" w:cs="宋体"/>
                <w:b w:val="0"/>
                <w:color w:val="auto"/>
                <w:sz w:val="19"/>
                <w:szCs w:val="19"/>
              </w:rPr>
              <w:t>路口车辆溢出事件检测应急平台及路段全程拼接交通事件感知、路口诊断及应用系统共2项</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2</w:t>
            </w:r>
          </w:p>
        </w:tc>
        <w:tc>
          <w:tcPr>
            <w:tcW w:w="636" w:type="dxa"/>
            <w:tcBorders>
              <w:top w:val="nil"/>
              <w:left w:val="nil"/>
              <w:bottom w:val="single" w:color="auto" w:sz="4" w:space="0"/>
              <w:right w:val="single" w:color="auto" w:sz="4" w:space="0"/>
            </w:tcBorders>
            <w:noWrap/>
            <w:vAlign w:val="center"/>
          </w:tcPr>
          <w:p>
            <w:pPr>
              <w:widowControl/>
              <w:jc w:val="center"/>
              <w:rPr>
                <w:rFonts w:hint="eastAsia" w:ascii="宋体" w:eastAsia="宋体" w:cs="宋体"/>
                <w:b w:val="0"/>
                <w:sz w:val="19"/>
                <w:szCs w:val="19"/>
              </w:rPr>
            </w:pPr>
            <w:r>
              <w:rPr>
                <w:rFonts w:hint="eastAsia" w:ascii="宋体" w:eastAsia="宋体" w:cs="宋体"/>
                <w:b w:val="0"/>
                <w:sz w:val="19"/>
                <w:szCs w:val="19"/>
              </w:rPr>
              <w:t>项</w:t>
            </w:r>
          </w:p>
        </w:tc>
        <w:tc>
          <w:tcPr>
            <w:tcW w:w="717" w:type="dxa"/>
            <w:tcBorders>
              <w:top w:val="nil"/>
              <w:left w:val="nil"/>
              <w:bottom w:val="single" w:color="auto" w:sz="4" w:space="0"/>
              <w:right w:val="single" w:color="auto" w:sz="4" w:space="0"/>
            </w:tcBorders>
            <w:noWrap w:val="0"/>
            <w:vAlign w:val="top"/>
          </w:tcPr>
          <w:p>
            <w:pPr>
              <w:widowControl/>
              <w:jc w:val="center"/>
              <w:rPr>
                <w:rFonts w:hint="eastAsia" w:ascii="宋体" w:eastAsia="宋体" w:cs="宋体"/>
                <w:b w:val="0"/>
                <w:sz w:val="19"/>
                <w:szCs w:val="19"/>
              </w:rPr>
            </w:pPr>
          </w:p>
        </w:tc>
      </w:tr>
      <w:tr>
        <w:tblPrEx>
          <w:tblCellMar>
            <w:top w:w="0" w:type="dxa"/>
            <w:left w:w="108" w:type="dxa"/>
            <w:bottom w:w="0" w:type="dxa"/>
            <w:right w:w="108" w:type="dxa"/>
          </w:tblCellMar>
        </w:tblPrEx>
        <w:trPr>
          <w:trHeight w:val="480" w:hRule="atLeast"/>
          <w:jc w:val="center"/>
        </w:trPr>
        <w:tc>
          <w:tcPr>
            <w:tcW w:w="9681" w:type="dxa"/>
            <w:gridSpan w:val="6"/>
            <w:tcBorders>
              <w:top w:val="nil"/>
              <w:left w:val="single" w:color="auto" w:sz="4" w:space="0"/>
              <w:bottom w:val="single" w:color="auto" w:sz="4" w:space="0"/>
              <w:right w:val="single" w:color="auto" w:sz="4" w:space="0"/>
            </w:tcBorders>
            <w:noWrap w:val="0"/>
            <w:vAlign w:val="center"/>
          </w:tcPr>
          <w:p>
            <w:pPr>
              <w:widowControl/>
              <w:jc w:val="left"/>
              <w:rPr>
                <w:rFonts w:hint="eastAsia" w:ascii="宋体" w:eastAsia="宋体" w:cs="宋体"/>
                <w:bCs/>
                <w:sz w:val="19"/>
                <w:szCs w:val="19"/>
              </w:rPr>
            </w:pPr>
            <w:r>
              <w:rPr>
                <w:rFonts w:hint="eastAsia" w:ascii="宋体" w:eastAsia="宋体" w:cs="宋体"/>
                <w:b/>
                <w:bCs w:val="0"/>
                <w:sz w:val="19"/>
                <w:szCs w:val="19"/>
              </w:rPr>
              <w:t>三</w:t>
            </w:r>
            <w:r>
              <w:rPr>
                <w:rFonts w:ascii="宋体" w:eastAsia="宋体" w:cs="宋体"/>
                <w:b/>
                <w:bCs w:val="0"/>
                <w:sz w:val="19"/>
                <w:szCs w:val="19"/>
              </w:rPr>
              <w:t>、系统维护部分</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eastAsia="宋体" w:cs="宋体"/>
                <w:b w:val="0"/>
                <w:color w:val="auto"/>
                <w:sz w:val="19"/>
                <w:szCs w:val="19"/>
              </w:rPr>
            </w:pPr>
            <w:r>
              <w:rPr>
                <w:rFonts w:ascii="宋体" w:eastAsia="宋体" w:cs="宋体"/>
                <w:b w:val="0"/>
                <w:color w:val="auto"/>
                <w:sz w:val="19"/>
                <w:szCs w:val="19"/>
              </w:rPr>
              <w:t>1</w:t>
            </w:r>
          </w:p>
        </w:tc>
        <w:tc>
          <w:tcPr>
            <w:tcW w:w="1148"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防雷器（含电源、防雷）</w:t>
            </w:r>
          </w:p>
        </w:tc>
        <w:tc>
          <w:tcPr>
            <w:tcW w:w="6027"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eastAsia="宋体" w:cs="宋体"/>
                <w:b w:val="0"/>
                <w:color w:val="auto"/>
                <w:sz w:val="19"/>
                <w:szCs w:val="19"/>
              </w:rPr>
            </w:pPr>
            <w:r>
              <w:rPr>
                <w:rFonts w:hint="eastAsia" w:ascii="宋体" w:eastAsia="宋体" w:cs="宋体"/>
                <w:b w:val="0"/>
                <w:color w:val="auto"/>
                <w:sz w:val="19"/>
                <w:szCs w:val="19"/>
              </w:rPr>
              <w:t>国内外知名品牌，3C认证。电源防雷器，单相过电压保护器，最大持续工作电压Uc≥385V，标称放电电流In≥20kA,最大放电电流Imax≥40kA;信号防雷器，标称放电电流In≥5kA,最大放电电流Imax≥10kA</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138</w:t>
            </w:r>
          </w:p>
        </w:tc>
        <w:tc>
          <w:tcPr>
            <w:tcW w:w="636" w:type="dxa"/>
            <w:tcBorders>
              <w:top w:val="nil"/>
              <w:left w:val="nil"/>
              <w:bottom w:val="single" w:color="auto" w:sz="4" w:space="0"/>
              <w:right w:val="single" w:color="auto" w:sz="4" w:space="0"/>
            </w:tcBorders>
            <w:noWrap/>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个</w:t>
            </w:r>
          </w:p>
        </w:tc>
        <w:tc>
          <w:tcPr>
            <w:tcW w:w="71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配件</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eastAsia="宋体" w:cs="宋体"/>
                <w:b w:val="0"/>
                <w:color w:val="auto"/>
                <w:sz w:val="19"/>
                <w:szCs w:val="19"/>
              </w:rPr>
            </w:pPr>
            <w:r>
              <w:rPr>
                <w:rFonts w:ascii="宋体" w:eastAsia="宋体" w:cs="宋体"/>
                <w:b w:val="0"/>
                <w:color w:val="auto"/>
                <w:sz w:val="19"/>
                <w:szCs w:val="19"/>
              </w:rPr>
              <w:t>2</w:t>
            </w:r>
          </w:p>
        </w:tc>
        <w:tc>
          <w:tcPr>
            <w:tcW w:w="1148"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稳压器</w:t>
            </w:r>
          </w:p>
        </w:tc>
        <w:tc>
          <w:tcPr>
            <w:tcW w:w="6027"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eastAsia="宋体" w:cs="宋体"/>
                <w:b w:val="0"/>
                <w:color w:val="auto"/>
                <w:sz w:val="19"/>
                <w:szCs w:val="19"/>
              </w:rPr>
            </w:pPr>
            <w:r>
              <w:rPr>
                <w:rFonts w:hint="eastAsia" w:ascii="宋体" w:eastAsia="宋体" w:cs="宋体"/>
                <w:b w:val="0"/>
                <w:color w:val="auto"/>
                <w:sz w:val="19"/>
                <w:szCs w:val="19"/>
              </w:rPr>
              <w:t>单相高精度全自动交流电源稳压器，有延时、过压、欠压等保护功能，功率≥5KVA，绝缘电阻≥50M欧姆，单相输入电压：160-250V，单相输出电压：220V，稳压精度：220V±3%，调整时间：输入电压变化10%时&lt;1S，频率：50HZ/60HZ，负载功率因数：0.8。国内外知名品牌，3C认证</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138</w:t>
            </w:r>
          </w:p>
        </w:tc>
        <w:tc>
          <w:tcPr>
            <w:tcW w:w="636" w:type="dxa"/>
            <w:tcBorders>
              <w:top w:val="nil"/>
              <w:left w:val="nil"/>
              <w:bottom w:val="single" w:color="auto" w:sz="4" w:space="0"/>
              <w:right w:val="single" w:color="auto" w:sz="4" w:space="0"/>
            </w:tcBorders>
            <w:noWrap/>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台</w:t>
            </w:r>
          </w:p>
        </w:tc>
        <w:tc>
          <w:tcPr>
            <w:tcW w:w="71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配件</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eastAsia="宋体" w:cs="宋体"/>
                <w:b w:val="0"/>
                <w:color w:val="auto"/>
                <w:sz w:val="19"/>
                <w:szCs w:val="19"/>
              </w:rPr>
            </w:pPr>
            <w:r>
              <w:rPr>
                <w:rFonts w:ascii="宋体" w:eastAsia="宋体" w:cs="宋体"/>
                <w:b w:val="0"/>
                <w:color w:val="auto"/>
                <w:sz w:val="19"/>
                <w:szCs w:val="19"/>
              </w:rPr>
              <w:t>3</w:t>
            </w:r>
          </w:p>
        </w:tc>
        <w:tc>
          <w:tcPr>
            <w:tcW w:w="1148"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灯组板</w:t>
            </w:r>
          </w:p>
        </w:tc>
        <w:tc>
          <w:tcPr>
            <w:tcW w:w="6027"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eastAsia="宋体" w:cs="宋体"/>
                <w:b w:val="0"/>
                <w:color w:val="auto"/>
                <w:sz w:val="19"/>
                <w:szCs w:val="19"/>
              </w:rPr>
            </w:pPr>
            <w:r>
              <w:rPr>
                <w:rFonts w:hint="eastAsia" w:ascii="宋体" w:eastAsia="宋体" w:cs="宋体"/>
                <w:b w:val="0"/>
                <w:color w:val="auto"/>
                <w:sz w:val="19"/>
                <w:szCs w:val="19"/>
              </w:rPr>
              <w:t>每个灯组输出额定功率5A/220VAC。灯组控制模块高度集成设计，每个灯控模块集成8灯组输出功能，每个灯组每灯色均有熔断器;</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152</w:t>
            </w:r>
          </w:p>
        </w:tc>
        <w:tc>
          <w:tcPr>
            <w:tcW w:w="636" w:type="dxa"/>
            <w:tcBorders>
              <w:top w:val="nil"/>
              <w:left w:val="nil"/>
              <w:bottom w:val="single" w:color="auto" w:sz="4" w:space="0"/>
              <w:right w:val="single" w:color="auto" w:sz="4" w:space="0"/>
            </w:tcBorders>
            <w:noWrap/>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台</w:t>
            </w:r>
          </w:p>
        </w:tc>
        <w:tc>
          <w:tcPr>
            <w:tcW w:w="71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配件</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eastAsia="宋体" w:cs="宋体"/>
                <w:b w:val="0"/>
                <w:color w:val="auto"/>
                <w:sz w:val="19"/>
                <w:szCs w:val="19"/>
              </w:rPr>
            </w:pPr>
            <w:r>
              <w:rPr>
                <w:rFonts w:ascii="宋体" w:eastAsia="宋体" w:cs="宋体"/>
                <w:b w:val="0"/>
                <w:color w:val="auto"/>
                <w:sz w:val="19"/>
                <w:szCs w:val="19"/>
              </w:rPr>
              <w:t>4</w:t>
            </w:r>
          </w:p>
        </w:tc>
        <w:tc>
          <w:tcPr>
            <w:tcW w:w="1148"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电源板</w:t>
            </w:r>
          </w:p>
        </w:tc>
        <w:tc>
          <w:tcPr>
            <w:tcW w:w="6027"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eastAsia="宋体" w:cs="宋体"/>
                <w:b w:val="0"/>
                <w:color w:val="auto"/>
                <w:sz w:val="19"/>
                <w:szCs w:val="19"/>
              </w:rPr>
            </w:pPr>
            <w:r>
              <w:rPr>
                <w:rFonts w:hint="eastAsia" w:ascii="宋体" w:eastAsia="宋体" w:cs="宋体"/>
                <w:b w:val="0"/>
                <w:color w:val="auto"/>
                <w:sz w:val="19"/>
                <w:szCs w:val="19"/>
              </w:rPr>
              <w:t>集成5V、8V、12V、24V电路控制，配置24VDC/230VAC、3.15A安全保险，提供12个可定义外部输出和12个输入端子，输出端子用于驱动外部装置（可变标识，驱动其他设备等），输入端子用于外部装置的监视；</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76</w:t>
            </w:r>
          </w:p>
        </w:tc>
        <w:tc>
          <w:tcPr>
            <w:tcW w:w="636" w:type="dxa"/>
            <w:tcBorders>
              <w:top w:val="nil"/>
              <w:left w:val="nil"/>
              <w:bottom w:val="single" w:color="auto" w:sz="4" w:space="0"/>
              <w:right w:val="single" w:color="auto" w:sz="4" w:space="0"/>
            </w:tcBorders>
            <w:noWrap/>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台</w:t>
            </w:r>
          </w:p>
        </w:tc>
        <w:tc>
          <w:tcPr>
            <w:tcW w:w="71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配件</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eastAsia="宋体" w:cs="宋体"/>
                <w:b w:val="0"/>
                <w:color w:val="auto"/>
                <w:sz w:val="19"/>
                <w:szCs w:val="19"/>
              </w:rPr>
            </w:pPr>
            <w:r>
              <w:rPr>
                <w:rFonts w:ascii="宋体" w:eastAsia="宋体" w:cs="宋体"/>
                <w:b w:val="0"/>
                <w:color w:val="auto"/>
                <w:sz w:val="19"/>
                <w:szCs w:val="19"/>
              </w:rPr>
              <w:t>5</w:t>
            </w:r>
          </w:p>
        </w:tc>
        <w:tc>
          <w:tcPr>
            <w:tcW w:w="1148"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地址板</w:t>
            </w:r>
          </w:p>
        </w:tc>
        <w:tc>
          <w:tcPr>
            <w:tcW w:w="6027"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eastAsia="宋体" w:cs="宋体"/>
                <w:b w:val="0"/>
                <w:color w:val="auto"/>
                <w:sz w:val="19"/>
                <w:szCs w:val="19"/>
              </w:rPr>
            </w:pPr>
            <w:r>
              <w:rPr>
                <w:rFonts w:hint="eastAsia" w:ascii="宋体" w:eastAsia="宋体" w:cs="宋体"/>
                <w:b w:val="0"/>
                <w:color w:val="auto"/>
                <w:sz w:val="19"/>
                <w:szCs w:val="19"/>
              </w:rPr>
              <w:t>提供路口地址识别功能以及手控开关、主接触器、黄闪器等功能接口。</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76</w:t>
            </w:r>
          </w:p>
        </w:tc>
        <w:tc>
          <w:tcPr>
            <w:tcW w:w="636" w:type="dxa"/>
            <w:tcBorders>
              <w:top w:val="nil"/>
              <w:left w:val="nil"/>
              <w:bottom w:val="single" w:color="auto" w:sz="4" w:space="0"/>
              <w:right w:val="single" w:color="auto" w:sz="4" w:space="0"/>
            </w:tcBorders>
            <w:noWrap/>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台</w:t>
            </w:r>
          </w:p>
        </w:tc>
        <w:tc>
          <w:tcPr>
            <w:tcW w:w="71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配件</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eastAsia="宋体" w:cs="宋体"/>
                <w:b w:val="0"/>
                <w:color w:val="auto"/>
                <w:sz w:val="19"/>
                <w:szCs w:val="19"/>
              </w:rPr>
            </w:pPr>
            <w:r>
              <w:rPr>
                <w:rFonts w:ascii="宋体" w:eastAsia="宋体" w:cs="宋体"/>
                <w:b w:val="0"/>
                <w:color w:val="auto"/>
                <w:sz w:val="19"/>
                <w:szCs w:val="19"/>
              </w:rPr>
              <w:t>6</w:t>
            </w:r>
          </w:p>
        </w:tc>
        <w:tc>
          <w:tcPr>
            <w:tcW w:w="1148"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主控板</w:t>
            </w:r>
          </w:p>
        </w:tc>
        <w:tc>
          <w:tcPr>
            <w:tcW w:w="6027"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eastAsia="宋体" w:cs="宋体"/>
                <w:b w:val="0"/>
                <w:color w:val="auto"/>
                <w:sz w:val="19"/>
                <w:szCs w:val="19"/>
              </w:rPr>
            </w:pPr>
            <w:r>
              <w:rPr>
                <w:rFonts w:hint="eastAsia" w:ascii="宋体" w:eastAsia="宋体" w:cs="宋体"/>
                <w:b w:val="0"/>
                <w:color w:val="auto"/>
                <w:sz w:val="19"/>
                <w:szCs w:val="19"/>
              </w:rPr>
              <w:t>采用32位核心CPU，提供信号机状态监控、联网通讯、连接手持操作终端、数据存储卡及外部设备功能。</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76</w:t>
            </w:r>
          </w:p>
        </w:tc>
        <w:tc>
          <w:tcPr>
            <w:tcW w:w="636" w:type="dxa"/>
            <w:tcBorders>
              <w:top w:val="nil"/>
              <w:left w:val="nil"/>
              <w:bottom w:val="single" w:color="auto" w:sz="4" w:space="0"/>
              <w:right w:val="single" w:color="auto" w:sz="4" w:space="0"/>
            </w:tcBorders>
            <w:noWrap/>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台</w:t>
            </w:r>
          </w:p>
        </w:tc>
        <w:tc>
          <w:tcPr>
            <w:tcW w:w="71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配件</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eastAsia="宋体" w:cs="宋体"/>
                <w:b w:val="0"/>
                <w:color w:val="auto"/>
                <w:sz w:val="19"/>
                <w:szCs w:val="19"/>
              </w:rPr>
            </w:pPr>
            <w:r>
              <w:rPr>
                <w:rFonts w:ascii="宋体" w:eastAsia="宋体" w:cs="宋体"/>
                <w:b w:val="0"/>
                <w:color w:val="auto"/>
                <w:sz w:val="19"/>
                <w:szCs w:val="19"/>
              </w:rPr>
              <w:t>7</w:t>
            </w:r>
          </w:p>
        </w:tc>
        <w:tc>
          <w:tcPr>
            <w:tcW w:w="1148"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检测板</w:t>
            </w:r>
          </w:p>
        </w:tc>
        <w:tc>
          <w:tcPr>
            <w:tcW w:w="6027"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eastAsia="宋体" w:cs="宋体"/>
                <w:b w:val="0"/>
                <w:color w:val="auto"/>
                <w:sz w:val="19"/>
                <w:szCs w:val="19"/>
              </w:rPr>
            </w:pPr>
            <w:r>
              <w:rPr>
                <w:rFonts w:hint="eastAsia" w:ascii="宋体" w:eastAsia="宋体" w:cs="宋体"/>
                <w:b w:val="0"/>
                <w:color w:val="auto"/>
                <w:sz w:val="19"/>
                <w:szCs w:val="19"/>
              </w:rPr>
              <w:t>提供16路地感线圈检测通道和16路开关量输入通道，支持地感线圈、无线地磁、视频检测、微波雷达等外部检测装置;</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152</w:t>
            </w:r>
          </w:p>
        </w:tc>
        <w:tc>
          <w:tcPr>
            <w:tcW w:w="636" w:type="dxa"/>
            <w:tcBorders>
              <w:top w:val="nil"/>
              <w:left w:val="nil"/>
              <w:bottom w:val="single" w:color="auto" w:sz="4" w:space="0"/>
              <w:right w:val="single" w:color="auto" w:sz="4" w:space="0"/>
            </w:tcBorders>
            <w:noWrap/>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台</w:t>
            </w:r>
          </w:p>
        </w:tc>
        <w:tc>
          <w:tcPr>
            <w:tcW w:w="71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配件</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eastAsia="宋体" w:cs="宋体"/>
                <w:b w:val="0"/>
                <w:color w:val="auto"/>
                <w:sz w:val="19"/>
                <w:szCs w:val="19"/>
              </w:rPr>
            </w:pPr>
            <w:r>
              <w:rPr>
                <w:rFonts w:ascii="宋体" w:eastAsia="宋体" w:cs="宋体"/>
                <w:b w:val="0"/>
                <w:color w:val="auto"/>
                <w:sz w:val="19"/>
                <w:szCs w:val="19"/>
              </w:rPr>
              <w:t>8</w:t>
            </w:r>
          </w:p>
        </w:tc>
        <w:tc>
          <w:tcPr>
            <w:tcW w:w="1148"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黄闪器</w:t>
            </w:r>
          </w:p>
        </w:tc>
        <w:tc>
          <w:tcPr>
            <w:tcW w:w="6027"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eastAsia="宋体" w:cs="宋体"/>
                <w:b w:val="0"/>
                <w:color w:val="auto"/>
                <w:sz w:val="19"/>
                <w:szCs w:val="19"/>
              </w:rPr>
            </w:pPr>
            <w:r>
              <w:rPr>
                <w:rFonts w:hint="eastAsia" w:ascii="宋体" w:eastAsia="宋体" w:cs="宋体"/>
                <w:b w:val="0"/>
                <w:color w:val="auto"/>
                <w:sz w:val="19"/>
                <w:szCs w:val="19"/>
              </w:rPr>
              <w:t>提供信号机黄闪功能，硬件独立工作，供电正常情况下，即可提供黄闪输出。</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76</w:t>
            </w:r>
          </w:p>
        </w:tc>
        <w:tc>
          <w:tcPr>
            <w:tcW w:w="636" w:type="dxa"/>
            <w:tcBorders>
              <w:top w:val="nil"/>
              <w:left w:val="nil"/>
              <w:bottom w:val="single" w:color="auto" w:sz="4" w:space="0"/>
              <w:right w:val="single" w:color="auto" w:sz="4" w:space="0"/>
            </w:tcBorders>
            <w:noWrap/>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台</w:t>
            </w:r>
          </w:p>
        </w:tc>
        <w:tc>
          <w:tcPr>
            <w:tcW w:w="717"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配件</w:t>
            </w:r>
          </w:p>
        </w:tc>
      </w:tr>
      <w:tr>
        <w:tblPrEx>
          <w:tblCellMar>
            <w:top w:w="0" w:type="dxa"/>
            <w:left w:w="108" w:type="dxa"/>
            <w:bottom w:w="0" w:type="dxa"/>
            <w:right w:w="108" w:type="dxa"/>
          </w:tblCellMar>
        </w:tblPrEx>
        <w:trPr>
          <w:trHeight w:val="480" w:hRule="atLeast"/>
          <w:jc w:val="center"/>
        </w:trPr>
        <w:tc>
          <w:tcPr>
            <w:tcW w:w="5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eastAsia="宋体" w:cs="宋体"/>
                <w:b w:val="0"/>
                <w:color w:val="auto"/>
                <w:sz w:val="19"/>
                <w:szCs w:val="19"/>
              </w:rPr>
            </w:pPr>
            <w:r>
              <w:rPr>
                <w:rFonts w:ascii="宋体" w:eastAsia="宋体" w:cs="宋体"/>
                <w:b w:val="0"/>
                <w:color w:val="auto"/>
                <w:sz w:val="19"/>
                <w:szCs w:val="19"/>
              </w:rPr>
              <w:t>9</w:t>
            </w:r>
          </w:p>
        </w:tc>
        <w:tc>
          <w:tcPr>
            <w:tcW w:w="114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芯片卡</w:t>
            </w:r>
          </w:p>
        </w:tc>
        <w:tc>
          <w:tcPr>
            <w:tcW w:w="602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宋体" w:eastAsia="宋体" w:cs="宋体"/>
                <w:b w:val="0"/>
                <w:color w:val="auto"/>
                <w:sz w:val="19"/>
                <w:szCs w:val="19"/>
              </w:rPr>
            </w:pPr>
            <w:r>
              <w:rPr>
                <w:rFonts w:hint="eastAsia" w:ascii="宋体" w:eastAsia="宋体" w:cs="宋体"/>
                <w:b w:val="0"/>
                <w:color w:val="auto"/>
                <w:sz w:val="19"/>
                <w:szCs w:val="19"/>
              </w:rPr>
              <w:t>PCMCIA接口，可存储经过编译的路口特征软件，数据存储安全可靠，不会轻易丢失。</w:t>
            </w:r>
          </w:p>
        </w:tc>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76</w:t>
            </w:r>
          </w:p>
        </w:tc>
        <w:tc>
          <w:tcPr>
            <w:tcW w:w="6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台</w:t>
            </w:r>
          </w:p>
        </w:tc>
        <w:tc>
          <w:tcPr>
            <w:tcW w:w="7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配件</w:t>
            </w:r>
          </w:p>
        </w:tc>
      </w:tr>
      <w:tr>
        <w:tblPrEx>
          <w:tblCellMar>
            <w:top w:w="0" w:type="dxa"/>
            <w:left w:w="108" w:type="dxa"/>
            <w:bottom w:w="0" w:type="dxa"/>
            <w:right w:w="108" w:type="dxa"/>
          </w:tblCellMar>
        </w:tblPrEx>
        <w:trPr>
          <w:trHeight w:val="480" w:hRule="atLeast"/>
          <w:jc w:val="center"/>
        </w:trPr>
        <w:tc>
          <w:tcPr>
            <w:tcW w:w="5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eastAsia="宋体" w:cs="宋体"/>
                <w:b w:val="0"/>
                <w:color w:val="auto"/>
                <w:sz w:val="19"/>
                <w:szCs w:val="19"/>
              </w:rPr>
            </w:pPr>
            <w:r>
              <w:rPr>
                <w:rFonts w:ascii="宋体" w:eastAsia="宋体" w:cs="宋体"/>
                <w:b w:val="0"/>
                <w:color w:val="auto"/>
                <w:sz w:val="19"/>
                <w:szCs w:val="19"/>
              </w:rPr>
              <w:t>10</w:t>
            </w:r>
          </w:p>
        </w:tc>
        <w:tc>
          <w:tcPr>
            <w:tcW w:w="114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信号专网网络服务费</w:t>
            </w:r>
          </w:p>
        </w:tc>
        <w:tc>
          <w:tcPr>
            <w:tcW w:w="6027"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hint="eastAsia" w:ascii="宋体" w:eastAsia="宋体" w:cs="宋体"/>
                <w:b w:val="0"/>
                <w:color w:val="auto"/>
                <w:sz w:val="19"/>
                <w:szCs w:val="19"/>
              </w:rPr>
            </w:pPr>
            <w:r>
              <w:rPr>
                <w:rFonts w:hint="eastAsia" w:ascii="宋体" w:eastAsia="宋体" w:cs="宋体"/>
                <w:b w:val="0"/>
                <w:color w:val="auto"/>
                <w:sz w:val="19"/>
                <w:szCs w:val="19"/>
              </w:rPr>
              <w:t>采用能实现故障快速定位的IPRAN、PTN等专用网络，部署在信号专网（与互联网完全隔离），对路口到机房的接入网络上进行线路保护。要求提供的传输带宽不低于4M。</w:t>
            </w:r>
          </w:p>
        </w:tc>
        <w:tc>
          <w:tcPr>
            <w:tcW w:w="6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173</w:t>
            </w:r>
          </w:p>
        </w:tc>
        <w:tc>
          <w:tcPr>
            <w:tcW w:w="63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eastAsia="宋体" w:cs="宋体"/>
                <w:b w:val="0"/>
                <w:sz w:val="19"/>
                <w:szCs w:val="19"/>
              </w:rPr>
            </w:pPr>
            <w:r>
              <w:rPr>
                <w:rFonts w:hint="eastAsia" w:ascii="宋体" w:eastAsia="宋体" w:cs="宋体"/>
                <w:b w:val="0"/>
                <w:sz w:val="19"/>
                <w:szCs w:val="19"/>
              </w:rPr>
              <w:t>路</w:t>
            </w:r>
          </w:p>
        </w:tc>
        <w:tc>
          <w:tcPr>
            <w:tcW w:w="717"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eastAsia="宋体" w:cs="宋体"/>
                <w:b w:val="0"/>
                <w:sz w:val="19"/>
                <w:szCs w:val="19"/>
              </w:rPr>
            </w:pP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eastAsia="宋体" w:cs="宋体"/>
                <w:b w:val="0"/>
                <w:color w:val="auto"/>
                <w:sz w:val="19"/>
                <w:szCs w:val="19"/>
              </w:rPr>
            </w:pPr>
            <w:r>
              <w:rPr>
                <w:rFonts w:ascii="宋体" w:eastAsia="宋体" w:cs="宋体"/>
                <w:b w:val="0"/>
                <w:color w:val="auto"/>
                <w:sz w:val="19"/>
                <w:szCs w:val="19"/>
              </w:rPr>
              <w:t>11</w:t>
            </w:r>
          </w:p>
        </w:tc>
        <w:tc>
          <w:tcPr>
            <w:tcW w:w="1148"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运维服务费</w:t>
            </w:r>
          </w:p>
        </w:tc>
        <w:tc>
          <w:tcPr>
            <w:tcW w:w="6027"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eastAsia="宋体" w:cs="宋体"/>
                <w:b w:val="0"/>
                <w:color w:val="auto"/>
                <w:sz w:val="19"/>
                <w:szCs w:val="19"/>
              </w:rPr>
            </w:pPr>
            <w:r>
              <w:rPr>
                <w:rFonts w:hint="eastAsia" w:ascii="宋体" w:eastAsia="宋体" w:cs="宋体"/>
                <w:b w:val="0"/>
                <w:color w:val="auto"/>
                <w:sz w:val="19"/>
                <w:szCs w:val="19"/>
              </w:rPr>
              <w:t>按651个方向、含场外8名维护人员，不少于2台维护工程车辆，场内驻点2名人员，包括7*24小时热线技术支持、故障抢修、定期性现场巡检、系统性能调优、技术培训、应急演练、节假日重点保障、报告服务等服务内容</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1</w:t>
            </w:r>
          </w:p>
        </w:tc>
        <w:tc>
          <w:tcPr>
            <w:tcW w:w="636" w:type="dxa"/>
            <w:tcBorders>
              <w:top w:val="nil"/>
              <w:left w:val="nil"/>
              <w:bottom w:val="single" w:color="auto" w:sz="4" w:space="0"/>
              <w:right w:val="single" w:color="auto" w:sz="4" w:space="0"/>
            </w:tcBorders>
            <w:noWrap/>
            <w:vAlign w:val="center"/>
          </w:tcPr>
          <w:p>
            <w:pPr>
              <w:widowControl/>
              <w:jc w:val="center"/>
              <w:rPr>
                <w:rFonts w:hint="eastAsia" w:ascii="宋体" w:eastAsia="宋体" w:cs="宋体"/>
                <w:b w:val="0"/>
                <w:sz w:val="19"/>
                <w:szCs w:val="19"/>
              </w:rPr>
            </w:pPr>
            <w:r>
              <w:rPr>
                <w:rFonts w:hint="eastAsia" w:ascii="宋体" w:eastAsia="宋体" w:cs="宋体"/>
                <w:b w:val="0"/>
                <w:sz w:val="19"/>
                <w:szCs w:val="19"/>
              </w:rPr>
              <w:t>项</w:t>
            </w:r>
          </w:p>
        </w:tc>
        <w:tc>
          <w:tcPr>
            <w:tcW w:w="717" w:type="dxa"/>
            <w:tcBorders>
              <w:top w:val="nil"/>
              <w:left w:val="nil"/>
              <w:bottom w:val="single" w:color="auto" w:sz="4" w:space="0"/>
              <w:right w:val="single" w:color="auto" w:sz="4" w:space="0"/>
            </w:tcBorders>
            <w:noWrap w:val="0"/>
            <w:vAlign w:val="top"/>
          </w:tcPr>
          <w:p>
            <w:pPr>
              <w:widowControl/>
              <w:jc w:val="center"/>
              <w:rPr>
                <w:rFonts w:hint="eastAsia" w:ascii="宋体" w:eastAsia="宋体" w:cs="宋体"/>
                <w:b w:val="0"/>
                <w:sz w:val="19"/>
                <w:szCs w:val="19"/>
              </w:rPr>
            </w:pPr>
          </w:p>
        </w:tc>
      </w:tr>
      <w:tr>
        <w:tblPrEx>
          <w:tblCellMar>
            <w:top w:w="0" w:type="dxa"/>
            <w:left w:w="108" w:type="dxa"/>
            <w:bottom w:w="0" w:type="dxa"/>
            <w:right w:w="108" w:type="dxa"/>
          </w:tblCellMar>
        </w:tblPrEx>
        <w:trPr>
          <w:trHeight w:val="480" w:hRule="atLeast"/>
          <w:jc w:val="center"/>
        </w:trPr>
        <w:tc>
          <w:tcPr>
            <w:tcW w:w="5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eastAsia="宋体" w:cs="宋体"/>
                <w:b w:val="0"/>
                <w:color w:val="auto"/>
                <w:sz w:val="19"/>
                <w:szCs w:val="19"/>
              </w:rPr>
            </w:pPr>
            <w:r>
              <w:rPr>
                <w:rFonts w:ascii="宋体" w:eastAsia="宋体" w:cs="宋体"/>
                <w:b w:val="0"/>
                <w:color w:val="auto"/>
                <w:sz w:val="19"/>
                <w:szCs w:val="19"/>
              </w:rPr>
              <w:t>12</w:t>
            </w:r>
          </w:p>
        </w:tc>
        <w:tc>
          <w:tcPr>
            <w:tcW w:w="114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系统集成费</w:t>
            </w:r>
          </w:p>
        </w:tc>
        <w:tc>
          <w:tcPr>
            <w:tcW w:w="602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宋体" w:eastAsia="宋体" w:cs="宋体"/>
                <w:b w:val="0"/>
                <w:color w:val="auto"/>
                <w:sz w:val="19"/>
                <w:szCs w:val="19"/>
              </w:rPr>
            </w:pPr>
            <w:r>
              <w:rPr>
                <w:rFonts w:hint="eastAsia" w:ascii="宋体" w:eastAsia="宋体" w:cs="宋体"/>
                <w:b w:val="0"/>
                <w:color w:val="auto"/>
                <w:sz w:val="19"/>
                <w:szCs w:val="19"/>
              </w:rPr>
              <w:t>含管理、培训、税金、货物包装、运输、装卸以及所有风险、责任等各项费用</w:t>
            </w:r>
          </w:p>
        </w:tc>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eastAsia="宋体" w:cs="宋体"/>
                <w:b w:val="0"/>
                <w:color w:val="auto"/>
                <w:sz w:val="19"/>
                <w:szCs w:val="19"/>
              </w:rPr>
            </w:pPr>
            <w:r>
              <w:rPr>
                <w:rFonts w:hint="eastAsia" w:ascii="宋体" w:eastAsia="宋体" w:cs="宋体"/>
                <w:b w:val="0"/>
                <w:color w:val="auto"/>
                <w:sz w:val="19"/>
                <w:szCs w:val="19"/>
              </w:rPr>
              <w:t>1</w:t>
            </w:r>
          </w:p>
        </w:tc>
        <w:tc>
          <w:tcPr>
            <w:tcW w:w="6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eastAsia="宋体" w:cs="宋体"/>
                <w:b w:val="0"/>
                <w:sz w:val="19"/>
                <w:szCs w:val="19"/>
              </w:rPr>
            </w:pPr>
            <w:r>
              <w:rPr>
                <w:rFonts w:hint="eastAsia" w:ascii="宋体" w:eastAsia="宋体" w:cs="宋体"/>
                <w:b w:val="0"/>
                <w:sz w:val="19"/>
                <w:szCs w:val="19"/>
              </w:rPr>
              <w:t>项</w:t>
            </w:r>
          </w:p>
        </w:tc>
        <w:tc>
          <w:tcPr>
            <w:tcW w:w="71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eastAsia="宋体" w:cs="宋体"/>
                <w:b w:val="0"/>
                <w:sz w:val="19"/>
                <w:szCs w:val="19"/>
              </w:rPr>
            </w:pPr>
          </w:p>
        </w:tc>
      </w:tr>
    </w:tbl>
    <w:p>
      <w:pPr>
        <w:spacing w:line="460" w:lineRule="exact"/>
        <w:ind w:firstLine="442" w:firstLineChars="200"/>
        <w:rPr>
          <w:rFonts w:eastAsia="新宋体"/>
          <w:b/>
          <w:bCs w:val="0"/>
          <w:sz w:val="22"/>
          <w:szCs w:val="22"/>
        </w:rPr>
      </w:pPr>
      <w:r>
        <w:rPr>
          <w:rFonts w:hint="eastAsia" w:eastAsia="新宋体"/>
          <w:b/>
          <w:bCs w:val="0"/>
          <w:sz w:val="22"/>
          <w:szCs w:val="22"/>
        </w:rPr>
        <w:t>注:以上设备为采购初步设备清单方案，投标人认为以上设备无法满足采购需要和实际需要的应在投标时补充相应设备，</w:t>
      </w:r>
      <w:r>
        <w:rPr>
          <w:rFonts w:eastAsia="新宋体"/>
          <w:b/>
          <w:bCs w:val="0"/>
          <w:sz w:val="22"/>
          <w:szCs w:val="22"/>
        </w:rPr>
        <w:t>但不得低于以上参数配置要求</w:t>
      </w:r>
      <w:r>
        <w:rPr>
          <w:rFonts w:hint="eastAsia" w:eastAsia="新宋体"/>
          <w:b/>
          <w:bCs w:val="0"/>
          <w:sz w:val="22"/>
          <w:szCs w:val="22"/>
        </w:rPr>
        <w:t>。如投标时未说明，造成实际建设过程缺少相应设备无法达到招标需求的，可认为此部分缺漏设备为投标缺项，由中标人免费提供。</w:t>
      </w:r>
    </w:p>
    <w:p>
      <w:pPr>
        <w:spacing w:line="460" w:lineRule="exact"/>
        <w:ind w:firstLine="442" w:firstLineChars="200"/>
        <w:rPr>
          <w:rFonts w:hint="eastAsia" w:eastAsia="新宋体"/>
          <w:b/>
          <w:bCs w:val="0"/>
          <w:sz w:val="22"/>
          <w:szCs w:val="22"/>
        </w:rPr>
      </w:pPr>
      <w:r>
        <w:rPr>
          <w:rFonts w:hint="eastAsia" w:eastAsia="新宋体"/>
          <w:b/>
          <w:bCs w:val="0"/>
          <w:sz w:val="22"/>
          <w:szCs w:val="22"/>
        </w:rPr>
        <w:t>原有</w:t>
      </w:r>
      <w:r>
        <w:rPr>
          <w:rFonts w:eastAsia="新宋体"/>
          <w:b/>
          <w:bCs w:val="0"/>
          <w:sz w:val="22"/>
          <w:szCs w:val="22"/>
        </w:rPr>
        <w:t>系统的</w:t>
      </w:r>
      <w:r>
        <w:rPr>
          <w:rFonts w:hint="eastAsia" w:eastAsia="新宋体"/>
          <w:b/>
          <w:bCs w:val="0"/>
          <w:sz w:val="22"/>
          <w:szCs w:val="22"/>
        </w:rPr>
        <w:t>维护</w:t>
      </w:r>
      <w:r>
        <w:rPr>
          <w:rFonts w:eastAsia="新宋体"/>
          <w:b/>
          <w:bCs w:val="0"/>
          <w:sz w:val="22"/>
          <w:szCs w:val="22"/>
        </w:rPr>
        <w:t>配件</w:t>
      </w:r>
      <w:r>
        <w:rPr>
          <w:rFonts w:hint="eastAsia" w:eastAsia="新宋体"/>
          <w:b/>
          <w:bCs w:val="0"/>
          <w:sz w:val="22"/>
          <w:szCs w:val="22"/>
        </w:rPr>
        <w:t>由中标单位负责提供存储仓库并保管，</w:t>
      </w:r>
      <w:r>
        <w:rPr>
          <w:rFonts w:eastAsia="新宋体"/>
          <w:b/>
          <w:bCs w:val="0"/>
          <w:sz w:val="22"/>
          <w:szCs w:val="22"/>
        </w:rPr>
        <w:t>第一年的</w:t>
      </w:r>
      <w:r>
        <w:rPr>
          <w:rFonts w:hint="eastAsia" w:eastAsia="新宋体"/>
          <w:b/>
          <w:bCs w:val="0"/>
          <w:sz w:val="22"/>
          <w:szCs w:val="22"/>
        </w:rPr>
        <w:t>购置</w:t>
      </w:r>
      <w:r>
        <w:rPr>
          <w:rFonts w:eastAsia="新宋体"/>
          <w:b/>
          <w:bCs w:val="0"/>
          <w:sz w:val="22"/>
          <w:szCs w:val="22"/>
        </w:rPr>
        <w:t>数量</w:t>
      </w:r>
      <w:r>
        <w:rPr>
          <w:rFonts w:hint="eastAsia" w:eastAsia="新宋体"/>
          <w:b/>
          <w:bCs w:val="0"/>
          <w:sz w:val="22"/>
          <w:szCs w:val="22"/>
        </w:rPr>
        <w:t>比例</w:t>
      </w:r>
      <w:r>
        <w:rPr>
          <w:rFonts w:eastAsia="新宋体"/>
          <w:b/>
          <w:bCs w:val="0"/>
          <w:sz w:val="22"/>
          <w:szCs w:val="22"/>
        </w:rPr>
        <w:t>不得少于总数的3</w:t>
      </w:r>
      <w:r>
        <w:rPr>
          <w:rFonts w:hint="eastAsia" w:eastAsia="新宋体"/>
          <w:b/>
          <w:bCs w:val="0"/>
          <w:sz w:val="22"/>
          <w:szCs w:val="22"/>
        </w:rPr>
        <w:t>0</w:t>
      </w:r>
      <w:r>
        <w:rPr>
          <w:rFonts w:eastAsia="新宋体"/>
          <w:b/>
          <w:bCs w:val="0"/>
          <w:sz w:val="22"/>
          <w:szCs w:val="22"/>
        </w:rPr>
        <w:t>%</w:t>
      </w:r>
      <w:r>
        <w:rPr>
          <w:rFonts w:hint="eastAsia" w:eastAsia="新宋体"/>
          <w:b/>
          <w:bCs w:val="0"/>
          <w:sz w:val="22"/>
          <w:szCs w:val="22"/>
        </w:rPr>
        <w:t>，并</w:t>
      </w:r>
      <w:r>
        <w:rPr>
          <w:rFonts w:eastAsia="新宋体"/>
          <w:b/>
          <w:bCs w:val="0"/>
          <w:sz w:val="22"/>
          <w:szCs w:val="22"/>
        </w:rPr>
        <w:t>作为</w:t>
      </w:r>
      <w:r>
        <w:rPr>
          <w:rFonts w:hint="eastAsia" w:eastAsia="新宋体"/>
          <w:b/>
          <w:bCs w:val="0"/>
          <w:sz w:val="22"/>
          <w:szCs w:val="22"/>
        </w:rPr>
        <w:t>项目</w:t>
      </w:r>
      <w:r>
        <w:rPr>
          <w:rFonts w:eastAsia="新宋体"/>
          <w:b/>
          <w:bCs w:val="0"/>
          <w:sz w:val="22"/>
          <w:szCs w:val="22"/>
        </w:rPr>
        <w:t>验收的</w:t>
      </w:r>
      <w:r>
        <w:rPr>
          <w:rFonts w:hint="eastAsia" w:eastAsia="新宋体"/>
          <w:b/>
          <w:bCs w:val="0"/>
          <w:sz w:val="22"/>
          <w:szCs w:val="22"/>
        </w:rPr>
        <w:t>一项</w:t>
      </w:r>
      <w:r>
        <w:rPr>
          <w:rFonts w:eastAsia="新宋体"/>
          <w:b/>
          <w:bCs w:val="0"/>
          <w:sz w:val="22"/>
          <w:szCs w:val="22"/>
        </w:rPr>
        <w:t>内容，5</w:t>
      </w:r>
      <w:r>
        <w:rPr>
          <w:rFonts w:hint="eastAsia" w:eastAsia="新宋体"/>
          <w:b/>
          <w:bCs w:val="0"/>
          <w:sz w:val="22"/>
          <w:szCs w:val="22"/>
        </w:rPr>
        <w:t>年</w:t>
      </w:r>
      <w:r>
        <w:rPr>
          <w:rFonts w:eastAsia="新宋体"/>
          <w:b/>
          <w:bCs w:val="0"/>
          <w:sz w:val="22"/>
          <w:szCs w:val="22"/>
        </w:rPr>
        <w:t>维护期满</w:t>
      </w:r>
      <w:r>
        <w:rPr>
          <w:rFonts w:hint="eastAsia" w:eastAsia="新宋体"/>
          <w:b/>
          <w:bCs w:val="0"/>
          <w:sz w:val="22"/>
          <w:szCs w:val="22"/>
        </w:rPr>
        <w:t>结算前</w:t>
      </w:r>
      <w:r>
        <w:rPr>
          <w:rFonts w:eastAsia="新宋体"/>
          <w:b/>
          <w:bCs w:val="0"/>
          <w:sz w:val="22"/>
          <w:szCs w:val="22"/>
        </w:rPr>
        <w:t>须提供全部</w:t>
      </w:r>
      <w:r>
        <w:rPr>
          <w:rFonts w:hint="eastAsia" w:eastAsia="新宋体"/>
          <w:b/>
          <w:bCs w:val="0"/>
          <w:sz w:val="22"/>
          <w:szCs w:val="22"/>
        </w:rPr>
        <w:t>数量的</w:t>
      </w:r>
      <w:r>
        <w:rPr>
          <w:rFonts w:eastAsia="新宋体"/>
          <w:b/>
          <w:bCs w:val="0"/>
          <w:sz w:val="22"/>
          <w:szCs w:val="22"/>
        </w:rPr>
        <w:t>配件。</w:t>
      </w:r>
      <w:r>
        <w:rPr>
          <w:rFonts w:hint="eastAsia" w:eastAsia="新宋体"/>
          <w:b/>
          <w:bCs w:val="0"/>
          <w:sz w:val="22"/>
          <w:szCs w:val="22"/>
        </w:rPr>
        <w:t>维护</w:t>
      </w:r>
      <w:r>
        <w:rPr>
          <w:rFonts w:eastAsia="新宋体"/>
          <w:b/>
          <w:bCs w:val="0"/>
          <w:sz w:val="22"/>
          <w:szCs w:val="22"/>
        </w:rPr>
        <w:t>配件</w:t>
      </w:r>
      <w:r>
        <w:rPr>
          <w:rFonts w:hint="eastAsia" w:eastAsia="新宋体"/>
          <w:b/>
          <w:bCs w:val="0"/>
          <w:sz w:val="22"/>
          <w:szCs w:val="22"/>
        </w:rPr>
        <w:t>需做好系统登记，交管局可随时抽查数量。</w:t>
      </w:r>
    </w:p>
    <w:p>
      <w:pPr>
        <w:spacing w:line="320" w:lineRule="exact"/>
        <w:ind w:firstLine="442" w:firstLineChars="200"/>
        <w:rPr>
          <w:rFonts w:ascii="宋体" w:eastAsia="宋体"/>
          <w:b/>
          <w:bCs w:val="0"/>
          <w:color w:val="auto"/>
          <w:sz w:val="22"/>
          <w:szCs w:val="22"/>
        </w:rPr>
      </w:pPr>
      <w:r>
        <w:rPr>
          <w:rFonts w:hint="eastAsia" w:ascii="宋体" w:eastAsia="宋体"/>
          <w:b/>
          <w:bCs w:val="0"/>
          <w:color w:val="auto"/>
          <w:sz w:val="22"/>
          <w:szCs w:val="22"/>
        </w:rPr>
        <w:t>七、其他要求</w:t>
      </w:r>
    </w:p>
    <w:p>
      <w:pPr>
        <w:spacing w:line="320" w:lineRule="exact"/>
        <w:ind w:firstLine="440" w:firstLineChars="200"/>
        <w:rPr>
          <w:rFonts w:ascii="宋体" w:eastAsia="宋体"/>
          <w:b w:val="0"/>
          <w:color w:val="auto"/>
          <w:sz w:val="22"/>
          <w:szCs w:val="22"/>
        </w:rPr>
      </w:pPr>
      <w:r>
        <w:rPr>
          <w:rFonts w:hint="eastAsia" w:ascii="宋体" w:eastAsia="宋体"/>
          <w:b w:val="0"/>
          <w:color w:val="auto"/>
          <w:sz w:val="22"/>
          <w:szCs w:val="22"/>
        </w:rPr>
        <w:t>1、安装、调试</w:t>
      </w:r>
    </w:p>
    <w:p>
      <w:pPr>
        <w:spacing w:line="320" w:lineRule="exact"/>
        <w:ind w:firstLine="440" w:firstLineChars="200"/>
        <w:rPr>
          <w:rFonts w:hint="eastAsia" w:ascii="宋体" w:eastAsia="宋体"/>
          <w:b w:val="0"/>
          <w:color w:val="auto"/>
          <w:sz w:val="22"/>
          <w:szCs w:val="22"/>
        </w:rPr>
      </w:pPr>
      <w:r>
        <w:rPr>
          <w:rFonts w:hint="eastAsia" w:ascii="宋体" w:eastAsia="宋体"/>
          <w:b w:val="0"/>
          <w:color w:val="auto"/>
          <w:sz w:val="22"/>
          <w:szCs w:val="22"/>
        </w:rPr>
        <w:t>道路开挖审批、接电等由中标单位负责，业主单位协助，费用含在本项建设中标价中；设备的安装必须符合有关标准和规范，</w:t>
      </w:r>
    </w:p>
    <w:p>
      <w:pPr>
        <w:spacing w:line="320" w:lineRule="exact"/>
        <w:ind w:firstLine="440" w:firstLineChars="200"/>
        <w:rPr>
          <w:rFonts w:ascii="宋体" w:eastAsia="宋体"/>
          <w:b w:val="0"/>
          <w:color w:val="auto"/>
          <w:sz w:val="22"/>
          <w:szCs w:val="22"/>
        </w:rPr>
      </w:pPr>
      <w:r>
        <w:rPr>
          <w:rFonts w:hint="eastAsia" w:ascii="宋体" w:eastAsia="宋体"/>
          <w:b w:val="0"/>
          <w:color w:val="auto"/>
          <w:sz w:val="22"/>
          <w:szCs w:val="22"/>
        </w:rPr>
        <w:t>2、质量检测</w:t>
      </w:r>
    </w:p>
    <w:p>
      <w:pPr>
        <w:spacing w:line="320" w:lineRule="exact"/>
        <w:ind w:firstLine="440" w:firstLineChars="200"/>
        <w:rPr>
          <w:rFonts w:ascii="宋体" w:eastAsia="宋体"/>
          <w:b w:val="0"/>
          <w:color w:val="auto"/>
          <w:sz w:val="22"/>
          <w:szCs w:val="22"/>
        </w:rPr>
      </w:pPr>
      <w:r>
        <w:rPr>
          <w:rFonts w:hint="eastAsia" w:ascii="宋体" w:eastAsia="宋体"/>
          <w:b w:val="0"/>
          <w:bCs/>
          <w:color w:val="auto"/>
          <w:sz w:val="22"/>
          <w:szCs w:val="22"/>
        </w:rPr>
        <w:t>2.1在项目建设期间由中标单位配合监理单位对设备到货、设备安装进行确认。</w:t>
      </w:r>
    </w:p>
    <w:p>
      <w:pPr>
        <w:spacing w:line="320" w:lineRule="exact"/>
        <w:ind w:firstLine="440" w:firstLineChars="200"/>
        <w:rPr>
          <w:rFonts w:hint="eastAsia" w:ascii="宋体" w:eastAsia="宋体"/>
          <w:b w:val="0"/>
          <w:color w:val="auto"/>
          <w:sz w:val="22"/>
          <w:szCs w:val="22"/>
        </w:rPr>
      </w:pPr>
      <w:r>
        <w:rPr>
          <w:rFonts w:ascii="宋体" w:eastAsia="宋体"/>
          <w:b w:val="0"/>
          <w:color w:val="auto"/>
          <w:sz w:val="22"/>
          <w:szCs w:val="22"/>
        </w:rPr>
        <w:t>2.2</w:t>
      </w:r>
      <w:r>
        <w:rPr>
          <w:rFonts w:hint="eastAsia" w:ascii="宋体" w:eastAsia="宋体"/>
          <w:b w:val="0"/>
          <w:color w:val="auto"/>
          <w:sz w:val="22"/>
          <w:szCs w:val="22"/>
        </w:rPr>
        <w:t>若因中标单位产品质量或安装技术问题导致验收不合格，中标单位应及时予以处理，直至验收合格，期间发生的一切相关费用由中标单位承担，业主单位保留向中标单位索赔的权利。</w:t>
      </w:r>
    </w:p>
    <w:p>
      <w:pPr>
        <w:spacing w:line="320" w:lineRule="exact"/>
        <w:ind w:firstLine="442" w:firstLineChars="200"/>
        <w:rPr>
          <w:rFonts w:ascii="宋体" w:eastAsia="宋体"/>
          <w:b/>
          <w:bCs w:val="0"/>
          <w:color w:val="auto"/>
          <w:sz w:val="22"/>
          <w:szCs w:val="22"/>
        </w:rPr>
      </w:pPr>
      <w:r>
        <w:rPr>
          <w:rFonts w:hint="eastAsia" w:ascii="宋体" w:eastAsia="宋体"/>
          <w:b/>
          <w:bCs w:val="0"/>
          <w:color w:val="auto"/>
          <w:sz w:val="22"/>
          <w:szCs w:val="22"/>
        </w:rPr>
        <w:t>八、技术服务和人员培训</w:t>
      </w:r>
    </w:p>
    <w:p>
      <w:pPr>
        <w:spacing w:line="320" w:lineRule="exact"/>
        <w:ind w:firstLine="440" w:firstLineChars="200"/>
        <w:rPr>
          <w:rFonts w:ascii="宋体" w:eastAsia="宋体"/>
          <w:b w:val="0"/>
          <w:color w:val="auto"/>
          <w:sz w:val="22"/>
          <w:szCs w:val="22"/>
        </w:rPr>
      </w:pPr>
      <w:r>
        <w:rPr>
          <w:rFonts w:hint="eastAsia" w:ascii="宋体" w:eastAsia="宋体" w:cs="宋体"/>
          <w:b w:val="0"/>
          <w:color w:val="auto"/>
          <w:sz w:val="22"/>
          <w:szCs w:val="22"/>
        </w:rPr>
        <w:t>项目运行维护期内，</w:t>
      </w:r>
      <w:r>
        <w:rPr>
          <w:rFonts w:hint="eastAsia" w:ascii="宋体" w:eastAsia="宋体"/>
          <w:b w:val="0"/>
          <w:color w:val="auto"/>
          <w:sz w:val="22"/>
          <w:szCs w:val="22"/>
        </w:rPr>
        <w:t>用户向中标方告知故障，</w:t>
      </w:r>
      <w:r>
        <w:rPr>
          <w:rFonts w:hint="eastAsia" w:ascii="宋体" w:eastAsia="宋体" w:cs="宋体"/>
          <w:b w:val="0"/>
          <w:color w:val="auto"/>
          <w:sz w:val="22"/>
          <w:szCs w:val="22"/>
        </w:rPr>
        <w:t>中标方负责对出现故障的所有设备免费维修和更换，并提供终身优惠维修保养服务，每次维修都将形成的记录，为用户建立一套完整的运行记录</w:t>
      </w:r>
      <w:r>
        <w:rPr>
          <w:rFonts w:hint="eastAsia" w:ascii="宋体" w:eastAsia="宋体"/>
          <w:b w:val="0"/>
          <w:color w:val="auto"/>
          <w:sz w:val="22"/>
          <w:szCs w:val="22"/>
        </w:rPr>
        <w:t>。</w:t>
      </w:r>
    </w:p>
    <w:bookmarkEnd w:id="8"/>
    <w:p>
      <w:pPr>
        <w:adjustRightInd w:val="0"/>
        <w:snapToGrid w:val="0"/>
        <w:spacing w:line="380" w:lineRule="exact"/>
        <w:ind w:firstLine="440" w:firstLineChars="200"/>
        <w:rPr>
          <w:rFonts w:ascii="宋体" w:eastAsia="宋体"/>
          <w:b w:val="0"/>
          <w:sz w:val="22"/>
          <w:szCs w:val="22"/>
        </w:rPr>
      </w:pPr>
      <w:r>
        <w:rPr>
          <w:rFonts w:hint="eastAsia" w:ascii="宋体" w:eastAsia="宋体"/>
          <w:b w:val="0"/>
          <w:sz w:val="22"/>
          <w:szCs w:val="22"/>
        </w:rPr>
        <w:t>人员培训的内容包含但不限于培训人数、培训次数、培训天数、培训内容、培训方式等。</w:t>
      </w:r>
    </w:p>
    <w:p>
      <w:pPr>
        <w:rPr>
          <w:rFonts w:hint="eastAsia" w:ascii="黑体" w:hAnsi="宋体" w:eastAsia="黑体"/>
          <w:b/>
          <w:bCs/>
          <w:sz w:val="36"/>
          <w:szCs w:val="36"/>
        </w:rPr>
      </w:pPr>
    </w:p>
    <w:p>
      <w:pPr>
        <w:rPr>
          <w:rFonts w:hint="eastAsia" w:ascii="黑体" w:hAnsi="宋体" w:eastAsia="黑体"/>
          <w:b/>
          <w:bCs/>
          <w:sz w:val="36"/>
          <w:szCs w:val="36"/>
        </w:rPr>
      </w:pPr>
      <w:r>
        <w:rPr>
          <w:rFonts w:hint="eastAsia" w:ascii="黑体" w:hAnsi="宋体" w:eastAsia="黑体"/>
          <w:b/>
          <w:bCs/>
          <w:sz w:val="36"/>
          <w:szCs w:val="36"/>
        </w:rPr>
        <w:br w:type="page"/>
      </w:r>
    </w:p>
    <w:p>
      <w:pPr>
        <w:spacing w:before="100" w:beforeAutospacing="1" w:after="100" w:afterAutospacing="1" w:line="240" w:lineRule="atLeast"/>
        <w:jc w:val="center"/>
        <w:outlineLvl w:val="0"/>
        <w:rPr>
          <w:rFonts w:ascii="黑体" w:hAnsi="宋体" w:eastAsia="黑体"/>
          <w:b/>
          <w:bCs/>
          <w:sz w:val="36"/>
          <w:szCs w:val="36"/>
        </w:rPr>
      </w:pPr>
      <w:r>
        <w:rPr>
          <w:rFonts w:hint="eastAsia" w:ascii="黑体" w:hAnsi="宋体" w:eastAsia="黑体"/>
          <w:b/>
          <w:bCs/>
          <w:sz w:val="36"/>
          <w:szCs w:val="36"/>
        </w:rPr>
        <w:t>第七部分   评标原则及方法</w:t>
      </w:r>
    </w:p>
    <w:p>
      <w:pPr>
        <w:spacing w:line="460" w:lineRule="exact"/>
        <w:ind w:firstLine="541" w:firstLineChars="245"/>
        <w:rPr>
          <w:rFonts w:eastAsia="新宋体"/>
          <w:b/>
          <w:sz w:val="22"/>
          <w:szCs w:val="22"/>
        </w:rPr>
      </w:pPr>
      <w:r>
        <w:rPr>
          <w:rFonts w:hint="eastAsia" w:eastAsia="新宋体"/>
          <w:b/>
          <w:sz w:val="22"/>
          <w:szCs w:val="22"/>
        </w:rPr>
        <w:t>根据《中华人民共和国政府采购法》、《政府采购货物和服务招标投标管理办法》、《中华人民共和国政府采购法实施条例》和《关于进一步规范政府采购活动的若干意见》等相关法规特制定以下评标办法。</w:t>
      </w:r>
    </w:p>
    <w:p>
      <w:pPr>
        <w:spacing w:line="460" w:lineRule="exact"/>
        <w:ind w:firstLine="541" w:firstLineChars="245"/>
        <w:rPr>
          <w:rFonts w:eastAsia="新宋体"/>
          <w:b/>
          <w:sz w:val="22"/>
          <w:szCs w:val="22"/>
        </w:rPr>
      </w:pPr>
      <w:r>
        <w:rPr>
          <w:rFonts w:hint="eastAsia" w:eastAsia="新宋体"/>
          <w:b/>
          <w:sz w:val="22"/>
          <w:szCs w:val="22"/>
        </w:rPr>
        <w:t>一、总 则</w:t>
      </w:r>
    </w:p>
    <w:p>
      <w:pPr>
        <w:spacing w:line="460" w:lineRule="exact"/>
        <w:ind w:firstLine="539" w:firstLineChars="245"/>
        <w:rPr>
          <w:rFonts w:eastAsia="新宋体"/>
          <w:b/>
          <w:sz w:val="22"/>
        </w:rPr>
      </w:pPr>
      <w:r>
        <w:rPr>
          <w:rFonts w:hint="eastAsia" w:eastAsia="新宋体"/>
          <w:sz w:val="22"/>
          <w:szCs w:val="22"/>
        </w:rPr>
        <w:t>评标工作遵循公平、公正、科学、择优原则和诚实、信誉、效率的服务原则。本着科学、严谨的态度，认真进行评标。择优选用，推进技术进步，确保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pPr>
        <w:spacing w:line="460" w:lineRule="exact"/>
        <w:ind w:firstLine="541" w:firstLineChars="245"/>
        <w:rPr>
          <w:rFonts w:eastAsia="新宋体"/>
          <w:b/>
          <w:sz w:val="22"/>
          <w:szCs w:val="22"/>
        </w:rPr>
      </w:pPr>
      <w:r>
        <w:rPr>
          <w:rFonts w:hint="eastAsia" w:eastAsia="新宋体"/>
          <w:b/>
          <w:sz w:val="22"/>
          <w:szCs w:val="22"/>
        </w:rPr>
        <w:t>二、评标组织</w:t>
      </w:r>
    </w:p>
    <w:p>
      <w:pPr>
        <w:spacing w:line="460" w:lineRule="exact"/>
        <w:ind w:firstLine="539" w:firstLineChars="245"/>
        <w:rPr>
          <w:rFonts w:eastAsia="新宋体"/>
          <w:sz w:val="22"/>
          <w:szCs w:val="22"/>
        </w:rPr>
      </w:pPr>
      <w:r>
        <w:rPr>
          <w:rFonts w:hint="eastAsia" w:eastAsia="新宋体"/>
          <w:sz w:val="22"/>
          <w:szCs w:val="22"/>
        </w:rPr>
        <w:t>评标工作由招标人组建的评标委员会负责，评标全过程由有关部门指导监督。</w:t>
      </w:r>
    </w:p>
    <w:p>
      <w:pPr>
        <w:spacing w:line="460" w:lineRule="exact"/>
        <w:ind w:firstLine="541" w:firstLineChars="245"/>
        <w:rPr>
          <w:rFonts w:eastAsia="新宋体"/>
          <w:b/>
          <w:sz w:val="22"/>
          <w:szCs w:val="22"/>
        </w:rPr>
      </w:pPr>
      <w:r>
        <w:rPr>
          <w:rFonts w:hint="eastAsia" w:eastAsia="新宋体"/>
          <w:b/>
          <w:sz w:val="22"/>
          <w:szCs w:val="22"/>
        </w:rPr>
        <w:t>三、电子招投标开标及评审程序</w:t>
      </w:r>
    </w:p>
    <w:p>
      <w:pPr>
        <w:spacing w:line="460" w:lineRule="exact"/>
        <w:ind w:firstLine="539" w:firstLineChars="245"/>
        <w:rPr>
          <w:rFonts w:eastAsia="新宋体"/>
          <w:bCs/>
          <w:sz w:val="22"/>
          <w:szCs w:val="22"/>
        </w:rPr>
      </w:pPr>
      <w:r>
        <w:rPr>
          <w:rFonts w:hint="eastAsia" w:eastAsia="新宋体"/>
          <w:bCs/>
          <w:sz w:val="22"/>
          <w:szCs w:val="22"/>
        </w:rPr>
        <w:t>1.   采购代理机构签收、开始解密投标文件；</w:t>
      </w:r>
    </w:p>
    <w:p>
      <w:pPr>
        <w:spacing w:line="460" w:lineRule="exact"/>
        <w:ind w:firstLine="539" w:firstLineChars="245"/>
        <w:rPr>
          <w:rFonts w:eastAsia="新宋体"/>
          <w:bCs/>
          <w:sz w:val="22"/>
          <w:szCs w:val="22"/>
        </w:rPr>
      </w:pPr>
      <w:r>
        <w:rPr>
          <w:rFonts w:hint="eastAsia" w:eastAsia="新宋体"/>
          <w:bCs/>
          <w:sz w:val="22"/>
          <w:szCs w:val="22"/>
        </w:rPr>
        <w:t>2.   投标人解密投标文件；</w:t>
      </w:r>
    </w:p>
    <w:p>
      <w:pPr>
        <w:spacing w:line="460" w:lineRule="exact"/>
        <w:ind w:firstLine="539" w:firstLineChars="245"/>
        <w:rPr>
          <w:rFonts w:eastAsia="新宋体"/>
          <w:bCs/>
          <w:sz w:val="22"/>
          <w:szCs w:val="22"/>
        </w:rPr>
      </w:pPr>
      <w:r>
        <w:rPr>
          <w:rFonts w:hint="eastAsia" w:eastAsia="新宋体"/>
          <w:bCs/>
          <w:sz w:val="22"/>
          <w:szCs w:val="22"/>
        </w:rPr>
        <w:t>3.   采购代理机构结束解密投标文件；</w:t>
      </w:r>
    </w:p>
    <w:p>
      <w:pPr>
        <w:spacing w:line="460" w:lineRule="exact"/>
        <w:ind w:firstLine="539" w:firstLineChars="245"/>
        <w:rPr>
          <w:rFonts w:eastAsia="新宋体"/>
          <w:bCs/>
          <w:sz w:val="22"/>
          <w:szCs w:val="22"/>
        </w:rPr>
      </w:pPr>
      <w:r>
        <w:rPr>
          <w:rFonts w:hint="eastAsia" w:eastAsia="新宋体"/>
          <w:bCs/>
          <w:sz w:val="22"/>
          <w:szCs w:val="22"/>
        </w:rPr>
        <w:t>4.   采购代理机构或采购人在线资格性审查；</w:t>
      </w:r>
    </w:p>
    <w:p>
      <w:pPr>
        <w:spacing w:line="460" w:lineRule="exact"/>
        <w:ind w:firstLine="539" w:firstLineChars="245"/>
        <w:rPr>
          <w:rFonts w:eastAsia="新宋体"/>
          <w:bCs/>
          <w:sz w:val="22"/>
          <w:szCs w:val="22"/>
        </w:rPr>
      </w:pPr>
      <w:r>
        <w:rPr>
          <w:rFonts w:hint="eastAsia" w:eastAsia="新宋体"/>
          <w:bCs/>
          <w:sz w:val="22"/>
          <w:szCs w:val="22"/>
        </w:rPr>
        <w:t>5.   评标委员会对投标文件进行评审；</w:t>
      </w:r>
    </w:p>
    <w:p>
      <w:pPr>
        <w:spacing w:line="460" w:lineRule="exact"/>
        <w:ind w:firstLine="539" w:firstLineChars="245"/>
        <w:rPr>
          <w:rFonts w:eastAsia="新宋体"/>
          <w:bCs/>
          <w:sz w:val="22"/>
          <w:szCs w:val="22"/>
        </w:rPr>
      </w:pPr>
      <w:r>
        <w:rPr>
          <w:rFonts w:hint="eastAsia" w:eastAsia="新宋体"/>
          <w:bCs/>
          <w:sz w:val="22"/>
          <w:szCs w:val="22"/>
        </w:rPr>
        <w:t>6.   在政采云系统上公开资格和商务技术评审结果；</w:t>
      </w:r>
    </w:p>
    <w:p>
      <w:pPr>
        <w:spacing w:line="460" w:lineRule="exact"/>
        <w:ind w:firstLine="539" w:firstLineChars="245"/>
        <w:rPr>
          <w:rFonts w:eastAsia="新宋体"/>
          <w:bCs/>
          <w:sz w:val="22"/>
          <w:szCs w:val="22"/>
        </w:rPr>
      </w:pPr>
      <w:r>
        <w:rPr>
          <w:rFonts w:hint="eastAsia" w:eastAsia="新宋体"/>
          <w:bCs/>
          <w:sz w:val="22"/>
          <w:szCs w:val="22"/>
        </w:rPr>
        <w:t>7.   在政采云系统上公开报价情况；</w:t>
      </w:r>
    </w:p>
    <w:p>
      <w:pPr>
        <w:spacing w:line="460" w:lineRule="exact"/>
        <w:ind w:firstLine="539" w:firstLineChars="245"/>
        <w:rPr>
          <w:rFonts w:eastAsia="新宋体"/>
          <w:bCs/>
          <w:sz w:val="22"/>
          <w:szCs w:val="22"/>
        </w:rPr>
      </w:pPr>
      <w:r>
        <w:rPr>
          <w:rFonts w:hint="eastAsia" w:eastAsia="新宋体"/>
          <w:bCs/>
          <w:sz w:val="22"/>
          <w:szCs w:val="22"/>
        </w:rPr>
        <w:t>8.   评标委员会对报价情况进行评审；</w:t>
      </w:r>
    </w:p>
    <w:p>
      <w:pPr>
        <w:spacing w:line="460" w:lineRule="exact"/>
        <w:ind w:firstLine="539" w:firstLineChars="245"/>
        <w:rPr>
          <w:rFonts w:eastAsia="新宋体"/>
          <w:bCs/>
          <w:sz w:val="22"/>
          <w:szCs w:val="22"/>
        </w:rPr>
      </w:pPr>
      <w:r>
        <w:rPr>
          <w:rFonts w:hint="eastAsia" w:eastAsia="新宋体"/>
          <w:bCs/>
          <w:sz w:val="22"/>
          <w:szCs w:val="22"/>
        </w:rPr>
        <w:t>9.   在系统上公布评审结果。</w:t>
      </w:r>
    </w:p>
    <w:p>
      <w:pPr>
        <w:spacing w:line="460" w:lineRule="exact"/>
        <w:ind w:firstLine="539" w:firstLineChars="245"/>
        <w:rPr>
          <w:rFonts w:eastAsia="新宋体"/>
          <w:sz w:val="22"/>
          <w:szCs w:val="22"/>
        </w:rPr>
      </w:pPr>
      <w:r>
        <w:rPr>
          <w:rFonts w:hint="eastAsia" w:eastAsia="新宋体"/>
          <w:bCs/>
          <w:sz w:val="22"/>
          <w:szCs w:val="22"/>
        </w:rPr>
        <w:t>特别说明：政采云公司如对电子化开标及评审程序有调整的，按调整后的程序操作。</w:t>
      </w:r>
    </w:p>
    <w:p>
      <w:pPr>
        <w:spacing w:line="460" w:lineRule="exact"/>
        <w:ind w:firstLine="541" w:firstLineChars="245"/>
        <w:rPr>
          <w:rFonts w:eastAsia="新宋体"/>
          <w:b/>
          <w:sz w:val="22"/>
          <w:szCs w:val="22"/>
        </w:rPr>
      </w:pPr>
      <w:r>
        <w:rPr>
          <w:rFonts w:hint="eastAsia" w:eastAsia="新宋体"/>
          <w:b/>
          <w:sz w:val="22"/>
          <w:szCs w:val="22"/>
        </w:rPr>
        <w:t>四、评标办法</w:t>
      </w:r>
    </w:p>
    <w:p>
      <w:pPr>
        <w:spacing w:line="460" w:lineRule="exact"/>
        <w:ind w:firstLine="539" w:firstLineChars="245"/>
        <w:rPr>
          <w:rFonts w:eastAsia="新宋体"/>
          <w:b/>
          <w:sz w:val="22"/>
          <w:szCs w:val="22"/>
        </w:rPr>
      </w:pPr>
      <w:r>
        <w:rPr>
          <w:rFonts w:hint="eastAsia" w:eastAsia="新宋体"/>
          <w:sz w:val="22"/>
          <w:szCs w:val="22"/>
        </w:rPr>
        <w:t>本次采购采用百分制综合评分法，即投标人最大限度地满足招标文件实质性要求的基础上，按照招标文件的各项因素进行综合评审后，以评标总得分最高的投标人和次高的投标人作为第一和第二排序的中标候选人的评标方法。根据采购要求，</w:t>
      </w:r>
      <w:r>
        <w:rPr>
          <w:rFonts w:hint="eastAsia" w:eastAsia="新宋体"/>
          <w:b/>
          <w:sz w:val="22"/>
          <w:szCs w:val="22"/>
        </w:rPr>
        <w:t>总分设定为100分：技术标</w:t>
      </w:r>
      <w:r>
        <w:rPr>
          <w:rFonts w:hint="eastAsia" w:eastAsia="新宋体"/>
          <w:b/>
          <w:sz w:val="22"/>
          <w:szCs w:val="22"/>
          <w:lang w:val="en-US" w:eastAsia="zh-CN"/>
        </w:rPr>
        <w:t>7</w:t>
      </w:r>
      <w:r>
        <w:rPr>
          <w:rFonts w:hint="eastAsia" w:eastAsia="新宋体"/>
          <w:b/>
          <w:sz w:val="22"/>
          <w:szCs w:val="22"/>
        </w:rPr>
        <w:t>0分（权值</w:t>
      </w:r>
      <w:r>
        <w:rPr>
          <w:rFonts w:hint="eastAsia" w:eastAsia="新宋体"/>
          <w:b/>
          <w:sz w:val="22"/>
          <w:szCs w:val="22"/>
          <w:lang w:val="en-US" w:eastAsia="zh-CN"/>
        </w:rPr>
        <w:t>7</w:t>
      </w:r>
      <w:r>
        <w:rPr>
          <w:rFonts w:hint="eastAsia" w:eastAsia="新宋体"/>
          <w:b/>
          <w:sz w:val="22"/>
          <w:szCs w:val="22"/>
        </w:rPr>
        <w:t>0%），商务标（报价）</w:t>
      </w:r>
      <w:r>
        <w:rPr>
          <w:rFonts w:hint="eastAsia" w:eastAsia="新宋体"/>
          <w:b/>
          <w:sz w:val="22"/>
          <w:szCs w:val="22"/>
          <w:lang w:val="en-US" w:eastAsia="zh-CN"/>
        </w:rPr>
        <w:t>3</w:t>
      </w:r>
      <w:r>
        <w:rPr>
          <w:rFonts w:hint="eastAsia" w:eastAsia="新宋体"/>
          <w:b/>
          <w:sz w:val="22"/>
          <w:szCs w:val="22"/>
        </w:rPr>
        <w:t>0分（权值</w:t>
      </w:r>
      <w:r>
        <w:rPr>
          <w:rFonts w:hint="eastAsia" w:eastAsia="新宋体"/>
          <w:b/>
          <w:sz w:val="22"/>
          <w:szCs w:val="22"/>
          <w:lang w:val="en-US" w:eastAsia="zh-CN"/>
        </w:rPr>
        <w:t>3</w:t>
      </w:r>
      <w:r>
        <w:rPr>
          <w:rFonts w:hint="eastAsia" w:eastAsia="新宋体"/>
          <w:b/>
          <w:sz w:val="22"/>
          <w:szCs w:val="22"/>
        </w:rPr>
        <w:t>0%）。</w:t>
      </w:r>
    </w:p>
    <w:p>
      <w:pPr>
        <w:spacing w:line="460" w:lineRule="exact"/>
        <w:ind w:firstLine="541" w:firstLineChars="245"/>
        <w:rPr>
          <w:rFonts w:eastAsia="新宋体"/>
          <w:b/>
          <w:sz w:val="22"/>
          <w:szCs w:val="22"/>
        </w:rPr>
      </w:pPr>
      <w:r>
        <w:rPr>
          <w:rFonts w:hint="eastAsia" w:eastAsia="新宋体"/>
          <w:b/>
          <w:sz w:val="22"/>
          <w:szCs w:val="22"/>
        </w:rPr>
        <w:t>五、评分细则</w:t>
      </w:r>
    </w:p>
    <w:p>
      <w:pPr>
        <w:spacing w:line="460" w:lineRule="exact"/>
        <w:ind w:firstLine="541" w:firstLineChars="245"/>
        <w:rPr>
          <w:rFonts w:eastAsia="新宋体"/>
          <w:b/>
          <w:sz w:val="22"/>
          <w:szCs w:val="22"/>
        </w:rPr>
      </w:pPr>
      <w:r>
        <w:rPr>
          <w:rFonts w:hint="eastAsia" w:eastAsia="新宋体"/>
          <w:b/>
          <w:sz w:val="22"/>
          <w:szCs w:val="22"/>
        </w:rPr>
        <w:t>1、技术分的评定：技术标</w:t>
      </w:r>
      <w:r>
        <w:rPr>
          <w:rFonts w:hint="eastAsia" w:eastAsia="新宋体"/>
          <w:b/>
          <w:sz w:val="22"/>
          <w:szCs w:val="22"/>
          <w:lang w:val="en-US" w:eastAsia="zh-CN"/>
        </w:rPr>
        <w:t>7</w:t>
      </w:r>
      <w:r>
        <w:rPr>
          <w:rFonts w:hint="eastAsia" w:eastAsia="新宋体"/>
          <w:b/>
          <w:sz w:val="22"/>
          <w:szCs w:val="22"/>
        </w:rPr>
        <w:t>0分（权值</w:t>
      </w:r>
      <w:r>
        <w:rPr>
          <w:rFonts w:hint="eastAsia" w:eastAsia="新宋体"/>
          <w:b/>
          <w:sz w:val="22"/>
          <w:szCs w:val="22"/>
          <w:lang w:val="en-US" w:eastAsia="zh-CN"/>
        </w:rPr>
        <w:t>7</w:t>
      </w:r>
      <w:r>
        <w:rPr>
          <w:rFonts w:hint="eastAsia" w:eastAsia="新宋体"/>
          <w:b/>
          <w:sz w:val="22"/>
          <w:szCs w:val="22"/>
        </w:rPr>
        <w:t>0%）</w:t>
      </w:r>
    </w:p>
    <w:p>
      <w:pPr>
        <w:spacing w:line="460" w:lineRule="exact"/>
        <w:ind w:firstLine="539" w:firstLineChars="245"/>
        <w:rPr>
          <w:rFonts w:ascii="宋体" w:hAnsi="宋体"/>
          <w:kern w:val="0"/>
          <w:szCs w:val="21"/>
        </w:rPr>
      </w:pPr>
      <w:r>
        <w:rPr>
          <w:rFonts w:hint="eastAsia" w:eastAsia="新宋体"/>
          <w:sz w:val="22"/>
          <w:szCs w:val="22"/>
        </w:rPr>
        <w:t>各评委成员按下列评分项目进行评判，每人一张评分计算票，并记名。投标文件各项评分内容由评标委员会成员各自评分，如某张票的一个因素项目超过规定的范围，则该张票无效。</w:t>
      </w:r>
      <w:r>
        <w:rPr>
          <w:rFonts w:hint="eastAsia" w:eastAsia="新宋体"/>
          <w:sz w:val="22"/>
        </w:rPr>
        <w:t>各评标委员会成员对各投标人的各项评分内容评分的算术平均值为各投标人技术分得分</w:t>
      </w:r>
      <w:r>
        <w:rPr>
          <w:rFonts w:hint="eastAsia" w:eastAsia="新宋体"/>
          <w:sz w:val="22"/>
          <w:szCs w:val="22"/>
        </w:rPr>
        <w:t>（小数点后按四舍五入保留2位）。</w:t>
      </w:r>
    </w:p>
    <w:tbl>
      <w:tblPr>
        <w:tblStyle w:val="69"/>
        <w:tblW w:w="96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25"/>
        <w:gridCol w:w="675"/>
        <w:gridCol w:w="7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76" w:type="dxa"/>
            <w:vAlign w:val="center"/>
          </w:tcPr>
          <w:p>
            <w:pPr>
              <w:adjustRightInd w:val="0"/>
              <w:snapToGrid w:val="0"/>
              <w:spacing w:line="460" w:lineRule="exact"/>
              <w:jc w:val="center"/>
              <w:outlineLvl w:val="0"/>
              <w:rPr>
                <w:rFonts w:ascii="新宋体" w:hAnsi="新宋体" w:eastAsia="新宋体" w:cs="新宋体"/>
                <w:b/>
                <w:snapToGrid w:val="0"/>
                <w:kern w:val="0"/>
                <w:szCs w:val="21"/>
              </w:rPr>
            </w:pPr>
            <w:r>
              <w:rPr>
                <w:rFonts w:hint="eastAsia" w:ascii="新宋体" w:hAnsi="新宋体" w:eastAsia="新宋体" w:cs="新宋体"/>
                <w:b/>
                <w:snapToGrid w:val="0"/>
                <w:kern w:val="0"/>
                <w:szCs w:val="21"/>
              </w:rPr>
              <w:t>序号</w:t>
            </w:r>
          </w:p>
        </w:tc>
        <w:tc>
          <w:tcPr>
            <w:tcW w:w="1125" w:type="dxa"/>
            <w:vAlign w:val="center"/>
          </w:tcPr>
          <w:p>
            <w:pPr>
              <w:adjustRightInd w:val="0"/>
              <w:snapToGrid w:val="0"/>
              <w:spacing w:line="460" w:lineRule="exact"/>
              <w:jc w:val="center"/>
              <w:outlineLvl w:val="0"/>
              <w:rPr>
                <w:rFonts w:ascii="新宋体" w:hAnsi="新宋体" w:eastAsia="新宋体" w:cs="新宋体"/>
                <w:b/>
                <w:snapToGrid w:val="0"/>
                <w:kern w:val="0"/>
                <w:szCs w:val="21"/>
              </w:rPr>
            </w:pPr>
            <w:r>
              <w:rPr>
                <w:rFonts w:hint="eastAsia" w:ascii="新宋体" w:hAnsi="新宋体" w:eastAsia="新宋体" w:cs="新宋体"/>
                <w:b/>
                <w:snapToGrid w:val="0"/>
                <w:kern w:val="0"/>
                <w:szCs w:val="21"/>
              </w:rPr>
              <w:t>评分内容</w:t>
            </w:r>
          </w:p>
        </w:tc>
        <w:tc>
          <w:tcPr>
            <w:tcW w:w="675" w:type="dxa"/>
            <w:vAlign w:val="center"/>
          </w:tcPr>
          <w:p>
            <w:pPr>
              <w:adjustRightInd w:val="0"/>
              <w:snapToGrid w:val="0"/>
              <w:spacing w:line="460" w:lineRule="exact"/>
              <w:jc w:val="center"/>
              <w:outlineLvl w:val="0"/>
              <w:rPr>
                <w:rFonts w:ascii="新宋体" w:hAnsi="新宋体" w:eastAsia="新宋体" w:cs="新宋体"/>
                <w:b/>
                <w:snapToGrid w:val="0"/>
                <w:kern w:val="0"/>
                <w:szCs w:val="21"/>
              </w:rPr>
            </w:pPr>
            <w:r>
              <w:rPr>
                <w:rFonts w:hint="eastAsia" w:ascii="新宋体" w:hAnsi="新宋体" w:eastAsia="新宋体" w:cs="新宋体"/>
                <w:b/>
                <w:snapToGrid w:val="0"/>
                <w:kern w:val="0"/>
                <w:szCs w:val="21"/>
              </w:rPr>
              <w:t>分值</w:t>
            </w:r>
          </w:p>
        </w:tc>
        <w:tc>
          <w:tcPr>
            <w:tcW w:w="7175" w:type="dxa"/>
            <w:vAlign w:val="center"/>
          </w:tcPr>
          <w:p>
            <w:pPr>
              <w:adjustRightInd w:val="0"/>
              <w:snapToGrid w:val="0"/>
              <w:spacing w:line="460" w:lineRule="exact"/>
              <w:jc w:val="center"/>
              <w:outlineLvl w:val="0"/>
              <w:rPr>
                <w:rFonts w:ascii="新宋体" w:hAnsi="新宋体" w:eastAsia="新宋体" w:cs="新宋体"/>
                <w:b/>
                <w:snapToGrid w:val="0"/>
                <w:kern w:val="0"/>
                <w:szCs w:val="21"/>
              </w:rPr>
            </w:pPr>
            <w:r>
              <w:rPr>
                <w:rFonts w:hint="eastAsia" w:ascii="新宋体" w:hAnsi="新宋体" w:eastAsia="新宋体" w:cs="新宋体"/>
                <w:b/>
                <w:snapToGrid w:val="0"/>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76" w:type="dxa"/>
            <w:vAlign w:val="center"/>
          </w:tcPr>
          <w:p>
            <w:pPr>
              <w:widowControl/>
              <w:spacing w:line="460" w:lineRule="exact"/>
              <w:jc w:val="center"/>
              <w:rPr>
                <w:sz w:val="20"/>
                <w:szCs w:val="22"/>
              </w:rPr>
            </w:pPr>
            <w:r>
              <w:rPr>
                <w:rFonts w:hint="eastAsia"/>
                <w:sz w:val="20"/>
                <w:szCs w:val="22"/>
              </w:rPr>
              <w:t>1</w:t>
            </w:r>
          </w:p>
        </w:tc>
        <w:tc>
          <w:tcPr>
            <w:tcW w:w="1125" w:type="dxa"/>
            <w:vAlign w:val="center"/>
          </w:tcPr>
          <w:p>
            <w:pPr>
              <w:widowControl/>
              <w:spacing w:line="460" w:lineRule="exact"/>
              <w:jc w:val="left"/>
              <w:rPr>
                <w:sz w:val="20"/>
                <w:szCs w:val="22"/>
              </w:rPr>
            </w:pPr>
            <w:r>
              <w:rPr>
                <w:rFonts w:hint="eastAsia"/>
                <w:sz w:val="20"/>
                <w:szCs w:val="22"/>
              </w:rPr>
              <w:t>软、硬件配置选型情况</w:t>
            </w:r>
          </w:p>
        </w:tc>
        <w:tc>
          <w:tcPr>
            <w:tcW w:w="675" w:type="dxa"/>
            <w:vAlign w:val="center"/>
          </w:tcPr>
          <w:p>
            <w:pPr>
              <w:widowControl/>
              <w:spacing w:line="460" w:lineRule="exact"/>
              <w:jc w:val="center"/>
              <w:rPr>
                <w:sz w:val="20"/>
                <w:szCs w:val="22"/>
              </w:rPr>
            </w:pPr>
            <w:r>
              <w:rPr>
                <w:rFonts w:hint="eastAsia"/>
                <w:sz w:val="20"/>
                <w:szCs w:val="22"/>
              </w:rPr>
              <w:t>9</w:t>
            </w:r>
          </w:p>
        </w:tc>
        <w:tc>
          <w:tcPr>
            <w:tcW w:w="7175" w:type="dxa"/>
            <w:vAlign w:val="center"/>
          </w:tcPr>
          <w:p>
            <w:pPr>
              <w:widowControl/>
              <w:spacing w:line="460" w:lineRule="exact"/>
              <w:jc w:val="left"/>
              <w:rPr>
                <w:sz w:val="20"/>
                <w:szCs w:val="22"/>
              </w:rPr>
            </w:pPr>
            <w:r>
              <w:rPr>
                <w:rFonts w:hint="eastAsia"/>
                <w:sz w:val="20"/>
                <w:szCs w:val="22"/>
              </w:rPr>
              <w:t>根据投标人提供主要设备的技术参数、指标的满足性以及偏离响应条款完全满足且优于采购需求的得6-9分；</w:t>
            </w:r>
          </w:p>
          <w:p>
            <w:pPr>
              <w:widowControl/>
              <w:spacing w:line="460" w:lineRule="exact"/>
              <w:jc w:val="left"/>
              <w:rPr>
                <w:sz w:val="20"/>
                <w:szCs w:val="22"/>
              </w:rPr>
            </w:pPr>
            <w:r>
              <w:rPr>
                <w:rFonts w:hint="eastAsia"/>
                <w:sz w:val="20"/>
                <w:szCs w:val="22"/>
              </w:rPr>
              <w:t>根据投标人提供主要设备的技术参数、指标的满足性以及偏离响应条款基本满足采购需求的得3-6分；</w:t>
            </w:r>
          </w:p>
          <w:p>
            <w:pPr>
              <w:widowControl/>
              <w:spacing w:line="460" w:lineRule="exact"/>
              <w:jc w:val="left"/>
              <w:rPr>
                <w:sz w:val="20"/>
                <w:szCs w:val="22"/>
              </w:rPr>
            </w:pPr>
            <w:r>
              <w:rPr>
                <w:rFonts w:hint="eastAsia"/>
                <w:sz w:val="20"/>
                <w:szCs w:val="22"/>
              </w:rPr>
              <w:t>根据投标人提供主要设备的技术参数、指标的满足性以及偏离响应条款不满足采购需求的不得分；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vMerge w:val="restart"/>
            <w:vAlign w:val="center"/>
          </w:tcPr>
          <w:p>
            <w:pPr>
              <w:widowControl/>
              <w:spacing w:line="460" w:lineRule="exact"/>
              <w:jc w:val="center"/>
              <w:rPr>
                <w:sz w:val="20"/>
                <w:szCs w:val="22"/>
              </w:rPr>
            </w:pPr>
            <w:r>
              <w:rPr>
                <w:rFonts w:hint="eastAsia"/>
                <w:sz w:val="20"/>
                <w:szCs w:val="22"/>
              </w:rPr>
              <w:t>2</w:t>
            </w:r>
          </w:p>
        </w:tc>
        <w:tc>
          <w:tcPr>
            <w:tcW w:w="1125" w:type="dxa"/>
            <w:vMerge w:val="restart"/>
            <w:vAlign w:val="center"/>
          </w:tcPr>
          <w:p>
            <w:pPr>
              <w:widowControl/>
              <w:spacing w:line="460" w:lineRule="exact"/>
              <w:jc w:val="left"/>
              <w:rPr>
                <w:sz w:val="20"/>
                <w:szCs w:val="22"/>
              </w:rPr>
            </w:pPr>
            <w:r>
              <w:rPr>
                <w:rFonts w:hint="eastAsia"/>
                <w:sz w:val="20"/>
                <w:szCs w:val="22"/>
              </w:rPr>
              <w:t>续维服务技术方案合理、完整、可行性</w:t>
            </w:r>
          </w:p>
          <w:p>
            <w:pPr>
              <w:widowControl/>
              <w:spacing w:line="460" w:lineRule="exact"/>
              <w:jc w:val="left"/>
              <w:rPr>
                <w:sz w:val="20"/>
                <w:szCs w:val="22"/>
              </w:rPr>
            </w:pPr>
          </w:p>
        </w:tc>
        <w:tc>
          <w:tcPr>
            <w:tcW w:w="675" w:type="dxa"/>
            <w:vAlign w:val="center"/>
          </w:tcPr>
          <w:p>
            <w:pPr>
              <w:widowControl/>
              <w:spacing w:line="460" w:lineRule="exact"/>
              <w:jc w:val="center"/>
              <w:rPr>
                <w:sz w:val="20"/>
                <w:szCs w:val="22"/>
              </w:rPr>
            </w:pPr>
            <w:r>
              <w:rPr>
                <w:rFonts w:hint="eastAsia"/>
                <w:sz w:val="20"/>
                <w:szCs w:val="22"/>
              </w:rPr>
              <w:t>6</w:t>
            </w:r>
          </w:p>
        </w:tc>
        <w:tc>
          <w:tcPr>
            <w:tcW w:w="7175" w:type="dxa"/>
            <w:vAlign w:val="center"/>
          </w:tcPr>
          <w:p>
            <w:pPr>
              <w:widowControl/>
              <w:spacing w:line="460" w:lineRule="exact"/>
              <w:jc w:val="left"/>
              <w:rPr>
                <w:sz w:val="20"/>
                <w:szCs w:val="22"/>
              </w:rPr>
            </w:pPr>
            <w:r>
              <w:rPr>
                <w:rFonts w:hint="eastAsia"/>
                <w:sz w:val="20"/>
                <w:szCs w:val="22"/>
              </w:rPr>
              <w:t>投标人对照招标文件改造升级的项目情况了解程度，并按要求提供合理、可行的续维服务方案等进行评分。</w:t>
            </w:r>
          </w:p>
          <w:p>
            <w:pPr>
              <w:widowControl/>
              <w:spacing w:line="460" w:lineRule="exact"/>
              <w:jc w:val="left"/>
              <w:rPr>
                <w:sz w:val="20"/>
                <w:szCs w:val="22"/>
              </w:rPr>
            </w:pPr>
            <w:r>
              <w:rPr>
                <w:rFonts w:hint="eastAsia"/>
                <w:sz w:val="20"/>
                <w:szCs w:val="22"/>
              </w:rPr>
              <w:t>续维服务方案非常科学、合理、可行的得4-6分；续维服务方案基本合理、可行的得2-4分；续维服务方案不合理、不可行不得分。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676" w:type="dxa"/>
            <w:vMerge w:val="continue"/>
            <w:vAlign w:val="center"/>
          </w:tcPr>
          <w:p>
            <w:pPr>
              <w:widowControl/>
              <w:spacing w:line="460" w:lineRule="exact"/>
              <w:jc w:val="center"/>
              <w:rPr>
                <w:sz w:val="20"/>
                <w:szCs w:val="22"/>
              </w:rPr>
            </w:pPr>
          </w:p>
        </w:tc>
        <w:tc>
          <w:tcPr>
            <w:tcW w:w="1125" w:type="dxa"/>
            <w:vMerge w:val="continue"/>
            <w:vAlign w:val="center"/>
          </w:tcPr>
          <w:p>
            <w:pPr>
              <w:widowControl/>
              <w:spacing w:line="460" w:lineRule="exact"/>
              <w:jc w:val="left"/>
              <w:rPr>
                <w:sz w:val="20"/>
                <w:szCs w:val="22"/>
              </w:rPr>
            </w:pPr>
          </w:p>
        </w:tc>
        <w:tc>
          <w:tcPr>
            <w:tcW w:w="675" w:type="dxa"/>
            <w:vAlign w:val="center"/>
          </w:tcPr>
          <w:p>
            <w:pPr>
              <w:widowControl/>
              <w:spacing w:line="460" w:lineRule="exact"/>
              <w:jc w:val="center"/>
              <w:rPr>
                <w:sz w:val="20"/>
                <w:szCs w:val="22"/>
              </w:rPr>
            </w:pPr>
            <w:r>
              <w:rPr>
                <w:rFonts w:hint="eastAsia"/>
                <w:sz w:val="20"/>
                <w:szCs w:val="22"/>
              </w:rPr>
              <w:t>6</w:t>
            </w:r>
          </w:p>
        </w:tc>
        <w:tc>
          <w:tcPr>
            <w:tcW w:w="7175" w:type="dxa"/>
            <w:vAlign w:val="center"/>
          </w:tcPr>
          <w:p>
            <w:pPr>
              <w:widowControl/>
              <w:spacing w:line="460" w:lineRule="exact"/>
              <w:jc w:val="left"/>
              <w:rPr>
                <w:sz w:val="20"/>
                <w:szCs w:val="22"/>
              </w:rPr>
            </w:pPr>
            <w:r>
              <w:rPr>
                <w:rFonts w:hint="eastAsia"/>
                <w:sz w:val="20"/>
                <w:szCs w:val="22"/>
              </w:rPr>
              <w:t>根据投标人提供的结构图、流程图、系统图等完整性、准确性、规范性进行评分，0-3分；对招标文件技术性条款进行详细应答说明，根据说明的科学性、合理性、完整性进行评分，0-3分。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676" w:type="dxa"/>
            <w:vMerge w:val="continue"/>
            <w:vAlign w:val="center"/>
          </w:tcPr>
          <w:p>
            <w:pPr>
              <w:widowControl/>
              <w:spacing w:line="460" w:lineRule="exact"/>
              <w:jc w:val="center"/>
              <w:rPr>
                <w:sz w:val="20"/>
                <w:szCs w:val="22"/>
              </w:rPr>
            </w:pPr>
          </w:p>
        </w:tc>
        <w:tc>
          <w:tcPr>
            <w:tcW w:w="1125" w:type="dxa"/>
            <w:vMerge w:val="continue"/>
            <w:vAlign w:val="center"/>
          </w:tcPr>
          <w:p>
            <w:pPr>
              <w:widowControl/>
              <w:spacing w:line="460" w:lineRule="exact"/>
              <w:jc w:val="left"/>
              <w:rPr>
                <w:sz w:val="20"/>
                <w:szCs w:val="22"/>
              </w:rPr>
            </w:pPr>
          </w:p>
        </w:tc>
        <w:tc>
          <w:tcPr>
            <w:tcW w:w="675" w:type="dxa"/>
            <w:vAlign w:val="center"/>
          </w:tcPr>
          <w:p>
            <w:pPr>
              <w:widowControl/>
              <w:spacing w:line="460" w:lineRule="exact"/>
              <w:jc w:val="center"/>
              <w:rPr>
                <w:sz w:val="20"/>
                <w:szCs w:val="22"/>
              </w:rPr>
            </w:pPr>
            <w:r>
              <w:rPr>
                <w:rFonts w:hint="eastAsia"/>
                <w:sz w:val="20"/>
                <w:szCs w:val="22"/>
              </w:rPr>
              <w:t>6</w:t>
            </w:r>
          </w:p>
        </w:tc>
        <w:tc>
          <w:tcPr>
            <w:tcW w:w="7175" w:type="dxa"/>
            <w:vAlign w:val="center"/>
          </w:tcPr>
          <w:p>
            <w:pPr>
              <w:widowControl/>
              <w:spacing w:line="460" w:lineRule="exact"/>
              <w:jc w:val="left"/>
              <w:rPr>
                <w:sz w:val="20"/>
                <w:szCs w:val="22"/>
              </w:rPr>
            </w:pPr>
            <w:r>
              <w:rPr>
                <w:rFonts w:hint="eastAsia"/>
                <w:sz w:val="20"/>
                <w:szCs w:val="22"/>
              </w:rPr>
              <w:t>针对招标人指定点位的增加、移机、故障处置、**保障等应急解决能力，根据投标人提供的解决方案的科学性、合理性进行评分。</w:t>
            </w:r>
          </w:p>
          <w:p>
            <w:pPr>
              <w:widowControl/>
              <w:spacing w:line="460" w:lineRule="exact"/>
              <w:jc w:val="left"/>
              <w:rPr>
                <w:sz w:val="20"/>
                <w:szCs w:val="22"/>
              </w:rPr>
            </w:pPr>
            <w:r>
              <w:rPr>
                <w:rFonts w:hint="eastAsia"/>
                <w:sz w:val="20"/>
                <w:szCs w:val="22"/>
              </w:rPr>
              <w:t>解决方案非常科学、合理的得4-6分；</w:t>
            </w:r>
          </w:p>
          <w:p>
            <w:pPr>
              <w:widowControl/>
              <w:spacing w:line="460" w:lineRule="exact"/>
              <w:jc w:val="left"/>
              <w:rPr>
                <w:sz w:val="20"/>
                <w:szCs w:val="22"/>
              </w:rPr>
            </w:pPr>
            <w:r>
              <w:rPr>
                <w:rFonts w:hint="eastAsia"/>
                <w:sz w:val="20"/>
                <w:szCs w:val="22"/>
              </w:rPr>
              <w:t>解决方案较科学、合理的得2-4分</w:t>
            </w:r>
          </w:p>
          <w:p>
            <w:pPr>
              <w:widowControl/>
              <w:spacing w:line="460" w:lineRule="exact"/>
              <w:jc w:val="left"/>
              <w:rPr>
                <w:sz w:val="20"/>
                <w:szCs w:val="22"/>
              </w:rPr>
            </w:pPr>
            <w:r>
              <w:rPr>
                <w:rFonts w:hint="eastAsia"/>
                <w:sz w:val="20"/>
                <w:szCs w:val="22"/>
              </w:rPr>
              <w:t>解决方案不科学、不合理的不得分。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676" w:type="dxa"/>
            <w:vMerge w:val="restart"/>
            <w:vAlign w:val="center"/>
          </w:tcPr>
          <w:p>
            <w:pPr>
              <w:widowControl/>
              <w:spacing w:line="460" w:lineRule="exact"/>
              <w:jc w:val="center"/>
              <w:rPr>
                <w:sz w:val="20"/>
                <w:szCs w:val="22"/>
              </w:rPr>
            </w:pPr>
            <w:r>
              <w:rPr>
                <w:rFonts w:hint="eastAsia"/>
                <w:sz w:val="20"/>
                <w:szCs w:val="22"/>
              </w:rPr>
              <w:t>3</w:t>
            </w:r>
          </w:p>
        </w:tc>
        <w:tc>
          <w:tcPr>
            <w:tcW w:w="1125" w:type="dxa"/>
            <w:vMerge w:val="restart"/>
            <w:vAlign w:val="center"/>
          </w:tcPr>
          <w:p>
            <w:pPr>
              <w:widowControl/>
              <w:spacing w:line="460" w:lineRule="exact"/>
              <w:jc w:val="left"/>
              <w:rPr>
                <w:sz w:val="20"/>
                <w:szCs w:val="22"/>
              </w:rPr>
            </w:pPr>
            <w:r>
              <w:rPr>
                <w:rFonts w:hint="eastAsia"/>
                <w:sz w:val="20"/>
                <w:szCs w:val="22"/>
              </w:rPr>
              <w:t>施工组织计划</w:t>
            </w:r>
          </w:p>
        </w:tc>
        <w:tc>
          <w:tcPr>
            <w:tcW w:w="675" w:type="dxa"/>
            <w:vAlign w:val="center"/>
          </w:tcPr>
          <w:p>
            <w:pPr>
              <w:widowControl/>
              <w:spacing w:line="460" w:lineRule="exact"/>
              <w:jc w:val="center"/>
              <w:rPr>
                <w:sz w:val="20"/>
                <w:szCs w:val="22"/>
              </w:rPr>
            </w:pPr>
            <w:r>
              <w:rPr>
                <w:rFonts w:hint="eastAsia"/>
                <w:sz w:val="20"/>
                <w:szCs w:val="22"/>
              </w:rPr>
              <w:t>3</w:t>
            </w:r>
          </w:p>
        </w:tc>
        <w:tc>
          <w:tcPr>
            <w:tcW w:w="7175" w:type="dxa"/>
            <w:vAlign w:val="center"/>
          </w:tcPr>
          <w:p>
            <w:pPr>
              <w:spacing w:line="460" w:lineRule="exact"/>
              <w:jc w:val="left"/>
              <w:rPr>
                <w:sz w:val="20"/>
                <w:szCs w:val="22"/>
              </w:rPr>
            </w:pPr>
            <w:r>
              <w:rPr>
                <w:rFonts w:hint="eastAsia"/>
                <w:sz w:val="20"/>
                <w:szCs w:val="22"/>
              </w:rPr>
              <w:t>根据</w:t>
            </w:r>
            <w:r>
              <w:rPr>
                <w:sz w:val="20"/>
                <w:szCs w:val="22"/>
              </w:rPr>
              <w:t>投标人</w:t>
            </w:r>
            <w:r>
              <w:rPr>
                <w:rFonts w:hint="eastAsia"/>
                <w:sz w:val="20"/>
                <w:szCs w:val="22"/>
              </w:rPr>
              <w:t>自有光纤资源（提供现有光纤资源列表）满足项目建设需求情况进行</w:t>
            </w:r>
            <w:r>
              <w:rPr>
                <w:sz w:val="20"/>
                <w:szCs w:val="22"/>
              </w:rPr>
              <w:t>打分，</w:t>
            </w:r>
            <w:r>
              <w:rPr>
                <w:rFonts w:hint="eastAsia"/>
                <w:sz w:val="20"/>
                <w:szCs w:val="22"/>
              </w:rPr>
              <w:t>0</w:t>
            </w:r>
            <w:r>
              <w:rPr>
                <w:sz w:val="20"/>
                <w:szCs w:val="22"/>
              </w:rPr>
              <w:t>-3</w:t>
            </w:r>
            <w:r>
              <w:rPr>
                <w:rFonts w:hint="eastAsia"/>
                <w:sz w:val="20"/>
                <w:szCs w:val="22"/>
              </w:rPr>
              <w:t>分</w:t>
            </w:r>
            <w:r>
              <w:rPr>
                <w:sz w:val="20"/>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jc w:val="center"/>
        </w:trPr>
        <w:tc>
          <w:tcPr>
            <w:tcW w:w="676" w:type="dxa"/>
            <w:vMerge w:val="continue"/>
            <w:vAlign w:val="center"/>
          </w:tcPr>
          <w:p>
            <w:pPr>
              <w:widowControl/>
              <w:spacing w:line="460" w:lineRule="exact"/>
              <w:jc w:val="center"/>
              <w:rPr>
                <w:sz w:val="20"/>
                <w:szCs w:val="22"/>
              </w:rPr>
            </w:pPr>
          </w:p>
        </w:tc>
        <w:tc>
          <w:tcPr>
            <w:tcW w:w="1125" w:type="dxa"/>
            <w:vMerge w:val="continue"/>
            <w:vAlign w:val="center"/>
          </w:tcPr>
          <w:p>
            <w:pPr>
              <w:widowControl/>
              <w:spacing w:line="460" w:lineRule="exact"/>
              <w:jc w:val="left"/>
              <w:rPr>
                <w:sz w:val="20"/>
                <w:szCs w:val="22"/>
              </w:rPr>
            </w:pPr>
          </w:p>
        </w:tc>
        <w:tc>
          <w:tcPr>
            <w:tcW w:w="675" w:type="dxa"/>
            <w:vAlign w:val="center"/>
          </w:tcPr>
          <w:p>
            <w:pPr>
              <w:spacing w:line="460" w:lineRule="exact"/>
              <w:jc w:val="center"/>
              <w:rPr>
                <w:sz w:val="20"/>
                <w:szCs w:val="22"/>
                <w:highlight w:val="none"/>
              </w:rPr>
            </w:pPr>
            <w:r>
              <w:rPr>
                <w:rFonts w:hint="eastAsia"/>
                <w:sz w:val="20"/>
                <w:szCs w:val="22"/>
                <w:highlight w:val="none"/>
              </w:rPr>
              <w:t>6</w:t>
            </w:r>
          </w:p>
        </w:tc>
        <w:tc>
          <w:tcPr>
            <w:tcW w:w="7175" w:type="dxa"/>
            <w:vAlign w:val="center"/>
          </w:tcPr>
          <w:p>
            <w:pPr>
              <w:widowControl/>
              <w:spacing w:line="460" w:lineRule="exact"/>
              <w:jc w:val="left"/>
              <w:rPr>
                <w:sz w:val="20"/>
                <w:szCs w:val="22"/>
                <w:highlight w:val="none"/>
              </w:rPr>
            </w:pPr>
            <w:r>
              <w:rPr>
                <w:rFonts w:hint="eastAsia"/>
                <w:sz w:val="20"/>
                <w:szCs w:val="22"/>
                <w:highlight w:val="none"/>
              </w:rPr>
              <w:t>施工组织计划及方案非常科学、合理、可行的得4-6分；</w:t>
            </w:r>
          </w:p>
          <w:p>
            <w:pPr>
              <w:widowControl/>
              <w:spacing w:line="460" w:lineRule="exact"/>
              <w:jc w:val="left"/>
              <w:rPr>
                <w:sz w:val="20"/>
                <w:szCs w:val="22"/>
                <w:highlight w:val="none"/>
              </w:rPr>
            </w:pPr>
            <w:r>
              <w:rPr>
                <w:rFonts w:hint="eastAsia"/>
                <w:sz w:val="20"/>
                <w:szCs w:val="22"/>
                <w:highlight w:val="none"/>
              </w:rPr>
              <w:t>施工组织计划及方案基本合理、可行的得1-3分；</w:t>
            </w:r>
          </w:p>
          <w:p>
            <w:pPr>
              <w:spacing w:line="460" w:lineRule="exact"/>
              <w:jc w:val="left"/>
              <w:rPr>
                <w:sz w:val="20"/>
                <w:szCs w:val="22"/>
                <w:highlight w:val="none"/>
              </w:rPr>
            </w:pPr>
            <w:r>
              <w:rPr>
                <w:rFonts w:hint="eastAsia"/>
                <w:sz w:val="20"/>
                <w:szCs w:val="22"/>
                <w:highlight w:val="none"/>
              </w:rPr>
              <w:t>施工组织计划及方案不合理、不可行的不得分。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vMerge w:val="restart"/>
            <w:vAlign w:val="center"/>
          </w:tcPr>
          <w:p>
            <w:pPr>
              <w:widowControl/>
              <w:spacing w:line="460" w:lineRule="exact"/>
              <w:jc w:val="center"/>
              <w:rPr>
                <w:sz w:val="20"/>
                <w:szCs w:val="22"/>
              </w:rPr>
            </w:pPr>
            <w:r>
              <w:rPr>
                <w:rFonts w:hint="eastAsia"/>
                <w:sz w:val="20"/>
                <w:szCs w:val="22"/>
              </w:rPr>
              <w:t>4</w:t>
            </w:r>
          </w:p>
        </w:tc>
        <w:tc>
          <w:tcPr>
            <w:tcW w:w="1125" w:type="dxa"/>
            <w:vMerge w:val="restart"/>
            <w:vAlign w:val="center"/>
          </w:tcPr>
          <w:p>
            <w:pPr>
              <w:widowControl/>
              <w:spacing w:line="460" w:lineRule="exact"/>
              <w:jc w:val="left"/>
              <w:rPr>
                <w:sz w:val="20"/>
                <w:szCs w:val="22"/>
              </w:rPr>
            </w:pPr>
            <w:r>
              <w:rPr>
                <w:rFonts w:hint="eastAsia"/>
                <w:sz w:val="20"/>
                <w:szCs w:val="22"/>
              </w:rPr>
              <w:t>售后服务支持能力</w:t>
            </w:r>
          </w:p>
        </w:tc>
        <w:tc>
          <w:tcPr>
            <w:tcW w:w="675" w:type="dxa"/>
            <w:vAlign w:val="center"/>
          </w:tcPr>
          <w:p>
            <w:pPr>
              <w:widowControl/>
              <w:spacing w:line="460" w:lineRule="exact"/>
              <w:jc w:val="center"/>
              <w:rPr>
                <w:sz w:val="20"/>
                <w:szCs w:val="22"/>
              </w:rPr>
            </w:pPr>
            <w:r>
              <w:rPr>
                <w:rFonts w:hint="eastAsia"/>
                <w:sz w:val="20"/>
                <w:szCs w:val="22"/>
              </w:rPr>
              <w:t>6</w:t>
            </w:r>
          </w:p>
        </w:tc>
        <w:tc>
          <w:tcPr>
            <w:tcW w:w="7175" w:type="dxa"/>
            <w:vAlign w:val="center"/>
          </w:tcPr>
          <w:p>
            <w:pPr>
              <w:widowControl/>
              <w:spacing w:line="460" w:lineRule="exact"/>
              <w:jc w:val="left"/>
              <w:rPr>
                <w:sz w:val="20"/>
                <w:szCs w:val="22"/>
              </w:rPr>
            </w:pPr>
            <w:r>
              <w:rPr>
                <w:rFonts w:hint="eastAsia"/>
                <w:sz w:val="20"/>
                <w:szCs w:val="22"/>
              </w:rPr>
              <w:t>根据维护期间投标人提供的维保方案的承诺、保障措施进行打分。</w:t>
            </w:r>
          </w:p>
          <w:p>
            <w:pPr>
              <w:widowControl/>
              <w:spacing w:line="460" w:lineRule="exact"/>
              <w:jc w:val="left"/>
              <w:rPr>
                <w:sz w:val="20"/>
                <w:szCs w:val="22"/>
              </w:rPr>
            </w:pPr>
            <w:r>
              <w:rPr>
                <w:rFonts w:hint="eastAsia"/>
                <w:sz w:val="20"/>
                <w:szCs w:val="22"/>
              </w:rPr>
              <w:t>维保方案的承诺、保障非常科学、合理、完整的得4-6分；</w:t>
            </w:r>
          </w:p>
          <w:p>
            <w:pPr>
              <w:widowControl/>
              <w:spacing w:line="460" w:lineRule="exact"/>
              <w:jc w:val="left"/>
              <w:rPr>
                <w:sz w:val="20"/>
                <w:szCs w:val="22"/>
              </w:rPr>
            </w:pPr>
            <w:r>
              <w:rPr>
                <w:rFonts w:hint="eastAsia"/>
                <w:sz w:val="20"/>
                <w:szCs w:val="22"/>
              </w:rPr>
              <w:t>维保方案的承诺、保障较科学、合理、完整的得2-4分；</w:t>
            </w:r>
          </w:p>
          <w:p>
            <w:pPr>
              <w:widowControl/>
              <w:spacing w:line="460" w:lineRule="exact"/>
              <w:jc w:val="left"/>
              <w:rPr>
                <w:sz w:val="20"/>
                <w:szCs w:val="22"/>
              </w:rPr>
            </w:pPr>
            <w:r>
              <w:rPr>
                <w:rFonts w:hint="eastAsia"/>
                <w:sz w:val="20"/>
                <w:szCs w:val="22"/>
              </w:rPr>
              <w:t>维保方案的承诺、保障不科学、不合理、不完整的不得分。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vMerge w:val="continue"/>
            <w:vAlign w:val="center"/>
          </w:tcPr>
          <w:p>
            <w:pPr>
              <w:widowControl/>
              <w:spacing w:line="460" w:lineRule="exact"/>
              <w:jc w:val="center"/>
              <w:rPr>
                <w:sz w:val="20"/>
                <w:szCs w:val="22"/>
              </w:rPr>
            </w:pPr>
          </w:p>
        </w:tc>
        <w:tc>
          <w:tcPr>
            <w:tcW w:w="1125" w:type="dxa"/>
            <w:vMerge w:val="continue"/>
            <w:vAlign w:val="center"/>
          </w:tcPr>
          <w:p>
            <w:pPr>
              <w:widowControl/>
              <w:spacing w:line="460" w:lineRule="exact"/>
              <w:jc w:val="left"/>
              <w:rPr>
                <w:sz w:val="20"/>
                <w:szCs w:val="22"/>
              </w:rPr>
            </w:pPr>
          </w:p>
        </w:tc>
        <w:tc>
          <w:tcPr>
            <w:tcW w:w="675" w:type="dxa"/>
            <w:vAlign w:val="center"/>
          </w:tcPr>
          <w:p>
            <w:pPr>
              <w:widowControl/>
              <w:spacing w:line="460" w:lineRule="exact"/>
              <w:jc w:val="center"/>
              <w:rPr>
                <w:sz w:val="20"/>
                <w:szCs w:val="22"/>
              </w:rPr>
            </w:pPr>
            <w:r>
              <w:rPr>
                <w:rFonts w:hint="eastAsia"/>
                <w:sz w:val="20"/>
                <w:szCs w:val="22"/>
              </w:rPr>
              <w:t>3</w:t>
            </w:r>
          </w:p>
        </w:tc>
        <w:tc>
          <w:tcPr>
            <w:tcW w:w="7175" w:type="dxa"/>
            <w:vAlign w:val="center"/>
          </w:tcPr>
          <w:p>
            <w:pPr>
              <w:widowControl/>
              <w:spacing w:line="460" w:lineRule="exact"/>
              <w:jc w:val="left"/>
              <w:rPr>
                <w:sz w:val="20"/>
                <w:szCs w:val="22"/>
              </w:rPr>
            </w:pPr>
            <w:r>
              <w:rPr>
                <w:rFonts w:hint="eastAsia"/>
                <w:sz w:val="20"/>
                <w:szCs w:val="22"/>
              </w:rPr>
              <w:t>服务管理制度、维保操作规程及切实可行的考核办法进行打分，0-3分。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vMerge w:val="continue"/>
            <w:vAlign w:val="center"/>
          </w:tcPr>
          <w:p>
            <w:pPr>
              <w:widowControl/>
              <w:spacing w:line="460" w:lineRule="exact"/>
              <w:jc w:val="center"/>
              <w:rPr>
                <w:sz w:val="20"/>
                <w:szCs w:val="22"/>
              </w:rPr>
            </w:pPr>
          </w:p>
        </w:tc>
        <w:tc>
          <w:tcPr>
            <w:tcW w:w="1125" w:type="dxa"/>
            <w:vMerge w:val="continue"/>
            <w:vAlign w:val="center"/>
          </w:tcPr>
          <w:p>
            <w:pPr>
              <w:widowControl/>
              <w:spacing w:line="460" w:lineRule="exact"/>
              <w:jc w:val="left"/>
              <w:rPr>
                <w:sz w:val="20"/>
                <w:szCs w:val="22"/>
              </w:rPr>
            </w:pPr>
          </w:p>
        </w:tc>
        <w:tc>
          <w:tcPr>
            <w:tcW w:w="675" w:type="dxa"/>
            <w:vAlign w:val="center"/>
          </w:tcPr>
          <w:p>
            <w:pPr>
              <w:widowControl/>
              <w:spacing w:line="460" w:lineRule="exact"/>
              <w:jc w:val="center"/>
              <w:rPr>
                <w:sz w:val="20"/>
                <w:szCs w:val="22"/>
              </w:rPr>
            </w:pPr>
            <w:r>
              <w:rPr>
                <w:rFonts w:hint="eastAsia"/>
                <w:sz w:val="20"/>
                <w:szCs w:val="22"/>
              </w:rPr>
              <w:t>3</w:t>
            </w:r>
          </w:p>
        </w:tc>
        <w:tc>
          <w:tcPr>
            <w:tcW w:w="7175" w:type="dxa"/>
            <w:vAlign w:val="center"/>
          </w:tcPr>
          <w:p>
            <w:pPr>
              <w:widowControl/>
              <w:spacing w:line="460" w:lineRule="exact"/>
              <w:jc w:val="left"/>
              <w:rPr>
                <w:sz w:val="20"/>
                <w:szCs w:val="22"/>
              </w:rPr>
            </w:pPr>
            <w:r>
              <w:rPr>
                <w:rFonts w:hint="eastAsia"/>
                <w:sz w:val="20"/>
                <w:szCs w:val="22"/>
              </w:rPr>
              <w:t>根据投标人提供的备品、备件、专用工具内容清单进行打分，0-3分。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vMerge w:val="restart"/>
            <w:vAlign w:val="center"/>
          </w:tcPr>
          <w:p>
            <w:pPr>
              <w:widowControl/>
              <w:spacing w:line="460" w:lineRule="exact"/>
              <w:jc w:val="center"/>
              <w:rPr>
                <w:sz w:val="20"/>
                <w:szCs w:val="22"/>
              </w:rPr>
            </w:pPr>
            <w:r>
              <w:rPr>
                <w:rFonts w:hint="eastAsia"/>
                <w:sz w:val="20"/>
                <w:szCs w:val="22"/>
              </w:rPr>
              <w:t>5</w:t>
            </w:r>
          </w:p>
        </w:tc>
        <w:tc>
          <w:tcPr>
            <w:tcW w:w="1125" w:type="dxa"/>
            <w:vMerge w:val="restart"/>
            <w:vAlign w:val="center"/>
          </w:tcPr>
          <w:p>
            <w:pPr>
              <w:widowControl/>
              <w:spacing w:line="460" w:lineRule="exact"/>
              <w:jc w:val="left"/>
              <w:rPr>
                <w:sz w:val="20"/>
                <w:szCs w:val="22"/>
              </w:rPr>
            </w:pPr>
            <w:r>
              <w:rPr>
                <w:rFonts w:hint="eastAsia"/>
                <w:sz w:val="20"/>
                <w:szCs w:val="22"/>
              </w:rPr>
              <w:t>技术服务及能力保障</w:t>
            </w:r>
          </w:p>
        </w:tc>
        <w:tc>
          <w:tcPr>
            <w:tcW w:w="675" w:type="dxa"/>
            <w:vAlign w:val="center"/>
          </w:tcPr>
          <w:p>
            <w:pPr>
              <w:widowControl/>
              <w:spacing w:line="460" w:lineRule="exact"/>
              <w:jc w:val="center"/>
              <w:rPr>
                <w:sz w:val="20"/>
                <w:szCs w:val="22"/>
              </w:rPr>
            </w:pPr>
            <w:r>
              <w:rPr>
                <w:rFonts w:hint="eastAsia"/>
                <w:sz w:val="20"/>
                <w:szCs w:val="22"/>
              </w:rPr>
              <w:t>3</w:t>
            </w:r>
          </w:p>
        </w:tc>
        <w:tc>
          <w:tcPr>
            <w:tcW w:w="7175" w:type="dxa"/>
            <w:vAlign w:val="center"/>
          </w:tcPr>
          <w:p>
            <w:pPr>
              <w:widowControl/>
              <w:spacing w:line="460" w:lineRule="exact"/>
              <w:jc w:val="left"/>
              <w:rPr>
                <w:sz w:val="20"/>
                <w:szCs w:val="22"/>
              </w:rPr>
            </w:pPr>
            <w:r>
              <w:rPr>
                <w:rFonts w:hint="eastAsia"/>
                <w:sz w:val="20"/>
                <w:szCs w:val="22"/>
              </w:rPr>
              <w:t>根据本项目投入的主要团队人员有相关项目经验和技术服务能力等进行打分，0-3分。</w:t>
            </w:r>
          </w:p>
          <w:p>
            <w:pPr>
              <w:widowControl/>
              <w:spacing w:line="460" w:lineRule="exact"/>
              <w:jc w:val="left"/>
              <w:rPr>
                <w:sz w:val="20"/>
                <w:szCs w:val="22"/>
              </w:rPr>
            </w:pPr>
            <w:r>
              <w:rPr>
                <w:rFonts w:hint="eastAsia"/>
                <w:sz w:val="20"/>
                <w:szCs w:val="22"/>
              </w:rPr>
              <w:t>注：需提供相关职称资质证书提供复印件及所在投标人单位的社保证明。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676" w:type="dxa"/>
            <w:vMerge w:val="continue"/>
            <w:vAlign w:val="center"/>
          </w:tcPr>
          <w:p>
            <w:pPr>
              <w:widowControl/>
              <w:spacing w:line="460" w:lineRule="exact"/>
              <w:jc w:val="center"/>
              <w:rPr>
                <w:sz w:val="20"/>
                <w:szCs w:val="22"/>
              </w:rPr>
            </w:pPr>
          </w:p>
        </w:tc>
        <w:tc>
          <w:tcPr>
            <w:tcW w:w="1125" w:type="dxa"/>
            <w:vMerge w:val="continue"/>
            <w:vAlign w:val="center"/>
          </w:tcPr>
          <w:p>
            <w:pPr>
              <w:widowControl/>
              <w:spacing w:line="460" w:lineRule="exact"/>
              <w:jc w:val="left"/>
              <w:rPr>
                <w:sz w:val="20"/>
                <w:szCs w:val="22"/>
              </w:rPr>
            </w:pPr>
          </w:p>
        </w:tc>
        <w:tc>
          <w:tcPr>
            <w:tcW w:w="675" w:type="dxa"/>
            <w:vAlign w:val="center"/>
          </w:tcPr>
          <w:p>
            <w:pPr>
              <w:widowControl/>
              <w:spacing w:line="460" w:lineRule="exact"/>
              <w:jc w:val="center"/>
              <w:rPr>
                <w:sz w:val="20"/>
                <w:szCs w:val="22"/>
              </w:rPr>
            </w:pPr>
            <w:r>
              <w:rPr>
                <w:rFonts w:hint="eastAsia"/>
                <w:sz w:val="20"/>
                <w:szCs w:val="22"/>
              </w:rPr>
              <w:t>3</w:t>
            </w:r>
          </w:p>
        </w:tc>
        <w:tc>
          <w:tcPr>
            <w:tcW w:w="7175" w:type="dxa"/>
            <w:vAlign w:val="center"/>
          </w:tcPr>
          <w:p>
            <w:pPr>
              <w:widowControl/>
              <w:spacing w:line="460" w:lineRule="exact"/>
              <w:jc w:val="left"/>
              <w:rPr>
                <w:sz w:val="20"/>
                <w:szCs w:val="22"/>
              </w:rPr>
            </w:pPr>
            <w:r>
              <w:rPr>
                <w:rFonts w:hint="eastAsia"/>
                <w:sz w:val="20"/>
                <w:szCs w:val="22"/>
              </w:rPr>
              <w:t>根据投标人提供的售后服务网点介绍进行打分，0-3分。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676" w:type="dxa"/>
            <w:vMerge w:val="continue"/>
            <w:vAlign w:val="center"/>
          </w:tcPr>
          <w:p>
            <w:pPr>
              <w:widowControl/>
              <w:spacing w:line="460" w:lineRule="exact"/>
              <w:jc w:val="center"/>
              <w:rPr>
                <w:sz w:val="20"/>
                <w:szCs w:val="22"/>
              </w:rPr>
            </w:pPr>
          </w:p>
        </w:tc>
        <w:tc>
          <w:tcPr>
            <w:tcW w:w="1125" w:type="dxa"/>
            <w:vMerge w:val="continue"/>
            <w:vAlign w:val="center"/>
          </w:tcPr>
          <w:p>
            <w:pPr>
              <w:widowControl/>
              <w:spacing w:line="460" w:lineRule="exact"/>
              <w:jc w:val="left"/>
              <w:rPr>
                <w:sz w:val="20"/>
                <w:szCs w:val="22"/>
              </w:rPr>
            </w:pPr>
          </w:p>
        </w:tc>
        <w:tc>
          <w:tcPr>
            <w:tcW w:w="675" w:type="dxa"/>
            <w:vAlign w:val="center"/>
          </w:tcPr>
          <w:p>
            <w:pPr>
              <w:widowControl/>
              <w:spacing w:line="460" w:lineRule="exact"/>
              <w:jc w:val="center"/>
              <w:rPr>
                <w:sz w:val="20"/>
                <w:szCs w:val="22"/>
              </w:rPr>
            </w:pPr>
            <w:r>
              <w:rPr>
                <w:rFonts w:hint="eastAsia"/>
                <w:sz w:val="20"/>
                <w:szCs w:val="22"/>
              </w:rPr>
              <w:t>3</w:t>
            </w:r>
          </w:p>
        </w:tc>
        <w:tc>
          <w:tcPr>
            <w:tcW w:w="7175" w:type="dxa"/>
            <w:vAlign w:val="center"/>
          </w:tcPr>
          <w:p>
            <w:pPr>
              <w:widowControl/>
              <w:spacing w:line="460" w:lineRule="exact"/>
              <w:jc w:val="left"/>
              <w:rPr>
                <w:sz w:val="20"/>
                <w:szCs w:val="22"/>
              </w:rPr>
            </w:pPr>
            <w:r>
              <w:rPr>
                <w:rFonts w:hint="eastAsia"/>
                <w:sz w:val="20"/>
                <w:szCs w:val="22"/>
              </w:rPr>
              <w:t>根据投标人提供的培训方案非常科学、合理、完整的得2-3分；</w:t>
            </w:r>
          </w:p>
          <w:p>
            <w:pPr>
              <w:widowControl/>
              <w:spacing w:line="460" w:lineRule="exact"/>
              <w:jc w:val="left"/>
              <w:rPr>
                <w:sz w:val="20"/>
                <w:szCs w:val="22"/>
              </w:rPr>
            </w:pPr>
            <w:r>
              <w:rPr>
                <w:rFonts w:hint="eastAsia"/>
                <w:sz w:val="20"/>
                <w:szCs w:val="22"/>
              </w:rPr>
              <w:t>根据投标人提供的培训方案较科学、合理、完整的得1-2分；</w:t>
            </w:r>
          </w:p>
          <w:p>
            <w:pPr>
              <w:widowControl/>
              <w:spacing w:line="460" w:lineRule="exact"/>
              <w:jc w:val="left"/>
              <w:rPr>
                <w:sz w:val="20"/>
                <w:szCs w:val="22"/>
              </w:rPr>
            </w:pPr>
            <w:r>
              <w:rPr>
                <w:rFonts w:hint="eastAsia"/>
                <w:sz w:val="20"/>
                <w:szCs w:val="22"/>
              </w:rPr>
              <w:t>根据投标人提供的培训方案不科学、不合理、不完整的不得分。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676" w:type="dxa"/>
            <w:vAlign w:val="center"/>
          </w:tcPr>
          <w:p>
            <w:pPr>
              <w:widowControl/>
              <w:spacing w:line="460" w:lineRule="exact"/>
              <w:jc w:val="center"/>
              <w:rPr>
                <w:sz w:val="20"/>
                <w:szCs w:val="22"/>
              </w:rPr>
            </w:pPr>
            <w:r>
              <w:rPr>
                <w:rFonts w:hint="eastAsia"/>
                <w:sz w:val="20"/>
                <w:szCs w:val="22"/>
              </w:rPr>
              <w:t>6</w:t>
            </w:r>
          </w:p>
        </w:tc>
        <w:tc>
          <w:tcPr>
            <w:tcW w:w="1125" w:type="dxa"/>
            <w:vAlign w:val="center"/>
          </w:tcPr>
          <w:p>
            <w:pPr>
              <w:widowControl/>
              <w:spacing w:line="460" w:lineRule="exact"/>
              <w:jc w:val="left"/>
              <w:rPr>
                <w:sz w:val="20"/>
                <w:szCs w:val="22"/>
              </w:rPr>
            </w:pPr>
            <w:r>
              <w:rPr>
                <w:rFonts w:hint="eastAsia"/>
                <w:sz w:val="20"/>
                <w:szCs w:val="22"/>
              </w:rPr>
              <w:t>同类服务项目业绩</w:t>
            </w:r>
          </w:p>
        </w:tc>
        <w:tc>
          <w:tcPr>
            <w:tcW w:w="675" w:type="dxa"/>
            <w:vAlign w:val="center"/>
          </w:tcPr>
          <w:p>
            <w:pPr>
              <w:widowControl/>
              <w:spacing w:line="460" w:lineRule="exact"/>
              <w:jc w:val="center"/>
              <w:rPr>
                <w:sz w:val="20"/>
                <w:szCs w:val="22"/>
                <w:highlight w:val="none"/>
              </w:rPr>
            </w:pPr>
            <w:r>
              <w:rPr>
                <w:rFonts w:hint="eastAsia"/>
                <w:sz w:val="20"/>
                <w:szCs w:val="22"/>
                <w:highlight w:val="none"/>
              </w:rPr>
              <w:t>5</w:t>
            </w:r>
          </w:p>
        </w:tc>
        <w:tc>
          <w:tcPr>
            <w:tcW w:w="7175" w:type="dxa"/>
            <w:vAlign w:val="center"/>
          </w:tcPr>
          <w:p>
            <w:pPr>
              <w:widowControl/>
              <w:spacing w:line="460" w:lineRule="exact"/>
              <w:jc w:val="left"/>
              <w:rPr>
                <w:sz w:val="20"/>
                <w:szCs w:val="22"/>
                <w:highlight w:val="none"/>
              </w:rPr>
            </w:pPr>
            <w:r>
              <w:rPr>
                <w:rFonts w:hint="eastAsia"/>
                <w:sz w:val="20"/>
                <w:szCs w:val="22"/>
                <w:highlight w:val="none"/>
              </w:rPr>
              <w:t>投标人提供2017年至今承建</w:t>
            </w:r>
            <w:r>
              <w:rPr>
                <w:sz w:val="20"/>
                <w:szCs w:val="22"/>
                <w:highlight w:val="none"/>
              </w:rPr>
              <w:t>过</w:t>
            </w:r>
            <w:r>
              <w:rPr>
                <w:rFonts w:hint="eastAsia"/>
                <w:sz w:val="20"/>
                <w:szCs w:val="22"/>
                <w:highlight w:val="none"/>
              </w:rPr>
              <w:t>类似</w:t>
            </w:r>
            <w:r>
              <w:rPr>
                <w:sz w:val="20"/>
                <w:szCs w:val="22"/>
                <w:highlight w:val="none"/>
              </w:rPr>
              <w:t>信号</w:t>
            </w:r>
            <w:r>
              <w:rPr>
                <w:rFonts w:hint="eastAsia"/>
                <w:sz w:val="20"/>
                <w:szCs w:val="22"/>
                <w:highlight w:val="none"/>
              </w:rPr>
              <w:t>项目</w:t>
            </w:r>
            <w:r>
              <w:rPr>
                <w:sz w:val="20"/>
                <w:szCs w:val="22"/>
                <w:highlight w:val="none"/>
              </w:rPr>
              <w:t>业绩</w:t>
            </w:r>
            <w:r>
              <w:rPr>
                <w:rFonts w:hint="eastAsia"/>
                <w:sz w:val="20"/>
                <w:szCs w:val="22"/>
                <w:highlight w:val="none"/>
              </w:rPr>
              <w:t>，每提供一个得1分，最高得5分；（复印件加盖公章）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676" w:type="dxa"/>
            <w:vMerge w:val="restart"/>
            <w:vAlign w:val="center"/>
          </w:tcPr>
          <w:p>
            <w:pPr>
              <w:widowControl/>
              <w:spacing w:line="460" w:lineRule="exact"/>
              <w:jc w:val="center"/>
              <w:rPr>
                <w:sz w:val="20"/>
                <w:szCs w:val="22"/>
              </w:rPr>
            </w:pPr>
            <w:r>
              <w:rPr>
                <w:rFonts w:hint="eastAsia"/>
                <w:sz w:val="20"/>
                <w:szCs w:val="22"/>
              </w:rPr>
              <w:t>7</w:t>
            </w:r>
          </w:p>
        </w:tc>
        <w:tc>
          <w:tcPr>
            <w:tcW w:w="1125" w:type="dxa"/>
            <w:vMerge w:val="restart"/>
            <w:vAlign w:val="center"/>
          </w:tcPr>
          <w:p>
            <w:pPr>
              <w:widowControl/>
              <w:spacing w:line="460" w:lineRule="exact"/>
              <w:jc w:val="left"/>
              <w:rPr>
                <w:sz w:val="20"/>
                <w:szCs w:val="22"/>
              </w:rPr>
            </w:pPr>
            <w:r>
              <w:rPr>
                <w:rFonts w:hint="eastAsia"/>
                <w:sz w:val="20"/>
                <w:szCs w:val="22"/>
              </w:rPr>
              <w:t>供应商综合情况</w:t>
            </w:r>
          </w:p>
        </w:tc>
        <w:tc>
          <w:tcPr>
            <w:tcW w:w="675" w:type="dxa"/>
            <w:vAlign w:val="center"/>
          </w:tcPr>
          <w:p>
            <w:pPr>
              <w:widowControl/>
              <w:spacing w:line="460" w:lineRule="exact"/>
              <w:jc w:val="center"/>
              <w:rPr>
                <w:sz w:val="20"/>
                <w:szCs w:val="22"/>
                <w:highlight w:val="none"/>
              </w:rPr>
            </w:pPr>
            <w:r>
              <w:rPr>
                <w:rFonts w:hint="eastAsia"/>
                <w:sz w:val="20"/>
                <w:szCs w:val="22"/>
                <w:highlight w:val="none"/>
              </w:rPr>
              <w:t>5</w:t>
            </w:r>
          </w:p>
        </w:tc>
        <w:tc>
          <w:tcPr>
            <w:tcW w:w="7175" w:type="dxa"/>
            <w:vAlign w:val="center"/>
          </w:tcPr>
          <w:p>
            <w:pPr>
              <w:widowControl/>
              <w:spacing w:line="460" w:lineRule="exact"/>
              <w:jc w:val="left"/>
              <w:rPr>
                <w:sz w:val="20"/>
                <w:szCs w:val="22"/>
                <w:highlight w:val="none"/>
              </w:rPr>
            </w:pPr>
            <w:r>
              <w:rPr>
                <w:rFonts w:hint="eastAsia"/>
                <w:sz w:val="20"/>
                <w:szCs w:val="22"/>
                <w:highlight w:val="none"/>
              </w:rPr>
              <w:t>投标人具有基础电信业务经营许可证，得5分,未提供本项不得分；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676" w:type="dxa"/>
            <w:vMerge w:val="continue"/>
            <w:vAlign w:val="center"/>
          </w:tcPr>
          <w:p>
            <w:pPr>
              <w:widowControl/>
              <w:spacing w:line="460" w:lineRule="exact"/>
              <w:jc w:val="left"/>
              <w:rPr>
                <w:sz w:val="20"/>
                <w:szCs w:val="22"/>
              </w:rPr>
            </w:pPr>
          </w:p>
        </w:tc>
        <w:tc>
          <w:tcPr>
            <w:tcW w:w="1125" w:type="dxa"/>
            <w:vMerge w:val="continue"/>
            <w:vAlign w:val="center"/>
          </w:tcPr>
          <w:p>
            <w:pPr>
              <w:widowControl/>
              <w:spacing w:line="460" w:lineRule="exact"/>
              <w:jc w:val="left"/>
              <w:rPr>
                <w:sz w:val="20"/>
                <w:szCs w:val="22"/>
              </w:rPr>
            </w:pPr>
          </w:p>
        </w:tc>
        <w:tc>
          <w:tcPr>
            <w:tcW w:w="675" w:type="dxa"/>
            <w:vAlign w:val="center"/>
          </w:tcPr>
          <w:p>
            <w:pPr>
              <w:widowControl/>
              <w:spacing w:line="460" w:lineRule="exact"/>
              <w:jc w:val="center"/>
              <w:rPr>
                <w:sz w:val="20"/>
                <w:szCs w:val="22"/>
              </w:rPr>
            </w:pPr>
            <w:r>
              <w:rPr>
                <w:rFonts w:hint="eastAsia"/>
                <w:sz w:val="20"/>
                <w:szCs w:val="22"/>
              </w:rPr>
              <w:t>3</w:t>
            </w:r>
          </w:p>
        </w:tc>
        <w:tc>
          <w:tcPr>
            <w:tcW w:w="7175" w:type="dxa"/>
            <w:vAlign w:val="center"/>
          </w:tcPr>
          <w:p>
            <w:pPr>
              <w:widowControl/>
              <w:spacing w:line="460" w:lineRule="exact"/>
              <w:jc w:val="left"/>
              <w:rPr>
                <w:sz w:val="20"/>
                <w:szCs w:val="22"/>
              </w:rPr>
            </w:pPr>
            <w:r>
              <w:rPr>
                <w:rFonts w:hint="eastAsia"/>
                <w:sz w:val="20"/>
                <w:szCs w:val="22"/>
              </w:rPr>
              <w:t>根据投标人参与此类项目的网络资源、技术力量、建设能力情况等综合实力进行打分。</w:t>
            </w:r>
          </w:p>
        </w:tc>
      </w:tr>
    </w:tbl>
    <w:p>
      <w:pPr>
        <w:pStyle w:val="28"/>
        <w:spacing w:line="460" w:lineRule="exact"/>
        <w:rPr>
          <w:rFonts w:eastAsia="新宋体"/>
          <w:b/>
          <w:sz w:val="22"/>
          <w:szCs w:val="22"/>
        </w:rPr>
      </w:pPr>
      <w:r>
        <w:rPr>
          <w:rFonts w:hint="eastAsia" w:eastAsia="新宋体"/>
          <w:b/>
          <w:sz w:val="22"/>
          <w:szCs w:val="22"/>
        </w:rPr>
        <w:t>2、商务评分（</w:t>
      </w:r>
      <w:r>
        <w:rPr>
          <w:rFonts w:hint="eastAsia" w:eastAsia="新宋体"/>
          <w:b/>
          <w:sz w:val="22"/>
          <w:szCs w:val="22"/>
          <w:lang w:val="en-US" w:eastAsia="zh-CN"/>
        </w:rPr>
        <w:t>3</w:t>
      </w:r>
      <w:r>
        <w:rPr>
          <w:rFonts w:hint="eastAsia" w:eastAsia="新宋体"/>
          <w:b/>
          <w:sz w:val="22"/>
          <w:szCs w:val="22"/>
        </w:rPr>
        <w:t>0分）（权值</w:t>
      </w:r>
      <w:r>
        <w:rPr>
          <w:rFonts w:hint="eastAsia" w:eastAsia="新宋体"/>
          <w:b/>
          <w:sz w:val="22"/>
          <w:szCs w:val="22"/>
          <w:lang w:val="en-US" w:eastAsia="zh-CN"/>
        </w:rPr>
        <w:t>3</w:t>
      </w:r>
      <w:r>
        <w:rPr>
          <w:rFonts w:hint="eastAsia" w:eastAsia="新宋体"/>
          <w:b/>
          <w:sz w:val="22"/>
          <w:szCs w:val="22"/>
        </w:rPr>
        <w:t>0%）：</w:t>
      </w:r>
    </w:p>
    <w:p>
      <w:pPr>
        <w:spacing w:line="460" w:lineRule="exact"/>
        <w:ind w:firstLine="539" w:firstLineChars="245"/>
        <w:rPr>
          <w:rFonts w:eastAsia="新宋体"/>
          <w:sz w:val="22"/>
          <w:szCs w:val="22"/>
        </w:rPr>
      </w:pPr>
      <w:r>
        <w:rPr>
          <w:rFonts w:hint="eastAsia" w:eastAsia="新宋体"/>
          <w:sz w:val="22"/>
          <w:szCs w:val="22"/>
        </w:rPr>
        <w:t>满足招标文件要求且投标报价最低的投标报价为评标基准价，其余投标人投标报价与该基准价对比，计算出商务报价评分值（保留小数2位）：</w:t>
      </w:r>
    </w:p>
    <w:p>
      <w:pPr>
        <w:spacing w:line="460" w:lineRule="exact"/>
        <w:ind w:firstLine="539" w:firstLineChars="245"/>
        <w:rPr>
          <w:rFonts w:eastAsia="新宋体"/>
          <w:sz w:val="22"/>
          <w:szCs w:val="22"/>
        </w:rPr>
      </w:pPr>
      <w:r>
        <w:rPr>
          <w:rFonts w:hint="eastAsia" w:eastAsia="新宋体"/>
          <w:sz w:val="22"/>
          <w:szCs w:val="22"/>
        </w:rPr>
        <w:t>1）有效投标人的投标报价等于评标基准价时其报价分为满分</w:t>
      </w:r>
      <w:r>
        <w:rPr>
          <w:rFonts w:hint="eastAsia" w:eastAsia="新宋体"/>
          <w:sz w:val="22"/>
          <w:szCs w:val="22"/>
          <w:lang w:val="en-US" w:eastAsia="zh-CN"/>
        </w:rPr>
        <w:t>3</w:t>
      </w:r>
      <w:r>
        <w:rPr>
          <w:rFonts w:hint="eastAsia" w:eastAsia="新宋体"/>
          <w:sz w:val="22"/>
          <w:szCs w:val="22"/>
        </w:rPr>
        <w:t>0分；</w:t>
      </w:r>
    </w:p>
    <w:p>
      <w:pPr>
        <w:spacing w:line="460" w:lineRule="exact"/>
        <w:ind w:firstLine="539" w:firstLineChars="245"/>
        <w:rPr>
          <w:rFonts w:eastAsia="新宋体"/>
          <w:sz w:val="22"/>
          <w:szCs w:val="22"/>
        </w:rPr>
      </w:pPr>
      <w:r>
        <w:rPr>
          <w:rFonts w:hint="eastAsia" w:eastAsia="新宋体"/>
          <w:sz w:val="22"/>
          <w:szCs w:val="22"/>
        </w:rPr>
        <w:t>2）其他投标人的价格分按以下公式计算：</w:t>
      </w:r>
    </w:p>
    <w:p>
      <w:pPr>
        <w:spacing w:line="460" w:lineRule="exact"/>
        <w:ind w:firstLine="539" w:firstLineChars="245"/>
        <w:rPr>
          <w:rFonts w:eastAsia="新宋体"/>
          <w:sz w:val="22"/>
          <w:szCs w:val="22"/>
        </w:rPr>
      </w:pPr>
      <w:r>
        <w:rPr>
          <w:rFonts w:hint="eastAsia" w:eastAsia="新宋体"/>
          <w:sz w:val="22"/>
          <w:szCs w:val="22"/>
        </w:rPr>
        <w:t>投标报价得分=（评分基准价/投标人投标报价）× 价格权值 ×100（保留小数2位）</w:t>
      </w:r>
    </w:p>
    <w:p>
      <w:pPr>
        <w:spacing w:line="460" w:lineRule="exact"/>
        <w:ind w:firstLine="539" w:firstLineChars="245"/>
        <w:rPr>
          <w:rFonts w:eastAsia="新宋体"/>
          <w:sz w:val="22"/>
          <w:szCs w:val="22"/>
          <w:lang w:val="zh-CN"/>
        </w:rPr>
      </w:pPr>
      <w:r>
        <w:rPr>
          <w:rFonts w:hint="eastAsia" w:eastAsia="新宋体"/>
          <w:sz w:val="22"/>
          <w:szCs w:val="22"/>
          <w:lang w:val="zh-CN"/>
        </w:rPr>
        <w:t>根据《政府采购促进中小企业发展暂行办法》（财库[2011]181号），对小型或微型企业参加投标且投标产品为小型或微型企业生产的，</w:t>
      </w:r>
      <w:r>
        <w:rPr>
          <w:rFonts w:hint="eastAsia" w:eastAsia="新宋体"/>
          <w:b/>
          <w:bCs/>
          <w:sz w:val="22"/>
          <w:szCs w:val="22"/>
          <w:u w:val="single"/>
          <w:lang w:val="zh-CN"/>
        </w:rPr>
        <w:t>价格给予6%的扣除</w:t>
      </w:r>
      <w:r>
        <w:rPr>
          <w:rFonts w:hint="eastAsia" w:eastAsia="新宋体"/>
          <w:sz w:val="22"/>
          <w:szCs w:val="22"/>
          <w:lang w:val="zh-CN"/>
        </w:rPr>
        <w:t>，用扣除后的价格参与价格评分。</w:t>
      </w:r>
    </w:p>
    <w:p>
      <w:pPr>
        <w:spacing w:line="460" w:lineRule="exact"/>
        <w:ind w:firstLine="442" w:firstLineChars="200"/>
        <w:rPr>
          <w:rFonts w:eastAsia="新宋体"/>
          <w:b/>
          <w:sz w:val="22"/>
          <w:u w:val="single"/>
        </w:rPr>
      </w:pPr>
      <w:r>
        <w:rPr>
          <w:rFonts w:hint="eastAsia" w:eastAsia="新宋体"/>
          <w:b/>
          <w:sz w:val="22"/>
          <w:u w:val="single"/>
        </w:rPr>
        <w:t>本项目对符合招标文件规定条件的小、微企业（或监狱企业或残疾人福利性单位）所投的价格给予6%的扣除，用扣除后的价格参与评审，如中标签订合同时以其投标价作为签订合同价。属于小微企业（含监狱企业、残疾人福利性单位）的投标供应商提供其他制造商制造的货物参与投标的，还应提供所投产品制造商属于小微企业（含监狱企业、残疾人福利性单位）的证明材料并加盖投标供应商公章，否则不享受价格折扣。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因落实政府采购政策进行价格调整的，以调整后的价格计算评标基准价和投标报价。</w:t>
      </w:r>
    </w:p>
    <w:p>
      <w:pPr>
        <w:spacing w:line="460" w:lineRule="exact"/>
        <w:rPr>
          <w:rFonts w:eastAsia="新宋体"/>
          <w:b/>
          <w:sz w:val="22"/>
        </w:rPr>
      </w:pPr>
      <w:r>
        <w:rPr>
          <w:rFonts w:hint="eastAsia" w:eastAsia="新宋体"/>
          <w:b/>
          <w:sz w:val="22"/>
        </w:rPr>
        <w:t xml:space="preserve">     3)财政预算为</w:t>
      </w:r>
      <w:r>
        <w:rPr>
          <w:rFonts w:hint="eastAsia" w:eastAsia="新宋体"/>
          <w:b/>
          <w:sz w:val="22"/>
          <w:szCs w:val="22"/>
        </w:rPr>
        <w:t>人民币</w:t>
      </w:r>
      <w:bookmarkStart w:id="208" w:name="_GoBack"/>
      <w:r>
        <w:rPr>
          <w:rFonts w:hint="eastAsia" w:eastAsia="新宋体"/>
          <w:b/>
          <w:sz w:val="22"/>
          <w:szCs w:val="22"/>
          <w:u w:val="single"/>
          <w:lang w:eastAsia="zh-CN"/>
        </w:rPr>
        <w:t>叁仟壹佰玖拾柒万</w:t>
      </w:r>
      <w:bookmarkEnd w:id="208"/>
      <w:r>
        <w:rPr>
          <w:rFonts w:hint="eastAsia" w:eastAsia="新宋体"/>
          <w:b/>
          <w:sz w:val="22"/>
          <w:szCs w:val="22"/>
          <w:u w:val="single"/>
          <w:lang w:eastAsia="zh-CN"/>
        </w:rPr>
        <w:t>零贰佰壹拾柒</w:t>
      </w:r>
      <w:r>
        <w:rPr>
          <w:rFonts w:hint="eastAsia" w:eastAsia="新宋体"/>
          <w:b/>
          <w:sz w:val="22"/>
          <w:szCs w:val="22"/>
          <w:u w:val="single"/>
        </w:rPr>
        <w:t>元整</w:t>
      </w:r>
      <w:r>
        <w:rPr>
          <w:rFonts w:hint="eastAsia" w:eastAsia="新宋体"/>
          <w:b/>
          <w:sz w:val="22"/>
          <w:szCs w:val="22"/>
        </w:rPr>
        <w:t>（¥</w:t>
      </w:r>
      <w:r>
        <w:rPr>
          <w:rFonts w:hint="eastAsia" w:eastAsia="新宋体"/>
          <w:b/>
          <w:sz w:val="22"/>
          <w:szCs w:val="22"/>
          <w:lang w:val="en-US" w:eastAsia="zh-CN"/>
        </w:rPr>
        <w:t>31970217</w:t>
      </w:r>
      <w:r>
        <w:rPr>
          <w:rFonts w:hint="eastAsia" w:eastAsia="新宋体"/>
          <w:b/>
          <w:sz w:val="22"/>
          <w:szCs w:val="22"/>
        </w:rPr>
        <w:t>.00元）</w:t>
      </w:r>
      <w:r>
        <w:rPr>
          <w:rFonts w:hint="eastAsia" w:eastAsia="新宋体"/>
          <w:b/>
          <w:sz w:val="22"/>
        </w:rPr>
        <w:t>, 如投标人报价超过财政预算按无效标处理。</w:t>
      </w:r>
    </w:p>
    <w:p>
      <w:pPr>
        <w:spacing w:line="460" w:lineRule="exact"/>
        <w:ind w:firstLine="539" w:firstLineChars="245"/>
        <w:rPr>
          <w:rFonts w:eastAsia="新宋体"/>
          <w:sz w:val="22"/>
          <w:szCs w:val="22"/>
        </w:rPr>
      </w:pPr>
      <w:r>
        <w:rPr>
          <w:rFonts w:hint="eastAsia" w:eastAsia="新宋体"/>
          <w:sz w:val="22"/>
          <w:szCs w:val="22"/>
        </w:rPr>
        <w:t>3、有效投标人的综合得分为技术分和商务（报价）分的总和。</w:t>
      </w:r>
    </w:p>
    <w:p>
      <w:pPr>
        <w:spacing w:line="460" w:lineRule="exact"/>
        <w:ind w:firstLine="539" w:firstLineChars="245"/>
        <w:rPr>
          <w:rFonts w:eastAsia="新宋体"/>
          <w:sz w:val="22"/>
          <w:szCs w:val="22"/>
        </w:rPr>
      </w:pPr>
      <w:r>
        <w:rPr>
          <w:rFonts w:hint="eastAsia" w:eastAsia="新宋体"/>
          <w:sz w:val="22"/>
          <w:szCs w:val="22"/>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60" w:lineRule="exact"/>
        <w:ind w:firstLine="541" w:firstLineChars="245"/>
        <w:rPr>
          <w:rFonts w:eastAsia="新宋体"/>
          <w:b/>
          <w:sz w:val="22"/>
          <w:szCs w:val="22"/>
        </w:rPr>
      </w:pPr>
      <w:r>
        <w:rPr>
          <w:rFonts w:hint="eastAsia" w:eastAsia="新宋体"/>
          <w:b/>
          <w:sz w:val="22"/>
          <w:szCs w:val="22"/>
        </w:rPr>
        <w:t>六、定标办法</w:t>
      </w:r>
    </w:p>
    <w:p>
      <w:pPr>
        <w:spacing w:line="460" w:lineRule="exact"/>
        <w:ind w:firstLine="539" w:firstLineChars="245"/>
        <w:rPr>
          <w:rFonts w:eastAsia="新宋体"/>
          <w:b/>
          <w:sz w:val="22"/>
          <w:szCs w:val="22"/>
        </w:rPr>
      </w:pPr>
      <w:r>
        <w:rPr>
          <w:rFonts w:hint="eastAsia" w:eastAsia="新宋体"/>
          <w:sz w:val="22"/>
          <w:szCs w:val="22"/>
        </w:rPr>
        <w:t>1</w:t>
      </w:r>
      <w:r>
        <w:rPr>
          <w:rFonts w:hint="eastAsia" w:eastAsia="新宋体" w:cs="宋体"/>
          <w:kern w:val="0"/>
          <w:sz w:val="22"/>
          <w:szCs w:val="22"/>
        </w:rPr>
        <w:t>、</w:t>
      </w:r>
      <w:r>
        <w:rPr>
          <w:rFonts w:hint="eastAsia" w:eastAsia="新宋体"/>
          <w:sz w:val="22"/>
          <w:szCs w:val="22"/>
        </w:rPr>
        <w:t>确定中标候选人</w:t>
      </w:r>
    </w:p>
    <w:p>
      <w:pPr>
        <w:spacing w:line="460" w:lineRule="exact"/>
        <w:ind w:firstLine="539" w:firstLineChars="245"/>
        <w:rPr>
          <w:rFonts w:eastAsia="新宋体"/>
          <w:sz w:val="22"/>
          <w:szCs w:val="22"/>
        </w:rPr>
      </w:pPr>
      <w:r>
        <w:rPr>
          <w:rFonts w:hint="eastAsia" w:eastAsia="新宋体"/>
          <w:sz w:val="22"/>
          <w:szCs w:val="22"/>
        </w:rPr>
        <w:t>1.1由评标委员会确定中标候选人。</w:t>
      </w:r>
    </w:p>
    <w:p>
      <w:pPr>
        <w:spacing w:line="460" w:lineRule="exact"/>
        <w:ind w:firstLine="539" w:firstLineChars="245"/>
        <w:rPr>
          <w:rFonts w:eastAsia="新宋体"/>
          <w:sz w:val="22"/>
          <w:szCs w:val="22"/>
        </w:rPr>
      </w:pPr>
      <w:r>
        <w:rPr>
          <w:rFonts w:hint="eastAsia" w:eastAsia="新宋体"/>
          <w:sz w:val="22"/>
          <w:szCs w:val="22"/>
        </w:rPr>
        <w:t>1.2评标委员会依据法律、法规及招标文件有关规定按评审后得分（即技术分与商务分之和）由高到低顺序排序，得分前二名的投标人确定为该项目的第一和第二中标候选人（得分相同投标报价低的排序第一；得分且投标报价相同的，技术指标优的排序第一）向招标人推荐。</w:t>
      </w:r>
    </w:p>
    <w:p>
      <w:pPr>
        <w:spacing w:line="460" w:lineRule="exact"/>
        <w:ind w:firstLine="541" w:firstLineChars="245"/>
        <w:rPr>
          <w:rFonts w:eastAsia="新宋体"/>
          <w:b/>
          <w:bCs/>
          <w:sz w:val="22"/>
          <w:szCs w:val="22"/>
        </w:rPr>
      </w:pPr>
      <w:r>
        <w:rPr>
          <w:rFonts w:hint="eastAsia" w:eastAsia="新宋体"/>
          <w:b/>
          <w:bCs/>
          <w:sz w:val="22"/>
          <w:szCs w:val="22"/>
        </w:rPr>
        <w:t>2、确定中标人</w:t>
      </w:r>
    </w:p>
    <w:p>
      <w:pPr>
        <w:spacing w:line="460" w:lineRule="exact"/>
        <w:rPr>
          <w:rFonts w:eastAsia="新宋体"/>
          <w:b/>
          <w:bCs/>
          <w:sz w:val="22"/>
          <w:szCs w:val="22"/>
        </w:rPr>
      </w:pPr>
      <w:r>
        <w:rPr>
          <w:rFonts w:hint="eastAsia" w:eastAsia="新宋体"/>
          <w:b/>
          <w:bCs/>
          <w:sz w:val="22"/>
          <w:szCs w:val="22"/>
        </w:rPr>
        <w:t xml:space="preserve">     2.1招标人按照评标报告中推荐的中标候选供应商顺序确定中标人；也可以事先授权评标委员会按照推荐的中标候选供应商顺序直接确定中标人。</w:t>
      </w:r>
    </w:p>
    <w:p>
      <w:pPr>
        <w:spacing w:line="460" w:lineRule="exact"/>
        <w:ind w:firstLine="539" w:firstLineChars="245"/>
        <w:rPr>
          <w:rFonts w:eastAsia="新宋体"/>
          <w:sz w:val="22"/>
          <w:szCs w:val="22"/>
        </w:rPr>
      </w:pPr>
      <w:r>
        <w:rPr>
          <w:rFonts w:hint="eastAsia" w:eastAsia="新宋体"/>
          <w:sz w:val="22"/>
          <w:szCs w:val="22"/>
        </w:rPr>
        <w:t>2.2</w:t>
      </w:r>
      <w:r>
        <w:rPr>
          <w:rFonts w:eastAsia="新宋体"/>
          <w:sz w:val="22"/>
          <w:szCs w:val="22"/>
        </w:rPr>
        <w:t>如中标人放弃中标</w:t>
      </w:r>
      <w:r>
        <w:rPr>
          <w:rFonts w:hint="eastAsia" w:eastAsia="新宋体"/>
          <w:sz w:val="22"/>
          <w:szCs w:val="22"/>
        </w:rPr>
        <w:t>；或未能在规定时间内与采购单位签订合同的；或者经质疑，招标人审查后，确因排名第一的候选人在本次采购活动中存在违法违规行为或其他原因使质疑成立的，招标人可以视情况直接确定排名第二的候选人为中标人</w:t>
      </w:r>
      <w:r>
        <w:rPr>
          <w:rFonts w:eastAsia="新宋体"/>
          <w:sz w:val="22"/>
          <w:szCs w:val="22"/>
        </w:rPr>
        <w:t>。如第二中标候选人因前款规定的同样原因不能签订合同的，本次招标失败，重新组织招标。</w:t>
      </w:r>
    </w:p>
    <w:p>
      <w:pPr>
        <w:spacing w:line="460" w:lineRule="exact"/>
        <w:ind w:firstLine="539" w:firstLineChars="245"/>
        <w:rPr>
          <w:rFonts w:eastAsia="新宋体"/>
          <w:sz w:val="22"/>
          <w:szCs w:val="22"/>
        </w:rPr>
      </w:pPr>
      <w:r>
        <w:rPr>
          <w:rFonts w:hint="eastAsia" w:eastAsia="新宋体"/>
          <w:sz w:val="22"/>
          <w:szCs w:val="22"/>
        </w:rPr>
        <w:t>3</w:t>
      </w:r>
      <w:r>
        <w:rPr>
          <w:rFonts w:hint="eastAsia" w:eastAsia="新宋体" w:cs="宋体"/>
          <w:kern w:val="0"/>
          <w:sz w:val="22"/>
          <w:szCs w:val="22"/>
        </w:rPr>
        <w:t>、</w:t>
      </w:r>
      <w:r>
        <w:rPr>
          <w:rFonts w:hint="eastAsia" w:eastAsia="新宋体"/>
          <w:sz w:val="22"/>
          <w:szCs w:val="22"/>
        </w:rPr>
        <w:t>中标人确定后，招标人将在政府指定媒体公告中标结果，招标人向中标人发出中标通知书。</w:t>
      </w:r>
    </w:p>
    <w:p>
      <w:pPr>
        <w:spacing w:line="460" w:lineRule="exact"/>
        <w:ind w:firstLine="541" w:firstLineChars="245"/>
        <w:rPr>
          <w:rFonts w:eastAsia="新宋体"/>
          <w:b/>
          <w:sz w:val="22"/>
          <w:szCs w:val="22"/>
        </w:rPr>
      </w:pPr>
      <w:r>
        <w:rPr>
          <w:rFonts w:hint="eastAsia" w:eastAsia="新宋体"/>
          <w:b/>
          <w:sz w:val="22"/>
          <w:szCs w:val="22"/>
        </w:rPr>
        <w:t>七、投标人义务</w:t>
      </w:r>
    </w:p>
    <w:p>
      <w:pPr>
        <w:spacing w:line="360" w:lineRule="auto"/>
        <w:ind w:left="439" w:leftChars="209"/>
        <w:rPr>
          <w:rFonts w:eastAsia="新宋体"/>
          <w:sz w:val="22"/>
          <w:szCs w:val="22"/>
        </w:rPr>
      </w:pPr>
      <w:r>
        <w:rPr>
          <w:rFonts w:hint="eastAsia" w:eastAsia="新宋体"/>
          <w:sz w:val="22"/>
          <w:szCs w:val="22"/>
        </w:rPr>
        <w:t>投标人应随时接受评标委员会的询标，解答包括有关的商务、技术问题等。评标结束，所有评标资料存招标机构备查。</w:t>
      </w:r>
    </w:p>
    <w:bookmarkEnd w:id="9"/>
    <w:bookmarkEnd w:id="10"/>
    <w:bookmarkEnd w:id="11"/>
    <w:bookmarkEnd w:id="12"/>
    <w:bookmarkEnd w:id="13"/>
    <w:bookmarkEnd w:id="14"/>
    <w:bookmarkEnd w:id="15"/>
    <w:p>
      <w:pPr>
        <w:rPr>
          <w:rFonts w:ascii="宋体" w:hAnsi="宋体"/>
          <w:szCs w:val="21"/>
        </w:rPr>
      </w:pPr>
    </w:p>
    <w:sectPr>
      <w:headerReference r:id="rId13" w:type="default"/>
      <w:footerReference r:id="rId14" w:type="default"/>
      <w:pgSz w:w="11906" w:h="16838"/>
      <w:pgMar w:top="1134" w:right="1134" w:bottom="1134" w:left="1134" w:header="850" w:footer="992" w:gutter="0"/>
      <w:cols w:space="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A0204"/>
    <w:charset w:val="00"/>
    <w:family w:val="roman"/>
    <w:pitch w:val="default"/>
    <w:sig w:usb0="E00002FF" w:usb1="4000045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Οgb2312">
    <w:altName w:val="宋体"/>
    <w:panose1 w:val="00000000000000000000"/>
    <w:charset w:val="86"/>
    <w:family w:val="roman"/>
    <w:pitch w:val="default"/>
    <w:sig w:usb0="00000000" w:usb1="00000000" w:usb2="00000010" w:usb3="00000000" w:csb0="00040000" w:csb1="00000000"/>
  </w:font>
  <w:font w:name="华文中宋">
    <w:altName w:val="宋体"/>
    <w:panose1 w:val="00000000000000000000"/>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Beijing">
    <w:altName w:val="Arial"/>
    <w:panose1 w:val="00000000000000000000"/>
    <w:charset w:val="50"/>
    <w:family w:val="auto"/>
    <w:pitch w:val="default"/>
    <w:sig w:usb0="00000000" w:usb1="00000000" w:usb2="00000000" w:usb3="00000000" w:csb0="00000000" w:csb1="00000000"/>
  </w:font>
  <w:font w:name="Arial Narrow">
    <w:altName w:val="Arial"/>
    <w:panose1 w:val="00000000000000000000"/>
    <w:charset w:val="00"/>
    <w:family w:val="swiss"/>
    <w:pitch w:val="default"/>
    <w:sig w:usb0="00000000" w:usb1="00000000" w:usb2="00000000" w:usb3="00000000" w:csb0="0000009F" w:csb1="00000000"/>
  </w:font>
  <w:font w:name="Helvetica">
    <w:altName w:val="Arial"/>
    <w:panose1 w:val="020B0604020202020204"/>
    <w:charset w:val="00"/>
    <w:family w:val="swiss"/>
    <w:pitch w:val="default"/>
    <w:sig w:usb0="00000000" w:usb1="00000000" w:usb2="00000009" w:usb3="00000000" w:csb0="000001FF" w:csb1="00000000"/>
  </w:font>
  <w:font w:name="Century">
    <w:altName w:val="Nyala"/>
    <w:panose1 w:val="02040603050705020303"/>
    <w:charset w:val="00"/>
    <w:family w:val="roman"/>
    <w:pitch w:val="default"/>
    <w:sig w:usb0="00000000" w:usb1="00000000" w:usb2="00000000" w:usb3="00000000" w:csb0="00000001" w:csb1="00000000"/>
  </w:font>
  <w:font w:name="Century Gothic">
    <w:altName w:val="NumberOnly"/>
    <w:panose1 w:val="00000000000000000000"/>
    <w:charset w:val="00"/>
    <w:family w:val="swiss"/>
    <w:pitch w:val="default"/>
    <w:sig w:usb0="00000000" w:usb1="00000000" w:usb2="00000000" w:usb3="00000000" w:csb0="2000009F" w:csb1="DFD70000"/>
  </w:font>
  <w:font w:name="隶书">
    <w:altName w:val="Arial Unicode MS"/>
    <w:panose1 w:val="00000000000000000000"/>
    <w:charset w:val="86"/>
    <w:family w:val="modern"/>
    <w:pitch w:val="default"/>
    <w:sig w:usb0="00000000" w:usb1="00000000" w:usb2="00000000" w:usb3="00000000" w:csb0="00040000" w:csb1="00000000"/>
  </w:font>
  <w:font w:name="Garamond">
    <w:altName w:val="Adobe Garamond Pro"/>
    <w:panose1 w:val="00000000000000000000"/>
    <w:charset w:val="00"/>
    <w:family w:val="roman"/>
    <w:pitch w:val="default"/>
    <w:sig w:usb0="00000000" w:usb1="00000000" w:usb2="00000000" w:usb3="00000000" w:csb0="0000009F" w:csb1="DFD70000"/>
  </w:font>
  <w:font w:name="Arial Unicode MS">
    <w:panose1 w:val="020B0604020202020204"/>
    <w:charset w:val="86"/>
    <w:family w:val="roman"/>
    <w:pitch w:val="default"/>
    <w:sig w:usb0="FFFFFFFF" w:usb1="E9FFFFFF" w:usb2="0000003F" w:usb3="00000000" w:csb0="603F01FF" w:csb1="FFFF0000"/>
  </w:font>
  <w:font w:name="Times">
    <w:altName w:val="Times New Roman"/>
    <w:panose1 w:val="02020603050405020304"/>
    <w:charset w:val="00"/>
    <w:family w:val="auto"/>
    <w:pitch w:val="default"/>
    <w:sig w:usb0="00000000" w:usb1="00000000" w:usb2="00000000" w:usb3="00000000" w:csb0="0000019F" w:csb1="00000000"/>
  </w:font>
  <w:font w:name="DengXian">
    <w:altName w:val="宋体"/>
    <w:panose1 w:val="00000000000000000000"/>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Nyala">
    <w:panose1 w:val="02000504070300020003"/>
    <w:charset w:val="00"/>
    <w:family w:val="auto"/>
    <w:pitch w:val="default"/>
    <w:sig w:usb0="A000006F" w:usb1="00000000" w:usb2="00000800" w:usb3="00000000" w:csb0="00000093" w:csb1="00000000"/>
  </w:font>
  <w:font w:name="NumberOnly">
    <w:panose1 w:val="020B0500000000000000"/>
    <w:charset w:val="00"/>
    <w:family w:val="auto"/>
    <w:pitch w:val="default"/>
    <w:sig w:usb0="8000002F" w:usb1="10000048" w:usb2="00000000" w:usb3="00000000" w:csb0="00000111" w:csb1="40000000"/>
  </w:font>
  <w:font w:name="Adobe Garamond Pro">
    <w:panose1 w:val="02020502060506020403"/>
    <w:charset w:val="00"/>
    <w:family w:val="auto"/>
    <w:pitch w:val="default"/>
    <w:sig w:usb0="00000007" w:usb1="00000001" w:usb2="00000000" w:usb3="00000000" w:csb0="2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ind w:right="360" w:firstLine="4410" w:firstLineChars="2450"/>
    </w:pPr>
    <w:r>
      <w:pict>
        <v:shape id="_x0000_s4098" o:spid="_x0000_s4098"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45"/>
                  <w:rPr>
                    <w:rStyle w:val="77"/>
                  </w:rPr>
                </w:pPr>
                <w:r>
                  <w:fldChar w:fldCharType="begin"/>
                </w:r>
                <w:r>
                  <w:rPr>
                    <w:rStyle w:val="77"/>
                  </w:rPr>
                  <w:instrText xml:space="preserve">PAGE  </w:instrText>
                </w:r>
                <w:r>
                  <w:fldChar w:fldCharType="separate"/>
                </w:r>
                <w:r>
                  <w:rPr>
                    <w:rStyle w:val="77"/>
                  </w:rPr>
                  <w:t>23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framePr w:wrap="around" w:vAnchor="text" w:hAnchor="margin" w:xAlign="center" w:y="1"/>
      <w:rPr>
        <w:rStyle w:val="77"/>
      </w:rPr>
    </w:pPr>
    <w:r>
      <w:fldChar w:fldCharType="begin"/>
    </w:r>
    <w:r>
      <w:rPr>
        <w:rStyle w:val="77"/>
      </w:rPr>
      <w:instrText xml:space="preserve">PAGE  </w:instrText>
    </w:r>
    <w:r>
      <w:fldChar w:fldCharType="end"/>
    </w:r>
  </w:p>
  <w:p>
    <w:pPr>
      <w:pStyle w:val="4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5"/>
                  <w:rPr>
                    <w:rStyle w:val="77"/>
                  </w:rPr>
                </w:pPr>
                <w:r>
                  <w:fldChar w:fldCharType="begin"/>
                </w:r>
                <w:r>
                  <w:rPr>
                    <w:rStyle w:val="77"/>
                  </w:rPr>
                  <w:instrText xml:space="preserve">PAGE  </w:instrText>
                </w:r>
                <w:r>
                  <w:fldChar w:fldCharType="separate"/>
                </w:r>
                <w:r>
                  <w:rPr>
                    <w:rStyle w:val="77"/>
                  </w:rPr>
                  <w:t>53</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ind w:right="720"/>
      <w:jc w:val="center"/>
    </w:pPr>
    <w:r>
      <w:pict>
        <v:shape id="_x0000_s4100" o:spid="_x0000_s410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45"/>
                  <w:ind w:right="720"/>
                  <w:jc w:val="center"/>
                </w:pPr>
                <w:r>
                  <w:rPr>
                    <w:rFonts w:ascii="宋体"/>
                  </w:rPr>
                  <w:fldChar w:fldCharType="begin"/>
                </w:r>
                <w:r>
                  <w:rPr>
                    <w:rStyle w:val="77"/>
                    <w:rFonts w:ascii="宋体"/>
                  </w:rPr>
                  <w:instrText xml:space="preserve"> PAGE </w:instrText>
                </w:r>
                <w:r>
                  <w:rPr>
                    <w:rFonts w:ascii="宋体"/>
                  </w:rPr>
                  <w:fldChar w:fldCharType="separate"/>
                </w:r>
                <w:r>
                  <w:rPr>
                    <w:rStyle w:val="77"/>
                    <w:rFonts w:ascii="宋体"/>
                  </w:rPr>
                  <w:t>35</w:t>
                </w:r>
                <w:r>
                  <w:rPr>
                    <w:rFonts w:ascii="宋体"/>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framePr w:wrap="around" w:vAnchor="text" w:hAnchor="margin" w:xAlign="center" w:y="1"/>
      <w:rPr>
        <w:rStyle w:val="77"/>
      </w:rPr>
    </w:pPr>
    <w:r>
      <w:fldChar w:fldCharType="begin"/>
    </w:r>
    <w:r>
      <w:rPr>
        <w:rStyle w:val="77"/>
      </w:rPr>
      <w:instrText xml:space="preserve">PAGE  </w:instrText>
    </w:r>
    <w:r>
      <w:fldChar w:fldCharType="end"/>
    </w:r>
  </w:p>
  <w:p>
    <w:pPr>
      <w:pStyle w:val="4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ind w:right="720"/>
      <w:jc w:val="center"/>
      <w:rPr>
        <w:rFonts w:ascii="宋体"/>
      </w:rPr>
    </w:pPr>
    <w: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45"/>
                </w:pPr>
                <w:r>
                  <w:fldChar w:fldCharType="begin"/>
                </w:r>
                <w:r>
                  <w:instrText xml:space="preserve"> PAGE  \* MERGEFORMAT </w:instrText>
                </w:r>
                <w:r>
                  <w:fldChar w:fldCharType="separate"/>
                </w:r>
                <w:r>
                  <w:t>24</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ind w:right="360" w:firstLine="4410" w:firstLineChars="2450"/>
    </w:pPr>
    <w:r>
      <w:pict>
        <v:shape id="_x0000_s4101" o:spid="_x0000_s4101"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45"/>
                  <w:rPr>
                    <w:rStyle w:val="77"/>
                  </w:rPr>
                </w:pPr>
                <w:r>
                  <w:fldChar w:fldCharType="begin"/>
                </w:r>
                <w:r>
                  <w:rPr>
                    <w:rStyle w:val="77"/>
                  </w:rPr>
                  <w:instrText xml:space="preserve">PAGE  </w:instrText>
                </w:r>
                <w:r>
                  <w:fldChar w:fldCharType="separate"/>
                </w:r>
                <w:r>
                  <w:rPr>
                    <w:rStyle w:val="77"/>
                  </w:rPr>
                  <w:t>55</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left"/>
    </w:pPr>
    <w:r>
      <w:rPr>
        <w:rFonts w:hint="eastAsia"/>
      </w:rPr>
      <w:t>温州市政府采购招标文件                                                        编号:ZJHJ-ZFCG-2020-14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left"/>
    </w:pPr>
    <w:r>
      <w:rPr>
        <w:rFonts w:hint="eastAsia"/>
      </w:rPr>
      <w:t xml:space="preserve">温州市政府采购招标文件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ind w:left="2" w:leftChars="1" w:right="-288" w:rightChars="-137"/>
      <w:jc w:val="left"/>
      <w:rPr>
        <w:rFonts w:hint="default"/>
        <w:sz w:val="20"/>
        <w:szCs w:val="20"/>
        <w:lang w:val="en-US" w:eastAsia="zh-CN"/>
      </w:rPr>
    </w:pPr>
    <w:r>
      <w:rPr>
        <w:rFonts w:hint="eastAsia"/>
      </w:rPr>
      <w:t>温州市政府分散采购招标文件                                                      编号:</w:t>
    </w:r>
    <w:r>
      <w:rPr>
        <w:rFonts w:hint="eastAsia"/>
        <w:sz w:val="20"/>
        <w:szCs w:val="20"/>
      </w:rPr>
      <w:t>ZJHJ-ZFCG-202</w:t>
    </w:r>
    <w:r>
      <w:rPr>
        <w:rFonts w:hint="eastAsia"/>
        <w:sz w:val="20"/>
        <w:szCs w:val="20"/>
        <w:lang w:val="en-US" w:eastAsia="zh-CN"/>
      </w:rPr>
      <w:t>1</w:t>
    </w:r>
    <w:r>
      <w:rPr>
        <w:rFonts w:hint="eastAsia"/>
        <w:sz w:val="20"/>
        <w:szCs w:val="20"/>
      </w:rPr>
      <w:t>-</w:t>
    </w:r>
    <w:r>
      <w:rPr>
        <w:rFonts w:hint="eastAsia"/>
        <w:sz w:val="20"/>
        <w:szCs w:val="20"/>
        <w:lang w:val="en-US" w:eastAsia="zh-CN"/>
      </w:rPr>
      <w:t>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both"/>
    </w:pPr>
    <w:r>
      <w:rPr>
        <w:rFonts w:hint="eastAsia"/>
      </w:rPr>
      <w:t>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tabs>
        <w:tab w:val="left" w:pos="8025"/>
        <w:tab w:val="clear" w:pos="4153"/>
        <w:tab w:val="clear" w:pos="8306"/>
      </w:tabs>
      <w:ind w:left="1" w:leftChars="-171" w:right="-288" w:rightChars="-137" w:hanging="360" w:hangingChars="200"/>
      <w:jc w:val="both"/>
    </w:pPr>
    <w:r>
      <w:rPr>
        <w:rFonts w:hint="eastAsia"/>
      </w:rPr>
      <w:t>温州市政府采购招标文件                                                       编号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2F5B0D"/>
    <w:multiLevelType w:val="multilevel"/>
    <w:tmpl w:val="852F5B0D"/>
    <w:lvl w:ilvl="0" w:tentative="0">
      <w:start w:val="5"/>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
    <w:nsid w:val="A4A61EB7"/>
    <w:multiLevelType w:val="singleLevel"/>
    <w:tmpl w:val="A4A61EB7"/>
    <w:lvl w:ilvl="0" w:tentative="0">
      <w:start w:val="1"/>
      <w:numFmt w:val="bullet"/>
      <w:lvlText w:val=""/>
      <w:lvlJc w:val="left"/>
      <w:pPr>
        <w:ind w:left="704" w:hanging="420"/>
      </w:pPr>
      <w:rPr>
        <w:rFonts w:hint="default" w:ascii="Wingdings" w:hAnsi="Wingdings"/>
      </w:rPr>
    </w:lvl>
  </w:abstractNum>
  <w:abstractNum w:abstractNumId="2">
    <w:nsid w:val="CFB16F31"/>
    <w:multiLevelType w:val="singleLevel"/>
    <w:tmpl w:val="CFB16F31"/>
    <w:lvl w:ilvl="0" w:tentative="0">
      <w:start w:val="2"/>
      <w:numFmt w:val="decimal"/>
      <w:suff w:val="space"/>
      <w:lvlText w:val="%1．"/>
      <w:lvlJc w:val="left"/>
    </w:lvl>
  </w:abstractNum>
  <w:abstractNum w:abstractNumId="3">
    <w:nsid w:val="FFFFFF7D"/>
    <w:multiLevelType w:val="singleLevel"/>
    <w:tmpl w:val="FFFFFF7D"/>
    <w:lvl w:ilvl="0" w:tentative="0">
      <w:start w:val="1"/>
      <w:numFmt w:val="decimal"/>
      <w:pStyle w:val="505"/>
      <w:lvlText w:val="%1."/>
      <w:lvlJc w:val="left"/>
      <w:pPr>
        <w:tabs>
          <w:tab w:val="left" w:pos="1620"/>
        </w:tabs>
        <w:ind w:left="1620" w:hanging="360"/>
      </w:pPr>
    </w:lvl>
  </w:abstractNum>
  <w:abstractNum w:abstractNumId="4">
    <w:nsid w:val="FFFFFF7F"/>
    <w:multiLevelType w:val="singleLevel"/>
    <w:tmpl w:val="FFFFFF7F"/>
    <w:lvl w:ilvl="0" w:tentative="0">
      <w:start w:val="1"/>
      <w:numFmt w:val="decimal"/>
      <w:pStyle w:val="296"/>
      <w:lvlText w:val="%1."/>
      <w:lvlJc w:val="left"/>
      <w:pPr>
        <w:tabs>
          <w:tab w:val="left" w:pos="780"/>
        </w:tabs>
        <w:ind w:left="780" w:hanging="360"/>
      </w:pPr>
    </w:lvl>
  </w:abstractNum>
  <w:abstractNum w:abstractNumId="5">
    <w:nsid w:val="FFFFFF89"/>
    <w:multiLevelType w:val="singleLevel"/>
    <w:tmpl w:val="FFFFFF89"/>
    <w:lvl w:ilvl="0" w:tentative="0">
      <w:start w:val="1"/>
      <w:numFmt w:val="bullet"/>
      <w:pStyle w:val="494"/>
      <w:lvlText w:val=""/>
      <w:lvlJc w:val="left"/>
      <w:pPr>
        <w:tabs>
          <w:tab w:val="left" w:pos="360"/>
        </w:tabs>
        <w:ind w:left="360" w:hanging="360"/>
      </w:pPr>
      <w:rPr>
        <w:rFonts w:hint="default" w:ascii="Wingdings" w:hAnsi="Wingdings"/>
      </w:rPr>
    </w:lvl>
  </w:abstractNum>
  <w:abstractNum w:abstractNumId="6">
    <w:nsid w:val="03F503E4"/>
    <w:multiLevelType w:val="multilevel"/>
    <w:tmpl w:val="03F503E4"/>
    <w:lvl w:ilvl="0" w:tentative="0">
      <w:start w:val="1"/>
      <w:numFmt w:val="decimal"/>
      <w:pStyle w:val="744"/>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A6C7FEC"/>
    <w:multiLevelType w:val="multilevel"/>
    <w:tmpl w:val="0A6C7FEC"/>
    <w:lvl w:ilvl="0" w:tentative="0">
      <w:start w:val="1"/>
      <w:numFmt w:val="bullet"/>
      <w:pStyle w:val="428"/>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8">
    <w:nsid w:val="0A9F1955"/>
    <w:multiLevelType w:val="multilevel"/>
    <w:tmpl w:val="0A9F1955"/>
    <w:lvl w:ilvl="0" w:tentative="0">
      <w:start w:val="1"/>
      <w:numFmt w:val="bullet"/>
      <w:pStyle w:val="498"/>
      <w:lvlText w:val=""/>
      <w:lvlJc w:val="left"/>
      <w:pPr>
        <w:tabs>
          <w:tab w:val="left" w:pos="1144"/>
        </w:tabs>
        <w:ind w:left="1144" w:hanging="360"/>
      </w:pPr>
      <w:rPr>
        <w:rFonts w:hint="default" w:ascii="Wingdings" w:hAnsi="Wingdings"/>
      </w:rPr>
    </w:lvl>
    <w:lvl w:ilvl="1" w:tentative="0">
      <w:start w:val="1"/>
      <w:numFmt w:val="bullet"/>
      <w:lvlText w:val=""/>
      <w:lvlJc w:val="left"/>
      <w:pPr>
        <w:tabs>
          <w:tab w:val="left" w:pos="1860"/>
        </w:tabs>
        <w:ind w:left="1860" w:hanging="420"/>
      </w:pPr>
      <w:rPr>
        <w:rFonts w:hint="default" w:ascii="Wingdings" w:hAnsi="Wingdings"/>
        <w:sz w:val="16"/>
      </w:rPr>
    </w:lvl>
    <w:lvl w:ilvl="2" w:tentative="0">
      <w:start w:val="1"/>
      <w:numFmt w:val="bullet"/>
      <w:lvlText w:val=""/>
      <w:lvlJc w:val="left"/>
      <w:pPr>
        <w:tabs>
          <w:tab w:val="left" w:pos="2584"/>
        </w:tabs>
        <w:ind w:left="2584" w:hanging="360"/>
      </w:pPr>
      <w:rPr>
        <w:rFonts w:hint="default" w:ascii="Wingdings" w:hAnsi="Wingdings"/>
      </w:rPr>
    </w:lvl>
    <w:lvl w:ilvl="3" w:tentative="0">
      <w:start w:val="1"/>
      <w:numFmt w:val="bullet"/>
      <w:lvlText w:val=""/>
      <w:lvlJc w:val="left"/>
      <w:pPr>
        <w:tabs>
          <w:tab w:val="left" w:pos="3304"/>
        </w:tabs>
        <w:ind w:left="3304" w:hanging="360"/>
      </w:pPr>
      <w:rPr>
        <w:rFonts w:hint="default" w:ascii="Wingdings" w:hAnsi="Wingdings"/>
      </w:rPr>
    </w:lvl>
    <w:lvl w:ilvl="4" w:tentative="0">
      <w:start w:val="1"/>
      <w:numFmt w:val="bullet"/>
      <w:lvlText w:val=""/>
      <w:lvlJc w:val="left"/>
      <w:pPr>
        <w:tabs>
          <w:tab w:val="left" w:pos="4024"/>
        </w:tabs>
        <w:ind w:left="4024" w:hanging="360"/>
      </w:pPr>
      <w:rPr>
        <w:rFonts w:hint="default" w:ascii="Wingdings" w:hAnsi="Wingdings"/>
      </w:rPr>
    </w:lvl>
    <w:lvl w:ilvl="5" w:tentative="0">
      <w:start w:val="1"/>
      <w:numFmt w:val="bullet"/>
      <w:lvlText w:val=""/>
      <w:lvlJc w:val="left"/>
      <w:pPr>
        <w:tabs>
          <w:tab w:val="left" w:pos="4744"/>
        </w:tabs>
        <w:ind w:left="4744" w:hanging="360"/>
      </w:pPr>
      <w:rPr>
        <w:rFonts w:hint="default" w:ascii="Wingdings" w:hAnsi="Wingdings"/>
      </w:rPr>
    </w:lvl>
    <w:lvl w:ilvl="6" w:tentative="0">
      <w:start w:val="1"/>
      <w:numFmt w:val="bullet"/>
      <w:lvlText w:val=""/>
      <w:lvlJc w:val="left"/>
      <w:pPr>
        <w:tabs>
          <w:tab w:val="left" w:pos="5464"/>
        </w:tabs>
        <w:ind w:left="5464" w:hanging="360"/>
      </w:pPr>
      <w:rPr>
        <w:rFonts w:hint="default" w:ascii="Wingdings" w:hAnsi="Wingdings"/>
      </w:rPr>
    </w:lvl>
    <w:lvl w:ilvl="7" w:tentative="0">
      <w:start w:val="1"/>
      <w:numFmt w:val="bullet"/>
      <w:lvlText w:val=""/>
      <w:lvlJc w:val="left"/>
      <w:pPr>
        <w:tabs>
          <w:tab w:val="left" w:pos="6184"/>
        </w:tabs>
        <w:ind w:left="6184" w:hanging="360"/>
      </w:pPr>
      <w:rPr>
        <w:rFonts w:hint="default" w:ascii="Wingdings" w:hAnsi="Wingdings"/>
      </w:rPr>
    </w:lvl>
    <w:lvl w:ilvl="8" w:tentative="0">
      <w:start w:val="1"/>
      <w:numFmt w:val="bullet"/>
      <w:lvlText w:val=""/>
      <w:lvlJc w:val="left"/>
      <w:pPr>
        <w:tabs>
          <w:tab w:val="left" w:pos="6904"/>
        </w:tabs>
        <w:ind w:left="6904" w:hanging="360"/>
      </w:pPr>
      <w:rPr>
        <w:rFonts w:hint="default" w:ascii="Wingdings" w:hAnsi="Wingdings"/>
      </w:rPr>
    </w:lvl>
  </w:abstractNum>
  <w:abstractNum w:abstractNumId="9">
    <w:nsid w:val="0AC26B3D"/>
    <w:multiLevelType w:val="singleLevel"/>
    <w:tmpl w:val="0AC26B3D"/>
    <w:lvl w:ilvl="0" w:tentative="0">
      <w:start w:val="6"/>
      <w:numFmt w:val="chineseCounting"/>
      <w:suff w:val="space"/>
      <w:lvlText w:val="第%1部分"/>
      <w:lvlJc w:val="left"/>
      <w:rPr>
        <w:rFonts w:hint="eastAsia"/>
      </w:rPr>
    </w:lvl>
  </w:abstractNum>
  <w:abstractNum w:abstractNumId="10">
    <w:nsid w:val="0ACC5C51"/>
    <w:multiLevelType w:val="multilevel"/>
    <w:tmpl w:val="0ACC5C51"/>
    <w:lvl w:ilvl="0" w:tentative="0">
      <w:start w:val="1"/>
      <w:numFmt w:val="bullet"/>
      <w:pStyle w:val="725"/>
      <w:lvlText w:val=""/>
      <w:lvlJc w:val="left"/>
      <w:pPr>
        <w:tabs>
          <w:tab w:val="left" w:pos="1928"/>
        </w:tabs>
        <w:ind w:left="1928"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0ADD7944"/>
    <w:multiLevelType w:val="multilevel"/>
    <w:tmpl w:val="0ADD7944"/>
    <w:lvl w:ilvl="0" w:tentative="0">
      <w:start w:val="1"/>
      <w:numFmt w:val="decimal"/>
      <w:pStyle w:val="3"/>
      <w:suff w:val="space"/>
      <w:lvlText w:val="第%1章"/>
      <w:lvlJc w:val="left"/>
      <w:pPr>
        <w:ind w:left="0" w:firstLine="0"/>
      </w:pPr>
      <w:rPr>
        <w:rFonts w:hint="eastAsia" w:ascii="宋体" w:hAnsi="宋体" w:eastAsia="宋体"/>
        <w:b/>
        <w:i w:val="0"/>
        <w:sz w:val="44"/>
      </w:rPr>
    </w:lvl>
    <w:lvl w:ilvl="1" w:tentative="0">
      <w:start w:val="1"/>
      <w:numFmt w:val="decimal"/>
      <w:pStyle w:val="4"/>
      <w:suff w:val="space"/>
      <w:lvlText w:val="%1.%2"/>
      <w:lvlJc w:val="left"/>
      <w:pPr>
        <w:ind w:left="1080" w:hanging="720"/>
      </w:pPr>
      <w:rPr>
        <w:rFonts w:hint="eastAsia"/>
      </w:rPr>
    </w:lvl>
    <w:lvl w:ilvl="2" w:tentative="0">
      <w:start w:val="1"/>
      <w:numFmt w:val="decimal"/>
      <w:pStyle w:val="5"/>
      <w:suff w:val="space"/>
      <w:lvlText w:val="%1.%2.%3"/>
      <w:lvlJc w:val="left"/>
      <w:pPr>
        <w:ind w:left="0" w:firstLine="0"/>
      </w:pPr>
      <w:rPr>
        <w:rFonts w:hint="eastAsia"/>
        <w:color w:val="000000"/>
      </w:rPr>
    </w:lvl>
    <w:lvl w:ilvl="3" w:tentative="0">
      <w:start w:val="1"/>
      <w:numFmt w:val="decimal"/>
      <w:pStyle w:val="504"/>
      <w:suff w:val="nothing"/>
      <w:lvlText w:val="%1.%2.%3.%4"/>
      <w:lvlJc w:val="left"/>
      <w:pPr>
        <w:ind w:left="0" w:firstLine="0"/>
      </w:pPr>
      <w:rPr>
        <w:rFonts w:hint="eastAsia"/>
      </w:rPr>
    </w:lvl>
    <w:lvl w:ilvl="4" w:tentative="0">
      <w:start w:val="1"/>
      <w:numFmt w:val="decimal"/>
      <w:pStyle w:val="7"/>
      <w:suff w:val="nothing"/>
      <w:lvlText w:val="%1.%2.%3.%4.%5"/>
      <w:lvlJc w:val="left"/>
      <w:pPr>
        <w:ind w:left="0" w:firstLine="0"/>
      </w:pPr>
      <w:rPr>
        <w:rFonts w:hint="eastAsia"/>
      </w:rPr>
    </w:lvl>
    <w:lvl w:ilvl="5" w:tentative="0">
      <w:start w:val="1"/>
      <w:numFmt w:val="none"/>
      <w:pStyle w:val="8"/>
      <w:suff w:val="nothing"/>
      <w:lvlText w:val=""/>
      <w:lvlJc w:val="left"/>
      <w:pPr>
        <w:ind w:left="0" w:firstLine="0"/>
      </w:pPr>
      <w:rPr>
        <w:rFonts w:hint="eastAsia"/>
      </w:rPr>
    </w:lvl>
    <w:lvl w:ilvl="6" w:tentative="0">
      <w:start w:val="1"/>
      <w:numFmt w:val="none"/>
      <w:pStyle w:val="9"/>
      <w:suff w:val="nothing"/>
      <w:lvlText w:val=""/>
      <w:lvlJc w:val="left"/>
      <w:pPr>
        <w:ind w:left="0" w:firstLine="0"/>
      </w:pPr>
      <w:rPr>
        <w:rFonts w:hint="eastAsia"/>
      </w:rPr>
    </w:lvl>
    <w:lvl w:ilvl="7" w:tentative="0">
      <w:start w:val="1"/>
      <w:numFmt w:val="none"/>
      <w:pStyle w:val="10"/>
      <w:suff w:val="nothing"/>
      <w:lvlText w:val=""/>
      <w:lvlJc w:val="left"/>
      <w:pPr>
        <w:ind w:left="0" w:firstLine="0"/>
      </w:pPr>
      <w:rPr>
        <w:rFonts w:hint="eastAsia"/>
      </w:rPr>
    </w:lvl>
    <w:lvl w:ilvl="8" w:tentative="0">
      <w:start w:val="1"/>
      <w:numFmt w:val="none"/>
      <w:pStyle w:val="11"/>
      <w:suff w:val="nothing"/>
      <w:lvlText w:val=""/>
      <w:lvlJc w:val="left"/>
      <w:pPr>
        <w:ind w:left="0" w:firstLine="0"/>
      </w:pPr>
      <w:rPr>
        <w:rFonts w:hint="eastAsia"/>
      </w:rPr>
    </w:lvl>
  </w:abstractNum>
  <w:abstractNum w:abstractNumId="12">
    <w:nsid w:val="118F4F80"/>
    <w:multiLevelType w:val="multilevel"/>
    <w:tmpl w:val="118F4F80"/>
    <w:lvl w:ilvl="0" w:tentative="0">
      <w:start w:val="1"/>
      <w:numFmt w:val="bullet"/>
      <w:pStyle w:val="91"/>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3">
    <w:nsid w:val="13433532"/>
    <w:multiLevelType w:val="multilevel"/>
    <w:tmpl w:val="13433532"/>
    <w:lvl w:ilvl="0" w:tentative="0">
      <w:start w:val="1"/>
      <w:numFmt w:val="decimal"/>
      <w:pStyle w:val="618"/>
      <w:lvlText w:val="(%1)"/>
      <w:lvlJc w:val="left"/>
      <w:pPr>
        <w:ind w:left="1320" w:hanging="420"/>
      </w:pPr>
      <w:rPr>
        <w:rFonts w:hint="eastAsia"/>
      </w:rPr>
    </w:lvl>
    <w:lvl w:ilvl="1" w:tentative="0">
      <w:start w:val="1"/>
      <w:numFmt w:val="bullet"/>
      <w:lvlText w:val=""/>
      <w:lvlJc w:val="left"/>
      <w:pPr>
        <w:ind w:left="1740" w:hanging="420"/>
      </w:pPr>
      <w:rPr>
        <w:rFonts w:hint="default" w:ascii="Wingdings" w:hAnsi="Wingdings"/>
      </w:rPr>
    </w:lvl>
    <w:lvl w:ilvl="2" w:tentative="0">
      <w:start w:val="1"/>
      <w:numFmt w:val="bullet"/>
      <w:lvlText w:val=""/>
      <w:lvlJc w:val="left"/>
      <w:pPr>
        <w:ind w:left="2160" w:hanging="420"/>
      </w:pPr>
      <w:rPr>
        <w:rFonts w:hint="default" w:ascii="Wingdings" w:hAnsi="Wingdings"/>
      </w:rPr>
    </w:lvl>
    <w:lvl w:ilvl="3" w:tentative="0">
      <w:start w:val="1"/>
      <w:numFmt w:val="bullet"/>
      <w:lvlText w:val=""/>
      <w:lvlJc w:val="left"/>
      <w:pPr>
        <w:ind w:left="2580" w:hanging="420"/>
      </w:pPr>
      <w:rPr>
        <w:rFonts w:hint="default" w:ascii="Wingdings" w:hAnsi="Wingdings"/>
      </w:rPr>
    </w:lvl>
    <w:lvl w:ilvl="4" w:tentative="0">
      <w:start w:val="1"/>
      <w:numFmt w:val="bullet"/>
      <w:lvlText w:val=""/>
      <w:lvlJc w:val="left"/>
      <w:pPr>
        <w:ind w:left="3000" w:hanging="420"/>
      </w:pPr>
      <w:rPr>
        <w:rFonts w:hint="default" w:ascii="Wingdings" w:hAnsi="Wingdings"/>
      </w:rPr>
    </w:lvl>
    <w:lvl w:ilvl="5" w:tentative="0">
      <w:start w:val="1"/>
      <w:numFmt w:val="bullet"/>
      <w:lvlText w:val=""/>
      <w:lvlJc w:val="left"/>
      <w:pPr>
        <w:ind w:left="3420" w:hanging="420"/>
      </w:pPr>
      <w:rPr>
        <w:rFonts w:hint="default" w:ascii="Wingdings" w:hAnsi="Wingdings"/>
      </w:rPr>
    </w:lvl>
    <w:lvl w:ilvl="6" w:tentative="0">
      <w:start w:val="1"/>
      <w:numFmt w:val="bullet"/>
      <w:lvlText w:val=""/>
      <w:lvlJc w:val="left"/>
      <w:pPr>
        <w:ind w:left="3840" w:hanging="420"/>
      </w:pPr>
      <w:rPr>
        <w:rFonts w:hint="default" w:ascii="Wingdings" w:hAnsi="Wingdings"/>
      </w:rPr>
    </w:lvl>
    <w:lvl w:ilvl="7" w:tentative="0">
      <w:start w:val="1"/>
      <w:numFmt w:val="bullet"/>
      <w:lvlText w:val=""/>
      <w:lvlJc w:val="left"/>
      <w:pPr>
        <w:ind w:left="4260" w:hanging="420"/>
      </w:pPr>
      <w:rPr>
        <w:rFonts w:hint="default" w:ascii="Wingdings" w:hAnsi="Wingdings"/>
      </w:rPr>
    </w:lvl>
    <w:lvl w:ilvl="8" w:tentative="0">
      <w:start w:val="1"/>
      <w:numFmt w:val="bullet"/>
      <w:lvlText w:val=""/>
      <w:lvlJc w:val="left"/>
      <w:pPr>
        <w:ind w:left="4680" w:hanging="420"/>
      </w:pPr>
      <w:rPr>
        <w:rFonts w:hint="default" w:ascii="Wingdings" w:hAnsi="Wingdings"/>
      </w:rPr>
    </w:lvl>
  </w:abstractNum>
  <w:abstractNum w:abstractNumId="14">
    <w:nsid w:val="1492570A"/>
    <w:multiLevelType w:val="singleLevel"/>
    <w:tmpl w:val="1492570A"/>
    <w:lvl w:ilvl="0" w:tentative="0">
      <w:start w:val="1"/>
      <w:numFmt w:val="decimal"/>
      <w:pStyle w:val="650"/>
      <w:lvlText w:val="(%1)"/>
      <w:lvlJc w:val="left"/>
      <w:pPr>
        <w:tabs>
          <w:tab w:val="left" w:pos="1021"/>
        </w:tabs>
        <w:ind w:left="0" w:firstLine="567"/>
      </w:pPr>
      <w:rPr>
        <w:rFonts w:hint="eastAsia" w:ascii="Times New Roman" w:hAnsi="Times New Roman"/>
        <w:b w:val="0"/>
        <w:i w:val="0"/>
        <w:sz w:val="24"/>
        <w:u w:val="none"/>
      </w:rPr>
    </w:lvl>
  </w:abstractNum>
  <w:abstractNum w:abstractNumId="15">
    <w:nsid w:val="18B46DD8"/>
    <w:multiLevelType w:val="multilevel"/>
    <w:tmpl w:val="18B46DD8"/>
    <w:lvl w:ilvl="0" w:tentative="0">
      <w:start w:val="1"/>
      <w:numFmt w:val="bullet"/>
      <w:pStyle w:val="633"/>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6">
    <w:nsid w:val="19545F75"/>
    <w:multiLevelType w:val="multilevel"/>
    <w:tmpl w:val="19545F7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pStyle w:val="179"/>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1AF55D95"/>
    <w:multiLevelType w:val="multilevel"/>
    <w:tmpl w:val="1AF55D95"/>
    <w:lvl w:ilvl="0" w:tentative="0">
      <w:start w:val="1"/>
      <w:numFmt w:val="decimal"/>
      <w:pStyle w:val="373"/>
      <w:lvlText w:val="（%1）"/>
      <w:lvlJc w:val="left"/>
      <w:pPr>
        <w:ind w:left="420" w:hanging="42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1D364CDD"/>
    <w:multiLevelType w:val="multilevel"/>
    <w:tmpl w:val="1D364CDD"/>
    <w:lvl w:ilvl="0" w:tentative="0">
      <w:start w:val="1"/>
      <w:numFmt w:val="decimal"/>
      <w:pStyle w:val="566"/>
      <w:lvlText w:val="%1."/>
      <w:lvlJc w:val="left"/>
      <w:pPr>
        <w:tabs>
          <w:tab w:val="left" w:pos="1260"/>
        </w:tabs>
        <w:ind w:left="1260" w:hanging="420"/>
      </w:pPr>
      <w:rPr>
        <w:rFonts w:hint="eastAsia"/>
      </w:r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pStyle w:val="655"/>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19">
    <w:nsid w:val="318C0DD1"/>
    <w:multiLevelType w:val="multilevel"/>
    <w:tmpl w:val="318C0DD1"/>
    <w:lvl w:ilvl="0" w:tentative="0">
      <w:start w:val="1"/>
      <w:numFmt w:val="decimal"/>
      <w:pStyle w:val="446"/>
      <w:lvlText w:val="%1）"/>
      <w:lvlJc w:val="left"/>
      <w:pPr>
        <w:tabs>
          <w:tab w:val="left" w:pos="780"/>
        </w:tabs>
        <w:ind w:left="78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349339C8"/>
    <w:multiLevelType w:val="multilevel"/>
    <w:tmpl w:val="349339C8"/>
    <w:lvl w:ilvl="0" w:tentative="0">
      <w:start w:val="1"/>
      <w:numFmt w:val="bullet"/>
      <w:pStyle w:val="622"/>
      <w:lvlText w:val=""/>
      <w:lvlJc w:val="left"/>
      <w:pPr>
        <w:ind w:left="987" w:hanging="420"/>
      </w:pPr>
      <w:rPr>
        <w:rFonts w:hint="default" w:ascii="Wingdings" w:hAnsi="Wingdings"/>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21">
    <w:nsid w:val="3A2905CA"/>
    <w:multiLevelType w:val="multilevel"/>
    <w:tmpl w:val="3A2905CA"/>
    <w:lvl w:ilvl="0" w:tentative="0">
      <w:start w:val="1"/>
      <w:numFmt w:val="decimal"/>
      <w:pStyle w:val="29"/>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3EB61287"/>
    <w:multiLevelType w:val="multilevel"/>
    <w:tmpl w:val="3EB61287"/>
    <w:lvl w:ilvl="0" w:tentative="0">
      <w:start w:val="1"/>
      <w:numFmt w:val="decimal"/>
      <w:pStyle w:val="660"/>
      <w:lvlText w:val="%1．"/>
      <w:lvlJc w:val="left"/>
      <w:pPr>
        <w:tabs>
          <w:tab w:val="left" w:pos="360"/>
        </w:tabs>
        <w:ind w:left="360" w:hanging="360"/>
      </w:pPr>
      <w:rPr>
        <w:rFonts w:hint="default"/>
      </w:rPr>
    </w:lvl>
    <w:lvl w:ilvl="1" w:tentative="0">
      <w:start w:val="1"/>
      <w:numFmt w:val="lowerLetter"/>
      <w:pStyle w:val="468"/>
      <w:lvlText w:val="%2)"/>
      <w:lvlJc w:val="left"/>
      <w:pPr>
        <w:tabs>
          <w:tab w:val="left" w:pos="840"/>
        </w:tabs>
        <w:ind w:left="840" w:hanging="420"/>
      </w:pPr>
    </w:lvl>
    <w:lvl w:ilvl="2" w:tentative="0">
      <w:start w:val="1"/>
      <w:numFmt w:val="lowerRoman"/>
      <w:pStyle w:val="606"/>
      <w:lvlText w:val="%3."/>
      <w:lvlJc w:val="right"/>
      <w:pPr>
        <w:tabs>
          <w:tab w:val="left" w:pos="1260"/>
        </w:tabs>
        <w:ind w:left="1260" w:hanging="420"/>
      </w:pPr>
    </w:lvl>
    <w:lvl w:ilvl="3" w:tentative="0">
      <w:start w:val="1"/>
      <w:numFmt w:val="decimal"/>
      <w:pStyle w:val="605"/>
      <w:lvlText w:val="%4."/>
      <w:lvlJc w:val="left"/>
      <w:pPr>
        <w:tabs>
          <w:tab w:val="left" w:pos="1680"/>
        </w:tabs>
        <w:ind w:left="1680" w:hanging="420"/>
      </w:pPr>
    </w:lvl>
    <w:lvl w:ilvl="4" w:tentative="0">
      <w:start w:val="1"/>
      <w:numFmt w:val="lowerLetter"/>
      <w:pStyle w:val="576"/>
      <w:lvlText w:val="%5)"/>
      <w:lvlJc w:val="left"/>
      <w:pPr>
        <w:tabs>
          <w:tab w:val="left" w:pos="2100"/>
        </w:tabs>
        <w:ind w:left="2100" w:hanging="420"/>
      </w:pPr>
    </w:lvl>
    <w:lvl w:ilvl="5" w:tentative="0">
      <w:start w:val="1"/>
      <w:numFmt w:val="lowerRoman"/>
      <w:pStyle w:val="544"/>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44C50F90"/>
    <w:multiLevelType w:val="multilevel"/>
    <w:tmpl w:val="44C50F90"/>
    <w:lvl w:ilvl="0" w:tentative="0">
      <w:start w:val="1"/>
      <w:numFmt w:val="lowerLetter"/>
      <w:pStyle w:val="749"/>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748"/>
      <w:lvlText w:val="%2)"/>
      <w:lvlJc w:val="left"/>
      <w:pPr>
        <w:tabs>
          <w:tab w:val="left" w:pos="1259"/>
        </w:tabs>
        <w:ind w:left="1259" w:hanging="420"/>
      </w:pPr>
      <w:rPr>
        <w:rFonts w:hint="eastAsia" w:ascii="宋体" w:hAnsi="宋体" w:eastAsia="宋体"/>
        <w:b w:val="0"/>
        <w:i w:val="0"/>
        <w:iCs w:val="0"/>
        <w:caps w:val="0"/>
        <w:smallCaps w:val="0"/>
        <w:strike w:val="0"/>
        <w:dstrike w:val="0"/>
        <w:vanish w:val="0"/>
        <w:color w:val="000000"/>
        <w:spacing w:val="0"/>
        <w:position w:val="0"/>
        <w:sz w:val="20"/>
        <w:u w:val="none"/>
        <w:vertAlign w:val="baseline"/>
      </w:rPr>
    </w:lvl>
    <w:lvl w:ilvl="2" w:tentative="0">
      <w:start w:val="1"/>
      <w:numFmt w:val="decimal"/>
      <w:pStyle w:val="491"/>
      <w:lvlText w:val="(%3)"/>
      <w:lvlJc w:val="left"/>
      <w:pPr>
        <w:tabs>
          <w:tab w:val="left" w:pos="0"/>
        </w:tabs>
        <w:ind w:left="1678" w:hanging="419"/>
      </w:pPr>
      <w:rPr>
        <w:rFonts w:hint="eastAsia" w:ascii="宋体" w:hAnsi="宋体" w:eastAsia="宋体"/>
        <w:b w:val="0"/>
        <w:bCs w:val="0"/>
        <w:i w:val="0"/>
        <w:iCs w:val="0"/>
        <w:caps w:val="0"/>
        <w:strike w:val="0"/>
        <w:dstrike w:val="0"/>
        <w:vanish w:val="0"/>
        <w:color w:val="000000"/>
        <w:spacing w:val="0"/>
        <w:w w:val="100"/>
        <w:kern w:val="2"/>
        <w:position w:val="0"/>
        <w:sz w:val="20"/>
        <w:szCs w:val="24"/>
        <w:u w:val="none"/>
        <w:vertAlign w:val="baseline"/>
      </w:rPr>
    </w:lvl>
    <w:lvl w:ilvl="3" w:tentative="0">
      <w:start w:val="1"/>
      <w:numFmt w:val="decimal"/>
      <w:lvlText w:val="%4."/>
      <w:lvlJc w:val="left"/>
      <w:pPr>
        <w:tabs>
          <w:tab w:val="left" w:pos="2098"/>
        </w:tabs>
        <w:ind w:left="2098" w:hanging="420"/>
      </w:pPr>
    </w:lvl>
    <w:lvl w:ilvl="4" w:tentative="0">
      <w:start w:val="1"/>
      <w:numFmt w:val="lowerLetter"/>
      <w:lvlText w:val="%5)"/>
      <w:lvlJc w:val="left"/>
      <w:pPr>
        <w:tabs>
          <w:tab w:val="left" w:pos="2517"/>
        </w:tabs>
        <w:ind w:left="2517" w:hanging="419"/>
      </w:pPr>
    </w:lvl>
    <w:lvl w:ilvl="5" w:tentative="0">
      <w:start w:val="1"/>
      <w:numFmt w:val="lowerRoman"/>
      <w:lvlText w:val="%6."/>
      <w:lvlJc w:val="right"/>
      <w:pPr>
        <w:tabs>
          <w:tab w:val="left" w:pos="2942"/>
        </w:tabs>
        <w:ind w:left="2937" w:hanging="420"/>
      </w:pPr>
    </w:lvl>
    <w:lvl w:ilvl="6" w:tentative="0">
      <w:start w:val="1"/>
      <w:numFmt w:val="decimal"/>
      <w:lvlText w:val="%7."/>
      <w:lvlJc w:val="left"/>
      <w:pPr>
        <w:tabs>
          <w:tab w:val="left" w:pos="3362"/>
        </w:tabs>
        <w:ind w:left="3356" w:hanging="414"/>
      </w:pPr>
    </w:lvl>
    <w:lvl w:ilvl="7" w:tentative="0">
      <w:start w:val="1"/>
      <w:numFmt w:val="lowerLetter"/>
      <w:lvlText w:val="%8)"/>
      <w:lvlJc w:val="left"/>
      <w:pPr>
        <w:tabs>
          <w:tab w:val="left" w:pos="3781"/>
        </w:tabs>
        <w:ind w:left="3776" w:hanging="414"/>
      </w:pPr>
    </w:lvl>
    <w:lvl w:ilvl="8" w:tentative="0">
      <w:start w:val="1"/>
      <w:numFmt w:val="lowerRoman"/>
      <w:lvlText w:val="%9."/>
      <w:lvlJc w:val="right"/>
      <w:pPr>
        <w:tabs>
          <w:tab w:val="left" w:pos="4201"/>
        </w:tabs>
        <w:ind w:left="4201" w:hanging="420"/>
      </w:pPr>
    </w:lvl>
  </w:abstractNum>
  <w:abstractNum w:abstractNumId="24">
    <w:nsid w:val="46003FF7"/>
    <w:multiLevelType w:val="multilevel"/>
    <w:tmpl w:val="46003FF7"/>
    <w:lvl w:ilvl="0" w:tentative="0">
      <w:start w:val="1"/>
      <w:numFmt w:val="chineseCountingThousand"/>
      <w:pStyle w:val="490"/>
      <w:suff w:val="space"/>
      <w:lvlText w:val="第%1章"/>
      <w:lvlJc w:val="left"/>
      <w:pPr>
        <w:ind w:left="0" w:firstLine="0"/>
      </w:pPr>
      <w:rPr>
        <w:rFonts w:hint="default" w:ascii="Arial" w:hAnsi="Arial" w:eastAsia="宋体"/>
        <w:b/>
        <w:i w:val="0"/>
        <w:snapToGrid/>
        <w:color w:val="auto"/>
        <w:spacing w:val="0"/>
        <w:w w:val="100"/>
        <w:kern w:val="36"/>
        <w:position w:val="0"/>
        <w:sz w:val="36"/>
        <w:u w:val="none"/>
      </w:rPr>
    </w:lvl>
    <w:lvl w:ilvl="1" w:tentative="0">
      <w:start w:val="1"/>
      <w:numFmt w:val="decimal"/>
      <w:isLgl/>
      <w:lvlText w:val="%1.%2"/>
      <w:lvlJc w:val="left"/>
      <w:pPr>
        <w:tabs>
          <w:tab w:val="left" w:pos="720"/>
        </w:tabs>
        <w:ind w:left="0" w:firstLine="0"/>
      </w:pPr>
      <w:rPr>
        <w:rFonts w:hint="eastAsia"/>
      </w:rPr>
    </w:lvl>
    <w:lvl w:ilvl="2" w:tentative="0">
      <w:start w:val="1"/>
      <w:numFmt w:val="decimal"/>
      <w:isLgl/>
      <w:lvlText w:val="%1.%2.%3"/>
      <w:lvlJc w:val="left"/>
      <w:pPr>
        <w:tabs>
          <w:tab w:val="left" w:pos="720"/>
        </w:tabs>
        <w:ind w:left="0" w:firstLine="0"/>
      </w:pPr>
      <w:rPr>
        <w:rFonts w:hint="default" w:ascii="Times New Roman" w:hAnsi="Times New Roman" w:eastAsia="宋体"/>
        <w:b/>
        <w:i w:val="0"/>
        <w:snapToGrid/>
        <w:color w:val="auto"/>
        <w:spacing w:val="0"/>
        <w:w w:val="100"/>
        <w:kern w:val="2"/>
        <w:position w:val="0"/>
        <w:sz w:val="30"/>
        <w:u w:val="none"/>
      </w:rPr>
    </w:lvl>
    <w:lvl w:ilvl="3" w:tentative="0">
      <w:start w:val="1"/>
      <w:numFmt w:val="decimal"/>
      <w:isLgl/>
      <w:suff w:val="space"/>
      <w:lvlText w:val="%1.%2.%3.%4"/>
      <w:lvlJc w:val="left"/>
      <w:pPr>
        <w:ind w:left="0" w:firstLine="0"/>
      </w:pPr>
      <w:rPr>
        <w:rFonts w:hint="default" w:ascii="Times New Roman" w:hAnsi="Times New Roman" w:eastAsia="宋体"/>
        <w:b/>
        <w:i w:val="0"/>
        <w:color w:val="auto"/>
        <w:sz w:val="28"/>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5">
    <w:nsid w:val="493964DE"/>
    <w:multiLevelType w:val="multilevel"/>
    <w:tmpl w:val="493964DE"/>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6">
    <w:nsid w:val="4A2C509E"/>
    <w:multiLevelType w:val="multilevel"/>
    <w:tmpl w:val="4A2C509E"/>
    <w:lvl w:ilvl="0" w:tentative="0">
      <w:start w:val="1"/>
      <w:numFmt w:val="decimal"/>
      <w:pStyle w:val="38"/>
      <w:lvlText w:val="%1."/>
      <w:lvlJc w:val="left"/>
      <w:pPr>
        <w:tabs>
          <w:tab w:val="left" w:pos="397"/>
        </w:tabs>
        <w:ind w:left="0" w:firstLine="397"/>
      </w:pPr>
      <w:rPr>
        <w:rFonts w:hint="eastAsia"/>
        <w:color w:val="auto"/>
      </w:rPr>
    </w:lvl>
    <w:lvl w:ilvl="1" w:tentative="0">
      <w:start w:val="1"/>
      <w:numFmt w:val="lowerLetter"/>
      <w:lvlText w:val="%2)"/>
      <w:lvlJc w:val="left"/>
      <w:pPr>
        <w:tabs>
          <w:tab w:val="left" w:pos="420"/>
        </w:tabs>
        <w:ind w:left="420" w:hanging="420"/>
      </w:p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27">
    <w:nsid w:val="4B0670F9"/>
    <w:multiLevelType w:val="multilevel"/>
    <w:tmpl w:val="4B0670F9"/>
    <w:lvl w:ilvl="0" w:tentative="0">
      <w:start w:val="1"/>
      <w:numFmt w:val="bullet"/>
      <w:pStyle w:val="369"/>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8">
    <w:nsid w:val="4B9D13A2"/>
    <w:multiLevelType w:val="multilevel"/>
    <w:tmpl w:val="4B9D13A2"/>
    <w:lvl w:ilvl="0" w:tentative="0">
      <w:start w:val="1"/>
      <w:numFmt w:val="bullet"/>
      <w:pStyle w:val="647"/>
      <w:lvlText w:val=""/>
      <w:lvlJc w:val="left"/>
      <w:pPr>
        <w:tabs>
          <w:tab w:val="left" w:pos="840"/>
        </w:tabs>
        <w:ind w:left="840" w:hanging="420"/>
      </w:pPr>
      <w:rPr>
        <w:rFonts w:hint="default" w:ascii="Wingdings" w:hAnsi="Wingdings"/>
      </w:rPr>
    </w:lvl>
    <w:lvl w:ilvl="1" w:tentative="0">
      <w:start w:val="1"/>
      <w:numFmt w:val="bullet"/>
      <w:pStyle w:val="417"/>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9">
    <w:nsid w:val="4CE11E29"/>
    <w:multiLevelType w:val="multilevel"/>
    <w:tmpl w:val="4CE11E29"/>
    <w:lvl w:ilvl="0" w:tentative="0">
      <w:start w:val="1"/>
      <w:numFmt w:val="bullet"/>
      <w:pStyle w:val="357"/>
      <w:lvlText w:val=""/>
      <w:lvlJc w:val="left"/>
      <w:pPr>
        <w:ind w:left="420" w:hanging="420"/>
      </w:pPr>
      <w:rPr>
        <w:rFonts w:hint="default" w:ascii="Wingdings" w:hAnsi="Wingding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514746D8"/>
    <w:multiLevelType w:val="singleLevel"/>
    <w:tmpl w:val="514746D8"/>
    <w:lvl w:ilvl="0" w:tentative="0">
      <w:start w:val="1"/>
      <w:numFmt w:val="bullet"/>
      <w:pStyle w:val="669"/>
      <w:lvlText w:val=""/>
      <w:lvlJc w:val="left"/>
      <w:pPr>
        <w:tabs>
          <w:tab w:val="left" w:pos="432"/>
        </w:tabs>
        <w:ind w:left="432" w:hanging="432"/>
      </w:pPr>
      <w:rPr>
        <w:rFonts w:hint="default" w:ascii="Symbol" w:hAnsi="Symbol"/>
      </w:rPr>
    </w:lvl>
  </w:abstractNum>
  <w:abstractNum w:abstractNumId="31">
    <w:nsid w:val="527753BB"/>
    <w:multiLevelType w:val="singleLevel"/>
    <w:tmpl w:val="527753BB"/>
    <w:lvl w:ilvl="0" w:tentative="0">
      <w:start w:val="1"/>
      <w:numFmt w:val="bullet"/>
      <w:pStyle w:val="666"/>
      <w:lvlText w:val=""/>
      <w:lvlJc w:val="left"/>
      <w:pPr>
        <w:tabs>
          <w:tab w:val="left" w:pos="432"/>
        </w:tabs>
        <w:ind w:left="432" w:hanging="432"/>
      </w:pPr>
      <w:rPr>
        <w:rFonts w:hint="default" w:ascii="Symbol" w:hAnsi="Symbol"/>
      </w:rPr>
    </w:lvl>
  </w:abstractNum>
  <w:abstractNum w:abstractNumId="32">
    <w:nsid w:val="52BF2A81"/>
    <w:multiLevelType w:val="multilevel"/>
    <w:tmpl w:val="52BF2A81"/>
    <w:lvl w:ilvl="0" w:tentative="0">
      <w:start w:val="1"/>
      <w:numFmt w:val="decimal"/>
      <w:pStyle w:val="299"/>
      <w:lvlText w:val="%1)"/>
      <w:lvlJc w:val="left"/>
      <w:pPr>
        <w:ind w:left="980" w:hanging="420"/>
      </w:pPr>
    </w:lvl>
    <w:lvl w:ilvl="1" w:tentative="0">
      <w:start w:val="1"/>
      <w:numFmt w:val="lowerLetter"/>
      <w:lvlText w:val="%2)"/>
      <w:lvlJc w:val="left"/>
      <w:pPr>
        <w:ind w:left="1400" w:hanging="420"/>
      </w:pPr>
    </w:lvl>
    <w:lvl w:ilvl="2" w:tentative="0">
      <w:start w:val="1"/>
      <w:numFmt w:val="decimal"/>
      <w:lvlText w:val="%3、"/>
      <w:lvlJc w:val="left"/>
      <w:pPr>
        <w:ind w:left="2120" w:hanging="720"/>
      </w:pPr>
      <w:rPr>
        <w:rFonts w:hint="default"/>
      </w:rPr>
    </w:lvl>
    <w:lvl w:ilvl="3" w:tentative="0">
      <w:start w:val="1"/>
      <w:numFmt w:val="decimal"/>
      <w:lvlText w:val="%4."/>
      <w:lvlJc w:val="left"/>
      <w:pPr>
        <w:ind w:left="2240" w:hanging="420"/>
      </w:pPr>
    </w:lvl>
    <w:lvl w:ilvl="4" w:tentative="0">
      <w:start w:val="1"/>
      <w:numFmt w:val="decimal"/>
      <w:lvlText w:val="（%5）"/>
      <w:lvlJc w:val="left"/>
      <w:pPr>
        <w:ind w:left="2960" w:hanging="720"/>
      </w:pPr>
      <w:rPr>
        <w:rFonts w:hint="default"/>
      </w:r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3">
    <w:nsid w:val="533C738B"/>
    <w:multiLevelType w:val="singleLevel"/>
    <w:tmpl w:val="533C738B"/>
    <w:lvl w:ilvl="0" w:tentative="0">
      <w:start w:val="1"/>
      <w:numFmt w:val="upperLetter"/>
      <w:pStyle w:val="715"/>
      <w:lvlText w:val="%1．"/>
      <w:lvlJc w:val="left"/>
      <w:pPr>
        <w:tabs>
          <w:tab w:val="left" w:pos="1050"/>
        </w:tabs>
        <w:ind w:left="1050" w:hanging="480"/>
      </w:pPr>
      <w:rPr>
        <w:rFonts w:hint="eastAsia"/>
      </w:rPr>
    </w:lvl>
  </w:abstractNum>
  <w:abstractNum w:abstractNumId="34">
    <w:nsid w:val="567F7B34"/>
    <w:multiLevelType w:val="multilevel"/>
    <w:tmpl w:val="567F7B34"/>
    <w:lvl w:ilvl="0" w:tentative="0">
      <w:start w:val="1"/>
      <w:numFmt w:val="decimal"/>
      <w:pStyle w:val="652"/>
      <w:lvlText w:val="%1)"/>
      <w:lvlJc w:val="left"/>
      <w:pPr>
        <w:tabs>
          <w:tab w:val="left" w:pos="964"/>
        </w:tabs>
        <w:ind w:left="964" w:hanging="482"/>
      </w:pPr>
      <w:rPr>
        <w:rFonts w:hint="eastAsia"/>
      </w:rPr>
    </w:lvl>
    <w:lvl w:ilvl="1" w:tentative="0">
      <w:start w:val="1"/>
      <w:numFmt w:val="bullet"/>
      <w:lvlText w:val=""/>
      <w:lvlJc w:val="left"/>
      <w:pPr>
        <w:tabs>
          <w:tab w:val="left" w:pos="902"/>
        </w:tabs>
        <w:ind w:left="902" w:hanging="482"/>
      </w:pPr>
      <w:rPr>
        <w:rFonts w:hint="default" w:ascii="Wingdings" w:hAnsi="Wingding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5">
    <w:nsid w:val="573E237E"/>
    <w:multiLevelType w:val="multilevel"/>
    <w:tmpl w:val="573E237E"/>
    <w:lvl w:ilvl="0" w:tentative="0">
      <w:start w:val="1"/>
      <w:numFmt w:val="bullet"/>
      <w:pStyle w:val="97"/>
      <w:lvlText w:val=""/>
      <w:lvlJc w:val="left"/>
      <w:pPr>
        <w:tabs>
          <w:tab w:val="left" w:pos="900"/>
        </w:tabs>
        <w:ind w:left="900"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6">
    <w:nsid w:val="58BFA34E"/>
    <w:multiLevelType w:val="multilevel"/>
    <w:tmpl w:val="58BFA34E"/>
    <w:lvl w:ilvl="0" w:tentative="0">
      <w:start w:val="1"/>
      <w:numFmt w:val="decimal"/>
      <w:lvlText w:val="（%1）"/>
      <w:lvlJc w:val="left"/>
      <w:pPr>
        <w:tabs>
          <w:tab w:val="left" w:pos="1080"/>
        </w:tabs>
        <w:ind w:left="1080" w:hanging="108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7">
    <w:nsid w:val="58E21C21"/>
    <w:multiLevelType w:val="multilevel"/>
    <w:tmpl w:val="58E21C21"/>
    <w:lvl w:ilvl="0" w:tentative="0">
      <w:start w:val="1"/>
      <w:numFmt w:val="decimal"/>
      <w:lvlText w:val="%1)"/>
      <w:lvlJc w:val="left"/>
      <w:pPr>
        <w:ind w:left="980" w:hanging="420"/>
      </w:pPr>
    </w:lvl>
    <w:lvl w:ilvl="1" w:tentative="0">
      <w:start w:val="1"/>
      <w:numFmt w:val="japaneseCounting"/>
      <w:pStyle w:val="309"/>
      <w:lvlText w:val="（%2）"/>
      <w:lvlJc w:val="left"/>
      <w:pPr>
        <w:ind w:left="2060" w:hanging="1080"/>
      </w:pPr>
      <w:rPr>
        <w:rFonts w:hint="default"/>
      </w:rPr>
    </w:lvl>
    <w:lvl w:ilvl="2" w:tentative="0">
      <w:start w:val="2"/>
      <w:numFmt w:val="decimal"/>
      <w:lvlText w:val="%3、"/>
      <w:lvlJc w:val="left"/>
      <w:pPr>
        <w:tabs>
          <w:tab w:val="left" w:pos="2120"/>
        </w:tabs>
        <w:ind w:left="2120" w:hanging="720"/>
      </w:pPr>
      <w:rPr>
        <w:rFonts w:hint="default"/>
      </w:r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8">
    <w:nsid w:val="58F5744B"/>
    <w:multiLevelType w:val="multilevel"/>
    <w:tmpl w:val="58F5744B"/>
    <w:lvl w:ilvl="0" w:tentative="0">
      <w:start w:val="1"/>
      <w:numFmt w:val="bullet"/>
      <w:pStyle w:val="535"/>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39">
    <w:nsid w:val="59B07072"/>
    <w:multiLevelType w:val="multilevel"/>
    <w:tmpl w:val="59B07072"/>
    <w:lvl w:ilvl="0" w:tentative="0">
      <w:start w:val="1"/>
      <w:numFmt w:val="decimal"/>
      <w:suff w:val="space"/>
      <w:lvlText w:val="%1"/>
      <w:lvlJc w:val="left"/>
      <w:pPr>
        <w:ind w:left="545" w:hanging="425"/>
      </w:pPr>
      <w:rPr>
        <w:rFonts w:hint="default" w:ascii="Times New Roman" w:hAnsi="Times New Roman" w:cs="Times New Roman"/>
        <w:b/>
        <w:bCs w:val="0"/>
        <w:i w:val="0"/>
        <w:iCs w:val="0"/>
        <w:caps w:val="0"/>
        <w:smallCaps w:val="0"/>
        <w:strike w:val="0"/>
        <w:dstrike w:val="0"/>
        <w:outline w:val="0"/>
        <w:shadow w:val="0"/>
        <w:emboss w:val="0"/>
        <w:imprint w:val="0"/>
        <w:vanish w:val="0"/>
        <w:color w:val="auto"/>
        <w:spacing w:val="0"/>
        <w:position w:val="0"/>
        <w:u w:val="none"/>
        <w:vertAlign w:val="baseline"/>
      </w:rPr>
    </w:lvl>
    <w:lvl w:ilvl="1" w:tentative="0">
      <w:start w:val="1"/>
      <w:numFmt w:val="decimal"/>
      <w:suff w:val="space"/>
      <w:lvlText w:val="%1.%2"/>
      <w:lvlJc w:val="left"/>
      <w:pPr>
        <w:ind w:left="992" w:hanging="992"/>
      </w:pPr>
      <w:rPr>
        <w:rFonts w:hint="default" w:ascii="Times New Roman" w:hAnsi="Times New Roman"/>
      </w:rPr>
    </w:lvl>
    <w:lvl w:ilvl="2" w:tentative="0">
      <w:start w:val="1"/>
      <w:numFmt w:val="decimal"/>
      <w:suff w:val="space"/>
      <w:lvlText w:val="%1.%2.%3"/>
      <w:lvlJc w:val="left"/>
      <w:pPr>
        <w:ind w:left="1560" w:hanging="1418"/>
      </w:pPr>
      <w:rPr>
        <w:rFonts w:hint="default" w:ascii="Times New Roman" w:hAnsi="Times New Roman"/>
        <w:color w:val="auto"/>
      </w:rPr>
    </w:lvl>
    <w:lvl w:ilvl="3" w:tentative="0">
      <w:start w:val="1"/>
      <w:numFmt w:val="decimal"/>
      <w:suff w:val="space"/>
      <w:lvlText w:val="%1.%2.%3.%4"/>
      <w:lvlJc w:val="left"/>
      <w:pPr>
        <w:ind w:left="1247" w:hanging="1247"/>
      </w:pPr>
      <w:rPr>
        <w:rFonts w:hint="default" w:ascii="Times New Roman" w:hAnsi="Times New Roman"/>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40">
    <w:nsid w:val="5F075935"/>
    <w:multiLevelType w:val="multilevel"/>
    <w:tmpl w:val="5F075935"/>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pStyle w:val="241"/>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41">
    <w:nsid w:val="5F6B4979"/>
    <w:multiLevelType w:val="multilevel"/>
    <w:tmpl w:val="5F6B4979"/>
    <w:lvl w:ilvl="0" w:tentative="0">
      <w:start w:val="1"/>
      <w:numFmt w:val="bullet"/>
      <w:pStyle w:val="281"/>
      <w:lvlText w:val=""/>
      <w:lvlJc w:val="left"/>
      <w:pPr>
        <w:tabs>
          <w:tab w:val="left" w:pos="1446"/>
        </w:tabs>
        <w:ind w:left="1446" w:hanging="482"/>
      </w:pPr>
      <w:rPr>
        <w:rFonts w:hint="default" w:ascii="Wingdings" w:hAnsi="Wingdings"/>
      </w:rPr>
    </w:lvl>
    <w:lvl w:ilvl="1" w:tentative="0">
      <w:start w:val="1"/>
      <w:numFmt w:val="bullet"/>
      <w:lvlText w:val=""/>
      <w:lvlJc w:val="left"/>
      <w:pPr>
        <w:tabs>
          <w:tab w:val="left" w:pos="902"/>
        </w:tabs>
        <w:ind w:left="902" w:hanging="482"/>
      </w:pPr>
      <w:rPr>
        <w:rFonts w:hint="default" w:ascii="Wingdings" w:hAnsi="Wingding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2">
    <w:nsid w:val="609B5B35"/>
    <w:multiLevelType w:val="multilevel"/>
    <w:tmpl w:val="609B5B35"/>
    <w:lvl w:ilvl="0" w:tentative="0">
      <w:start w:val="1"/>
      <w:numFmt w:val="bullet"/>
      <w:pStyle w:val="116"/>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3">
    <w:nsid w:val="62F235FA"/>
    <w:multiLevelType w:val="multilevel"/>
    <w:tmpl w:val="62F235FA"/>
    <w:lvl w:ilvl="0" w:tentative="0">
      <w:start w:val="1"/>
      <w:numFmt w:val="decimal"/>
      <w:pStyle w:val="472"/>
      <w:lvlText w:val="%1)"/>
      <w:lvlJc w:val="left"/>
      <w:pPr>
        <w:ind w:left="820" w:hanging="420"/>
      </w:p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44">
    <w:nsid w:val="68EC00DD"/>
    <w:multiLevelType w:val="multilevel"/>
    <w:tmpl w:val="68EC00DD"/>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5">
    <w:nsid w:val="6CEA2025"/>
    <w:multiLevelType w:val="multilevel"/>
    <w:tmpl w:val="6CEA2025"/>
    <w:lvl w:ilvl="0" w:tentative="0">
      <w:start w:val="1"/>
      <w:numFmt w:val="none"/>
      <w:pStyle w:val="395"/>
      <w:suff w:val="nothing"/>
      <w:lvlText w:val="%1"/>
      <w:lvlJc w:val="left"/>
      <w:pPr>
        <w:ind w:left="0" w:firstLine="0"/>
      </w:pPr>
      <w:rPr>
        <w:rFonts w:hint="default" w:ascii="Times New Roman" w:hAnsi="Times New Roman"/>
        <w:b/>
        <w:i w:val="0"/>
        <w:sz w:val="21"/>
      </w:rPr>
    </w:lvl>
    <w:lvl w:ilvl="1" w:tentative="0">
      <w:start w:val="1"/>
      <w:numFmt w:val="decimal"/>
      <w:pStyle w:val="476"/>
      <w:suff w:val="nothing"/>
      <w:lvlText w:val="%1%2　"/>
      <w:lvlJc w:val="left"/>
      <w:pPr>
        <w:ind w:left="0" w:firstLine="0"/>
      </w:pPr>
      <w:rPr>
        <w:rFonts w:hint="eastAsia" w:ascii="黑体" w:hAnsi="Times New Roman" w:eastAsia="黑体"/>
        <w:b w:val="0"/>
        <w:i w:val="0"/>
        <w:sz w:val="21"/>
      </w:rPr>
    </w:lvl>
    <w:lvl w:ilvl="2" w:tentative="0">
      <w:start w:val="1"/>
      <w:numFmt w:val="decimal"/>
      <w:pStyle w:val="471"/>
      <w:suff w:val="nothing"/>
      <w:lvlText w:val="%1%2.%3　"/>
      <w:lvlJc w:val="left"/>
      <w:pPr>
        <w:ind w:left="0" w:firstLine="0"/>
      </w:pPr>
      <w:rPr>
        <w:rFonts w:hint="eastAsia" w:ascii="黑体" w:hAnsi="Times New Roman" w:eastAsia="黑体"/>
        <w:b w:val="0"/>
        <w:i w:val="0"/>
        <w:sz w:val="21"/>
      </w:rPr>
    </w:lvl>
    <w:lvl w:ilvl="3" w:tentative="0">
      <w:start w:val="1"/>
      <w:numFmt w:val="decimal"/>
      <w:pStyle w:val="470"/>
      <w:lvlText w:val="%4)"/>
      <w:lvlJc w:val="left"/>
      <w:pPr>
        <w:ind w:left="0" w:firstLine="0"/>
      </w:pPr>
      <w:rPr>
        <w:rFonts w:hint="eastAsia"/>
        <w:b w:val="0"/>
        <w:i w:val="0"/>
        <w:sz w:val="21"/>
      </w:rPr>
    </w:lvl>
    <w:lvl w:ilvl="4" w:tentative="0">
      <w:start w:val="1"/>
      <w:numFmt w:val="bullet"/>
      <w:pStyle w:val="469"/>
      <w:lvlText w:val=""/>
      <w:lvlJc w:val="left"/>
      <w:pPr>
        <w:ind w:left="0" w:firstLine="0"/>
      </w:pPr>
      <w:rPr>
        <w:rFonts w:hint="default" w:ascii="Wingdings" w:hAnsi="Wingdings"/>
        <w:b w:val="0"/>
        <w:i w:val="0"/>
        <w:sz w:val="21"/>
      </w:rPr>
    </w:lvl>
    <w:lvl w:ilvl="5" w:tentative="0">
      <w:start w:val="1"/>
      <w:numFmt w:val="decimal"/>
      <w:pStyle w:val="623"/>
      <w:suff w:val="nothing"/>
      <w:lvlText w:val="%1%2.%3.%4.%5.%6　"/>
      <w:lvlJc w:val="left"/>
      <w:pPr>
        <w:ind w:left="0" w:firstLine="0"/>
      </w:pPr>
      <w:rPr>
        <w:rFonts w:hint="eastAsia" w:ascii="黑体" w:hAnsi="Times New Roman" w:eastAsia="黑体"/>
        <w:b w:val="0"/>
        <w:i w:val="0"/>
        <w:sz w:val="21"/>
      </w:rPr>
    </w:lvl>
    <w:lvl w:ilvl="6" w:tentative="0">
      <w:start w:val="1"/>
      <w:numFmt w:val="decimal"/>
      <w:pStyle w:val="73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6">
    <w:nsid w:val="6F41523A"/>
    <w:multiLevelType w:val="multilevel"/>
    <w:tmpl w:val="6F41523A"/>
    <w:lvl w:ilvl="0" w:tentative="0">
      <w:start w:val="1"/>
      <w:numFmt w:val="decimal"/>
      <w:pStyle w:val="463"/>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7">
    <w:nsid w:val="7C0B7765"/>
    <w:multiLevelType w:val="multilevel"/>
    <w:tmpl w:val="7C0B7765"/>
    <w:lvl w:ilvl="0" w:tentative="0">
      <w:start w:val="1"/>
      <w:numFmt w:val="bullet"/>
      <w:pStyle w:val="228"/>
      <w:lvlText w:val=""/>
      <w:lvlJc w:val="left"/>
      <w:pPr>
        <w:tabs>
          <w:tab w:val="left" w:pos="900"/>
        </w:tabs>
        <w:ind w:left="90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8">
    <w:nsid w:val="7E746C60"/>
    <w:multiLevelType w:val="multilevel"/>
    <w:tmpl w:val="7E746C60"/>
    <w:lvl w:ilvl="0" w:tentative="0">
      <w:start w:val="1"/>
      <w:numFmt w:val="bullet"/>
      <w:pStyle w:val="737"/>
      <w:lvlText w:val=""/>
      <w:lvlJc w:val="left"/>
      <w:pPr>
        <w:ind w:left="820" w:hanging="420"/>
      </w:pPr>
      <w:rPr>
        <w:rFonts w:hint="default" w:ascii="Wingdings" w:hAnsi="Wingdings"/>
      </w:rPr>
    </w:lvl>
    <w:lvl w:ilvl="1" w:tentative="0">
      <w:start w:val="1"/>
      <w:numFmt w:val="bullet"/>
      <w:lvlText w:val=""/>
      <w:lvlJc w:val="left"/>
      <w:pPr>
        <w:ind w:left="1240" w:hanging="420"/>
      </w:pPr>
      <w:rPr>
        <w:rFonts w:hint="default" w:ascii="Wingdings" w:hAnsi="Wingdings"/>
      </w:rPr>
    </w:lvl>
    <w:lvl w:ilvl="2" w:tentative="0">
      <w:start w:val="1"/>
      <w:numFmt w:val="bullet"/>
      <w:lvlText w:val=""/>
      <w:lvlJc w:val="left"/>
      <w:pPr>
        <w:ind w:left="1660" w:hanging="420"/>
      </w:pPr>
      <w:rPr>
        <w:rFonts w:hint="default" w:ascii="Wingdings" w:hAnsi="Wingdings"/>
      </w:rPr>
    </w:lvl>
    <w:lvl w:ilvl="3" w:tentative="0">
      <w:start w:val="1"/>
      <w:numFmt w:val="bullet"/>
      <w:lvlText w:val=""/>
      <w:lvlJc w:val="left"/>
      <w:pPr>
        <w:ind w:left="2080" w:hanging="420"/>
      </w:pPr>
      <w:rPr>
        <w:rFonts w:hint="default" w:ascii="Wingdings" w:hAnsi="Wingdings"/>
      </w:rPr>
    </w:lvl>
    <w:lvl w:ilvl="4" w:tentative="0">
      <w:start w:val="1"/>
      <w:numFmt w:val="bullet"/>
      <w:lvlText w:val=""/>
      <w:lvlJc w:val="left"/>
      <w:pPr>
        <w:ind w:left="2500" w:hanging="420"/>
      </w:pPr>
      <w:rPr>
        <w:rFonts w:hint="default" w:ascii="Wingdings" w:hAnsi="Wingdings"/>
      </w:rPr>
    </w:lvl>
    <w:lvl w:ilvl="5" w:tentative="0">
      <w:start w:val="1"/>
      <w:numFmt w:val="bullet"/>
      <w:lvlText w:val=""/>
      <w:lvlJc w:val="left"/>
      <w:pPr>
        <w:ind w:left="2920" w:hanging="420"/>
      </w:pPr>
      <w:rPr>
        <w:rFonts w:hint="default" w:ascii="Wingdings" w:hAnsi="Wingdings"/>
      </w:rPr>
    </w:lvl>
    <w:lvl w:ilvl="6" w:tentative="0">
      <w:start w:val="1"/>
      <w:numFmt w:val="bullet"/>
      <w:lvlText w:val=""/>
      <w:lvlJc w:val="left"/>
      <w:pPr>
        <w:ind w:left="3340" w:hanging="420"/>
      </w:pPr>
      <w:rPr>
        <w:rFonts w:hint="default" w:ascii="Wingdings" w:hAnsi="Wingdings"/>
      </w:rPr>
    </w:lvl>
    <w:lvl w:ilvl="7" w:tentative="0">
      <w:start w:val="1"/>
      <w:numFmt w:val="bullet"/>
      <w:lvlText w:val=""/>
      <w:lvlJc w:val="left"/>
      <w:pPr>
        <w:ind w:left="3760" w:hanging="420"/>
      </w:pPr>
      <w:rPr>
        <w:rFonts w:hint="default" w:ascii="Wingdings" w:hAnsi="Wingdings"/>
      </w:rPr>
    </w:lvl>
    <w:lvl w:ilvl="8" w:tentative="0">
      <w:start w:val="1"/>
      <w:numFmt w:val="bullet"/>
      <w:lvlText w:val=""/>
      <w:lvlJc w:val="left"/>
      <w:pPr>
        <w:ind w:left="4180" w:hanging="420"/>
      </w:pPr>
      <w:rPr>
        <w:rFonts w:hint="default" w:ascii="Wingdings" w:hAnsi="Wingdings"/>
      </w:rPr>
    </w:lvl>
  </w:abstractNum>
  <w:num w:numId="1">
    <w:abstractNumId w:val="11"/>
  </w:num>
  <w:num w:numId="2">
    <w:abstractNumId w:val="21"/>
  </w:num>
  <w:num w:numId="3">
    <w:abstractNumId w:val="26"/>
  </w:num>
  <w:num w:numId="4">
    <w:abstractNumId w:val="12"/>
  </w:num>
  <w:num w:numId="5">
    <w:abstractNumId w:val="35"/>
  </w:num>
  <w:num w:numId="6">
    <w:abstractNumId w:val="42"/>
  </w:num>
  <w:num w:numId="7">
    <w:abstractNumId w:val="16"/>
  </w:num>
  <w:num w:numId="8">
    <w:abstractNumId w:val="4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41"/>
  </w:num>
  <w:num w:numId="11">
    <w:abstractNumId w:val="4"/>
  </w:num>
  <w:num w:numId="12">
    <w:abstractNumId w:val="32"/>
  </w:num>
  <w:num w:numId="13">
    <w:abstractNumId w:val="37"/>
  </w:num>
  <w:num w:numId="14">
    <w:abstractNumId w:val="29"/>
  </w:num>
  <w:num w:numId="15">
    <w:abstractNumId w:val="27"/>
  </w:num>
  <w:num w:numId="16">
    <w:abstractNumId w:val="17"/>
  </w:num>
  <w:num w:numId="17">
    <w:abstractNumId w:val="45"/>
  </w:num>
  <w:num w:numId="18">
    <w:abstractNumId w:val="28"/>
  </w:num>
  <w:num w:numId="19">
    <w:abstractNumId w:val="7"/>
  </w:num>
  <w:num w:numId="20">
    <w:abstractNumId w:val="19"/>
  </w:num>
  <w:num w:numId="21">
    <w:abstractNumId w:val="46"/>
  </w:num>
  <w:num w:numId="22">
    <w:abstractNumId w:val="22"/>
  </w:num>
  <w:num w:numId="23">
    <w:abstractNumId w:val="43"/>
  </w:num>
  <w:num w:numId="24">
    <w:abstractNumId w:val="24"/>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8"/>
  </w:num>
  <w:num w:numId="28">
    <w:abstractNumId w:val="3"/>
  </w:num>
  <w:num w:numId="29">
    <w:abstractNumId w:val="38"/>
  </w:num>
  <w:num w:numId="30">
    <w:abstractNumId w:val="18"/>
  </w:num>
  <w:num w:numId="31">
    <w:abstractNumId w:val="13"/>
  </w:num>
  <w:num w:numId="32">
    <w:abstractNumId w:val="20"/>
  </w:num>
  <w:num w:numId="33">
    <w:abstractNumId w:val="15"/>
  </w:num>
  <w:num w:numId="34">
    <w:abstractNumId w:val="14"/>
  </w:num>
  <w:num w:numId="35">
    <w:abstractNumId w:val="34"/>
  </w:num>
  <w:num w:numId="36">
    <w:abstractNumId w:val="31"/>
  </w:num>
  <w:num w:numId="37">
    <w:abstractNumId w:val="30"/>
  </w:num>
  <w:num w:numId="38">
    <w:abstractNumId w:val="33"/>
  </w:num>
  <w:num w:numId="39">
    <w:abstractNumId w:val="10"/>
  </w:num>
  <w:num w:numId="40">
    <w:abstractNumId w:val="48"/>
  </w:num>
  <w:num w:numId="41">
    <w:abstractNumId w:val="6"/>
  </w:num>
  <w:num w:numId="42">
    <w:abstractNumId w:val="0"/>
  </w:num>
  <w:num w:numId="43">
    <w:abstractNumId w:val="2"/>
  </w:num>
  <w:num w:numId="44">
    <w:abstractNumId w:val="36"/>
  </w:num>
  <w:num w:numId="45">
    <w:abstractNumId w:val="9"/>
  </w:num>
  <w:num w:numId="46">
    <w:abstractNumId w:val="1"/>
  </w:num>
  <w:num w:numId="47">
    <w:abstractNumId w:val="25"/>
  </w:num>
  <w:num w:numId="48">
    <w:abstractNumId w:val="39"/>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210"/>
  <w:drawingGridVerticalSpacing w:val="-794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968B1"/>
    <w:rsid w:val="00000714"/>
    <w:rsid w:val="00003108"/>
    <w:rsid w:val="00004308"/>
    <w:rsid w:val="00004CBE"/>
    <w:rsid w:val="0001115D"/>
    <w:rsid w:val="00011EC0"/>
    <w:rsid w:val="00015FFB"/>
    <w:rsid w:val="000160CF"/>
    <w:rsid w:val="00020E70"/>
    <w:rsid w:val="00021849"/>
    <w:rsid w:val="000271EE"/>
    <w:rsid w:val="00032DC0"/>
    <w:rsid w:val="00035CEF"/>
    <w:rsid w:val="000408B2"/>
    <w:rsid w:val="00041DDC"/>
    <w:rsid w:val="00043890"/>
    <w:rsid w:val="00044ADE"/>
    <w:rsid w:val="00047321"/>
    <w:rsid w:val="00052407"/>
    <w:rsid w:val="00053B24"/>
    <w:rsid w:val="00054AC5"/>
    <w:rsid w:val="000555A7"/>
    <w:rsid w:val="00055B99"/>
    <w:rsid w:val="00067D0E"/>
    <w:rsid w:val="0007046E"/>
    <w:rsid w:val="00070911"/>
    <w:rsid w:val="0007387C"/>
    <w:rsid w:val="00073AB3"/>
    <w:rsid w:val="00074CB2"/>
    <w:rsid w:val="000843EB"/>
    <w:rsid w:val="000848DD"/>
    <w:rsid w:val="0008522B"/>
    <w:rsid w:val="00093010"/>
    <w:rsid w:val="00096A12"/>
    <w:rsid w:val="000A30C4"/>
    <w:rsid w:val="000A323B"/>
    <w:rsid w:val="000A3928"/>
    <w:rsid w:val="000A3BC4"/>
    <w:rsid w:val="000A3BCD"/>
    <w:rsid w:val="000A560A"/>
    <w:rsid w:val="000A5D47"/>
    <w:rsid w:val="000A7381"/>
    <w:rsid w:val="000A78EC"/>
    <w:rsid w:val="000B119F"/>
    <w:rsid w:val="000B27A7"/>
    <w:rsid w:val="000B36A8"/>
    <w:rsid w:val="000C2D3A"/>
    <w:rsid w:val="000C3BFB"/>
    <w:rsid w:val="000C3F2D"/>
    <w:rsid w:val="000D05F0"/>
    <w:rsid w:val="000D1084"/>
    <w:rsid w:val="000D1220"/>
    <w:rsid w:val="000D1334"/>
    <w:rsid w:val="000D27AC"/>
    <w:rsid w:val="000D3077"/>
    <w:rsid w:val="000D5431"/>
    <w:rsid w:val="000E0F42"/>
    <w:rsid w:val="000E3D56"/>
    <w:rsid w:val="000E4EF8"/>
    <w:rsid w:val="000E6213"/>
    <w:rsid w:val="000E6435"/>
    <w:rsid w:val="000E750F"/>
    <w:rsid w:val="000F3A65"/>
    <w:rsid w:val="000F5485"/>
    <w:rsid w:val="000F72A1"/>
    <w:rsid w:val="0010041F"/>
    <w:rsid w:val="001048B5"/>
    <w:rsid w:val="0011590D"/>
    <w:rsid w:val="0013144E"/>
    <w:rsid w:val="001315F9"/>
    <w:rsid w:val="00133D56"/>
    <w:rsid w:val="00133EC5"/>
    <w:rsid w:val="00134024"/>
    <w:rsid w:val="00134E57"/>
    <w:rsid w:val="00137946"/>
    <w:rsid w:val="00144D7F"/>
    <w:rsid w:val="00146862"/>
    <w:rsid w:val="00147D64"/>
    <w:rsid w:val="0015224D"/>
    <w:rsid w:val="00155699"/>
    <w:rsid w:val="001569B2"/>
    <w:rsid w:val="001616AE"/>
    <w:rsid w:val="00161E0D"/>
    <w:rsid w:val="00163474"/>
    <w:rsid w:val="0016352C"/>
    <w:rsid w:val="001638B2"/>
    <w:rsid w:val="00173110"/>
    <w:rsid w:val="0017340F"/>
    <w:rsid w:val="0017347D"/>
    <w:rsid w:val="0017504E"/>
    <w:rsid w:val="00176862"/>
    <w:rsid w:val="00176E24"/>
    <w:rsid w:val="00180B71"/>
    <w:rsid w:val="00180D9E"/>
    <w:rsid w:val="00185C66"/>
    <w:rsid w:val="001948DE"/>
    <w:rsid w:val="001966AE"/>
    <w:rsid w:val="00196C28"/>
    <w:rsid w:val="00197CDF"/>
    <w:rsid w:val="001B00D9"/>
    <w:rsid w:val="001B40D9"/>
    <w:rsid w:val="001B7394"/>
    <w:rsid w:val="001B7F5D"/>
    <w:rsid w:val="001C0F94"/>
    <w:rsid w:val="001C2B65"/>
    <w:rsid w:val="001C5A98"/>
    <w:rsid w:val="001C6F1C"/>
    <w:rsid w:val="001D176C"/>
    <w:rsid w:val="001D3232"/>
    <w:rsid w:val="001D3D4C"/>
    <w:rsid w:val="001D4443"/>
    <w:rsid w:val="001E1C28"/>
    <w:rsid w:val="001E39EF"/>
    <w:rsid w:val="001E5B70"/>
    <w:rsid w:val="001E7020"/>
    <w:rsid w:val="001E7436"/>
    <w:rsid w:val="001F141F"/>
    <w:rsid w:val="001F1A34"/>
    <w:rsid w:val="0020342B"/>
    <w:rsid w:val="002036B4"/>
    <w:rsid w:val="00207965"/>
    <w:rsid w:val="00210532"/>
    <w:rsid w:val="00210F6D"/>
    <w:rsid w:val="00212434"/>
    <w:rsid w:val="00215E7C"/>
    <w:rsid w:val="00217760"/>
    <w:rsid w:val="00217BD7"/>
    <w:rsid w:val="0022745B"/>
    <w:rsid w:val="00230636"/>
    <w:rsid w:val="00230A32"/>
    <w:rsid w:val="00233955"/>
    <w:rsid w:val="00234FC0"/>
    <w:rsid w:val="00235ECF"/>
    <w:rsid w:val="00241F42"/>
    <w:rsid w:val="00246F98"/>
    <w:rsid w:val="00250A70"/>
    <w:rsid w:val="00255840"/>
    <w:rsid w:val="00256101"/>
    <w:rsid w:val="00256985"/>
    <w:rsid w:val="002618AD"/>
    <w:rsid w:val="00264063"/>
    <w:rsid w:val="00266B0C"/>
    <w:rsid w:val="00267D41"/>
    <w:rsid w:val="0027209D"/>
    <w:rsid w:val="00273693"/>
    <w:rsid w:val="00274194"/>
    <w:rsid w:val="00274C89"/>
    <w:rsid w:val="00275BC4"/>
    <w:rsid w:val="0028712E"/>
    <w:rsid w:val="0029170A"/>
    <w:rsid w:val="002937A1"/>
    <w:rsid w:val="00293E97"/>
    <w:rsid w:val="002941AB"/>
    <w:rsid w:val="0029448D"/>
    <w:rsid w:val="002968B1"/>
    <w:rsid w:val="002A19F7"/>
    <w:rsid w:val="002A2DAC"/>
    <w:rsid w:val="002A30E3"/>
    <w:rsid w:val="002A5293"/>
    <w:rsid w:val="002B3C52"/>
    <w:rsid w:val="002B4785"/>
    <w:rsid w:val="002C0EB4"/>
    <w:rsid w:val="002C233D"/>
    <w:rsid w:val="002C3978"/>
    <w:rsid w:val="002D1F47"/>
    <w:rsid w:val="002D2352"/>
    <w:rsid w:val="002D350C"/>
    <w:rsid w:val="002D6147"/>
    <w:rsid w:val="002D63E5"/>
    <w:rsid w:val="002D7BDE"/>
    <w:rsid w:val="002E043F"/>
    <w:rsid w:val="002E358F"/>
    <w:rsid w:val="002E4534"/>
    <w:rsid w:val="002E4744"/>
    <w:rsid w:val="002E6A3B"/>
    <w:rsid w:val="002F1307"/>
    <w:rsid w:val="002F1F0C"/>
    <w:rsid w:val="002F6A55"/>
    <w:rsid w:val="003010D5"/>
    <w:rsid w:val="0030222C"/>
    <w:rsid w:val="00305338"/>
    <w:rsid w:val="00310483"/>
    <w:rsid w:val="003112FB"/>
    <w:rsid w:val="00313063"/>
    <w:rsid w:val="00315594"/>
    <w:rsid w:val="00325476"/>
    <w:rsid w:val="00326EC4"/>
    <w:rsid w:val="00334536"/>
    <w:rsid w:val="00337791"/>
    <w:rsid w:val="0033784A"/>
    <w:rsid w:val="00340B4E"/>
    <w:rsid w:val="00341E57"/>
    <w:rsid w:val="003442AA"/>
    <w:rsid w:val="00346649"/>
    <w:rsid w:val="003475CE"/>
    <w:rsid w:val="003553E6"/>
    <w:rsid w:val="00356E13"/>
    <w:rsid w:val="00356FB4"/>
    <w:rsid w:val="00357136"/>
    <w:rsid w:val="00366E48"/>
    <w:rsid w:val="0037053A"/>
    <w:rsid w:val="003744E4"/>
    <w:rsid w:val="00376111"/>
    <w:rsid w:val="00376311"/>
    <w:rsid w:val="00377746"/>
    <w:rsid w:val="00382260"/>
    <w:rsid w:val="003822B8"/>
    <w:rsid w:val="00383221"/>
    <w:rsid w:val="00384321"/>
    <w:rsid w:val="00386429"/>
    <w:rsid w:val="00391EDF"/>
    <w:rsid w:val="00392DAA"/>
    <w:rsid w:val="00395D62"/>
    <w:rsid w:val="00395DCF"/>
    <w:rsid w:val="00396D9F"/>
    <w:rsid w:val="003A7115"/>
    <w:rsid w:val="003B2029"/>
    <w:rsid w:val="003B578D"/>
    <w:rsid w:val="003B6079"/>
    <w:rsid w:val="003B6672"/>
    <w:rsid w:val="003B775F"/>
    <w:rsid w:val="003C21B1"/>
    <w:rsid w:val="003C2C8D"/>
    <w:rsid w:val="003C3E6D"/>
    <w:rsid w:val="003D2894"/>
    <w:rsid w:val="003D55C5"/>
    <w:rsid w:val="003D6A82"/>
    <w:rsid w:val="003E0EC1"/>
    <w:rsid w:val="003E1AD7"/>
    <w:rsid w:val="003E5B70"/>
    <w:rsid w:val="003F3925"/>
    <w:rsid w:val="003F470D"/>
    <w:rsid w:val="003F5017"/>
    <w:rsid w:val="003F7361"/>
    <w:rsid w:val="004016F8"/>
    <w:rsid w:val="004064DD"/>
    <w:rsid w:val="0041692C"/>
    <w:rsid w:val="00417AC7"/>
    <w:rsid w:val="0042114F"/>
    <w:rsid w:val="00422FD8"/>
    <w:rsid w:val="00434762"/>
    <w:rsid w:val="00434E29"/>
    <w:rsid w:val="00436466"/>
    <w:rsid w:val="0044732B"/>
    <w:rsid w:val="00450359"/>
    <w:rsid w:val="00451578"/>
    <w:rsid w:val="00451A10"/>
    <w:rsid w:val="004534C9"/>
    <w:rsid w:val="00457541"/>
    <w:rsid w:val="004575DF"/>
    <w:rsid w:val="00461B90"/>
    <w:rsid w:val="00463386"/>
    <w:rsid w:val="0046341B"/>
    <w:rsid w:val="00464353"/>
    <w:rsid w:val="004676E1"/>
    <w:rsid w:val="0047098D"/>
    <w:rsid w:val="004753CB"/>
    <w:rsid w:val="00475A4D"/>
    <w:rsid w:val="00475F32"/>
    <w:rsid w:val="00480C31"/>
    <w:rsid w:val="00481919"/>
    <w:rsid w:val="00492891"/>
    <w:rsid w:val="00493FD2"/>
    <w:rsid w:val="004973C7"/>
    <w:rsid w:val="004A15BD"/>
    <w:rsid w:val="004A575C"/>
    <w:rsid w:val="004A579E"/>
    <w:rsid w:val="004A74BE"/>
    <w:rsid w:val="004A7ED9"/>
    <w:rsid w:val="004B0F72"/>
    <w:rsid w:val="004B26AD"/>
    <w:rsid w:val="004B4C40"/>
    <w:rsid w:val="004C110A"/>
    <w:rsid w:val="004D10D6"/>
    <w:rsid w:val="004D29B6"/>
    <w:rsid w:val="004E1A21"/>
    <w:rsid w:val="004E2D85"/>
    <w:rsid w:val="004E32A7"/>
    <w:rsid w:val="004E5586"/>
    <w:rsid w:val="004E7883"/>
    <w:rsid w:val="004E7E14"/>
    <w:rsid w:val="004F2CEF"/>
    <w:rsid w:val="004F3471"/>
    <w:rsid w:val="004F3780"/>
    <w:rsid w:val="004F422B"/>
    <w:rsid w:val="004F44EF"/>
    <w:rsid w:val="00500BF4"/>
    <w:rsid w:val="00500CEB"/>
    <w:rsid w:val="00502436"/>
    <w:rsid w:val="00502DDD"/>
    <w:rsid w:val="00506F40"/>
    <w:rsid w:val="00515E83"/>
    <w:rsid w:val="00517822"/>
    <w:rsid w:val="00522111"/>
    <w:rsid w:val="005259B1"/>
    <w:rsid w:val="00525E0D"/>
    <w:rsid w:val="00532A3E"/>
    <w:rsid w:val="00533AFC"/>
    <w:rsid w:val="005459C2"/>
    <w:rsid w:val="0054720E"/>
    <w:rsid w:val="00547D46"/>
    <w:rsid w:val="00550E3E"/>
    <w:rsid w:val="0055275D"/>
    <w:rsid w:val="00554075"/>
    <w:rsid w:val="00554E3A"/>
    <w:rsid w:val="00557886"/>
    <w:rsid w:val="00562C8D"/>
    <w:rsid w:val="005677BE"/>
    <w:rsid w:val="00571C77"/>
    <w:rsid w:val="00574C05"/>
    <w:rsid w:val="00577C39"/>
    <w:rsid w:val="00581876"/>
    <w:rsid w:val="00590EB2"/>
    <w:rsid w:val="00593BC2"/>
    <w:rsid w:val="00596A1C"/>
    <w:rsid w:val="005A2EC0"/>
    <w:rsid w:val="005A497A"/>
    <w:rsid w:val="005A5016"/>
    <w:rsid w:val="005A59CC"/>
    <w:rsid w:val="005A59DF"/>
    <w:rsid w:val="005A6DC4"/>
    <w:rsid w:val="005B0672"/>
    <w:rsid w:val="005B5022"/>
    <w:rsid w:val="005B5527"/>
    <w:rsid w:val="005C7BB1"/>
    <w:rsid w:val="005D33FB"/>
    <w:rsid w:val="005D534F"/>
    <w:rsid w:val="005E2FD4"/>
    <w:rsid w:val="005E39B2"/>
    <w:rsid w:val="005E4B06"/>
    <w:rsid w:val="005E5AEB"/>
    <w:rsid w:val="005E6EA9"/>
    <w:rsid w:val="005F2E16"/>
    <w:rsid w:val="005F3F4F"/>
    <w:rsid w:val="005F65D1"/>
    <w:rsid w:val="00600E7A"/>
    <w:rsid w:val="0060329A"/>
    <w:rsid w:val="00605562"/>
    <w:rsid w:val="00607A8E"/>
    <w:rsid w:val="006103E4"/>
    <w:rsid w:val="00612853"/>
    <w:rsid w:val="00615020"/>
    <w:rsid w:val="006151B6"/>
    <w:rsid w:val="006158CB"/>
    <w:rsid w:val="00615C51"/>
    <w:rsid w:val="006171E1"/>
    <w:rsid w:val="00617B8B"/>
    <w:rsid w:val="00620848"/>
    <w:rsid w:val="00620905"/>
    <w:rsid w:val="00621ABD"/>
    <w:rsid w:val="00621F1B"/>
    <w:rsid w:val="00622620"/>
    <w:rsid w:val="00623F3C"/>
    <w:rsid w:val="00634892"/>
    <w:rsid w:val="00644F0E"/>
    <w:rsid w:val="00650D89"/>
    <w:rsid w:val="00653DFC"/>
    <w:rsid w:val="00656373"/>
    <w:rsid w:val="00656B09"/>
    <w:rsid w:val="00661761"/>
    <w:rsid w:val="006650F1"/>
    <w:rsid w:val="00665138"/>
    <w:rsid w:val="0067108D"/>
    <w:rsid w:val="00672623"/>
    <w:rsid w:val="00675560"/>
    <w:rsid w:val="00675DBB"/>
    <w:rsid w:val="00682AE9"/>
    <w:rsid w:val="00686584"/>
    <w:rsid w:val="0068711A"/>
    <w:rsid w:val="006909C1"/>
    <w:rsid w:val="00690A4B"/>
    <w:rsid w:val="006924EF"/>
    <w:rsid w:val="00695AA1"/>
    <w:rsid w:val="00697D0F"/>
    <w:rsid w:val="006A74D5"/>
    <w:rsid w:val="006B0503"/>
    <w:rsid w:val="006B2248"/>
    <w:rsid w:val="006B6EDD"/>
    <w:rsid w:val="006C0945"/>
    <w:rsid w:val="006C0CB9"/>
    <w:rsid w:val="006C10E0"/>
    <w:rsid w:val="006C34DF"/>
    <w:rsid w:val="006C3D6E"/>
    <w:rsid w:val="006C5017"/>
    <w:rsid w:val="006C5FD1"/>
    <w:rsid w:val="006D1A19"/>
    <w:rsid w:val="006D6300"/>
    <w:rsid w:val="006D7ED7"/>
    <w:rsid w:val="006E35EC"/>
    <w:rsid w:val="006E4B71"/>
    <w:rsid w:val="006F2B54"/>
    <w:rsid w:val="006F31A6"/>
    <w:rsid w:val="006F449D"/>
    <w:rsid w:val="006F49F6"/>
    <w:rsid w:val="006F7792"/>
    <w:rsid w:val="00704EA8"/>
    <w:rsid w:val="00707BD6"/>
    <w:rsid w:val="00714F64"/>
    <w:rsid w:val="007160D2"/>
    <w:rsid w:val="0071634A"/>
    <w:rsid w:val="00717AD9"/>
    <w:rsid w:val="0073028A"/>
    <w:rsid w:val="007327C8"/>
    <w:rsid w:val="00732E95"/>
    <w:rsid w:val="00737B1B"/>
    <w:rsid w:val="00740806"/>
    <w:rsid w:val="00741C83"/>
    <w:rsid w:val="00741DBE"/>
    <w:rsid w:val="00741DC0"/>
    <w:rsid w:val="00745803"/>
    <w:rsid w:val="0075018A"/>
    <w:rsid w:val="00752918"/>
    <w:rsid w:val="00752FF6"/>
    <w:rsid w:val="00756F77"/>
    <w:rsid w:val="00761881"/>
    <w:rsid w:val="00761E08"/>
    <w:rsid w:val="00762F37"/>
    <w:rsid w:val="00763AF0"/>
    <w:rsid w:val="007648A7"/>
    <w:rsid w:val="00765BB5"/>
    <w:rsid w:val="00774B52"/>
    <w:rsid w:val="00775B9A"/>
    <w:rsid w:val="00780358"/>
    <w:rsid w:val="00780A25"/>
    <w:rsid w:val="00782885"/>
    <w:rsid w:val="00782B93"/>
    <w:rsid w:val="00790D2B"/>
    <w:rsid w:val="0079218F"/>
    <w:rsid w:val="0079718B"/>
    <w:rsid w:val="007A26AE"/>
    <w:rsid w:val="007A4C1C"/>
    <w:rsid w:val="007A72A8"/>
    <w:rsid w:val="007A7E1D"/>
    <w:rsid w:val="007B0B76"/>
    <w:rsid w:val="007B4943"/>
    <w:rsid w:val="007B66D4"/>
    <w:rsid w:val="007C166C"/>
    <w:rsid w:val="007C2C98"/>
    <w:rsid w:val="007C5580"/>
    <w:rsid w:val="007C64A9"/>
    <w:rsid w:val="007D15B4"/>
    <w:rsid w:val="007D2529"/>
    <w:rsid w:val="007D46B4"/>
    <w:rsid w:val="007D779D"/>
    <w:rsid w:val="007D7F7D"/>
    <w:rsid w:val="007E116B"/>
    <w:rsid w:val="007E3E19"/>
    <w:rsid w:val="007E4A58"/>
    <w:rsid w:val="007E5249"/>
    <w:rsid w:val="007E5AC4"/>
    <w:rsid w:val="007E6780"/>
    <w:rsid w:val="007E688E"/>
    <w:rsid w:val="007F08D3"/>
    <w:rsid w:val="007F1FBA"/>
    <w:rsid w:val="007F2838"/>
    <w:rsid w:val="007F7263"/>
    <w:rsid w:val="008013BA"/>
    <w:rsid w:val="00803E9B"/>
    <w:rsid w:val="00804A9F"/>
    <w:rsid w:val="008063BA"/>
    <w:rsid w:val="00810635"/>
    <w:rsid w:val="00811AD9"/>
    <w:rsid w:val="00814006"/>
    <w:rsid w:val="00815311"/>
    <w:rsid w:val="00816B8D"/>
    <w:rsid w:val="00821953"/>
    <w:rsid w:val="0084036F"/>
    <w:rsid w:val="00844E39"/>
    <w:rsid w:val="00846554"/>
    <w:rsid w:val="008466CA"/>
    <w:rsid w:val="00852064"/>
    <w:rsid w:val="00854ACD"/>
    <w:rsid w:val="00855DB1"/>
    <w:rsid w:val="00855DCE"/>
    <w:rsid w:val="0086023F"/>
    <w:rsid w:val="00860466"/>
    <w:rsid w:val="0086145F"/>
    <w:rsid w:val="00862444"/>
    <w:rsid w:val="008679A0"/>
    <w:rsid w:val="0087185A"/>
    <w:rsid w:val="0087319E"/>
    <w:rsid w:val="008756DA"/>
    <w:rsid w:val="008764D7"/>
    <w:rsid w:val="00876EF5"/>
    <w:rsid w:val="00880387"/>
    <w:rsid w:val="00882956"/>
    <w:rsid w:val="0088348F"/>
    <w:rsid w:val="00884643"/>
    <w:rsid w:val="00886322"/>
    <w:rsid w:val="00891D00"/>
    <w:rsid w:val="008920AD"/>
    <w:rsid w:val="008A0AF2"/>
    <w:rsid w:val="008A1577"/>
    <w:rsid w:val="008A3F20"/>
    <w:rsid w:val="008A631A"/>
    <w:rsid w:val="008B006D"/>
    <w:rsid w:val="008B33B5"/>
    <w:rsid w:val="008C0478"/>
    <w:rsid w:val="008C0505"/>
    <w:rsid w:val="008C29F6"/>
    <w:rsid w:val="008C3F56"/>
    <w:rsid w:val="008C6D48"/>
    <w:rsid w:val="008C6F4F"/>
    <w:rsid w:val="008D6195"/>
    <w:rsid w:val="008D698F"/>
    <w:rsid w:val="008D7999"/>
    <w:rsid w:val="008E5865"/>
    <w:rsid w:val="008E5B33"/>
    <w:rsid w:val="008E7E68"/>
    <w:rsid w:val="008F07B2"/>
    <w:rsid w:val="008F1BD6"/>
    <w:rsid w:val="008F3D44"/>
    <w:rsid w:val="008F5FD3"/>
    <w:rsid w:val="0090178C"/>
    <w:rsid w:val="009019FD"/>
    <w:rsid w:val="009021DA"/>
    <w:rsid w:val="009049E1"/>
    <w:rsid w:val="00910AFC"/>
    <w:rsid w:val="00911906"/>
    <w:rsid w:val="00915E43"/>
    <w:rsid w:val="0091704A"/>
    <w:rsid w:val="00917981"/>
    <w:rsid w:val="0092029D"/>
    <w:rsid w:val="00922F20"/>
    <w:rsid w:val="00937084"/>
    <w:rsid w:val="00941523"/>
    <w:rsid w:val="009446C7"/>
    <w:rsid w:val="009453B9"/>
    <w:rsid w:val="00945646"/>
    <w:rsid w:val="00945ADA"/>
    <w:rsid w:val="00950EBE"/>
    <w:rsid w:val="00952906"/>
    <w:rsid w:val="00956D0E"/>
    <w:rsid w:val="00966D3F"/>
    <w:rsid w:val="00972618"/>
    <w:rsid w:val="0097386B"/>
    <w:rsid w:val="00973D15"/>
    <w:rsid w:val="009752A7"/>
    <w:rsid w:val="00976167"/>
    <w:rsid w:val="00982705"/>
    <w:rsid w:val="009845B3"/>
    <w:rsid w:val="009852BB"/>
    <w:rsid w:val="00986984"/>
    <w:rsid w:val="00990A69"/>
    <w:rsid w:val="00991E6B"/>
    <w:rsid w:val="00997537"/>
    <w:rsid w:val="009A495E"/>
    <w:rsid w:val="009A551E"/>
    <w:rsid w:val="009A63F0"/>
    <w:rsid w:val="009A700A"/>
    <w:rsid w:val="009A7D50"/>
    <w:rsid w:val="009B07B0"/>
    <w:rsid w:val="009B19B8"/>
    <w:rsid w:val="009B5117"/>
    <w:rsid w:val="009B5201"/>
    <w:rsid w:val="009B64D9"/>
    <w:rsid w:val="009C1394"/>
    <w:rsid w:val="009C1FBE"/>
    <w:rsid w:val="009C52D6"/>
    <w:rsid w:val="009C5E34"/>
    <w:rsid w:val="009C740A"/>
    <w:rsid w:val="009F2814"/>
    <w:rsid w:val="009F2D49"/>
    <w:rsid w:val="00A00B53"/>
    <w:rsid w:val="00A0203B"/>
    <w:rsid w:val="00A026CA"/>
    <w:rsid w:val="00A045FA"/>
    <w:rsid w:val="00A04D2F"/>
    <w:rsid w:val="00A1244B"/>
    <w:rsid w:val="00A132EE"/>
    <w:rsid w:val="00A14E44"/>
    <w:rsid w:val="00A1667C"/>
    <w:rsid w:val="00A1689A"/>
    <w:rsid w:val="00A1698C"/>
    <w:rsid w:val="00A22150"/>
    <w:rsid w:val="00A223CD"/>
    <w:rsid w:val="00A24E4D"/>
    <w:rsid w:val="00A27624"/>
    <w:rsid w:val="00A40571"/>
    <w:rsid w:val="00A41AC7"/>
    <w:rsid w:val="00A42608"/>
    <w:rsid w:val="00A46256"/>
    <w:rsid w:val="00A46B53"/>
    <w:rsid w:val="00A47476"/>
    <w:rsid w:val="00A50791"/>
    <w:rsid w:val="00A523CF"/>
    <w:rsid w:val="00A7083A"/>
    <w:rsid w:val="00A73BDC"/>
    <w:rsid w:val="00A77C23"/>
    <w:rsid w:val="00A80819"/>
    <w:rsid w:val="00A857FC"/>
    <w:rsid w:val="00A85C54"/>
    <w:rsid w:val="00A94E05"/>
    <w:rsid w:val="00A95F0D"/>
    <w:rsid w:val="00AA205E"/>
    <w:rsid w:val="00AA264C"/>
    <w:rsid w:val="00AA2987"/>
    <w:rsid w:val="00AA29AA"/>
    <w:rsid w:val="00AA535F"/>
    <w:rsid w:val="00AA6BAA"/>
    <w:rsid w:val="00AB336C"/>
    <w:rsid w:val="00AB3E74"/>
    <w:rsid w:val="00AB4512"/>
    <w:rsid w:val="00AB5B6F"/>
    <w:rsid w:val="00AB5D44"/>
    <w:rsid w:val="00AB675C"/>
    <w:rsid w:val="00AC124D"/>
    <w:rsid w:val="00AC3A7E"/>
    <w:rsid w:val="00AC7104"/>
    <w:rsid w:val="00AC7437"/>
    <w:rsid w:val="00AD0B92"/>
    <w:rsid w:val="00AD1EA6"/>
    <w:rsid w:val="00AD3976"/>
    <w:rsid w:val="00AD3D9C"/>
    <w:rsid w:val="00AD5D9D"/>
    <w:rsid w:val="00AD74B1"/>
    <w:rsid w:val="00AD7DF5"/>
    <w:rsid w:val="00AE028E"/>
    <w:rsid w:val="00AE3CE7"/>
    <w:rsid w:val="00AE6657"/>
    <w:rsid w:val="00AF190B"/>
    <w:rsid w:val="00AF45FA"/>
    <w:rsid w:val="00B0082E"/>
    <w:rsid w:val="00B00976"/>
    <w:rsid w:val="00B034EC"/>
    <w:rsid w:val="00B05A49"/>
    <w:rsid w:val="00B070B3"/>
    <w:rsid w:val="00B10161"/>
    <w:rsid w:val="00B11DB5"/>
    <w:rsid w:val="00B126C6"/>
    <w:rsid w:val="00B15825"/>
    <w:rsid w:val="00B174DB"/>
    <w:rsid w:val="00B20957"/>
    <w:rsid w:val="00B26177"/>
    <w:rsid w:val="00B264CD"/>
    <w:rsid w:val="00B27885"/>
    <w:rsid w:val="00B30DCD"/>
    <w:rsid w:val="00B30EBA"/>
    <w:rsid w:val="00B31AF6"/>
    <w:rsid w:val="00B32EE5"/>
    <w:rsid w:val="00B3397D"/>
    <w:rsid w:val="00B34EE5"/>
    <w:rsid w:val="00B35185"/>
    <w:rsid w:val="00B41CF1"/>
    <w:rsid w:val="00B43A03"/>
    <w:rsid w:val="00B47621"/>
    <w:rsid w:val="00B51447"/>
    <w:rsid w:val="00B5155C"/>
    <w:rsid w:val="00B518D2"/>
    <w:rsid w:val="00B51B5F"/>
    <w:rsid w:val="00B579CE"/>
    <w:rsid w:val="00B63501"/>
    <w:rsid w:val="00B64EAF"/>
    <w:rsid w:val="00B65CE6"/>
    <w:rsid w:val="00B7127E"/>
    <w:rsid w:val="00B75024"/>
    <w:rsid w:val="00B7776A"/>
    <w:rsid w:val="00B82E3F"/>
    <w:rsid w:val="00B834C5"/>
    <w:rsid w:val="00B92342"/>
    <w:rsid w:val="00B93FF4"/>
    <w:rsid w:val="00B95298"/>
    <w:rsid w:val="00B95841"/>
    <w:rsid w:val="00B97189"/>
    <w:rsid w:val="00B97794"/>
    <w:rsid w:val="00BA0D7C"/>
    <w:rsid w:val="00BA119C"/>
    <w:rsid w:val="00BA30D2"/>
    <w:rsid w:val="00BA6693"/>
    <w:rsid w:val="00BA6F91"/>
    <w:rsid w:val="00BB0484"/>
    <w:rsid w:val="00BB0DAF"/>
    <w:rsid w:val="00BC50FA"/>
    <w:rsid w:val="00BC51CD"/>
    <w:rsid w:val="00BC538D"/>
    <w:rsid w:val="00BD13DF"/>
    <w:rsid w:val="00BD21A8"/>
    <w:rsid w:val="00BD46F5"/>
    <w:rsid w:val="00BE1D4F"/>
    <w:rsid w:val="00BE2F8D"/>
    <w:rsid w:val="00BE4022"/>
    <w:rsid w:val="00BE4C2F"/>
    <w:rsid w:val="00BE6CFD"/>
    <w:rsid w:val="00BE6D58"/>
    <w:rsid w:val="00BE77A9"/>
    <w:rsid w:val="00BF030C"/>
    <w:rsid w:val="00BF15FD"/>
    <w:rsid w:val="00BF4801"/>
    <w:rsid w:val="00BF507B"/>
    <w:rsid w:val="00BF673F"/>
    <w:rsid w:val="00BF730E"/>
    <w:rsid w:val="00C02F22"/>
    <w:rsid w:val="00C03978"/>
    <w:rsid w:val="00C10D3A"/>
    <w:rsid w:val="00C14E98"/>
    <w:rsid w:val="00C17CB8"/>
    <w:rsid w:val="00C22EE8"/>
    <w:rsid w:val="00C30F45"/>
    <w:rsid w:val="00C323F9"/>
    <w:rsid w:val="00C33729"/>
    <w:rsid w:val="00C40B34"/>
    <w:rsid w:val="00C41639"/>
    <w:rsid w:val="00C4396D"/>
    <w:rsid w:val="00C522B1"/>
    <w:rsid w:val="00C565E8"/>
    <w:rsid w:val="00C674C9"/>
    <w:rsid w:val="00C70653"/>
    <w:rsid w:val="00C7097E"/>
    <w:rsid w:val="00C71AF6"/>
    <w:rsid w:val="00C945DB"/>
    <w:rsid w:val="00C954F9"/>
    <w:rsid w:val="00CA0A82"/>
    <w:rsid w:val="00CA0BEB"/>
    <w:rsid w:val="00CA467D"/>
    <w:rsid w:val="00CA6543"/>
    <w:rsid w:val="00CA65B6"/>
    <w:rsid w:val="00CB09A1"/>
    <w:rsid w:val="00CB2552"/>
    <w:rsid w:val="00CB4AA8"/>
    <w:rsid w:val="00CC3F40"/>
    <w:rsid w:val="00CC4886"/>
    <w:rsid w:val="00CD0219"/>
    <w:rsid w:val="00CD41F2"/>
    <w:rsid w:val="00CD61BE"/>
    <w:rsid w:val="00CD77AC"/>
    <w:rsid w:val="00CE03F4"/>
    <w:rsid w:val="00CE7ED8"/>
    <w:rsid w:val="00CF0E80"/>
    <w:rsid w:val="00CF1317"/>
    <w:rsid w:val="00CF2CA6"/>
    <w:rsid w:val="00CF3170"/>
    <w:rsid w:val="00D0262A"/>
    <w:rsid w:val="00D04A0D"/>
    <w:rsid w:val="00D04CA6"/>
    <w:rsid w:val="00D10439"/>
    <w:rsid w:val="00D13AAD"/>
    <w:rsid w:val="00D229CD"/>
    <w:rsid w:val="00D22DF7"/>
    <w:rsid w:val="00D22FB6"/>
    <w:rsid w:val="00D24093"/>
    <w:rsid w:val="00D26FA6"/>
    <w:rsid w:val="00D30021"/>
    <w:rsid w:val="00D34DD1"/>
    <w:rsid w:val="00D4789C"/>
    <w:rsid w:val="00D47CAF"/>
    <w:rsid w:val="00D5122D"/>
    <w:rsid w:val="00D53B0C"/>
    <w:rsid w:val="00D54D04"/>
    <w:rsid w:val="00D55B00"/>
    <w:rsid w:val="00D60971"/>
    <w:rsid w:val="00D628F9"/>
    <w:rsid w:val="00D70341"/>
    <w:rsid w:val="00D70FD6"/>
    <w:rsid w:val="00D727D0"/>
    <w:rsid w:val="00D73336"/>
    <w:rsid w:val="00D74693"/>
    <w:rsid w:val="00D7774A"/>
    <w:rsid w:val="00D80343"/>
    <w:rsid w:val="00D8070B"/>
    <w:rsid w:val="00D80D77"/>
    <w:rsid w:val="00D81D58"/>
    <w:rsid w:val="00D824F0"/>
    <w:rsid w:val="00D8351A"/>
    <w:rsid w:val="00D83C0F"/>
    <w:rsid w:val="00D902E3"/>
    <w:rsid w:val="00D930F2"/>
    <w:rsid w:val="00D969F8"/>
    <w:rsid w:val="00DA1B93"/>
    <w:rsid w:val="00DA265F"/>
    <w:rsid w:val="00DA4D1B"/>
    <w:rsid w:val="00DA5BDC"/>
    <w:rsid w:val="00DA709E"/>
    <w:rsid w:val="00DB1BF7"/>
    <w:rsid w:val="00DB3A2B"/>
    <w:rsid w:val="00DB7EAB"/>
    <w:rsid w:val="00DC3C20"/>
    <w:rsid w:val="00DC43BF"/>
    <w:rsid w:val="00DC60FE"/>
    <w:rsid w:val="00DC632D"/>
    <w:rsid w:val="00DC65FE"/>
    <w:rsid w:val="00DD15EE"/>
    <w:rsid w:val="00DD2579"/>
    <w:rsid w:val="00DD46FF"/>
    <w:rsid w:val="00DD4818"/>
    <w:rsid w:val="00DE1130"/>
    <w:rsid w:val="00DF0143"/>
    <w:rsid w:val="00DF3100"/>
    <w:rsid w:val="00DF3925"/>
    <w:rsid w:val="00DF5C2C"/>
    <w:rsid w:val="00E0220A"/>
    <w:rsid w:val="00E04FBD"/>
    <w:rsid w:val="00E05CF6"/>
    <w:rsid w:val="00E06612"/>
    <w:rsid w:val="00E103C0"/>
    <w:rsid w:val="00E10ABE"/>
    <w:rsid w:val="00E10DB6"/>
    <w:rsid w:val="00E12F47"/>
    <w:rsid w:val="00E14BCD"/>
    <w:rsid w:val="00E15118"/>
    <w:rsid w:val="00E154BB"/>
    <w:rsid w:val="00E21800"/>
    <w:rsid w:val="00E26318"/>
    <w:rsid w:val="00E30100"/>
    <w:rsid w:val="00E30E03"/>
    <w:rsid w:val="00E33849"/>
    <w:rsid w:val="00E34629"/>
    <w:rsid w:val="00E37F58"/>
    <w:rsid w:val="00E40204"/>
    <w:rsid w:val="00E43C74"/>
    <w:rsid w:val="00E44FAF"/>
    <w:rsid w:val="00E47C1A"/>
    <w:rsid w:val="00E538E5"/>
    <w:rsid w:val="00E55038"/>
    <w:rsid w:val="00E552AC"/>
    <w:rsid w:val="00E5545B"/>
    <w:rsid w:val="00E561A1"/>
    <w:rsid w:val="00E57353"/>
    <w:rsid w:val="00E64085"/>
    <w:rsid w:val="00E640DF"/>
    <w:rsid w:val="00E6493E"/>
    <w:rsid w:val="00E65294"/>
    <w:rsid w:val="00E65ABA"/>
    <w:rsid w:val="00E6680C"/>
    <w:rsid w:val="00E70AE8"/>
    <w:rsid w:val="00E75AD4"/>
    <w:rsid w:val="00E7696B"/>
    <w:rsid w:val="00E818D8"/>
    <w:rsid w:val="00E81E89"/>
    <w:rsid w:val="00E85565"/>
    <w:rsid w:val="00E861EB"/>
    <w:rsid w:val="00EA2A86"/>
    <w:rsid w:val="00EA54BD"/>
    <w:rsid w:val="00EA5853"/>
    <w:rsid w:val="00EA7F67"/>
    <w:rsid w:val="00EB4101"/>
    <w:rsid w:val="00EB44B5"/>
    <w:rsid w:val="00EB4704"/>
    <w:rsid w:val="00EC4B23"/>
    <w:rsid w:val="00EC64FE"/>
    <w:rsid w:val="00EC7A55"/>
    <w:rsid w:val="00ED14D2"/>
    <w:rsid w:val="00ED20A5"/>
    <w:rsid w:val="00ED4C4F"/>
    <w:rsid w:val="00ED5212"/>
    <w:rsid w:val="00ED5D55"/>
    <w:rsid w:val="00ED6F31"/>
    <w:rsid w:val="00ED7889"/>
    <w:rsid w:val="00EE30C3"/>
    <w:rsid w:val="00EE3A39"/>
    <w:rsid w:val="00EE569E"/>
    <w:rsid w:val="00EF162E"/>
    <w:rsid w:val="00EF3F73"/>
    <w:rsid w:val="00EF643C"/>
    <w:rsid w:val="00EF6E74"/>
    <w:rsid w:val="00F018FE"/>
    <w:rsid w:val="00F0335D"/>
    <w:rsid w:val="00F04410"/>
    <w:rsid w:val="00F0476B"/>
    <w:rsid w:val="00F05D79"/>
    <w:rsid w:val="00F06B7B"/>
    <w:rsid w:val="00F07432"/>
    <w:rsid w:val="00F1032B"/>
    <w:rsid w:val="00F15D0E"/>
    <w:rsid w:val="00F22154"/>
    <w:rsid w:val="00F34506"/>
    <w:rsid w:val="00F40D96"/>
    <w:rsid w:val="00F419DE"/>
    <w:rsid w:val="00F42D43"/>
    <w:rsid w:val="00F42D54"/>
    <w:rsid w:val="00F47363"/>
    <w:rsid w:val="00F52AB1"/>
    <w:rsid w:val="00F52D10"/>
    <w:rsid w:val="00F62BD0"/>
    <w:rsid w:val="00F65886"/>
    <w:rsid w:val="00F66881"/>
    <w:rsid w:val="00F7221F"/>
    <w:rsid w:val="00F72EFF"/>
    <w:rsid w:val="00F73FF8"/>
    <w:rsid w:val="00F74FED"/>
    <w:rsid w:val="00F84702"/>
    <w:rsid w:val="00F85021"/>
    <w:rsid w:val="00F87927"/>
    <w:rsid w:val="00F91799"/>
    <w:rsid w:val="00F922BF"/>
    <w:rsid w:val="00F93916"/>
    <w:rsid w:val="00F94629"/>
    <w:rsid w:val="00F951AD"/>
    <w:rsid w:val="00FA0781"/>
    <w:rsid w:val="00FA1763"/>
    <w:rsid w:val="00FA3682"/>
    <w:rsid w:val="00FA58D8"/>
    <w:rsid w:val="00FB020B"/>
    <w:rsid w:val="00FB2552"/>
    <w:rsid w:val="00FB2C3F"/>
    <w:rsid w:val="00FB2CCD"/>
    <w:rsid w:val="00FB373C"/>
    <w:rsid w:val="00FB386B"/>
    <w:rsid w:val="00FB5040"/>
    <w:rsid w:val="00FB68A5"/>
    <w:rsid w:val="00FB68C5"/>
    <w:rsid w:val="00FC0C87"/>
    <w:rsid w:val="00FC0D52"/>
    <w:rsid w:val="00FC366C"/>
    <w:rsid w:val="00FD2EE7"/>
    <w:rsid w:val="00FD57C6"/>
    <w:rsid w:val="00FD6538"/>
    <w:rsid w:val="00FD7F26"/>
    <w:rsid w:val="00FE1FCF"/>
    <w:rsid w:val="00FE2737"/>
    <w:rsid w:val="00FE5205"/>
    <w:rsid w:val="00FE5A84"/>
    <w:rsid w:val="00FE6611"/>
    <w:rsid w:val="00FE677C"/>
    <w:rsid w:val="00FE6E2D"/>
    <w:rsid w:val="00FE70E1"/>
    <w:rsid w:val="00FE7962"/>
    <w:rsid w:val="00FF3D27"/>
    <w:rsid w:val="00FF3E81"/>
    <w:rsid w:val="00FF5FD5"/>
    <w:rsid w:val="01383237"/>
    <w:rsid w:val="019443B7"/>
    <w:rsid w:val="01F42707"/>
    <w:rsid w:val="027A6857"/>
    <w:rsid w:val="02835525"/>
    <w:rsid w:val="0383497D"/>
    <w:rsid w:val="03942BB8"/>
    <w:rsid w:val="04425FF4"/>
    <w:rsid w:val="04FD0E88"/>
    <w:rsid w:val="05933D3E"/>
    <w:rsid w:val="05B72E28"/>
    <w:rsid w:val="05E105C0"/>
    <w:rsid w:val="07113E28"/>
    <w:rsid w:val="088D13B0"/>
    <w:rsid w:val="089C70FE"/>
    <w:rsid w:val="089E5F56"/>
    <w:rsid w:val="08EC41DD"/>
    <w:rsid w:val="09294F2D"/>
    <w:rsid w:val="095D74CC"/>
    <w:rsid w:val="0A2B783D"/>
    <w:rsid w:val="0A3309E2"/>
    <w:rsid w:val="0A6B5D42"/>
    <w:rsid w:val="0AE03C3D"/>
    <w:rsid w:val="0B283A89"/>
    <w:rsid w:val="0B6B0A4B"/>
    <w:rsid w:val="0C333DA0"/>
    <w:rsid w:val="0C4E0FE2"/>
    <w:rsid w:val="0CA817F3"/>
    <w:rsid w:val="0DF96C99"/>
    <w:rsid w:val="0FFF19B0"/>
    <w:rsid w:val="102E37C2"/>
    <w:rsid w:val="10A67EF7"/>
    <w:rsid w:val="11EA4630"/>
    <w:rsid w:val="129E6DCA"/>
    <w:rsid w:val="12AE5B80"/>
    <w:rsid w:val="130C377E"/>
    <w:rsid w:val="13C348D2"/>
    <w:rsid w:val="13E41489"/>
    <w:rsid w:val="142E7771"/>
    <w:rsid w:val="14473687"/>
    <w:rsid w:val="148B47CC"/>
    <w:rsid w:val="16742B51"/>
    <w:rsid w:val="167444F7"/>
    <w:rsid w:val="16B01C6E"/>
    <w:rsid w:val="170632FB"/>
    <w:rsid w:val="173F6B6C"/>
    <w:rsid w:val="17C021B7"/>
    <w:rsid w:val="17E3081C"/>
    <w:rsid w:val="1827379A"/>
    <w:rsid w:val="19235BCB"/>
    <w:rsid w:val="1A4B2C86"/>
    <w:rsid w:val="1A4D7A42"/>
    <w:rsid w:val="1AC37983"/>
    <w:rsid w:val="1AF64AF6"/>
    <w:rsid w:val="1C9F24F6"/>
    <w:rsid w:val="1CD27ACE"/>
    <w:rsid w:val="1D4376C2"/>
    <w:rsid w:val="1E3D1B80"/>
    <w:rsid w:val="1F054E1B"/>
    <w:rsid w:val="1F4D1C0B"/>
    <w:rsid w:val="1F4E2FA1"/>
    <w:rsid w:val="1FE26AA5"/>
    <w:rsid w:val="203D62C0"/>
    <w:rsid w:val="20BB2F9F"/>
    <w:rsid w:val="20C54271"/>
    <w:rsid w:val="20EC5692"/>
    <w:rsid w:val="215049A0"/>
    <w:rsid w:val="215E53DD"/>
    <w:rsid w:val="21C7622D"/>
    <w:rsid w:val="21DA503A"/>
    <w:rsid w:val="23C9585D"/>
    <w:rsid w:val="24152FCC"/>
    <w:rsid w:val="25DC5FD7"/>
    <w:rsid w:val="265B72E4"/>
    <w:rsid w:val="27047F8C"/>
    <w:rsid w:val="27484360"/>
    <w:rsid w:val="27980C76"/>
    <w:rsid w:val="27B902EA"/>
    <w:rsid w:val="2810161B"/>
    <w:rsid w:val="28C43C4E"/>
    <w:rsid w:val="294A2DCC"/>
    <w:rsid w:val="295F110C"/>
    <w:rsid w:val="297015F3"/>
    <w:rsid w:val="298749A0"/>
    <w:rsid w:val="2AAB2BF0"/>
    <w:rsid w:val="2AEB38EF"/>
    <w:rsid w:val="2BA6744D"/>
    <w:rsid w:val="2BAF01EE"/>
    <w:rsid w:val="2BF5081A"/>
    <w:rsid w:val="2C45592E"/>
    <w:rsid w:val="2CBB7F78"/>
    <w:rsid w:val="2CE979FA"/>
    <w:rsid w:val="2D3D70FF"/>
    <w:rsid w:val="2D7322CA"/>
    <w:rsid w:val="2DDF2BDD"/>
    <w:rsid w:val="2E196723"/>
    <w:rsid w:val="2E273732"/>
    <w:rsid w:val="2E2C097D"/>
    <w:rsid w:val="2E811004"/>
    <w:rsid w:val="2EFD5B05"/>
    <w:rsid w:val="2F5115EC"/>
    <w:rsid w:val="2F9A380B"/>
    <w:rsid w:val="2FB455DC"/>
    <w:rsid w:val="30910A87"/>
    <w:rsid w:val="320C3F94"/>
    <w:rsid w:val="32306252"/>
    <w:rsid w:val="3272587A"/>
    <w:rsid w:val="32F87FCF"/>
    <w:rsid w:val="3311459E"/>
    <w:rsid w:val="334B6D57"/>
    <w:rsid w:val="33FE7DF8"/>
    <w:rsid w:val="341E5A48"/>
    <w:rsid w:val="343A6340"/>
    <w:rsid w:val="343C63A0"/>
    <w:rsid w:val="34457262"/>
    <w:rsid w:val="35400182"/>
    <w:rsid w:val="356C235F"/>
    <w:rsid w:val="361541D8"/>
    <w:rsid w:val="36B52C08"/>
    <w:rsid w:val="379F6D3C"/>
    <w:rsid w:val="383E4E93"/>
    <w:rsid w:val="38967CA1"/>
    <w:rsid w:val="38A6217A"/>
    <w:rsid w:val="38C566BD"/>
    <w:rsid w:val="38CC0019"/>
    <w:rsid w:val="39374DCD"/>
    <w:rsid w:val="39665870"/>
    <w:rsid w:val="3A090AE5"/>
    <w:rsid w:val="3A270FB9"/>
    <w:rsid w:val="3A622786"/>
    <w:rsid w:val="3AF6689D"/>
    <w:rsid w:val="3B322B4E"/>
    <w:rsid w:val="3B7E6A4B"/>
    <w:rsid w:val="3BD07B9F"/>
    <w:rsid w:val="3C0F4A82"/>
    <w:rsid w:val="3C9E2DF5"/>
    <w:rsid w:val="3CDF5949"/>
    <w:rsid w:val="3DBC5D9E"/>
    <w:rsid w:val="3DC80CE1"/>
    <w:rsid w:val="3E3C635B"/>
    <w:rsid w:val="3E5416B3"/>
    <w:rsid w:val="3E7C2BBB"/>
    <w:rsid w:val="3F111C64"/>
    <w:rsid w:val="3FC274B4"/>
    <w:rsid w:val="40023B71"/>
    <w:rsid w:val="403D713E"/>
    <w:rsid w:val="4046681A"/>
    <w:rsid w:val="419A3535"/>
    <w:rsid w:val="4249355B"/>
    <w:rsid w:val="42745C96"/>
    <w:rsid w:val="4292070F"/>
    <w:rsid w:val="42ED0BA3"/>
    <w:rsid w:val="43487C99"/>
    <w:rsid w:val="43F04C33"/>
    <w:rsid w:val="452B1B8A"/>
    <w:rsid w:val="45AB3A1A"/>
    <w:rsid w:val="45B246C7"/>
    <w:rsid w:val="45F60B6F"/>
    <w:rsid w:val="46A72B79"/>
    <w:rsid w:val="46B36468"/>
    <w:rsid w:val="471F6779"/>
    <w:rsid w:val="47D3787A"/>
    <w:rsid w:val="48D34C01"/>
    <w:rsid w:val="49BF659E"/>
    <w:rsid w:val="49E34F21"/>
    <w:rsid w:val="4B247680"/>
    <w:rsid w:val="4B39001E"/>
    <w:rsid w:val="4B567432"/>
    <w:rsid w:val="4C166329"/>
    <w:rsid w:val="4C5D0F1F"/>
    <w:rsid w:val="4D851DCD"/>
    <w:rsid w:val="4E4678E3"/>
    <w:rsid w:val="4F5F042E"/>
    <w:rsid w:val="4FFC0256"/>
    <w:rsid w:val="505963DB"/>
    <w:rsid w:val="507E08B7"/>
    <w:rsid w:val="529F7D12"/>
    <w:rsid w:val="53247CC4"/>
    <w:rsid w:val="533A141F"/>
    <w:rsid w:val="53BB2386"/>
    <w:rsid w:val="54553898"/>
    <w:rsid w:val="54FE1937"/>
    <w:rsid w:val="562F254B"/>
    <w:rsid w:val="568E359A"/>
    <w:rsid w:val="569D2CBF"/>
    <w:rsid w:val="56E21250"/>
    <w:rsid w:val="57E90BA3"/>
    <w:rsid w:val="58D52159"/>
    <w:rsid w:val="58E64F47"/>
    <w:rsid w:val="595C04AE"/>
    <w:rsid w:val="59A86CF9"/>
    <w:rsid w:val="5A3A38F1"/>
    <w:rsid w:val="5B06384D"/>
    <w:rsid w:val="5B3B3F31"/>
    <w:rsid w:val="5B580D46"/>
    <w:rsid w:val="5B9F5D8D"/>
    <w:rsid w:val="5BAE2491"/>
    <w:rsid w:val="5CF5300F"/>
    <w:rsid w:val="5D1303EF"/>
    <w:rsid w:val="5D1F7D66"/>
    <w:rsid w:val="5DAE5795"/>
    <w:rsid w:val="5E3C4B3E"/>
    <w:rsid w:val="5E477BC3"/>
    <w:rsid w:val="5E653149"/>
    <w:rsid w:val="5F3758EA"/>
    <w:rsid w:val="5F9622D6"/>
    <w:rsid w:val="5FC112E7"/>
    <w:rsid w:val="602B1E6F"/>
    <w:rsid w:val="60CD2062"/>
    <w:rsid w:val="61247513"/>
    <w:rsid w:val="61EF0BD4"/>
    <w:rsid w:val="62FE78D5"/>
    <w:rsid w:val="637F0808"/>
    <w:rsid w:val="63BE0C5F"/>
    <w:rsid w:val="63CF70FE"/>
    <w:rsid w:val="63E3281F"/>
    <w:rsid w:val="6400321A"/>
    <w:rsid w:val="6448777C"/>
    <w:rsid w:val="646A5984"/>
    <w:rsid w:val="649443DD"/>
    <w:rsid w:val="65A366C6"/>
    <w:rsid w:val="65F87587"/>
    <w:rsid w:val="662A4547"/>
    <w:rsid w:val="66DE1BE8"/>
    <w:rsid w:val="66E65D27"/>
    <w:rsid w:val="676A74AF"/>
    <w:rsid w:val="68081B6C"/>
    <w:rsid w:val="68502433"/>
    <w:rsid w:val="69091F27"/>
    <w:rsid w:val="690F2DCB"/>
    <w:rsid w:val="6A3A6E49"/>
    <w:rsid w:val="6A665240"/>
    <w:rsid w:val="6A691EBE"/>
    <w:rsid w:val="6AC852AF"/>
    <w:rsid w:val="6B417580"/>
    <w:rsid w:val="6BA33402"/>
    <w:rsid w:val="6BAC61C8"/>
    <w:rsid w:val="6BE21C0D"/>
    <w:rsid w:val="6C120422"/>
    <w:rsid w:val="6C987335"/>
    <w:rsid w:val="6CDD77E2"/>
    <w:rsid w:val="6E3D638A"/>
    <w:rsid w:val="6E76525C"/>
    <w:rsid w:val="6EAA13C6"/>
    <w:rsid w:val="6ECB5DFD"/>
    <w:rsid w:val="6EDC4075"/>
    <w:rsid w:val="6FBC1B86"/>
    <w:rsid w:val="6FF26DA9"/>
    <w:rsid w:val="70D36E4D"/>
    <w:rsid w:val="70E82364"/>
    <w:rsid w:val="70F4459B"/>
    <w:rsid w:val="70F85C6F"/>
    <w:rsid w:val="71BD1BD7"/>
    <w:rsid w:val="71ED1488"/>
    <w:rsid w:val="722832E7"/>
    <w:rsid w:val="726B4E7E"/>
    <w:rsid w:val="72AF4173"/>
    <w:rsid w:val="73440FF1"/>
    <w:rsid w:val="7388579A"/>
    <w:rsid w:val="73966947"/>
    <w:rsid w:val="73BA61C3"/>
    <w:rsid w:val="74B35A0D"/>
    <w:rsid w:val="74C04CCC"/>
    <w:rsid w:val="74E4588B"/>
    <w:rsid w:val="76F53E1F"/>
    <w:rsid w:val="770D3B7E"/>
    <w:rsid w:val="776C466E"/>
    <w:rsid w:val="777B1815"/>
    <w:rsid w:val="77E4283A"/>
    <w:rsid w:val="786843CE"/>
    <w:rsid w:val="78B22162"/>
    <w:rsid w:val="7A3F1DF4"/>
    <w:rsid w:val="7AB20224"/>
    <w:rsid w:val="7B5F78AB"/>
    <w:rsid w:val="7C361F77"/>
    <w:rsid w:val="7C4D1379"/>
    <w:rsid w:val="7CB603A5"/>
    <w:rsid w:val="7CE9514B"/>
    <w:rsid w:val="7D332EBC"/>
    <w:rsid w:val="7D516EAA"/>
    <w:rsid w:val="7D614AAA"/>
    <w:rsid w:val="7DDD4828"/>
    <w:rsid w:val="7DF1054B"/>
    <w:rsid w:val="7E1A37C3"/>
    <w:rsid w:val="7EAA4A99"/>
    <w:rsid w:val="7F6C3838"/>
    <w:rsid w:val="7FB428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2" w:semiHidden="0" w:name="caption"/>
    <w:lsdException w:qFormat="1" w:unhideWhenUsed="0" w:uiPriority="99" w:semiHidden="0" w:name="table of figures"/>
    <w:lsdException w:uiPriority="0" w:name="envelope address"/>
    <w:lsdException w:uiPriority="0" w:name="envelope return"/>
    <w:lsdException w:qFormat="1" w:uiPriority="99"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0" w:name="endnote reference"/>
    <w:lsdException w:qFormat="1" w:unhideWhenUsed="0" w:uiPriority="0" w:semiHidden="0" w:name="endnote text"/>
    <w:lsdException w:unhideWhenUsed="0" w:uiPriority="0" w:semiHidden="0" w:name="table of authorities"/>
    <w:lsdException w:uiPriority="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iPriority="99" w:semiHidden="0" w:name="List Number"/>
    <w:lsdException w:qFormat="1" w:unhideWhenUsed="0" w:uiPriority="0" w:semiHidden="0" w:name="List 2"/>
    <w:lsdException w:uiPriority="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11" w:semiHidden="0" w:name="Subtitle"/>
    <w:lsdException w:qFormat="1" w:unhideWhenUsed="0" w:uiPriority="0" w:semiHidden="0" w:name="Salutation"/>
    <w:lsdException w:qFormat="1" w:unhideWhenUsed="0" w:uiPriority="99" w:semiHidden="0" w:name="Date"/>
    <w:lsdException w:qFormat="1" w:uiPriority="0" w:semiHidden="0" w:name="Body Text First Indent"/>
    <w:lsdException w:uiPriority="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qFormat="1" w:unhideWhenUsed="0" w:uiPriority="0" w:semiHidden="0" w:name="Table Grid 6"/>
    <w:lsdException w:uiPriority="0" w:name="Table Grid 7"/>
    <w:lsdException w:uiPriority="0" w:name="Table Grid 8"/>
    <w:lsdException w:uiPriority="0" w:name="Table List 1"/>
    <w:lsdException w:uiPriority="0" w:name="Table List 2"/>
    <w:lsdException w:uiPriority="0" w:name="Table List 3"/>
    <w:lsdException w:qFormat="1" w:unhideWhenUsed="0" w:uiPriority="0" w:semiHidden="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qFormat="1" w:unhideWhenUsed="0" w:uiPriority="0" w:semiHidden="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30"/>
    <w:qFormat/>
    <w:uiPriority w:val="0"/>
    <w:pPr>
      <w:keepNext/>
      <w:keepLines/>
      <w:numPr>
        <w:ilvl w:val="0"/>
        <w:numId w:val="1"/>
      </w:numPr>
      <w:spacing w:before="340" w:after="330" w:line="578" w:lineRule="auto"/>
      <w:outlineLvl w:val="0"/>
    </w:pPr>
    <w:rPr>
      <w:rFonts w:ascii="Calibri" w:hAnsi="Calibri"/>
      <w:b/>
      <w:bCs/>
      <w:kern w:val="44"/>
      <w:sz w:val="44"/>
      <w:szCs w:val="44"/>
    </w:rPr>
  </w:style>
  <w:style w:type="paragraph" w:styleId="4">
    <w:name w:val="heading 2"/>
    <w:basedOn w:val="1"/>
    <w:next w:val="1"/>
    <w:link w:val="226"/>
    <w:qFormat/>
    <w:uiPriority w:val="99"/>
    <w:pPr>
      <w:keepNext/>
      <w:keepLines/>
      <w:numPr>
        <w:ilvl w:val="1"/>
        <w:numId w:val="1"/>
      </w:numPr>
      <w:spacing w:before="260" w:after="260" w:line="416" w:lineRule="auto"/>
      <w:outlineLvl w:val="1"/>
    </w:pPr>
    <w:rPr>
      <w:rFonts w:ascii="Arial" w:hAnsi="Arial" w:eastAsia="黑体"/>
      <w:b/>
      <w:bCs/>
      <w:sz w:val="32"/>
      <w:szCs w:val="32"/>
    </w:rPr>
  </w:style>
  <w:style w:type="paragraph" w:styleId="5">
    <w:name w:val="heading 3"/>
    <w:basedOn w:val="1"/>
    <w:next w:val="1"/>
    <w:link w:val="164"/>
    <w:qFormat/>
    <w:uiPriority w:val="0"/>
    <w:pPr>
      <w:keepNext/>
      <w:keepLines/>
      <w:numPr>
        <w:ilvl w:val="2"/>
        <w:numId w:val="1"/>
      </w:numPr>
      <w:spacing w:before="260" w:after="260" w:line="416" w:lineRule="auto"/>
      <w:outlineLvl w:val="2"/>
    </w:pPr>
    <w:rPr>
      <w:rFonts w:ascii="Calibri" w:hAnsi="Calibri"/>
      <w:b/>
      <w:bCs/>
      <w:sz w:val="32"/>
      <w:szCs w:val="32"/>
    </w:rPr>
  </w:style>
  <w:style w:type="paragraph" w:styleId="6">
    <w:name w:val="heading 4"/>
    <w:basedOn w:val="1"/>
    <w:next w:val="1"/>
    <w:link w:val="168"/>
    <w:qFormat/>
    <w:uiPriority w:val="0"/>
    <w:pPr>
      <w:keepLines/>
      <w:widowControl/>
      <w:autoSpaceDE w:val="0"/>
      <w:autoSpaceDN w:val="0"/>
      <w:adjustRightInd w:val="0"/>
      <w:snapToGrid w:val="0"/>
      <w:jc w:val="left"/>
      <w:outlineLvl w:val="3"/>
    </w:pPr>
    <w:rPr>
      <w:rFonts w:ascii="Calibri" w:hAnsi="Calibri" w:eastAsia="楷体_GB2312"/>
      <w:b/>
      <w:kern w:val="0"/>
      <w:sz w:val="24"/>
      <w:szCs w:val="20"/>
    </w:rPr>
  </w:style>
  <w:style w:type="paragraph" w:styleId="7">
    <w:name w:val="heading 5"/>
    <w:basedOn w:val="1"/>
    <w:next w:val="1"/>
    <w:link w:val="86"/>
    <w:qFormat/>
    <w:uiPriority w:val="0"/>
    <w:pPr>
      <w:keepNext/>
      <w:keepLines/>
      <w:numPr>
        <w:ilvl w:val="4"/>
        <w:numId w:val="1"/>
      </w:numPr>
      <w:spacing w:before="280" w:after="290" w:line="376" w:lineRule="auto"/>
      <w:outlineLvl w:val="4"/>
    </w:pPr>
    <w:rPr>
      <w:rFonts w:ascii="Calibri" w:hAnsi="Calibri"/>
      <w:b/>
      <w:bCs/>
      <w:sz w:val="28"/>
      <w:szCs w:val="28"/>
    </w:rPr>
  </w:style>
  <w:style w:type="paragraph" w:styleId="8">
    <w:name w:val="heading 6"/>
    <w:basedOn w:val="1"/>
    <w:next w:val="1"/>
    <w:link w:val="127"/>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9">
    <w:name w:val="heading 7"/>
    <w:basedOn w:val="1"/>
    <w:next w:val="1"/>
    <w:link w:val="151"/>
    <w:qFormat/>
    <w:uiPriority w:val="0"/>
    <w:pPr>
      <w:keepNext/>
      <w:keepLines/>
      <w:numPr>
        <w:ilvl w:val="6"/>
        <w:numId w:val="1"/>
      </w:numPr>
      <w:spacing w:before="240" w:after="64" w:line="320" w:lineRule="auto"/>
      <w:outlineLvl w:val="6"/>
    </w:pPr>
    <w:rPr>
      <w:rFonts w:ascii="Calibri" w:hAnsi="Calibri"/>
      <w:b/>
      <w:bCs/>
      <w:sz w:val="24"/>
    </w:rPr>
  </w:style>
  <w:style w:type="paragraph" w:styleId="10">
    <w:name w:val="heading 8"/>
    <w:basedOn w:val="1"/>
    <w:next w:val="1"/>
    <w:link w:val="232"/>
    <w:qFormat/>
    <w:uiPriority w:val="0"/>
    <w:pPr>
      <w:keepNext/>
      <w:keepLines/>
      <w:numPr>
        <w:ilvl w:val="7"/>
        <w:numId w:val="1"/>
      </w:numPr>
      <w:spacing w:before="240" w:after="64" w:line="320" w:lineRule="auto"/>
      <w:outlineLvl w:val="7"/>
    </w:pPr>
    <w:rPr>
      <w:rFonts w:ascii="Arial" w:hAnsi="Arial" w:eastAsia="黑体"/>
      <w:sz w:val="24"/>
    </w:rPr>
  </w:style>
  <w:style w:type="paragraph" w:styleId="11">
    <w:name w:val="heading 9"/>
    <w:basedOn w:val="1"/>
    <w:next w:val="1"/>
    <w:link w:val="184"/>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75">
    <w:name w:val="Default Paragraph Font"/>
    <w:semiHidden/>
    <w:unhideWhenUsed/>
    <w:qFormat/>
    <w:uiPriority w:val="1"/>
  </w:style>
  <w:style w:type="table" w:default="1" w:styleId="69">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246"/>
    <w:qFormat/>
    <w:uiPriority w:val="0"/>
    <w:pPr>
      <w:autoSpaceDE w:val="0"/>
      <w:autoSpaceDN w:val="0"/>
      <w:adjustRightInd w:val="0"/>
      <w:spacing w:before="240" w:after="60"/>
      <w:jc w:val="center"/>
      <w:outlineLvl w:val="0"/>
    </w:pPr>
    <w:rPr>
      <w:rFonts w:ascii="Cambria" w:hAnsi="Cambria"/>
      <w:b/>
      <w:bCs/>
      <w:kern w:val="0"/>
      <w:sz w:val="32"/>
      <w:szCs w:val="32"/>
    </w:rPr>
  </w:style>
  <w:style w:type="paragraph" w:styleId="12">
    <w:name w:val="toc 7"/>
    <w:basedOn w:val="1"/>
    <w:next w:val="1"/>
    <w:qFormat/>
    <w:uiPriority w:val="39"/>
    <w:pPr>
      <w:autoSpaceDE w:val="0"/>
      <w:autoSpaceDN w:val="0"/>
      <w:adjustRightInd w:val="0"/>
      <w:ind w:left="2520" w:leftChars="1200"/>
      <w:jc w:val="left"/>
    </w:pPr>
    <w:rPr>
      <w:kern w:val="0"/>
      <w:sz w:val="20"/>
      <w:szCs w:val="20"/>
    </w:rPr>
  </w:style>
  <w:style w:type="paragraph" w:styleId="13">
    <w:name w:val="List Number 2"/>
    <w:basedOn w:val="1"/>
    <w:qFormat/>
    <w:uiPriority w:val="0"/>
    <w:pPr>
      <w:tabs>
        <w:tab w:val="left" w:pos="780"/>
      </w:tabs>
      <w:ind w:left="780" w:hanging="360"/>
    </w:pPr>
  </w:style>
  <w:style w:type="paragraph" w:styleId="14">
    <w:name w:val="Note Heading"/>
    <w:basedOn w:val="1"/>
    <w:next w:val="1"/>
    <w:link w:val="344"/>
    <w:qFormat/>
    <w:uiPriority w:val="0"/>
    <w:pPr>
      <w:autoSpaceDE w:val="0"/>
      <w:autoSpaceDN w:val="0"/>
      <w:adjustRightInd w:val="0"/>
      <w:jc w:val="left"/>
    </w:pPr>
    <w:rPr>
      <w:rFonts w:ascii="Calibri" w:hAnsi="Calibri"/>
      <w:szCs w:val="20"/>
    </w:rPr>
  </w:style>
  <w:style w:type="paragraph" w:styleId="15">
    <w:name w:val="index 8"/>
    <w:basedOn w:val="1"/>
    <w:next w:val="1"/>
    <w:qFormat/>
    <w:uiPriority w:val="0"/>
    <w:pPr>
      <w:adjustRightInd w:val="0"/>
      <w:spacing w:line="360" w:lineRule="auto"/>
      <w:ind w:left="1920" w:hanging="240"/>
      <w:jc w:val="left"/>
    </w:pPr>
    <w:rPr>
      <w:kern w:val="0"/>
      <w:sz w:val="20"/>
      <w:szCs w:val="20"/>
    </w:rPr>
  </w:style>
  <w:style w:type="paragraph" w:styleId="16">
    <w:name w:val="List Number"/>
    <w:basedOn w:val="1"/>
    <w:unhideWhenUsed/>
    <w:qFormat/>
    <w:uiPriority w:val="99"/>
    <w:pPr>
      <w:tabs>
        <w:tab w:val="left" w:pos="360"/>
      </w:tabs>
      <w:ind w:left="360" w:hanging="360"/>
      <w:contextualSpacing/>
    </w:pPr>
  </w:style>
  <w:style w:type="paragraph" w:styleId="17">
    <w:name w:val="Normal Indent"/>
    <w:basedOn w:val="1"/>
    <w:link w:val="225"/>
    <w:qFormat/>
    <w:uiPriority w:val="0"/>
    <w:pPr>
      <w:adjustRightInd w:val="0"/>
      <w:spacing w:line="312" w:lineRule="atLeast"/>
      <w:ind w:firstLine="420"/>
      <w:textAlignment w:val="baseline"/>
    </w:pPr>
    <w:rPr>
      <w:rFonts w:ascii="Calibri" w:hAnsi="Calibri"/>
      <w:kern w:val="0"/>
      <w:szCs w:val="20"/>
    </w:rPr>
  </w:style>
  <w:style w:type="paragraph" w:styleId="18">
    <w:name w:val="caption"/>
    <w:basedOn w:val="1"/>
    <w:next w:val="1"/>
    <w:link w:val="286"/>
    <w:qFormat/>
    <w:uiPriority w:val="2"/>
    <w:pPr>
      <w:autoSpaceDE w:val="0"/>
      <w:autoSpaceDN w:val="0"/>
      <w:adjustRightInd w:val="0"/>
      <w:jc w:val="left"/>
    </w:pPr>
    <w:rPr>
      <w:rFonts w:ascii="Arial" w:hAnsi="Arial" w:eastAsia="黑体"/>
      <w:kern w:val="0"/>
      <w:sz w:val="20"/>
      <w:szCs w:val="20"/>
    </w:rPr>
  </w:style>
  <w:style w:type="paragraph" w:styleId="19">
    <w:name w:val="index 5"/>
    <w:basedOn w:val="1"/>
    <w:next w:val="1"/>
    <w:qFormat/>
    <w:uiPriority w:val="0"/>
    <w:pPr>
      <w:adjustRightInd w:val="0"/>
      <w:spacing w:line="360" w:lineRule="auto"/>
      <w:ind w:left="1200" w:hanging="240"/>
      <w:jc w:val="left"/>
    </w:pPr>
    <w:rPr>
      <w:kern w:val="0"/>
      <w:sz w:val="20"/>
      <w:szCs w:val="20"/>
    </w:rPr>
  </w:style>
  <w:style w:type="paragraph" w:styleId="20">
    <w:name w:val="List Bullet"/>
    <w:basedOn w:val="1"/>
    <w:link w:val="121"/>
    <w:qFormat/>
    <w:uiPriority w:val="0"/>
    <w:pPr>
      <w:tabs>
        <w:tab w:val="left" w:pos="360"/>
      </w:tabs>
      <w:ind w:left="360" w:hanging="360"/>
    </w:pPr>
    <w:rPr>
      <w:rFonts w:ascii="Calibri" w:hAnsi="Calibri"/>
    </w:rPr>
  </w:style>
  <w:style w:type="paragraph" w:styleId="21">
    <w:name w:val="Document Map"/>
    <w:basedOn w:val="1"/>
    <w:link w:val="110"/>
    <w:qFormat/>
    <w:uiPriority w:val="99"/>
    <w:pPr>
      <w:shd w:val="clear" w:color="auto" w:fill="000080"/>
    </w:pPr>
    <w:rPr>
      <w:rFonts w:ascii="Calibri" w:hAnsi="Calibri"/>
    </w:rPr>
  </w:style>
  <w:style w:type="paragraph" w:styleId="22">
    <w:name w:val="toa heading"/>
    <w:basedOn w:val="1"/>
    <w:next w:val="1"/>
    <w:qFormat/>
    <w:uiPriority w:val="0"/>
    <w:pPr>
      <w:spacing w:before="120" w:line="360" w:lineRule="auto"/>
      <w:ind w:firstLine="200" w:firstLineChars="200"/>
    </w:pPr>
    <w:rPr>
      <w:rFonts w:ascii="Arial" w:hAnsi="Arial" w:cs="Arial"/>
      <w:sz w:val="24"/>
    </w:rPr>
  </w:style>
  <w:style w:type="paragraph" w:styleId="23">
    <w:name w:val="annotation text"/>
    <w:basedOn w:val="1"/>
    <w:link w:val="235"/>
    <w:qFormat/>
    <w:uiPriority w:val="0"/>
    <w:pPr>
      <w:jc w:val="left"/>
    </w:pPr>
    <w:rPr>
      <w:rFonts w:ascii="Calibri" w:hAnsi="Calibri"/>
    </w:rPr>
  </w:style>
  <w:style w:type="paragraph" w:styleId="24">
    <w:name w:val="index 6"/>
    <w:basedOn w:val="1"/>
    <w:next w:val="1"/>
    <w:qFormat/>
    <w:uiPriority w:val="0"/>
    <w:pPr>
      <w:adjustRightInd w:val="0"/>
      <w:spacing w:line="360" w:lineRule="auto"/>
      <w:ind w:left="1440" w:hanging="240"/>
      <w:jc w:val="left"/>
    </w:pPr>
    <w:rPr>
      <w:kern w:val="0"/>
      <w:sz w:val="20"/>
      <w:szCs w:val="20"/>
    </w:rPr>
  </w:style>
  <w:style w:type="paragraph" w:styleId="25">
    <w:name w:val="Salutation"/>
    <w:basedOn w:val="1"/>
    <w:next w:val="1"/>
    <w:link w:val="162"/>
    <w:qFormat/>
    <w:uiPriority w:val="0"/>
    <w:pPr>
      <w:tabs>
        <w:tab w:val="left" w:pos="840"/>
      </w:tabs>
      <w:autoSpaceDE w:val="0"/>
      <w:autoSpaceDN w:val="0"/>
      <w:adjustRightInd w:val="0"/>
      <w:jc w:val="left"/>
    </w:pPr>
    <w:rPr>
      <w:rFonts w:ascii="Calibri" w:hAnsi="Calibri"/>
      <w:kern w:val="0"/>
      <w:sz w:val="24"/>
      <w:szCs w:val="20"/>
    </w:rPr>
  </w:style>
  <w:style w:type="paragraph" w:styleId="26">
    <w:name w:val="Body Text 3"/>
    <w:basedOn w:val="1"/>
    <w:link w:val="211"/>
    <w:qFormat/>
    <w:uiPriority w:val="0"/>
    <w:pPr>
      <w:autoSpaceDE w:val="0"/>
      <w:autoSpaceDN w:val="0"/>
      <w:adjustRightInd w:val="0"/>
      <w:jc w:val="center"/>
    </w:pPr>
    <w:rPr>
      <w:rFonts w:ascii="Calibri" w:hAnsi="Calibri"/>
      <w:kern w:val="0"/>
      <w:sz w:val="20"/>
      <w:szCs w:val="20"/>
    </w:rPr>
  </w:style>
  <w:style w:type="paragraph" w:styleId="27">
    <w:name w:val="Body Text"/>
    <w:basedOn w:val="1"/>
    <w:link w:val="175"/>
    <w:qFormat/>
    <w:uiPriority w:val="0"/>
    <w:pPr>
      <w:spacing w:after="120"/>
    </w:pPr>
    <w:rPr>
      <w:rFonts w:ascii="Calibri" w:hAnsi="Calibri"/>
    </w:rPr>
  </w:style>
  <w:style w:type="paragraph" w:styleId="28">
    <w:name w:val="Body Text Indent"/>
    <w:basedOn w:val="1"/>
    <w:link w:val="93"/>
    <w:qFormat/>
    <w:uiPriority w:val="0"/>
    <w:pPr>
      <w:spacing w:after="120"/>
      <w:ind w:left="420"/>
    </w:pPr>
    <w:rPr>
      <w:rFonts w:ascii="Calibri" w:hAnsi="Calibri"/>
    </w:rPr>
  </w:style>
  <w:style w:type="paragraph" w:styleId="29">
    <w:name w:val="List Number 3"/>
    <w:basedOn w:val="1"/>
    <w:qFormat/>
    <w:uiPriority w:val="0"/>
    <w:pPr>
      <w:numPr>
        <w:ilvl w:val="0"/>
        <w:numId w:val="2"/>
      </w:numPr>
    </w:pPr>
  </w:style>
  <w:style w:type="paragraph" w:styleId="30">
    <w:name w:val="List 2"/>
    <w:basedOn w:val="1"/>
    <w:qFormat/>
    <w:uiPriority w:val="0"/>
    <w:pPr>
      <w:widowControl/>
      <w:adjustRightInd w:val="0"/>
      <w:spacing w:line="360" w:lineRule="auto"/>
      <w:ind w:left="100" w:leftChars="200" w:hanging="200" w:hangingChars="200"/>
      <w:textAlignment w:val="baseline"/>
    </w:pPr>
    <w:rPr>
      <w:rFonts w:ascii="楷体_GB2312" w:eastAsia="楷体_GB2312"/>
      <w:kern w:val="0"/>
      <w:sz w:val="24"/>
      <w:szCs w:val="20"/>
    </w:rPr>
  </w:style>
  <w:style w:type="paragraph" w:styleId="31">
    <w:name w:val="Block Text"/>
    <w:basedOn w:val="1"/>
    <w:qFormat/>
    <w:uiPriority w:val="0"/>
    <w:pPr>
      <w:spacing w:line="360" w:lineRule="auto"/>
      <w:ind w:left="420" w:right="-334" w:rightChars="-159" w:firstLine="420" w:firstLineChars="200"/>
    </w:pPr>
    <w:rPr>
      <w:spacing w:val="20"/>
      <w:sz w:val="24"/>
    </w:rPr>
  </w:style>
  <w:style w:type="paragraph" w:styleId="32">
    <w:name w:val="List Bullet 2"/>
    <w:basedOn w:val="1"/>
    <w:qFormat/>
    <w:uiPriority w:val="0"/>
    <w:pPr>
      <w:tabs>
        <w:tab w:val="left" w:pos="780"/>
      </w:tabs>
      <w:spacing w:line="360" w:lineRule="auto"/>
      <w:ind w:left="780" w:leftChars="200" w:hanging="360" w:hangingChars="200"/>
    </w:pPr>
  </w:style>
  <w:style w:type="paragraph" w:styleId="33">
    <w:name w:val="index 4"/>
    <w:basedOn w:val="1"/>
    <w:next w:val="1"/>
    <w:qFormat/>
    <w:uiPriority w:val="0"/>
    <w:pPr>
      <w:adjustRightInd w:val="0"/>
      <w:spacing w:line="360" w:lineRule="auto"/>
      <w:ind w:left="960" w:hanging="240"/>
      <w:jc w:val="left"/>
    </w:pPr>
    <w:rPr>
      <w:kern w:val="0"/>
      <w:sz w:val="20"/>
      <w:szCs w:val="20"/>
    </w:rPr>
  </w:style>
  <w:style w:type="paragraph" w:styleId="34">
    <w:name w:val="toc 5"/>
    <w:basedOn w:val="1"/>
    <w:next w:val="1"/>
    <w:qFormat/>
    <w:uiPriority w:val="39"/>
    <w:pPr>
      <w:autoSpaceDE w:val="0"/>
      <w:autoSpaceDN w:val="0"/>
      <w:adjustRightInd w:val="0"/>
      <w:ind w:left="1680" w:leftChars="800"/>
      <w:jc w:val="left"/>
    </w:pPr>
    <w:rPr>
      <w:kern w:val="0"/>
      <w:sz w:val="20"/>
      <w:szCs w:val="20"/>
    </w:rPr>
  </w:style>
  <w:style w:type="paragraph" w:styleId="35">
    <w:name w:val="toc 3"/>
    <w:basedOn w:val="1"/>
    <w:next w:val="1"/>
    <w:qFormat/>
    <w:uiPriority w:val="39"/>
    <w:pPr>
      <w:ind w:left="840" w:leftChars="400"/>
    </w:pPr>
  </w:style>
  <w:style w:type="paragraph" w:styleId="36">
    <w:name w:val="Plain Text"/>
    <w:basedOn w:val="1"/>
    <w:link w:val="186"/>
    <w:qFormat/>
    <w:uiPriority w:val="0"/>
    <w:rPr>
      <w:rFonts w:ascii="宋体" w:hAnsi="Courier New"/>
      <w:szCs w:val="20"/>
    </w:rPr>
  </w:style>
  <w:style w:type="paragraph" w:styleId="37">
    <w:name w:val="List Bullet 5"/>
    <w:basedOn w:val="1"/>
    <w:qFormat/>
    <w:uiPriority w:val="0"/>
    <w:pPr>
      <w:tabs>
        <w:tab w:val="left" w:pos="284"/>
      </w:tabs>
      <w:spacing w:line="360" w:lineRule="auto"/>
      <w:ind w:firstLine="284" w:firstLineChars="200"/>
    </w:pPr>
    <w:rPr>
      <w:sz w:val="24"/>
    </w:rPr>
  </w:style>
  <w:style w:type="paragraph" w:styleId="38">
    <w:name w:val="List Number 4"/>
    <w:basedOn w:val="1"/>
    <w:qFormat/>
    <w:uiPriority w:val="0"/>
    <w:pPr>
      <w:numPr>
        <w:ilvl w:val="0"/>
        <w:numId w:val="3"/>
      </w:numPr>
      <w:tabs>
        <w:tab w:val="left" w:pos="840"/>
        <w:tab w:val="clear" w:pos="397"/>
      </w:tabs>
      <w:autoSpaceDE w:val="0"/>
      <w:autoSpaceDN w:val="0"/>
      <w:adjustRightInd w:val="0"/>
      <w:spacing w:line="360" w:lineRule="atLeast"/>
      <w:ind w:left="840" w:hanging="420"/>
      <w:jc w:val="left"/>
    </w:pPr>
    <w:rPr>
      <w:kern w:val="0"/>
      <w:sz w:val="24"/>
      <w:szCs w:val="20"/>
    </w:rPr>
  </w:style>
  <w:style w:type="paragraph" w:styleId="39">
    <w:name w:val="toc 8"/>
    <w:basedOn w:val="1"/>
    <w:next w:val="1"/>
    <w:qFormat/>
    <w:uiPriority w:val="39"/>
    <w:pPr>
      <w:autoSpaceDE w:val="0"/>
      <w:autoSpaceDN w:val="0"/>
      <w:adjustRightInd w:val="0"/>
      <w:ind w:left="2940" w:leftChars="1400"/>
      <w:jc w:val="left"/>
    </w:pPr>
    <w:rPr>
      <w:kern w:val="0"/>
      <w:sz w:val="20"/>
      <w:szCs w:val="20"/>
    </w:rPr>
  </w:style>
  <w:style w:type="paragraph" w:styleId="40">
    <w:name w:val="index 3"/>
    <w:basedOn w:val="1"/>
    <w:next w:val="1"/>
    <w:qFormat/>
    <w:uiPriority w:val="0"/>
    <w:pPr>
      <w:adjustRightInd w:val="0"/>
      <w:spacing w:line="360" w:lineRule="auto"/>
      <w:ind w:left="720" w:hanging="240"/>
      <w:jc w:val="left"/>
    </w:pPr>
    <w:rPr>
      <w:kern w:val="0"/>
      <w:sz w:val="20"/>
      <w:szCs w:val="20"/>
    </w:rPr>
  </w:style>
  <w:style w:type="paragraph" w:styleId="41">
    <w:name w:val="Date"/>
    <w:basedOn w:val="1"/>
    <w:next w:val="1"/>
    <w:link w:val="165"/>
    <w:qFormat/>
    <w:uiPriority w:val="99"/>
    <w:rPr>
      <w:rFonts w:ascii="宋体" w:hAnsi="Calibri"/>
      <w:sz w:val="24"/>
      <w:szCs w:val="20"/>
    </w:rPr>
  </w:style>
  <w:style w:type="paragraph" w:styleId="42">
    <w:name w:val="Body Text Indent 2"/>
    <w:basedOn w:val="1"/>
    <w:link w:val="222"/>
    <w:qFormat/>
    <w:uiPriority w:val="0"/>
    <w:pPr>
      <w:spacing w:after="120" w:line="480" w:lineRule="auto"/>
      <w:ind w:left="420" w:leftChars="200"/>
    </w:pPr>
    <w:rPr>
      <w:rFonts w:ascii="Calibri" w:hAnsi="Calibri"/>
    </w:rPr>
  </w:style>
  <w:style w:type="paragraph" w:styleId="43">
    <w:name w:val="endnote text"/>
    <w:basedOn w:val="1"/>
    <w:link w:val="128"/>
    <w:qFormat/>
    <w:uiPriority w:val="0"/>
    <w:pPr>
      <w:snapToGrid w:val="0"/>
      <w:spacing w:line="360" w:lineRule="auto"/>
      <w:ind w:firstLine="480" w:firstLineChars="200"/>
      <w:jc w:val="left"/>
    </w:pPr>
    <w:rPr>
      <w:rFonts w:ascii="Calibri" w:hAnsi="Calibri"/>
      <w:sz w:val="24"/>
      <w:szCs w:val="28"/>
    </w:rPr>
  </w:style>
  <w:style w:type="paragraph" w:styleId="44">
    <w:name w:val="Balloon Text"/>
    <w:basedOn w:val="1"/>
    <w:link w:val="138"/>
    <w:qFormat/>
    <w:uiPriority w:val="0"/>
    <w:rPr>
      <w:rFonts w:ascii="Calibri" w:hAnsi="Calibri"/>
      <w:sz w:val="18"/>
      <w:szCs w:val="18"/>
    </w:rPr>
  </w:style>
  <w:style w:type="paragraph" w:styleId="45">
    <w:name w:val="footer"/>
    <w:basedOn w:val="1"/>
    <w:link w:val="158"/>
    <w:qFormat/>
    <w:uiPriority w:val="99"/>
    <w:pPr>
      <w:tabs>
        <w:tab w:val="center" w:pos="4153"/>
        <w:tab w:val="right" w:pos="8306"/>
      </w:tabs>
      <w:snapToGrid w:val="0"/>
      <w:jc w:val="left"/>
    </w:pPr>
    <w:rPr>
      <w:rFonts w:ascii="Calibri" w:hAnsi="Calibri"/>
      <w:sz w:val="18"/>
      <w:szCs w:val="18"/>
    </w:rPr>
  </w:style>
  <w:style w:type="paragraph" w:styleId="46">
    <w:name w:val="header"/>
    <w:basedOn w:val="1"/>
    <w:link w:val="182"/>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47">
    <w:name w:val="Signature"/>
    <w:basedOn w:val="1"/>
    <w:link w:val="253"/>
    <w:qFormat/>
    <w:uiPriority w:val="0"/>
    <w:pPr>
      <w:autoSpaceDE w:val="0"/>
      <w:autoSpaceDN w:val="0"/>
      <w:adjustRightInd w:val="0"/>
      <w:spacing w:after="600" w:line="312" w:lineRule="atLeast"/>
      <w:jc w:val="center"/>
      <w:textAlignment w:val="baseline"/>
    </w:pPr>
    <w:rPr>
      <w:rFonts w:ascii="Calibri" w:hAnsi="Calibri" w:eastAsia="仿宋_GB2312"/>
      <w:kern w:val="0"/>
      <w:sz w:val="24"/>
      <w:szCs w:val="20"/>
    </w:rPr>
  </w:style>
  <w:style w:type="paragraph" w:styleId="48">
    <w:name w:val="toc 1"/>
    <w:basedOn w:val="1"/>
    <w:next w:val="1"/>
    <w:qFormat/>
    <w:uiPriority w:val="39"/>
    <w:pPr>
      <w:tabs>
        <w:tab w:val="right" w:leader="dot" w:pos="9060"/>
      </w:tabs>
      <w:spacing w:line="360" w:lineRule="auto"/>
    </w:pPr>
    <w:rPr>
      <w:rFonts w:ascii="黑体" w:hAnsi="Arial" w:eastAsia="黑体" w:cs="Arial"/>
      <w:kern w:val="0"/>
      <w:sz w:val="24"/>
    </w:rPr>
  </w:style>
  <w:style w:type="paragraph" w:styleId="49">
    <w:name w:val="toc 4"/>
    <w:basedOn w:val="1"/>
    <w:next w:val="1"/>
    <w:unhideWhenUsed/>
    <w:qFormat/>
    <w:uiPriority w:val="39"/>
    <w:pPr>
      <w:autoSpaceDE w:val="0"/>
      <w:autoSpaceDN w:val="0"/>
      <w:adjustRightInd w:val="0"/>
      <w:ind w:left="1260" w:leftChars="600"/>
      <w:jc w:val="left"/>
    </w:pPr>
    <w:rPr>
      <w:kern w:val="0"/>
      <w:sz w:val="20"/>
      <w:szCs w:val="20"/>
    </w:rPr>
  </w:style>
  <w:style w:type="paragraph" w:styleId="50">
    <w:name w:val="index heading"/>
    <w:basedOn w:val="1"/>
    <w:next w:val="51"/>
    <w:qFormat/>
    <w:uiPriority w:val="0"/>
    <w:pPr>
      <w:adjustRightInd w:val="0"/>
      <w:spacing w:before="120" w:after="120" w:line="360" w:lineRule="auto"/>
      <w:jc w:val="left"/>
    </w:pPr>
    <w:rPr>
      <w:b/>
      <w:bCs/>
      <w:i/>
      <w:iCs/>
      <w:kern w:val="0"/>
      <w:sz w:val="20"/>
      <w:szCs w:val="20"/>
    </w:rPr>
  </w:style>
  <w:style w:type="paragraph" w:styleId="51">
    <w:name w:val="index 1"/>
    <w:basedOn w:val="1"/>
    <w:next w:val="1"/>
    <w:qFormat/>
    <w:uiPriority w:val="0"/>
    <w:pPr>
      <w:adjustRightInd w:val="0"/>
      <w:spacing w:line="360" w:lineRule="atLeast"/>
      <w:ind w:left="113" w:leftChars="54" w:right="113" w:firstLine="103" w:firstLineChars="49"/>
      <w:jc w:val="center"/>
      <w:textAlignment w:val="baseline"/>
    </w:pPr>
    <w:rPr>
      <w:rFonts w:ascii="Arial" w:hAnsi="Arial"/>
      <w:b/>
      <w:szCs w:val="21"/>
    </w:rPr>
  </w:style>
  <w:style w:type="paragraph" w:styleId="52">
    <w:name w:val="Subtitle"/>
    <w:basedOn w:val="1"/>
    <w:next w:val="1"/>
    <w:link w:val="154"/>
    <w:qFormat/>
    <w:uiPriority w:val="11"/>
    <w:pPr>
      <w:spacing w:after="60" w:line="360" w:lineRule="auto"/>
      <w:ind w:firstLine="200" w:firstLineChars="200"/>
      <w:jc w:val="center"/>
      <w:outlineLvl w:val="1"/>
    </w:pPr>
    <w:rPr>
      <w:rFonts w:ascii="Cambria" w:hAnsi="Cambria"/>
      <w:sz w:val="24"/>
    </w:rPr>
  </w:style>
  <w:style w:type="paragraph" w:styleId="53">
    <w:name w:val="List Number 5"/>
    <w:basedOn w:val="1"/>
    <w:qFormat/>
    <w:uiPriority w:val="0"/>
    <w:pPr>
      <w:tabs>
        <w:tab w:val="left" w:pos="2040"/>
      </w:tabs>
      <w:autoSpaceDE w:val="0"/>
      <w:autoSpaceDN w:val="0"/>
      <w:adjustRightInd w:val="0"/>
      <w:spacing w:line="400" w:lineRule="exact"/>
      <w:ind w:left="2040" w:hanging="360"/>
      <w:jc w:val="left"/>
    </w:pPr>
    <w:rPr>
      <w:kern w:val="0"/>
      <w:sz w:val="24"/>
      <w:szCs w:val="20"/>
    </w:rPr>
  </w:style>
  <w:style w:type="paragraph" w:styleId="54">
    <w:name w:val="List"/>
    <w:basedOn w:val="1"/>
    <w:qFormat/>
    <w:uiPriority w:val="0"/>
    <w:pPr>
      <w:ind w:left="200" w:hanging="200" w:hangingChars="200"/>
    </w:pPr>
    <w:rPr>
      <w:sz w:val="28"/>
    </w:rPr>
  </w:style>
  <w:style w:type="paragraph" w:styleId="55">
    <w:name w:val="footnote text"/>
    <w:basedOn w:val="1"/>
    <w:link w:val="341"/>
    <w:unhideWhenUsed/>
    <w:qFormat/>
    <w:uiPriority w:val="99"/>
    <w:pPr>
      <w:snapToGrid w:val="0"/>
      <w:jc w:val="left"/>
    </w:pPr>
    <w:rPr>
      <w:rFonts w:ascii="Calibri" w:hAnsi="Calibri" w:eastAsia="仿宋_GB2312"/>
      <w:sz w:val="18"/>
      <w:szCs w:val="18"/>
    </w:rPr>
  </w:style>
  <w:style w:type="paragraph" w:styleId="56">
    <w:name w:val="toc 6"/>
    <w:basedOn w:val="1"/>
    <w:next w:val="1"/>
    <w:qFormat/>
    <w:uiPriority w:val="39"/>
    <w:pPr>
      <w:autoSpaceDE w:val="0"/>
      <w:autoSpaceDN w:val="0"/>
      <w:adjustRightInd w:val="0"/>
      <w:ind w:left="2100" w:leftChars="1000"/>
      <w:jc w:val="left"/>
    </w:pPr>
    <w:rPr>
      <w:kern w:val="0"/>
      <w:sz w:val="20"/>
      <w:szCs w:val="20"/>
    </w:rPr>
  </w:style>
  <w:style w:type="paragraph" w:styleId="57">
    <w:name w:val="Body Text Indent 3"/>
    <w:basedOn w:val="1"/>
    <w:link w:val="187"/>
    <w:qFormat/>
    <w:uiPriority w:val="0"/>
    <w:pPr>
      <w:spacing w:line="500" w:lineRule="exact"/>
      <w:ind w:left="511" w:hanging="511" w:hangingChars="213"/>
    </w:pPr>
    <w:rPr>
      <w:rFonts w:ascii="Calibri" w:hAnsi="Calibri"/>
      <w:sz w:val="24"/>
    </w:rPr>
  </w:style>
  <w:style w:type="paragraph" w:styleId="58">
    <w:name w:val="index 7"/>
    <w:basedOn w:val="1"/>
    <w:next w:val="1"/>
    <w:qFormat/>
    <w:uiPriority w:val="0"/>
    <w:pPr>
      <w:adjustRightInd w:val="0"/>
      <w:spacing w:line="360" w:lineRule="auto"/>
      <w:ind w:left="1680" w:hanging="240"/>
      <w:jc w:val="left"/>
    </w:pPr>
    <w:rPr>
      <w:kern w:val="0"/>
      <w:sz w:val="20"/>
      <w:szCs w:val="20"/>
    </w:rPr>
  </w:style>
  <w:style w:type="paragraph" w:styleId="59">
    <w:name w:val="index 9"/>
    <w:basedOn w:val="1"/>
    <w:next w:val="1"/>
    <w:qFormat/>
    <w:uiPriority w:val="0"/>
    <w:pPr>
      <w:adjustRightInd w:val="0"/>
      <w:spacing w:line="360" w:lineRule="auto"/>
      <w:ind w:left="2160" w:hanging="240"/>
      <w:jc w:val="left"/>
    </w:pPr>
    <w:rPr>
      <w:kern w:val="0"/>
      <w:sz w:val="20"/>
      <w:szCs w:val="20"/>
    </w:rPr>
  </w:style>
  <w:style w:type="paragraph" w:styleId="60">
    <w:name w:val="table of figures"/>
    <w:basedOn w:val="1"/>
    <w:next w:val="1"/>
    <w:qFormat/>
    <w:uiPriority w:val="99"/>
    <w:pPr>
      <w:spacing w:line="360" w:lineRule="auto"/>
      <w:ind w:left="200" w:leftChars="200" w:hanging="200" w:hangingChars="200"/>
    </w:pPr>
    <w:rPr>
      <w:rFonts w:eastAsia="黑体"/>
      <w:sz w:val="20"/>
    </w:rPr>
  </w:style>
  <w:style w:type="paragraph" w:styleId="61">
    <w:name w:val="toc 2"/>
    <w:basedOn w:val="1"/>
    <w:next w:val="1"/>
    <w:qFormat/>
    <w:uiPriority w:val="39"/>
    <w:pPr>
      <w:ind w:left="420" w:leftChars="200"/>
    </w:pPr>
  </w:style>
  <w:style w:type="paragraph" w:styleId="62">
    <w:name w:val="toc 9"/>
    <w:basedOn w:val="1"/>
    <w:next w:val="1"/>
    <w:qFormat/>
    <w:uiPriority w:val="39"/>
    <w:pPr>
      <w:autoSpaceDE w:val="0"/>
      <w:autoSpaceDN w:val="0"/>
      <w:adjustRightInd w:val="0"/>
      <w:ind w:left="3360" w:leftChars="1600"/>
      <w:jc w:val="left"/>
    </w:pPr>
    <w:rPr>
      <w:kern w:val="0"/>
      <w:sz w:val="20"/>
      <w:szCs w:val="20"/>
    </w:rPr>
  </w:style>
  <w:style w:type="paragraph" w:styleId="63">
    <w:name w:val="Body Text 2"/>
    <w:basedOn w:val="1"/>
    <w:link w:val="218"/>
    <w:qFormat/>
    <w:uiPriority w:val="0"/>
    <w:pPr>
      <w:autoSpaceDE w:val="0"/>
      <w:autoSpaceDN w:val="0"/>
      <w:adjustRightInd w:val="0"/>
      <w:spacing w:after="120" w:line="480" w:lineRule="auto"/>
      <w:jc w:val="left"/>
    </w:pPr>
    <w:rPr>
      <w:rFonts w:ascii="Calibri" w:hAnsi="Calibri"/>
      <w:kern w:val="0"/>
      <w:sz w:val="20"/>
      <w:szCs w:val="20"/>
    </w:rPr>
  </w:style>
  <w:style w:type="paragraph" w:styleId="64">
    <w:name w:val="HTML Preformatted"/>
    <w:basedOn w:val="1"/>
    <w:link w:val="31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pPr>
    <w:rPr>
      <w:rFonts w:ascii="宋体" w:hAnsi="宋体"/>
      <w:kern w:val="0"/>
      <w:sz w:val="24"/>
    </w:rPr>
  </w:style>
  <w:style w:type="paragraph" w:styleId="6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66">
    <w:name w:val="index 2"/>
    <w:basedOn w:val="1"/>
    <w:next w:val="1"/>
    <w:qFormat/>
    <w:uiPriority w:val="0"/>
    <w:pPr>
      <w:adjustRightInd w:val="0"/>
      <w:spacing w:line="360" w:lineRule="auto"/>
      <w:ind w:left="480" w:hanging="240"/>
      <w:jc w:val="left"/>
    </w:pPr>
    <w:rPr>
      <w:kern w:val="0"/>
      <w:sz w:val="20"/>
      <w:szCs w:val="20"/>
    </w:rPr>
  </w:style>
  <w:style w:type="paragraph" w:styleId="67">
    <w:name w:val="annotation subject"/>
    <w:basedOn w:val="23"/>
    <w:next w:val="23"/>
    <w:link w:val="236"/>
    <w:qFormat/>
    <w:uiPriority w:val="99"/>
    <w:rPr>
      <w:b/>
      <w:bCs/>
    </w:rPr>
  </w:style>
  <w:style w:type="paragraph" w:styleId="68">
    <w:name w:val="Body Text First Indent"/>
    <w:basedOn w:val="27"/>
    <w:link w:val="212"/>
    <w:unhideWhenUsed/>
    <w:qFormat/>
    <w:uiPriority w:val="0"/>
    <w:pPr>
      <w:autoSpaceDE w:val="0"/>
      <w:autoSpaceDN w:val="0"/>
      <w:adjustRightInd w:val="0"/>
      <w:ind w:firstLine="420" w:firstLineChars="100"/>
      <w:jc w:val="left"/>
    </w:pPr>
  </w:style>
  <w:style w:type="table" w:styleId="70">
    <w:name w:val="Table Grid"/>
    <w:basedOn w:val="6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1">
    <w:name w:val="Table Elegant"/>
    <w:basedOn w:val="69"/>
    <w:qFormat/>
    <w:uiPriority w:val="0"/>
    <w:pPr>
      <w:widowControl w:val="0"/>
      <w:spacing w:line="360" w:lineRule="auto"/>
      <w:ind w:firstLine="200" w:firstLineChars="200"/>
      <w:jc w:val="center"/>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72">
    <w:name w:val="Table List 4"/>
    <w:basedOn w:val="69"/>
    <w:qFormat/>
    <w:uiPriority w:val="0"/>
    <w:pPr>
      <w:widowControl w:val="0"/>
      <w:spacing w:line="360" w:lineRule="auto"/>
      <w:ind w:firstLine="210" w:firstLineChars="210"/>
      <w:jc w:val="both"/>
    </w:pPr>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single" w:color="000000" w:sz="12" w:space="0"/>
          <w:right w:val="nil"/>
          <w:insideH w:val="nil"/>
          <w:insideV w:val="nil"/>
          <w:tl2br w:val="nil"/>
          <w:tr2bl w:val="nil"/>
        </w:tcBorders>
        <w:shd w:val="solid" w:color="808080" w:fill="FFFFFF"/>
      </w:tcPr>
    </w:tblStylePr>
  </w:style>
  <w:style w:type="table" w:styleId="73">
    <w:name w:val="Table Grid 6"/>
    <w:basedOn w:val="69"/>
    <w:qFormat/>
    <w:uiPriority w:val="0"/>
    <w:pPr>
      <w:widowControl w:val="0"/>
      <w:spacing w:line="360" w:lineRule="auto"/>
      <w:ind w:firstLine="210" w:firstLineChars="210"/>
      <w:jc w:val="both"/>
    </w:pPr>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4">
    <w:name w:val="Table Professional"/>
    <w:basedOn w:val="69"/>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6">
    <w:name w:val="Strong"/>
    <w:qFormat/>
    <w:uiPriority w:val="0"/>
    <w:rPr>
      <w:b/>
      <w:bCs/>
    </w:rPr>
  </w:style>
  <w:style w:type="character" w:styleId="77">
    <w:name w:val="page number"/>
    <w:basedOn w:val="75"/>
    <w:qFormat/>
    <w:uiPriority w:val="0"/>
  </w:style>
  <w:style w:type="character" w:styleId="78">
    <w:name w:val="FollowedHyperlink"/>
    <w:qFormat/>
    <w:uiPriority w:val="99"/>
    <w:rPr>
      <w:color w:val="800080"/>
      <w:u w:val="single"/>
    </w:rPr>
  </w:style>
  <w:style w:type="character" w:styleId="79">
    <w:name w:val="Emphasis"/>
    <w:basedOn w:val="75"/>
    <w:qFormat/>
    <w:uiPriority w:val="20"/>
  </w:style>
  <w:style w:type="character" w:styleId="80">
    <w:name w:val="line number"/>
    <w:basedOn w:val="75"/>
    <w:qFormat/>
    <w:uiPriority w:val="0"/>
  </w:style>
  <w:style w:type="character" w:styleId="81">
    <w:name w:val="Hyperlink"/>
    <w:qFormat/>
    <w:uiPriority w:val="99"/>
    <w:rPr>
      <w:color w:val="0000FF"/>
      <w:u w:val="single"/>
    </w:rPr>
  </w:style>
  <w:style w:type="character" w:styleId="82">
    <w:name w:val="annotation reference"/>
    <w:qFormat/>
    <w:uiPriority w:val="0"/>
    <w:rPr>
      <w:sz w:val="21"/>
      <w:szCs w:val="21"/>
    </w:rPr>
  </w:style>
  <w:style w:type="character" w:styleId="83">
    <w:name w:val="footnote reference"/>
    <w:unhideWhenUsed/>
    <w:qFormat/>
    <w:uiPriority w:val="99"/>
    <w:rPr>
      <w:vertAlign w:val="superscript"/>
    </w:rPr>
  </w:style>
  <w:style w:type="character" w:customStyle="1" w:styleId="84">
    <w:name w:val="题注 Char1"/>
    <w:qFormat/>
    <w:uiPriority w:val="0"/>
    <w:rPr>
      <w:rFonts w:ascii="Arial" w:hAnsi="Arial" w:eastAsia="黑体" w:cs="Arial"/>
      <w:kern w:val="2"/>
    </w:rPr>
  </w:style>
  <w:style w:type="character" w:customStyle="1" w:styleId="85">
    <w:name w:val="Char Char4"/>
    <w:qFormat/>
    <w:uiPriority w:val="0"/>
    <w:rPr>
      <w:b/>
      <w:bCs/>
      <w:sz w:val="32"/>
      <w:szCs w:val="32"/>
    </w:rPr>
  </w:style>
  <w:style w:type="character" w:customStyle="1" w:styleId="86">
    <w:name w:val="标题 5 Char"/>
    <w:link w:val="7"/>
    <w:qFormat/>
    <w:uiPriority w:val="0"/>
    <w:rPr>
      <w:b/>
      <w:bCs/>
      <w:kern w:val="2"/>
      <w:sz w:val="28"/>
      <w:szCs w:val="28"/>
    </w:rPr>
  </w:style>
  <w:style w:type="character" w:customStyle="1" w:styleId="87">
    <w:name w:val="正文文本 Char"/>
    <w:qFormat/>
    <w:uiPriority w:val="0"/>
    <w:rPr>
      <w:rFonts w:eastAsia="宋体"/>
      <w:kern w:val="2"/>
      <w:sz w:val="21"/>
      <w:szCs w:val="24"/>
      <w:lang w:val="en-US" w:eastAsia="zh-CN" w:bidi="ar-SA"/>
    </w:rPr>
  </w:style>
  <w:style w:type="character" w:customStyle="1" w:styleId="88">
    <w:name w:val="表正文 Char"/>
    <w:qFormat/>
    <w:uiPriority w:val="0"/>
    <w:rPr>
      <w:rFonts w:eastAsia="宋体"/>
      <w:sz w:val="21"/>
      <w:lang w:val="en-US" w:eastAsia="zh-CN" w:bidi="ar-SA"/>
    </w:rPr>
  </w:style>
  <w:style w:type="character" w:customStyle="1" w:styleId="89">
    <w:name w:val="Char Char"/>
    <w:qFormat/>
    <w:uiPriority w:val="0"/>
    <w:rPr>
      <w:rFonts w:ascii="宋体" w:hAnsi="Courier New" w:eastAsia="宋体"/>
      <w:sz w:val="21"/>
      <w:szCs w:val="21"/>
      <w:lang w:val="en-US" w:eastAsia="zh-CN" w:bidi="ar-SA"/>
    </w:rPr>
  </w:style>
  <w:style w:type="character" w:customStyle="1" w:styleId="90">
    <w:name w:val="方框标题 Char"/>
    <w:link w:val="91"/>
    <w:qFormat/>
    <w:uiPriority w:val="0"/>
    <w:rPr>
      <w:rFonts w:eastAsia="黑体"/>
      <w:kern w:val="2"/>
      <w:sz w:val="24"/>
      <w:szCs w:val="24"/>
    </w:rPr>
  </w:style>
  <w:style w:type="paragraph" w:customStyle="1" w:styleId="91">
    <w:name w:val="方框标题"/>
    <w:basedOn w:val="1"/>
    <w:next w:val="1"/>
    <w:link w:val="90"/>
    <w:qFormat/>
    <w:uiPriority w:val="0"/>
    <w:pPr>
      <w:numPr>
        <w:ilvl w:val="0"/>
        <w:numId w:val="4"/>
      </w:numPr>
      <w:tabs>
        <w:tab w:val="left" w:pos="420"/>
      </w:tabs>
      <w:autoSpaceDE w:val="0"/>
      <w:autoSpaceDN w:val="0"/>
      <w:spacing w:line="360" w:lineRule="auto"/>
      <w:ind w:firstLine="0" w:firstLineChars="200"/>
    </w:pPr>
    <w:rPr>
      <w:rFonts w:ascii="Calibri" w:hAnsi="Calibri" w:eastAsia="黑体"/>
      <w:sz w:val="24"/>
    </w:rPr>
  </w:style>
  <w:style w:type="character" w:customStyle="1" w:styleId="92">
    <w:name w:val="pt9-hui-line201"/>
    <w:qFormat/>
    <w:uiPriority w:val="0"/>
    <w:rPr>
      <w:color w:val="333333"/>
      <w:spacing w:val="300"/>
      <w:sz w:val="18"/>
      <w:szCs w:val="18"/>
      <w:u w:val="none"/>
    </w:rPr>
  </w:style>
  <w:style w:type="character" w:customStyle="1" w:styleId="93">
    <w:name w:val="正文文本缩进 Char"/>
    <w:link w:val="28"/>
    <w:qFormat/>
    <w:uiPriority w:val="0"/>
    <w:rPr>
      <w:rFonts w:eastAsia="宋体"/>
      <w:kern w:val="2"/>
      <w:sz w:val="21"/>
      <w:szCs w:val="24"/>
      <w:lang w:val="en-US" w:eastAsia="zh-CN" w:bidi="ar-SA"/>
    </w:rPr>
  </w:style>
  <w:style w:type="character" w:customStyle="1" w:styleId="94">
    <w:name w:val="正文（标记） Char"/>
    <w:link w:val="95"/>
    <w:qFormat/>
    <w:uiPriority w:val="0"/>
    <w:rPr>
      <w:rFonts w:eastAsia="宋体"/>
      <w:kern w:val="2"/>
      <w:sz w:val="24"/>
      <w:szCs w:val="24"/>
      <w:lang w:val="en-US" w:eastAsia="zh-CN" w:bidi="ar-SA"/>
    </w:rPr>
  </w:style>
  <w:style w:type="paragraph" w:customStyle="1" w:styleId="95">
    <w:name w:val="正文（标记）"/>
    <w:basedOn w:val="1"/>
    <w:link w:val="94"/>
    <w:qFormat/>
    <w:uiPriority w:val="0"/>
    <w:pPr>
      <w:spacing w:beforeLines="50" w:afterLines="50"/>
    </w:pPr>
    <w:rPr>
      <w:rFonts w:ascii="Calibri" w:hAnsi="Calibri"/>
      <w:sz w:val="24"/>
    </w:rPr>
  </w:style>
  <w:style w:type="character" w:customStyle="1" w:styleId="96">
    <w:name w:val="加点正文缩进 Char"/>
    <w:link w:val="97"/>
    <w:qFormat/>
    <w:uiPriority w:val="0"/>
    <w:rPr>
      <w:kern w:val="2"/>
      <w:sz w:val="24"/>
      <w:szCs w:val="24"/>
    </w:rPr>
  </w:style>
  <w:style w:type="paragraph" w:customStyle="1" w:styleId="97">
    <w:name w:val="加点正文缩进"/>
    <w:basedOn w:val="1"/>
    <w:link w:val="96"/>
    <w:qFormat/>
    <w:uiPriority w:val="0"/>
    <w:pPr>
      <w:numPr>
        <w:ilvl w:val="0"/>
        <w:numId w:val="5"/>
      </w:numPr>
      <w:tabs>
        <w:tab w:val="left" w:pos="1259"/>
      </w:tabs>
      <w:spacing w:line="300" w:lineRule="auto"/>
      <w:ind w:firstLine="0"/>
    </w:pPr>
    <w:rPr>
      <w:rFonts w:ascii="Calibri" w:hAnsi="Calibri"/>
      <w:sz w:val="24"/>
    </w:rPr>
  </w:style>
  <w:style w:type="character" w:customStyle="1" w:styleId="98">
    <w:name w:val="ContentsHeader Char Char1"/>
    <w:qFormat/>
    <w:uiPriority w:val="0"/>
    <w:rPr>
      <w:kern w:val="2"/>
      <w:sz w:val="18"/>
      <w:szCs w:val="18"/>
    </w:rPr>
  </w:style>
  <w:style w:type="character" w:customStyle="1" w:styleId="99">
    <w:name w:val="pediy"/>
    <w:basedOn w:val="75"/>
    <w:qFormat/>
    <w:uiPriority w:val="0"/>
  </w:style>
  <w:style w:type="character" w:customStyle="1" w:styleId="100">
    <w:name w:val="dandyren_title1"/>
    <w:qFormat/>
    <w:uiPriority w:val="0"/>
    <w:rPr>
      <w:b/>
      <w:bCs/>
      <w:color w:val="FF6633"/>
      <w:sz w:val="18"/>
      <w:szCs w:val="18"/>
    </w:rPr>
  </w:style>
  <w:style w:type="character" w:customStyle="1" w:styleId="101">
    <w:name w:val="正文（居中） Char"/>
    <w:link w:val="102"/>
    <w:qFormat/>
    <w:uiPriority w:val="0"/>
    <w:rPr>
      <w:kern w:val="2"/>
      <w:sz w:val="24"/>
      <w:szCs w:val="24"/>
    </w:rPr>
  </w:style>
  <w:style w:type="paragraph" w:customStyle="1" w:styleId="102">
    <w:name w:val="正文（居中）"/>
    <w:basedOn w:val="1"/>
    <w:link w:val="101"/>
    <w:qFormat/>
    <w:uiPriority w:val="0"/>
    <w:pPr>
      <w:spacing w:before="50" w:after="50" w:line="360" w:lineRule="auto"/>
      <w:jc w:val="center"/>
    </w:pPr>
    <w:rPr>
      <w:rFonts w:ascii="Calibri" w:hAnsi="Calibri"/>
      <w:sz w:val="24"/>
    </w:rPr>
  </w:style>
  <w:style w:type="character" w:customStyle="1" w:styleId="103">
    <w:name w:val="z-窗体顶端 Char"/>
    <w:link w:val="104"/>
    <w:qFormat/>
    <w:uiPriority w:val="0"/>
    <w:rPr>
      <w:rFonts w:ascii="Arial" w:hAnsi="Arial"/>
      <w:vanish/>
      <w:sz w:val="16"/>
      <w:szCs w:val="16"/>
    </w:rPr>
  </w:style>
  <w:style w:type="paragraph" w:customStyle="1" w:styleId="104">
    <w:name w:val="z-窗体顶端1"/>
    <w:basedOn w:val="1"/>
    <w:next w:val="1"/>
    <w:link w:val="103"/>
    <w:qFormat/>
    <w:uiPriority w:val="0"/>
    <w:pPr>
      <w:widowControl/>
      <w:pBdr>
        <w:bottom w:val="single" w:color="auto" w:sz="6" w:space="1"/>
      </w:pBdr>
      <w:jc w:val="center"/>
    </w:pPr>
    <w:rPr>
      <w:rFonts w:ascii="Arial" w:hAnsi="Arial"/>
      <w:vanish/>
      <w:kern w:val="0"/>
      <w:sz w:val="16"/>
      <w:szCs w:val="16"/>
    </w:rPr>
  </w:style>
  <w:style w:type="character" w:customStyle="1" w:styleId="105">
    <w:name w:val="表格居中 Char"/>
    <w:link w:val="106"/>
    <w:qFormat/>
    <w:uiPriority w:val="0"/>
    <w:rPr>
      <w:kern w:val="2"/>
      <w:sz w:val="24"/>
      <w:szCs w:val="24"/>
    </w:rPr>
  </w:style>
  <w:style w:type="paragraph" w:customStyle="1" w:styleId="106">
    <w:name w:val="表格居中"/>
    <w:basedOn w:val="1"/>
    <w:link w:val="105"/>
    <w:qFormat/>
    <w:uiPriority w:val="0"/>
    <w:pPr>
      <w:spacing w:line="360" w:lineRule="auto"/>
      <w:jc w:val="center"/>
    </w:pPr>
    <w:rPr>
      <w:rFonts w:ascii="Calibri" w:hAnsi="Calibri"/>
      <w:sz w:val="24"/>
    </w:rPr>
  </w:style>
  <w:style w:type="character" w:customStyle="1" w:styleId="107">
    <w:name w:val="标题1 Char"/>
    <w:link w:val="108"/>
    <w:qFormat/>
    <w:uiPriority w:val="0"/>
    <w:rPr>
      <w:kern w:val="2"/>
      <w:sz w:val="24"/>
      <w:szCs w:val="24"/>
    </w:rPr>
  </w:style>
  <w:style w:type="paragraph" w:customStyle="1" w:styleId="108">
    <w:name w:val="标题1"/>
    <w:basedOn w:val="1"/>
    <w:link w:val="107"/>
    <w:qFormat/>
    <w:uiPriority w:val="0"/>
    <w:pPr>
      <w:tabs>
        <w:tab w:val="left" w:pos="420"/>
      </w:tabs>
      <w:spacing w:line="440" w:lineRule="exact"/>
      <w:ind w:left="432" w:hanging="432"/>
    </w:pPr>
    <w:rPr>
      <w:rFonts w:ascii="Calibri" w:hAnsi="Calibri"/>
      <w:sz w:val="24"/>
    </w:rPr>
  </w:style>
  <w:style w:type="character" w:customStyle="1" w:styleId="109">
    <w:name w:val="正文（缩进） Char1"/>
    <w:qFormat/>
    <w:uiPriority w:val="0"/>
    <w:rPr>
      <w:rFonts w:ascii="Times New Roman" w:hAnsi="Times New Roman" w:eastAsia="宋体" w:cs="Times New Roman"/>
      <w:sz w:val="24"/>
      <w:szCs w:val="24"/>
    </w:rPr>
  </w:style>
  <w:style w:type="character" w:customStyle="1" w:styleId="110">
    <w:name w:val="文档结构图 Char"/>
    <w:link w:val="21"/>
    <w:qFormat/>
    <w:uiPriority w:val="99"/>
    <w:rPr>
      <w:rFonts w:eastAsia="宋体"/>
      <w:kern w:val="2"/>
      <w:sz w:val="21"/>
      <w:szCs w:val="24"/>
      <w:lang w:val="en-US" w:eastAsia="zh-CN" w:bidi="ar-SA"/>
    </w:rPr>
  </w:style>
  <w:style w:type="character" w:customStyle="1" w:styleId="111">
    <w:name w:val="z-窗体底端 Char"/>
    <w:link w:val="112"/>
    <w:qFormat/>
    <w:uiPriority w:val="0"/>
    <w:rPr>
      <w:rFonts w:ascii="Arial" w:hAnsi="Arial"/>
      <w:vanish/>
      <w:sz w:val="16"/>
      <w:szCs w:val="16"/>
    </w:rPr>
  </w:style>
  <w:style w:type="paragraph" w:customStyle="1" w:styleId="112">
    <w:name w:val="z-窗体底端1"/>
    <w:basedOn w:val="1"/>
    <w:next w:val="1"/>
    <w:link w:val="111"/>
    <w:qFormat/>
    <w:uiPriority w:val="0"/>
    <w:pPr>
      <w:widowControl/>
      <w:pBdr>
        <w:top w:val="single" w:color="auto" w:sz="6" w:space="1"/>
      </w:pBdr>
      <w:jc w:val="center"/>
    </w:pPr>
    <w:rPr>
      <w:rFonts w:ascii="Arial" w:hAnsi="Arial"/>
      <w:vanish/>
      <w:kern w:val="0"/>
      <w:sz w:val="16"/>
      <w:szCs w:val="16"/>
    </w:rPr>
  </w:style>
  <w:style w:type="character" w:customStyle="1" w:styleId="113">
    <w:name w:val="样式 宋体"/>
    <w:qFormat/>
    <w:uiPriority w:val="0"/>
    <w:rPr>
      <w:rFonts w:ascii="宋体" w:hAnsi="宋体" w:eastAsia="宋体"/>
      <w:sz w:val="24"/>
      <w:szCs w:val="24"/>
    </w:rPr>
  </w:style>
  <w:style w:type="character" w:customStyle="1" w:styleId="114">
    <w:name w:val="Char Char5"/>
    <w:qFormat/>
    <w:uiPriority w:val="0"/>
    <w:rPr>
      <w:rFonts w:ascii="宋体" w:eastAsia="宋体"/>
      <w:kern w:val="2"/>
      <w:sz w:val="24"/>
      <w:lang w:val="en-US" w:eastAsia="zh-CN" w:bidi="ar-SA"/>
    </w:rPr>
  </w:style>
  <w:style w:type="character" w:customStyle="1" w:styleId="115">
    <w:name w:val="小项目 Char"/>
    <w:link w:val="116"/>
    <w:qFormat/>
    <w:uiPriority w:val="0"/>
    <w:rPr>
      <w:rFonts w:ascii="仿宋_GB2312" w:hAnsi="Calibri" w:eastAsia="仿宋_GB2312"/>
      <w:sz w:val="24"/>
      <w:szCs w:val="21"/>
    </w:rPr>
  </w:style>
  <w:style w:type="paragraph" w:customStyle="1" w:styleId="116">
    <w:name w:val="小项目"/>
    <w:basedOn w:val="1"/>
    <w:link w:val="115"/>
    <w:qFormat/>
    <w:uiPriority w:val="0"/>
    <w:pPr>
      <w:numPr>
        <w:ilvl w:val="0"/>
        <w:numId w:val="6"/>
      </w:numPr>
      <w:autoSpaceDE w:val="0"/>
      <w:autoSpaceDN w:val="0"/>
      <w:adjustRightInd w:val="0"/>
      <w:spacing w:line="360" w:lineRule="auto"/>
      <w:ind w:firstLine="0"/>
      <w:jc w:val="left"/>
    </w:pPr>
    <w:rPr>
      <w:rFonts w:ascii="仿宋_GB2312" w:hAnsi="Calibri" w:eastAsia="仿宋_GB2312"/>
      <w:kern w:val="0"/>
      <w:sz w:val="24"/>
      <w:szCs w:val="21"/>
    </w:rPr>
  </w:style>
  <w:style w:type="character" w:customStyle="1" w:styleId="117">
    <w:name w:val="图表正文 Char"/>
    <w:link w:val="118"/>
    <w:qFormat/>
    <w:uiPriority w:val="0"/>
    <w:rPr>
      <w:kern w:val="2"/>
      <w:sz w:val="21"/>
    </w:rPr>
  </w:style>
  <w:style w:type="paragraph" w:customStyle="1" w:styleId="118">
    <w:name w:val="图表正文"/>
    <w:basedOn w:val="1"/>
    <w:link w:val="117"/>
    <w:qFormat/>
    <w:uiPriority w:val="0"/>
    <w:pPr>
      <w:spacing w:line="300" w:lineRule="auto"/>
      <w:jc w:val="center"/>
    </w:pPr>
    <w:rPr>
      <w:rFonts w:ascii="Calibri" w:hAnsi="Calibri"/>
      <w:szCs w:val="20"/>
    </w:rPr>
  </w:style>
  <w:style w:type="character" w:customStyle="1" w:styleId="119">
    <w:name w:val="样式 正文缩进正文（首行缩进两字）表正文正文非缩进段1特点identication正文双线TBNet5缩进A... Char"/>
    <w:link w:val="120"/>
    <w:qFormat/>
    <w:uiPriority w:val="0"/>
    <w:rPr>
      <w:color w:val="000000"/>
      <w:sz w:val="24"/>
    </w:rPr>
  </w:style>
  <w:style w:type="paragraph" w:customStyle="1" w:styleId="120">
    <w:name w:val="样式 正文缩进正文（首行缩进两字）表正文正文非缩进段1特点identication正文双线TBNet5缩进A..."/>
    <w:basedOn w:val="17"/>
    <w:link w:val="119"/>
    <w:qFormat/>
    <w:uiPriority w:val="0"/>
    <w:pPr>
      <w:adjustRightInd/>
      <w:spacing w:line="360" w:lineRule="auto"/>
      <w:ind w:firstLine="540" w:firstLineChars="225"/>
      <w:jc w:val="left"/>
      <w:textAlignment w:val="auto"/>
    </w:pPr>
    <w:rPr>
      <w:color w:val="000000"/>
      <w:sz w:val="24"/>
    </w:rPr>
  </w:style>
  <w:style w:type="character" w:customStyle="1" w:styleId="121">
    <w:name w:val="列表项目符号 Char"/>
    <w:link w:val="20"/>
    <w:qFormat/>
    <w:uiPriority w:val="0"/>
    <w:rPr>
      <w:kern w:val="2"/>
      <w:sz w:val="21"/>
      <w:szCs w:val="24"/>
    </w:rPr>
  </w:style>
  <w:style w:type="character" w:customStyle="1" w:styleId="122">
    <w:name w:val="插入的图表 Char"/>
    <w:link w:val="123"/>
    <w:qFormat/>
    <w:uiPriority w:val="0"/>
    <w:rPr>
      <w:rFonts w:eastAsia="仿宋_GB2312"/>
      <w:kern w:val="2"/>
      <w:sz w:val="24"/>
      <w:szCs w:val="24"/>
    </w:rPr>
  </w:style>
  <w:style w:type="paragraph" w:customStyle="1" w:styleId="123">
    <w:name w:val="插入的图表"/>
    <w:basedOn w:val="1"/>
    <w:link w:val="122"/>
    <w:qFormat/>
    <w:uiPriority w:val="0"/>
    <w:pPr>
      <w:spacing w:line="360" w:lineRule="auto"/>
      <w:ind w:firstLine="200" w:firstLineChars="200"/>
      <w:jc w:val="center"/>
    </w:pPr>
    <w:rPr>
      <w:rFonts w:ascii="Calibri" w:hAnsi="Calibri" w:eastAsia="仿宋_GB2312"/>
      <w:sz w:val="24"/>
    </w:rPr>
  </w:style>
  <w:style w:type="character" w:customStyle="1" w:styleId="124">
    <w:name w:val="f141"/>
    <w:qFormat/>
    <w:uiPriority w:val="0"/>
    <w:rPr>
      <w:sz w:val="21"/>
      <w:szCs w:val="21"/>
    </w:rPr>
  </w:style>
  <w:style w:type="character" w:customStyle="1" w:styleId="125">
    <w:name w:val="方框小标题 Char"/>
    <w:link w:val="126"/>
    <w:qFormat/>
    <w:uiPriority w:val="0"/>
    <w:rPr>
      <w:kern w:val="2"/>
      <w:sz w:val="24"/>
      <w:szCs w:val="24"/>
    </w:rPr>
  </w:style>
  <w:style w:type="paragraph" w:customStyle="1" w:styleId="126">
    <w:name w:val="方框小标题"/>
    <w:basedOn w:val="1"/>
    <w:next w:val="1"/>
    <w:link w:val="125"/>
    <w:qFormat/>
    <w:uiPriority w:val="0"/>
    <w:pPr>
      <w:spacing w:line="360" w:lineRule="auto"/>
      <w:ind w:left="425"/>
    </w:pPr>
    <w:rPr>
      <w:rFonts w:ascii="Calibri" w:hAnsi="Calibri"/>
      <w:sz w:val="24"/>
    </w:rPr>
  </w:style>
  <w:style w:type="character" w:customStyle="1" w:styleId="127">
    <w:name w:val="标题 6 Char"/>
    <w:link w:val="8"/>
    <w:qFormat/>
    <w:uiPriority w:val="0"/>
    <w:rPr>
      <w:rFonts w:ascii="Arial" w:hAnsi="Arial" w:eastAsia="黑体"/>
      <w:b/>
      <w:bCs/>
      <w:kern w:val="2"/>
      <w:sz w:val="24"/>
      <w:szCs w:val="24"/>
    </w:rPr>
  </w:style>
  <w:style w:type="character" w:customStyle="1" w:styleId="128">
    <w:name w:val="尾注文本 Char"/>
    <w:link w:val="43"/>
    <w:qFormat/>
    <w:uiPriority w:val="0"/>
    <w:rPr>
      <w:kern w:val="2"/>
      <w:sz w:val="24"/>
      <w:szCs w:val="28"/>
    </w:rPr>
  </w:style>
  <w:style w:type="character" w:customStyle="1" w:styleId="129">
    <w:name w:val="表正文 Char1"/>
    <w:qFormat/>
    <w:uiPriority w:val="0"/>
    <w:rPr>
      <w:rFonts w:eastAsia="宋体"/>
      <w:sz w:val="21"/>
      <w:lang w:val="en-US" w:eastAsia="zh-CN" w:bidi="ar-SA"/>
    </w:rPr>
  </w:style>
  <w:style w:type="character" w:customStyle="1" w:styleId="130">
    <w:name w:val="正文首行缩进 + 首行缩进:  2 字符 Char"/>
    <w:link w:val="131"/>
    <w:qFormat/>
    <w:uiPriority w:val="0"/>
    <w:rPr>
      <w:rFonts w:eastAsia="黑体" w:cs="宋体"/>
      <w:kern w:val="2"/>
      <w:sz w:val="24"/>
      <w:szCs w:val="22"/>
    </w:rPr>
  </w:style>
  <w:style w:type="paragraph" w:customStyle="1" w:styleId="131">
    <w:name w:val="正文首行缩进 + 首行缩进:  2 字符"/>
    <w:basedOn w:val="68"/>
    <w:link w:val="130"/>
    <w:qFormat/>
    <w:uiPriority w:val="0"/>
    <w:pPr>
      <w:tabs>
        <w:tab w:val="left" w:pos="1021"/>
      </w:tabs>
      <w:autoSpaceDE/>
      <w:autoSpaceDN/>
      <w:adjustRightInd/>
      <w:spacing w:line="360" w:lineRule="auto"/>
      <w:ind w:firstLine="480" w:firstLineChars="200"/>
      <w:jc w:val="both"/>
    </w:pPr>
    <w:rPr>
      <w:rFonts w:eastAsia="黑体"/>
      <w:sz w:val="24"/>
      <w:szCs w:val="22"/>
    </w:rPr>
  </w:style>
  <w:style w:type="character" w:customStyle="1" w:styleId="132">
    <w:name w:val="注释标题 Char1"/>
    <w:qFormat/>
    <w:uiPriority w:val="0"/>
    <w:rPr>
      <w:kern w:val="2"/>
      <w:sz w:val="21"/>
    </w:rPr>
  </w:style>
  <w:style w:type="character" w:customStyle="1" w:styleId="133">
    <w:name w:val="def正文 Char"/>
    <w:link w:val="134"/>
    <w:qFormat/>
    <w:uiPriority w:val="0"/>
    <w:rPr>
      <w:kern w:val="2"/>
      <w:sz w:val="21"/>
      <w:szCs w:val="21"/>
    </w:rPr>
  </w:style>
  <w:style w:type="paragraph" w:customStyle="1" w:styleId="134">
    <w:name w:val="def正文"/>
    <w:basedOn w:val="27"/>
    <w:link w:val="133"/>
    <w:qFormat/>
    <w:uiPriority w:val="0"/>
    <w:pPr>
      <w:widowControl/>
      <w:tabs>
        <w:tab w:val="left" w:pos="1021"/>
      </w:tabs>
      <w:spacing w:after="0" w:line="276" w:lineRule="auto"/>
      <w:ind w:firstLine="567"/>
      <w:jc w:val="center"/>
    </w:pPr>
    <w:rPr>
      <w:szCs w:val="21"/>
    </w:rPr>
  </w:style>
  <w:style w:type="character" w:customStyle="1" w:styleId="135">
    <w:name w:val="Char Char20"/>
    <w:qFormat/>
    <w:uiPriority w:val="0"/>
    <w:rPr>
      <w:b/>
      <w:bCs/>
      <w:kern w:val="44"/>
      <w:sz w:val="44"/>
      <w:szCs w:val="44"/>
    </w:rPr>
  </w:style>
  <w:style w:type="character" w:customStyle="1" w:styleId="136">
    <w:name w:val="heading 9 Char1"/>
    <w:qFormat/>
    <w:uiPriority w:val="0"/>
    <w:rPr>
      <w:rFonts w:ascii="Arial" w:hAnsi="Arial" w:eastAsia="黑体"/>
      <w:sz w:val="21"/>
      <w:lang w:val="en-US" w:eastAsia="zh-CN" w:bidi="ar-SA"/>
    </w:rPr>
  </w:style>
  <w:style w:type="character" w:customStyle="1" w:styleId="137">
    <w:name w:val="注释标题 Char2"/>
    <w:qFormat/>
    <w:uiPriority w:val="0"/>
    <w:rPr>
      <w:kern w:val="2"/>
      <w:sz w:val="21"/>
      <w:szCs w:val="24"/>
    </w:rPr>
  </w:style>
  <w:style w:type="character" w:customStyle="1" w:styleId="138">
    <w:name w:val="批注框文本 Char"/>
    <w:link w:val="44"/>
    <w:qFormat/>
    <w:uiPriority w:val="0"/>
    <w:rPr>
      <w:rFonts w:eastAsia="宋体"/>
      <w:kern w:val="2"/>
      <w:sz w:val="18"/>
      <w:szCs w:val="18"/>
      <w:lang w:val="en-US" w:eastAsia="zh-CN" w:bidi="ar-SA"/>
    </w:rPr>
  </w:style>
  <w:style w:type="character" w:customStyle="1" w:styleId="139">
    <w:name w:val="正文黑体 Char"/>
    <w:link w:val="140"/>
    <w:qFormat/>
    <w:uiPriority w:val="0"/>
    <w:rPr>
      <w:rFonts w:ascii="宋体" w:hAnsi="宋体" w:eastAsia="宋体"/>
      <w:kern w:val="2"/>
      <w:sz w:val="28"/>
      <w:szCs w:val="28"/>
      <w:lang w:val="en-US" w:eastAsia="zh-CN" w:bidi="ar-SA"/>
    </w:rPr>
  </w:style>
  <w:style w:type="paragraph" w:customStyle="1" w:styleId="140">
    <w:name w:val="正文黑体"/>
    <w:basedOn w:val="1"/>
    <w:link w:val="139"/>
    <w:qFormat/>
    <w:uiPriority w:val="0"/>
    <w:pPr>
      <w:spacing w:line="360" w:lineRule="auto"/>
      <w:ind w:firstLine="560" w:firstLineChars="200"/>
    </w:pPr>
    <w:rPr>
      <w:rFonts w:ascii="宋体" w:hAnsi="宋体"/>
      <w:sz w:val="28"/>
      <w:szCs w:val="28"/>
    </w:rPr>
  </w:style>
  <w:style w:type="character" w:customStyle="1" w:styleId="141">
    <w:name w:val="小标题 Char Char"/>
    <w:link w:val="142"/>
    <w:qFormat/>
    <w:uiPriority w:val="0"/>
    <w:rPr>
      <w:rFonts w:eastAsia="黑体"/>
    </w:rPr>
  </w:style>
  <w:style w:type="paragraph" w:customStyle="1" w:styleId="142">
    <w:name w:val="小标题"/>
    <w:basedOn w:val="1"/>
    <w:link w:val="141"/>
    <w:qFormat/>
    <w:uiPriority w:val="0"/>
    <w:pPr>
      <w:autoSpaceDE w:val="0"/>
      <w:autoSpaceDN w:val="0"/>
      <w:adjustRightInd w:val="0"/>
      <w:spacing w:before="120" w:line="360" w:lineRule="atLeast"/>
      <w:ind w:left="1134"/>
      <w:jc w:val="left"/>
      <w:textAlignment w:val="baseline"/>
    </w:pPr>
    <w:rPr>
      <w:rFonts w:ascii="Calibri" w:hAnsi="Calibri" w:eastAsia="黑体"/>
      <w:kern w:val="0"/>
      <w:sz w:val="20"/>
      <w:szCs w:val="20"/>
    </w:rPr>
  </w:style>
  <w:style w:type="character" w:customStyle="1" w:styleId="143">
    <w:name w:val="a呼市表格正文 Char"/>
    <w:link w:val="144"/>
    <w:qFormat/>
    <w:uiPriority w:val="0"/>
    <w:rPr>
      <w:rFonts w:ascii="宋体" w:hAnsi="宋体"/>
      <w:color w:val="000000"/>
      <w:sz w:val="21"/>
      <w:szCs w:val="21"/>
    </w:rPr>
  </w:style>
  <w:style w:type="paragraph" w:customStyle="1" w:styleId="144">
    <w:name w:val="a呼市表格正文"/>
    <w:basedOn w:val="1"/>
    <w:link w:val="143"/>
    <w:qFormat/>
    <w:uiPriority w:val="0"/>
    <w:pPr>
      <w:widowControl/>
      <w:jc w:val="center"/>
    </w:pPr>
    <w:rPr>
      <w:rFonts w:ascii="宋体" w:hAnsi="宋体"/>
      <w:color w:val="000000"/>
      <w:kern w:val="0"/>
      <w:szCs w:val="21"/>
    </w:rPr>
  </w:style>
  <w:style w:type="character" w:customStyle="1" w:styleId="145">
    <w:name w:val="Char Char16"/>
    <w:qFormat/>
    <w:uiPriority w:val="0"/>
    <w:rPr>
      <w:b/>
      <w:bCs/>
      <w:kern w:val="2"/>
      <w:sz w:val="28"/>
      <w:szCs w:val="28"/>
    </w:rPr>
  </w:style>
  <w:style w:type="character" w:customStyle="1" w:styleId="146">
    <w:name w:val="图表题头 Char"/>
    <w:link w:val="147"/>
    <w:qFormat/>
    <w:uiPriority w:val="0"/>
    <w:rPr>
      <w:b/>
      <w:bCs/>
      <w:kern w:val="2"/>
      <w:sz w:val="21"/>
      <w:szCs w:val="24"/>
    </w:rPr>
  </w:style>
  <w:style w:type="paragraph" w:customStyle="1" w:styleId="147">
    <w:name w:val="图表题头"/>
    <w:basedOn w:val="1"/>
    <w:next w:val="1"/>
    <w:link w:val="146"/>
    <w:qFormat/>
    <w:uiPriority w:val="0"/>
    <w:pPr>
      <w:tabs>
        <w:tab w:val="left" w:pos="480"/>
      </w:tabs>
      <w:spacing w:before="120" w:after="120"/>
      <w:jc w:val="center"/>
    </w:pPr>
    <w:rPr>
      <w:rFonts w:ascii="Calibri" w:hAnsi="Calibri"/>
      <w:b/>
      <w:bCs/>
    </w:rPr>
  </w:style>
  <w:style w:type="character" w:customStyle="1" w:styleId="148">
    <w:name w:val="heading 1 Char2"/>
    <w:qFormat/>
    <w:uiPriority w:val="0"/>
    <w:rPr>
      <w:b/>
      <w:bCs/>
      <w:kern w:val="44"/>
      <w:sz w:val="44"/>
      <w:szCs w:val="44"/>
    </w:rPr>
  </w:style>
  <w:style w:type="character" w:customStyle="1" w:styleId="149">
    <w:name w:val="首航缩进 Char Char"/>
    <w:link w:val="150"/>
    <w:qFormat/>
    <w:uiPriority w:val="0"/>
    <w:rPr>
      <w:rFonts w:eastAsia="仿宋_GB2312"/>
      <w:color w:val="000000"/>
      <w:kern w:val="2"/>
      <w:sz w:val="24"/>
      <w:szCs w:val="24"/>
    </w:rPr>
  </w:style>
  <w:style w:type="paragraph" w:customStyle="1" w:styleId="150">
    <w:name w:val="首航缩进 Char"/>
    <w:basedOn w:val="1"/>
    <w:link w:val="149"/>
    <w:qFormat/>
    <w:uiPriority w:val="0"/>
    <w:pPr>
      <w:tabs>
        <w:tab w:val="left" w:pos="0"/>
      </w:tabs>
      <w:autoSpaceDE w:val="0"/>
      <w:autoSpaceDN w:val="0"/>
      <w:spacing w:line="300" w:lineRule="auto"/>
      <w:ind w:firstLine="480" w:firstLineChars="200"/>
      <w:jc w:val="left"/>
    </w:pPr>
    <w:rPr>
      <w:rFonts w:ascii="Calibri" w:hAnsi="Calibri" w:eastAsia="仿宋_GB2312"/>
      <w:color w:val="000000"/>
      <w:sz w:val="24"/>
    </w:rPr>
  </w:style>
  <w:style w:type="character" w:customStyle="1" w:styleId="151">
    <w:name w:val="标题 7 Char"/>
    <w:link w:val="9"/>
    <w:qFormat/>
    <w:uiPriority w:val="0"/>
    <w:rPr>
      <w:b/>
      <w:bCs/>
      <w:kern w:val="2"/>
      <w:sz w:val="24"/>
      <w:szCs w:val="24"/>
    </w:rPr>
  </w:style>
  <w:style w:type="character" w:customStyle="1" w:styleId="152">
    <w:name w:val="一级标号 Char"/>
    <w:link w:val="153"/>
    <w:qFormat/>
    <w:uiPriority w:val="0"/>
    <w:rPr>
      <w:rFonts w:ascii="Verdana" w:hAnsi="Verdana"/>
      <w:kern w:val="2"/>
      <w:sz w:val="24"/>
      <w:szCs w:val="24"/>
      <w:lang w:eastAsia="en-US"/>
    </w:rPr>
  </w:style>
  <w:style w:type="paragraph" w:customStyle="1" w:styleId="153">
    <w:name w:val="一级标号"/>
    <w:basedOn w:val="1"/>
    <w:link w:val="152"/>
    <w:qFormat/>
    <w:uiPriority w:val="0"/>
    <w:pPr>
      <w:tabs>
        <w:tab w:val="left" w:pos="420"/>
      </w:tabs>
      <w:snapToGrid w:val="0"/>
      <w:spacing w:line="360" w:lineRule="auto"/>
    </w:pPr>
    <w:rPr>
      <w:rFonts w:ascii="Verdana" w:hAnsi="Verdana"/>
      <w:sz w:val="24"/>
      <w:lang w:eastAsia="en-US"/>
    </w:rPr>
  </w:style>
  <w:style w:type="character" w:customStyle="1" w:styleId="154">
    <w:name w:val="副标题 Char"/>
    <w:link w:val="52"/>
    <w:qFormat/>
    <w:uiPriority w:val="11"/>
    <w:rPr>
      <w:rFonts w:ascii="Cambria" w:hAnsi="Cambria"/>
      <w:kern w:val="2"/>
      <w:sz w:val="24"/>
      <w:szCs w:val="24"/>
    </w:rPr>
  </w:style>
  <w:style w:type="character" w:customStyle="1" w:styleId="155">
    <w:name w:val="正文（标记） Char2"/>
    <w:qFormat/>
    <w:uiPriority w:val="0"/>
    <w:rPr>
      <w:rFonts w:ascii="Times New Roman" w:hAnsi="Times New Roman" w:eastAsia="宋体" w:cs="Times New Roman"/>
      <w:sz w:val="24"/>
      <w:szCs w:val="24"/>
    </w:rPr>
  </w:style>
  <w:style w:type="character" w:customStyle="1" w:styleId="156">
    <w:name w:val="Char Char15"/>
    <w:qFormat/>
    <w:uiPriority w:val="0"/>
    <w:rPr>
      <w:rFonts w:ascii="Arial" w:hAnsi="Arial" w:eastAsia="黑体"/>
      <w:sz w:val="24"/>
      <w:szCs w:val="24"/>
    </w:rPr>
  </w:style>
  <w:style w:type="character" w:customStyle="1" w:styleId="157">
    <w:name w:val="apple-style-span"/>
    <w:qFormat/>
    <w:uiPriority w:val="0"/>
  </w:style>
  <w:style w:type="character" w:customStyle="1" w:styleId="158">
    <w:name w:val="页脚 Char"/>
    <w:link w:val="45"/>
    <w:qFormat/>
    <w:uiPriority w:val="99"/>
    <w:rPr>
      <w:rFonts w:eastAsia="宋体"/>
      <w:kern w:val="2"/>
      <w:sz w:val="18"/>
      <w:szCs w:val="18"/>
      <w:lang w:val="en-US" w:eastAsia="zh-CN" w:bidi="ar-SA"/>
    </w:rPr>
  </w:style>
  <w:style w:type="character" w:customStyle="1" w:styleId="159">
    <w:name w:val="heading 7 Char1"/>
    <w:qFormat/>
    <w:uiPriority w:val="0"/>
    <w:rPr>
      <w:rFonts w:ascii="Arial" w:hAnsi="Arial" w:eastAsia="黑体"/>
      <w:sz w:val="21"/>
      <w:szCs w:val="21"/>
      <w:lang w:val="en-US" w:eastAsia="zh-CN" w:bidi="ar-SA"/>
    </w:rPr>
  </w:style>
  <w:style w:type="character" w:customStyle="1" w:styleId="160">
    <w:name w:val="smalltxt1"/>
    <w:qFormat/>
    <w:uiPriority w:val="0"/>
    <w:rPr>
      <w:rFonts w:hint="default" w:ascii="ˎ̥" w:hAnsi="ˎ̥"/>
      <w:sz w:val="24"/>
      <w:szCs w:val="24"/>
    </w:rPr>
  </w:style>
  <w:style w:type="character" w:customStyle="1" w:styleId="161">
    <w:name w:val="heading 5 Char1"/>
    <w:qFormat/>
    <w:uiPriority w:val="0"/>
    <w:rPr>
      <w:rFonts w:eastAsia="宋体"/>
      <w:b/>
      <w:bCs/>
      <w:kern w:val="2"/>
      <w:sz w:val="28"/>
      <w:szCs w:val="28"/>
      <w:lang w:val="en-US" w:eastAsia="zh-CN" w:bidi="ar-SA"/>
    </w:rPr>
  </w:style>
  <w:style w:type="character" w:customStyle="1" w:styleId="162">
    <w:name w:val="称呼 Char"/>
    <w:link w:val="25"/>
    <w:qFormat/>
    <w:uiPriority w:val="0"/>
    <w:rPr>
      <w:rFonts w:eastAsia="宋体"/>
      <w:sz w:val="24"/>
      <w:lang w:val="en-US" w:eastAsia="zh-CN" w:bidi="ar-SA"/>
    </w:rPr>
  </w:style>
  <w:style w:type="character" w:customStyle="1" w:styleId="163">
    <w:name w:val="标题 Char1"/>
    <w:qFormat/>
    <w:uiPriority w:val="0"/>
    <w:rPr>
      <w:rFonts w:ascii="Cambria" w:hAnsi="Cambria" w:cs="Times New Roman"/>
      <w:b/>
      <w:bCs/>
      <w:kern w:val="2"/>
      <w:sz w:val="32"/>
      <w:szCs w:val="32"/>
    </w:rPr>
  </w:style>
  <w:style w:type="character" w:customStyle="1" w:styleId="164">
    <w:name w:val="标题 3 Char"/>
    <w:link w:val="5"/>
    <w:qFormat/>
    <w:uiPriority w:val="0"/>
    <w:rPr>
      <w:b/>
      <w:bCs/>
      <w:kern w:val="2"/>
      <w:sz w:val="32"/>
      <w:szCs w:val="32"/>
    </w:rPr>
  </w:style>
  <w:style w:type="character" w:customStyle="1" w:styleId="165">
    <w:name w:val="日期 Char"/>
    <w:link w:val="41"/>
    <w:qFormat/>
    <w:uiPriority w:val="99"/>
    <w:rPr>
      <w:rFonts w:ascii="宋体" w:eastAsia="宋体"/>
      <w:kern w:val="2"/>
      <w:sz w:val="24"/>
      <w:lang w:val="en-US" w:eastAsia="zh-CN" w:bidi="ar-SA"/>
    </w:rPr>
  </w:style>
  <w:style w:type="character" w:customStyle="1" w:styleId="166">
    <w:name w:val="blue1"/>
    <w:basedOn w:val="75"/>
    <w:qFormat/>
    <w:uiPriority w:val="0"/>
  </w:style>
  <w:style w:type="character" w:customStyle="1" w:styleId="167">
    <w:name w:val="正文 Char"/>
    <w:qFormat/>
    <w:uiPriority w:val="0"/>
    <w:rPr>
      <w:rFonts w:ascii="仿宋_GB2312" w:eastAsia="仿宋_GB2312"/>
      <w:b/>
      <w:kern w:val="2"/>
      <w:sz w:val="21"/>
      <w:szCs w:val="21"/>
    </w:rPr>
  </w:style>
  <w:style w:type="character" w:customStyle="1" w:styleId="168">
    <w:name w:val="标题 4 Char"/>
    <w:link w:val="6"/>
    <w:qFormat/>
    <w:uiPriority w:val="0"/>
    <w:rPr>
      <w:rFonts w:eastAsia="楷体_GB2312"/>
      <w:b/>
      <w:sz w:val="24"/>
      <w:lang w:val="en-US" w:eastAsia="zh-CN" w:bidi="ar-SA"/>
    </w:rPr>
  </w:style>
  <w:style w:type="character" w:customStyle="1" w:styleId="169">
    <w:name w:val="!标题1 Ctrl+1 Char"/>
    <w:link w:val="170"/>
    <w:qFormat/>
    <w:uiPriority w:val="0"/>
    <w:rPr>
      <w:rFonts w:ascii="宋体" w:hAnsi="宋体"/>
      <w:b/>
      <w:bCs/>
      <w:kern w:val="2"/>
      <w:sz w:val="32"/>
      <w:szCs w:val="32"/>
    </w:rPr>
  </w:style>
  <w:style w:type="paragraph" w:customStyle="1" w:styleId="170">
    <w:name w:val="!标题1 Ctrl+1"/>
    <w:basedOn w:val="3"/>
    <w:next w:val="171"/>
    <w:link w:val="169"/>
    <w:qFormat/>
    <w:uiPriority w:val="0"/>
    <w:pPr>
      <w:keepNext w:val="0"/>
      <w:keepLines w:val="0"/>
      <w:numPr>
        <w:numId w:val="0"/>
      </w:numPr>
      <w:tabs>
        <w:tab w:val="left" w:pos="360"/>
        <w:tab w:val="left" w:pos="425"/>
      </w:tabs>
      <w:adjustRightInd w:val="0"/>
      <w:spacing w:beforeLines="100" w:afterLines="50" w:line="360" w:lineRule="auto"/>
      <w:ind w:left="360" w:hanging="360"/>
      <w:jc w:val="left"/>
    </w:pPr>
    <w:rPr>
      <w:rFonts w:ascii="宋体" w:hAnsi="宋体"/>
      <w:kern w:val="2"/>
      <w:sz w:val="32"/>
      <w:szCs w:val="32"/>
    </w:rPr>
  </w:style>
  <w:style w:type="paragraph" w:customStyle="1" w:styleId="171">
    <w:name w:val="!我的正文 Ctr+Q"/>
    <w:basedOn w:val="1"/>
    <w:link w:val="288"/>
    <w:qFormat/>
    <w:uiPriority w:val="0"/>
    <w:pPr>
      <w:adjustRightInd w:val="0"/>
      <w:snapToGrid w:val="0"/>
      <w:spacing w:beforeLines="50" w:afterLines="50" w:line="360" w:lineRule="auto"/>
      <w:ind w:firstLine="480" w:firstLineChars="200"/>
      <w:jc w:val="left"/>
    </w:pPr>
    <w:rPr>
      <w:rFonts w:ascii="Arial" w:hAnsi="Arial"/>
      <w:sz w:val="24"/>
      <w:szCs w:val="21"/>
    </w:rPr>
  </w:style>
  <w:style w:type="character" w:customStyle="1" w:styleId="172">
    <w:name w:val="Ò³Ã¼ Char Char"/>
    <w:qFormat/>
    <w:uiPriority w:val="0"/>
    <w:rPr>
      <w:sz w:val="18"/>
      <w:szCs w:val="18"/>
    </w:rPr>
  </w:style>
  <w:style w:type="character" w:customStyle="1" w:styleId="173">
    <w:name w:val="图 Char"/>
    <w:link w:val="174"/>
    <w:qFormat/>
    <w:uiPriority w:val="0"/>
    <w:rPr>
      <w:rFonts w:ascii="Arial" w:hAnsi="Arial"/>
      <w:b/>
      <w:bCs/>
      <w:kern w:val="2"/>
      <w:sz w:val="24"/>
      <w:szCs w:val="24"/>
    </w:rPr>
  </w:style>
  <w:style w:type="paragraph" w:customStyle="1" w:styleId="174">
    <w:name w:val="图"/>
    <w:basedOn w:val="1"/>
    <w:link w:val="173"/>
    <w:qFormat/>
    <w:uiPriority w:val="0"/>
    <w:pPr>
      <w:spacing w:line="360" w:lineRule="auto"/>
      <w:ind w:firstLine="422" w:firstLineChars="200"/>
      <w:jc w:val="center"/>
    </w:pPr>
    <w:rPr>
      <w:rFonts w:ascii="Arial" w:hAnsi="Arial"/>
      <w:b/>
      <w:bCs/>
      <w:sz w:val="24"/>
    </w:rPr>
  </w:style>
  <w:style w:type="character" w:customStyle="1" w:styleId="175">
    <w:name w:val="正文文本 Char1"/>
    <w:link w:val="27"/>
    <w:qFormat/>
    <w:uiPriority w:val="0"/>
    <w:rPr>
      <w:rFonts w:eastAsia="宋体"/>
      <w:kern w:val="2"/>
      <w:sz w:val="21"/>
      <w:szCs w:val="24"/>
      <w:lang w:val="en-US" w:eastAsia="zh-CN" w:bidi="ar-SA"/>
    </w:rPr>
  </w:style>
  <w:style w:type="character" w:customStyle="1" w:styleId="176">
    <w:name w:val="正文（小标题） Char"/>
    <w:link w:val="177"/>
    <w:qFormat/>
    <w:uiPriority w:val="0"/>
    <w:rPr>
      <w:rFonts w:ascii="黑体" w:eastAsia="黑体"/>
      <w:color w:val="0000FF"/>
      <w:kern w:val="2"/>
      <w:sz w:val="24"/>
      <w:szCs w:val="24"/>
    </w:rPr>
  </w:style>
  <w:style w:type="paragraph" w:customStyle="1" w:styleId="177">
    <w:name w:val="正文（小标题）"/>
    <w:basedOn w:val="1"/>
    <w:next w:val="1"/>
    <w:link w:val="176"/>
    <w:qFormat/>
    <w:uiPriority w:val="0"/>
    <w:pPr>
      <w:spacing w:beforeLines="50" w:afterLines="50" w:line="360" w:lineRule="auto"/>
    </w:pPr>
    <w:rPr>
      <w:rFonts w:ascii="黑体" w:hAnsi="Calibri" w:eastAsia="黑体"/>
      <w:color w:val="0000FF"/>
      <w:sz w:val="24"/>
    </w:rPr>
  </w:style>
  <w:style w:type="character" w:customStyle="1" w:styleId="178">
    <w:name w:val="小项目级 Char"/>
    <w:link w:val="179"/>
    <w:qFormat/>
    <w:uiPriority w:val="0"/>
    <w:rPr>
      <w:rFonts w:eastAsia="仿宋_GB2312"/>
      <w:kern w:val="2"/>
      <w:sz w:val="24"/>
      <w:szCs w:val="24"/>
    </w:rPr>
  </w:style>
  <w:style w:type="paragraph" w:customStyle="1" w:styleId="179">
    <w:name w:val="小项目级"/>
    <w:basedOn w:val="1"/>
    <w:link w:val="178"/>
    <w:qFormat/>
    <w:uiPriority w:val="0"/>
    <w:pPr>
      <w:numPr>
        <w:ilvl w:val="2"/>
        <w:numId w:val="7"/>
      </w:numPr>
      <w:spacing w:line="360" w:lineRule="auto"/>
      <w:ind w:firstLine="0"/>
    </w:pPr>
    <w:rPr>
      <w:rFonts w:ascii="Calibri" w:hAnsi="Calibri" w:eastAsia="仿宋_GB2312"/>
      <w:sz w:val="24"/>
    </w:rPr>
  </w:style>
  <w:style w:type="character" w:customStyle="1" w:styleId="180">
    <w:name w:val="表格 Char Char"/>
    <w:link w:val="181"/>
    <w:qFormat/>
    <w:uiPriority w:val="0"/>
    <w:rPr>
      <w:rFonts w:ascii="宋体" w:hAnsi="宋体" w:eastAsia="宋体"/>
      <w:lang w:val="en-US" w:eastAsia="zh-CN" w:bidi="ar-SA"/>
    </w:rPr>
  </w:style>
  <w:style w:type="paragraph" w:customStyle="1" w:styleId="181">
    <w:name w:val="表格"/>
    <w:basedOn w:val="1"/>
    <w:link w:val="180"/>
    <w:qFormat/>
    <w:uiPriority w:val="0"/>
    <w:pPr>
      <w:autoSpaceDE w:val="0"/>
      <w:autoSpaceDN w:val="0"/>
      <w:adjustRightInd w:val="0"/>
      <w:snapToGrid w:val="0"/>
      <w:ind w:firstLine="42" w:firstLineChars="21"/>
      <w:jc w:val="left"/>
    </w:pPr>
    <w:rPr>
      <w:rFonts w:ascii="宋体" w:hAnsi="宋体"/>
      <w:kern w:val="0"/>
      <w:sz w:val="20"/>
      <w:szCs w:val="20"/>
    </w:rPr>
  </w:style>
  <w:style w:type="character" w:customStyle="1" w:styleId="182">
    <w:name w:val="页眉 Char"/>
    <w:link w:val="46"/>
    <w:qFormat/>
    <w:uiPriority w:val="99"/>
    <w:rPr>
      <w:rFonts w:eastAsia="宋体"/>
      <w:kern w:val="2"/>
      <w:sz w:val="18"/>
      <w:szCs w:val="18"/>
      <w:lang w:val="en-US" w:eastAsia="zh-CN" w:bidi="ar-SA"/>
    </w:rPr>
  </w:style>
  <w:style w:type="character" w:customStyle="1" w:styleId="183">
    <w:name w:val="text-21"/>
    <w:qFormat/>
    <w:uiPriority w:val="0"/>
    <w:rPr>
      <w:color w:val="666666"/>
    </w:rPr>
  </w:style>
  <w:style w:type="character" w:customStyle="1" w:styleId="184">
    <w:name w:val="标题 9 Char"/>
    <w:link w:val="11"/>
    <w:qFormat/>
    <w:uiPriority w:val="0"/>
    <w:rPr>
      <w:rFonts w:ascii="Arial" w:hAnsi="Arial" w:eastAsia="黑体"/>
      <w:kern w:val="2"/>
      <w:sz w:val="21"/>
      <w:szCs w:val="21"/>
    </w:rPr>
  </w:style>
  <w:style w:type="character" w:customStyle="1" w:styleId="185">
    <w:name w:val="style41"/>
    <w:qFormat/>
    <w:uiPriority w:val="0"/>
    <w:rPr>
      <w:color w:val="auto"/>
    </w:rPr>
  </w:style>
  <w:style w:type="character" w:customStyle="1" w:styleId="186">
    <w:name w:val="纯文本 Char"/>
    <w:link w:val="36"/>
    <w:qFormat/>
    <w:uiPriority w:val="0"/>
    <w:rPr>
      <w:rFonts w:ascii="宋体" w:hAnsi="Courier New" w:eastAsia="宋体"/>
      <w:kern w:val="2"/>
      <w:sz w:val="21"/>
      <w:lang w:val="en-US" w:eastAsia="zh-CN" w:bidi="ar-SA"/>
    </w:rPr>
  </w:style>
  <w:style w:type="character" w:customStyle="1" w:styleId="187">
    <w:name w:val="正文文本缩进 3 Char"/>
    <w:link w:val="57"/>
    <w:qFormat/>
    <w:uiPriority w:val="0"/>
    <w:rPr>
      <w:rFonts w:eastAsia="宋体"/>
      <w:kern w:val="2"/>
      <w:sz w:val="24"/>
      <w:szCs w:val="24"/>
      <w:lang w:val="en-US" w:eastAsia="zh-CN" w:bidi="ar-SA"/>
    </w:rPr>
  </w:style>
  <w:style w:type="character" w:customStyle="1" w:styleId="188">
    <w:name w:val="样式 题注 + 宋体 小四 Char"/>
    <w:link w:val="189"/>
    <w:qFormat/>
    <w:uiPriority w:val="0"/>
    <w:rPr>
      <w:kern w:val="2"/>
      <w:sz w:val="24"/>
      <w:szCs w:val="24"/>
    </w:rPr>
  </w:style>
  <w:style w:type="paragraph" w:customStyle="1" w:styleId="189">
    <w:name w:val="样式 题注 + 宋体 小四"/>
    <w:basedOn w:val="18"/>
    <w:link w:val="188"/>
    <w:qFormat/>
    <w:uiPriority w:val="0"/>
    <w:pPr>
      <w:keepNext/>
      <w:autoSpaceDE/>
      <w:autoSpaceDN/>
      <w:adjustRightInd/>
      <w:spacing w:before="240" w:after="240" w:line="360" w:lineRule="auto"/>
      <w:ind w:firstLine="200" w:firstLineChars="200"/>
      <w:jc w:val="both"/>
    </w:pPr>
    <w:rPr>
      <w:rFonts w:ascii="Calibri" w:hAnsi="Calibri" w:eastAsia="宋体"/>
      <w:kern w:val="2"/>
      <w:sz w:val="24"/>
      <w:szCs w:val="24"/>
    </w:rPr>
  </w:style>
  <w:style w:type="character" w:customStyle="1" w:styleId="190">
    <w:name w:val="正文文字 Char"/>
    <w:link w:val="191"/>
    <w:qFormat/>
    <w:uiPriority w:val="0"/>
    <w:rPr>
      <w:rFonts w:eastAsia="仿宋_GB2312"/>
      <w:kern w:val="2"/>
      <w:sz w:val="24"/>
      <w:szCs w:val="24"/>
    </w:rPr>
  </w:style>
  <w:style w:type="paragraph" w:customStyle="1" w:styleId="191">
    <w:name w:val="正文文字"/>
    <w:basedOn w:val="1"/>
    <w:link w:val="190"/>
    <w:qFormat/>
    <w:uiPriority w:val="0"/>
    <w:pPr>
      <w:spacing w:afterLines="50" w:line="400" w:lineRule="exact"/>
    </w:pPr>
    <w:rPr>
      <w:rFonts w:ascii="Calibri" w:hAnsi="Calibri" w:eastAsia="仿宋_GB2312"/>
      <w:sz w:val="24"/>
    </w:rPr>
  </w:style>
  <w:style w:type="character" w:customStyle="1" w:styleId="192">
    <w:name w:val="三级条标题 Char Char Char Char Char Char Char Char Char Char Char Char Char Char Char Char Char Char Char Char Char Char Char Char Char Char Char Char Char Char Char Char Char Char Char Char Char Char Char Char Char Char Char Char Char Char Char Char Char Ch"/>
    <w:qFormat/>
    <w:uiPriority w:val="0"/>
    <w:rPr>
      <w:rFonts w:ascii="黑体" w:eastAsia="黑体"/>
      <w:sz w:val="21"/>
      <w:lang w:val="en-US" w:eastAsia="zh-CN" w:bidi="ar-SA"/>
    </w:rPr>
  </w:style>
  <w:style w:type="character" w:customStyle="1" w:styleId="193">
    <w:name w:val="t11"/>
    <w:qFormat/>
    <w:uiPriority w:val="0"/>
    <w:rPr>
      <w:b/>
      <w:bCs/>
      <w:sz w:val="18"/>
      <w:szCs w:val="18"/>
      <w:shd w:val="clear" w:color="auto" w:fill="FFFFFF"/>
    </w:rPr>
  </w:style>
  <w:style w:type="character" w:customStyle="1" w:styleId="194">
    <w:name w:val="Char Char Char1"/>
    <w:qFormat/>
    <w:uiPriority w:val="0"/>
    <w:rPr>
      <w:rFonts w:ascii="宋体" w:hAnsi="Courier New"/>
      <w:sz w:val="21"/>
      <w:szCs w:val="21"/>
    </w:rPr>
  </w:style>
  <w:style w:type="character" w:customStyle="1" w:styleId="195">
    <w:name w:val="目录标题 Char"/>
    <w:link w:val="196"/>
    <w:qFormat/>
    <w:uiPriority w:val="0"/>
    <w:rPr>
      <w:rFonts w:ascii="宋体" w:hAnsi="宋体"/>
      <w:kern w:val="2"/>
      <w:sz w:val="44"/>
      <w:szCs w:val="44"/>
    </w:rPr>
  </w:style>
  <w:style w:type="paragraph" w:customStyle="1" w:styleId="196">
    <w:name w:val="目录标题"/>
    <w:basedOn w:val="1"/>
    <w:link w:val="195"/>
    <w:qFormat/>
    <w:uiPriority w:val="0"/>
    <w:pPr>
      <w:spacing w:line="360" w:lineRule="auto"/>
      <w:jc w:val="center"/>
    </w:pPr>
    <w:rPr>
      <w:rFonts w:ascii="宋体" w:hAnsi="宋体"/>
      <w:sz w:val="44"/>
      <w:szCs w:val="44"/>
    </w:rPr>
  </w:style>
  <w:style w:type="character" w:customStyle="1" w:styleId="197">
    <w:name w:val="编号 Char Char"/>
    <w:qFormat/>
    <w:uiPriority w:val="0"/>
    <w:rPr>
      <w:rFonts w:ascii="宋体" w:hAnsi="宋体" w:eastAsia="宋体"/>
      <w:kern w:val="2"/>
      <w:sz w:val="24"/>
      <w:szCs w:val="24"/>
      <w:lang w:val="en-US" w:eastAsia="zh-CN" w:bidi="ar-SA"/>
    </w:rPr>
  </w:style>
  <w:style w:type="character" w:customStyle="1" w:styleId="198">
    <w:name w:val="Footer-Even Char"/>
    <w:qFormat/>
    <w:uiPriority w:val="0"/>
    <w:rPr>
      <w:sz w:val="18"/>
      <w:szCs w:val="18"/>
    </w:rPr>
  </w:style>
  <w:style w:type="character" w:customStyle="1" w:styleId="199">
    <w:name w:val="!标题2 Ctrl+2 Char"/>
    <w:link w:val="200"/>
    <w:qFormat/>
    <w:uiPriority w:val="0"/>
    <w:rPr>
      <w:rFonts w:ascii="宋体" w:hAnsi="宋体"/>
      <w:b/>
      <w:bCs/>
      <w:kern w:val="2"/>
      <w:sz w:val="30"/>
      <w:szCs w:val="36"/>
      <w:lang w:val="zh-CN"/>
    </w:rPr>
  </w:style>
  <w:style w:type="paragraph" w:customStyle="1" w:styleId="200">
    <w:name w:val="!标题2 Ctrl+2"/>
    <w:basedOn w:val="4"/>
    <w:next w:val="171"/>
    <w:link w:val="199"/>
    <w:qFormat/>
    <w:uiPriority w:val="0"/>
    <w:pPr>
      <w:keepNext w:val="0"/>
      <w:keepLines w:val="0"/>
      <w:numPr>
        <w:ilvl w:val="0"/>
        <w:numId w:val="0"/>
      </w:numPr>
      <w:tabs>
        <w:tab w:val="left" w:pos="360"/>
        <w:tab w:val="left" w:pos="840"/>
        <w:tab w:val="left" w:pos="992"/>
      </w:tabs>
      <w:adjustRightInd w:val="0"/>
      <w:snapToGrid w:val="0"/>
      <w:spacing w:beforeLines="50" w:afterLines="50" w:line="360" w:lineRule="auto"/>
      <w:ind w:left="840" w:hanging="420"/>
      <w:jc w:val="left"/>
    </w:pPr>
    <w:rPr>
      <w:rFonts w:ascii="宋体" w:hAnsi="宋体" w:eastAsia="宋体"/>
      <w:sz w:val="30"/>
      <w:szCs w:val="36"/>
      <w:lang w:val="zh-CN"/>
    </w:rPr>
  </w:style>
  <w:style w:type="character" w:customStyle="1" w:styleId="201">
    <w:name w:val="yqlink"/>
    <w:basedOn w:val="75"/>
    <w:qFormat/>
    <w:uiPriority w:val="0"/>
  </w:style>
  <w:style w:type="character" w:customStyle="1" w:styleId="202">
    <w:name w:val="EHL三级项目 Char"/>
    <w:link w:val="203"/>
    <w:qFormat/>
    <w:uiPriority w:val="0"/>
    <w:rPr>
      <w:b/>
      <w:kern w:val="2"/>
      <w:sz w:val="24"/>
      <w:szCs w:val="24"/>
    </w:rPr>
  </w:style>
  <w:style w:type="paragraph" w:customStyle="1" w:styleId="203">
    <w:name w:val="EHL三级项目"/>
    <w:basedOn w:val="1"/>
    <w:link w:val="202"/>
    <w:qFormat/>
    <w:uiPriority w:val="0"/>
    <w:pPr>
      <w:tabs>
        <w:tab w:val="left" w:pos="1260"/>
        <w:tab w:val="left" w:pos="1928"/>
      </w:tabs>
      <w:spacing w:before="50" w:after="50" w:line="360" w:lineRule="auto"/>
      <w:ind w:left="1928" w:hanging="482"/>
    </w:pPr>
    <w:rPr>
      <w:rFonts w:ascii="Calibri" w:hAnsi="Calibri"/>
      <w:b/>
      <w:sz w:val="24"/>
    </w:rPr>
  </w:style>
  <w:style w:type="character" w:customStyle="1" w:styleId="204">
    <w:name w:val="Char Char8"/>
    <w:qFormat/>
    <w:uiPriority w:val="0"/>
    <w:rPr>
      <w:rFonts w:ascii="宋体" w:hAnsi="宋体" w:eastAsia="宋体" w:cs="Arial"/>
      <w:kern w:val="2"/>
      <w:sz w:val="24"/>
      <w:lang w:val="en-US" w:eastAsia="zh-CN" w:bidi="ar-SA"/>
    </w:rPr>
  </w:style>
  <w:style w:type="character" w:customStyle="1" w:styleId="205">
    <w:name w:val="z-窗体底端 Char1"/>
    <w:qFormat/>
    <w:uiPriority w:val="0"/>
    <w:rPr>
      <w:rFonts w:ascii="Arial" w:hAnsi="Arial" w:cs="Arial"/>
      <w:vanish/>
      <w:kern w:val="2"/>
      <w:sz w:val="16"/>
      <w:szCs w:val="16"/>
    </w:rPr>
  </w:style>
  <w:style w:type="character" w:customStyle="1" w:styleId="206">
    <w:name w:val="Char Char17"/>
    <w:qFormat/>
    <w:uiPriority w:val="0"/>
    <w:rPr>
      <w:rFonts w:ascii="Cambria" w:hAnsi="Cambria"/>
      <w:b/>
      <w:bCs/>
      <w:kern w:val="2"/>
      <w:sz w:val="28"/>
      <w:szCs w:val="28"/>
    </w:rPr>
  </w:style>
  <w:style w:type="character" w:customStyle="1" w:styleId="207">
    <w:name w:val="heading 5 Char"/>
    <w:qFormat/>
    <w:uiPriority w:val="0"/>
    <w:rPr>
      <w:rFonts w:ascii="Arial" w:hAnsi="Arial" w:eastAsia="黑体"/>
      <w:sz w:val="21"/>
      <w:szCs w:val="21"/>
    </w:rPr>
  </w:style>
  <w:style w:type="character" w:customStyle="1" w:styleId="208">
    <w:name w:val="图标 Char"/>
    <w:link w:val="209"/>
    <w:qFormat/>
    <w:uiPriority w:val="0"/>
    <w:rPr>
      <w:rFonts w:hAnsi="宋体"/>
      <w:szCs w:val="21"/>
    </w:rPr>
  </w:style>
  <w:style w:type="paragraph" w:customStyle="1" w:styleId="209">
    <w:name w:val="图标"/>
    <w:basedOn w:val="18"/>
    <w:link w:val="208"/>
    <w:qFormat/>
    <w:uiPriority w:val="0"/>
    <w:pPr>
      <w:autoSpaceDE/>
      <w:autoSpaceDN/>
      <w:adjustRightInd/>
      <w:spacing w:afterLines="50" w:line="360" w:lineRule="auto"/>
      <w:jc w:val="center"/>
    </w:pPr>
    <w:rPr>
      <w:rFonts w:ascii="Calibri" w:hAnsi="宋体" w:eastAsia="宋体"/>
      <w:szCs w:val="21"/>
    </w:rPr>
  </w:style>
  <w:style w:type="character" w:customStyle="1" w:styleId="210">
    <w:name w:val="heading 6 Char1"/>
    <w:qFormat/>
    <w:uiPriority w:val="0"/>
    <w:rPr>
      <w:rFonts w:ascii="Arial" w:hAnsi="Arial" w:eastAsia="黑体"/>
      <w:kern w:val="2"/>
      <w:sz w:val="24"/>
      <w:szCs w:val="24"/>
      <w:lang w:val="en-US" w:eastAsia="zh-CN" w:bidi="ar-SA"/>
    </w:rPr>
  </w:style>
  <w:style w:type="character" w:customStyle="1" w:styleId="211">
    <w:name w:val="正文文本 3 Char"/>
    <w:link w:val="26"/>
    <w:qFormat/>
    <w:uiPriority w:val="0"/>
    <w:rPr>
      <w:rFonts w:eastAsia="宋体"/>
      <w:lang w:val="en-US" w:eastAsia="zh-CN" w:bidi="ar-SA"/>
    </w:rPr>
  </w:style>
  <w:style w:type="character" w:customStyle="1" w:styleId="212">
    <w:name w:val="正文首行缩进 Char1"/>
    <w:link w:val="68"/>
    <w:qFormat/>
    <w:uiPriority w:val="0"/>
    <w:rPr>
      <w:rFonts w:eastAsia="宋体"/>
      <w:kern w:val="2"/>
      <w:sz w:val="21"/>
      <w:szCs w:val="24"/>
      <w:lang w:val="en-US" w:eastAsia="zh-CN" w:bidi="ar-SA"/>
    </w:rPr>
  </w:style>
  <w:style w:type="character" w:customStyle="1" w:styleId="213">
    <w:name w:val="列出段落 Char"/>
    <w:link w:val="214"/>
    <w:qFormat/>
    <w:uiPriority w:val="0"/>
    <w:rPr>
      <w:rFonts w:ascii="Calibri" w:hAnsi="Calibri"/>
      <w:kern w:val="2"/>
      <w:sz w:val="21"/>
      <w:szCs w:val="22"/>
    </w:rPr>
  </w:style>
  <w:style w:type="paragraph" w:customStyle="1" w:styleId="214">
    <w:name w:val="List Paragraph1"/>
    <w:basedOn w:val="1"/>
    <w:link w:val="213"/>
    <w:qFormat/>
    <w:uiPriority w:val="0"/>
    <w:pPr>
      <w:ind w:firstLine="420" w:firstLineChars="200"/>
    </w:pPr>
    <w:rPr>
      <w:rFonts w:ascii="Calibri" w:hAnsi="Calibri"/>
      <w:szCs w:val="22"/>
    </w:rPr>
  </w:style>
  <w:style w:type="character" w:customStyle="1" w:styleId="215">
    <w:name w:val="my正文 Char"/>
    <w:link w:val="216"/>
    <w:qFormat/>
    <w:locked/>
    <w:uiPriority w:val="0"/>
    <w:rPr>
      <w:kern w:val="2"/>
      <w:sz w:val="24"/>
      <w:szCs w:val="24"/>
    </w:rPr>
  </w:style>
  <w:style w:type="paragraph" w:customStyle="1" w:styleId="216">
    <w:name w:val="my正文"/>
    <w:basedOn w:val="1"/>
    <w:link w:val="215"/>
    <w:qFormat/>
    <w:uiPriority w:val="0"/>
    <w:pPr>
      <w:spacing w:line="360" w:lineRule="auto"/>
      <w:ind w:firstLine="200" w:firstLineChars="200"/>
    </w:pPr>
    <w:rPr>
      <w:rFonts w:ascii="Calibri" w:hAnsi="Calibri"/>
      <w:sz w:val="24"/>
    </w:rPr>
  </w:style>
  <w:style w:type="character" w:customStyle="1" w:styleId="217">
    <w:name w:val="style15"/>
    <w:basedOn w:val="75"/>
    <w:qFormat/>
    <w:uiPriority w:val="0"/>
  </w:style>
  <w:style w:type="character" w:customStyle="1" w:styleId="218">
    <w:name w:val="正文文本 2 Char"/>
    <w:link w:val="63"/>
    <w:qFormat/>
    <w:uiPriority w:val="0"/>
    <w:rPr>
      <w:rFonts w:eastAsia="宋体"/>
      <w:lang w:val="en-US" w:eastAsia="zh-CN" w:bidi="ar-SA"/>
    </w:rPr>
  </w:style>
  <w:style w:type="character" w:customStyle="1" w:styleId="219">
    <w:name w:val="样式 段前: 0.5 行 段后: 0.5 行 Char"/>
    <w:link w:val="220"/>
    <w:qFormat/>
    <w:uiPriority w:val="0"/>
    <w:rPr>
      <w:sz w:val="24"/>
      <w:lang w:bidi="ar-SA"/>
    </w:rPr>
  </w:style>
  <w:style w:type="paragraph" w:customStyle="1" w:styleId="220">
    <w:name w:val="样式 段前: 0.5 行 段后: 0.5 行"/>
    <w:basedOn w:val="1"/>
    <w:link w:val="219"/>
    <w:qFormat/>
    <w:uiPriority w:val="0"/>
    <w:pPr>
      <w:spacing w:before="156" w:after="156" w:line="360" w:lineRule="auto"/>
      <w:ind w:firstLine="480" w:firstLineChars="200"/>
    </w:pPr>
    <w:rPr>
      <w:rFonts w:ascii="Calibri" w:hAnsi="Calibri"/>
      <w:kern w:val="0"/>
      <w:sz w:val="24"/>
      <w:szCs w:val="20"/>
    </w:rPr>
  </w:style>
  <w:style w:type="character" w:customStyle="1" w:styleId="221">
    <w:name w:val="Ò³Ã¼ Char Char2"/>
    <w:qFormat/>
    <w:uiPriority w:val="0"/>
    <w:rPr>
      <w:kern w:val="2"/>
      <w:sz w:val="18"/>
      <w:szCs w:val="18"/>
    </w:rPr>
  </w:style>
  <w:style w:type="character" w:customStyle="1" w:styleId="222">
    <w:name w:val="正文文本缩进 2 Char"/>
    <w:link w:val="42"/>
    <w:qFormat/>
    <w:uiPriority w:val="0"/>
    <w:rPr>
      <w:rFonts w:eastAsia="宋体"/>
      <w:kern w:val="2"/>
      <w:sz w:val="21"/>
      <w:szCs w:val="24"/>
      <w:lang w:val="en-US" w:eastAsia="zh-CN" w:bidi="ar-SA"/>
    </w:rPr>
  </w:style>
  <w:style w:type="character" w:customStyle="1" w:styleId="223">
    <w:name w:val="编号1 Char Char"/>
    <w:link w:val="224"/>
    <w:qFormat/>
    <w:uiPriority w:val="0"/>
    <w:rPr>
      <w:rFonts w:eastAsia="宋体"/>
      <w:kern w:val="2"/>
      <w:sz w:val="24"/>
      <w:szCs w:val="24"/>
      <w:lang w:val="en-US" w:eastAsia="zh-CN" w:bidi="ar-SA"/>
    </w:rPr>
  </w:style>
  <w:style w:type="paragraph" w:customStyle="1" w:styleId="224">
    <w:name w:val="编号1"/>
    <w:basedOn w:val="1"/>
    <w:link w:val="223"/>
    <w:qFormat/>
    <w:uiPriority w:val="0"/>
    <w:pPr>
      <w:snapToGrid w:val="0"/>
      <w:spacing w:line="360" w:lineRule="auto"/>
    </w:pPr>
    <w:rPr>
      <w:rFonts w:ascii="Calibri" w:hAnsi="Calibri"/>
      <w:sz w:val="24"/>
    </w:rPr>
  </w:style>
  <w:style w:type="character" w:customStyle="1" w:styleId="225">
    <w:name w:val="正文缩进 Char"/>
    <w:link w:val="17"/>
    <w:qFormat/>
    <w:uiPriority w:val="0"/>
    <w:rPr>
      <w:rFonts w:eastAsia="宋体"/>
      <w:sz w:val="21"/>
      <w:lang w:val="en-US" w:eastAsia="zh-CN" w:bidi="ar-SA"/>
    </w:rPr>
  </w:style>
  <w:style w:type="character" w:customStyle="1" w:styleId="226">
    <w:name w:val="标题 2 Char"/>
    <w:link w:val="4"/>
    <w:qFormat/>
    <w:uiPriority w:val="99"/>
    <w:rPr>
      <w:rFonts w:ascii="Arial" w:hAnsi="Arial" w:eastAsia="黑体"/>
      <w:b/>
      <w:bCs/>
      <w:kern w:val="2"/>
      <w:sz w:val="32"/>
      <w:szCs w:val="32"/>
    </w:rPr>
  </w:style>
  <w:style w:type="character" w:customStyle="1" w:styleId="227">
    <w:name w:val="圆点 Char"/>
    <w:link w:val="228"/>
    <w:qFormat/>
    <w:locked/>
    <w:uiPriority w:val="0"/>
    <w:rPr>
      <w:rFonts w:ascii="仿宋_GB2312" w:eastAsia="仿宋_GB2312"/>
      <w:kern w:val="2"/>
      <w:sz w:val="24"/>
      <w:szCs w:val="24"/>
    </w:rPr>
  </w:style>
  <w:style w:type="paragraph" w:customStyle="1" w:styleId="228">
    <w:name w:val="圆点"/>
    <w:basedOn w:val="1"/>
    <w:link w:val="227"/>
    <w:qFormat/>
    <w:uiPriority w:val="0"/>
    <w:pPr>
      <w:numPr>
        <w:ilvl w:val="0"/>
        <w:numId w:val="8"/>
      </w:numPr>
      <w:spacing w:line="360" w:lineRule="auto"/>
      <w:jc w:val="left"/>
    </w:pPr>
    <w:rPr>
      <w:rFonts w:ascii="仿宋_GB2312" w:hAnsi="Calibri" w:eastAsia="仿宋_GB2312"/>
      <w:sz w:val="24"/>
    </w:rPr>
  </w:style>
  <w:style w:type="character" w:customStyle="1" w:styleId="229">
    <w:name w:val="a1"/>
    <w:basedOn w:val="75"/>
    <w:qFormat/>
    <w:uiPriority w:val="0"/>
  </w:style>
  <w:style w:type="character" w:customStyle="1" w:styleId="230">
    <w:name w:val="标题 1 Char"/>
    <w:link w:val="3"/>
    <w:qFormat/>
    <w:uiPriority w:val="0"/>
    <w:rPr>
      <w:b/>
      <w:bCs/>
      <w:kern w:val="44"/>
      <w:sz w:val="44"/>
      <w:szCs w:val="44"/>
    </w:rPr>
  </w:style>
  <w:style w:type="character" w:customStyle="1" w:styleId="231">
    <w:name w:val="p121"/>
    <w:qFormat/>
    <w:uiPriority w:val="0"/>
    <w:rPr>
      <w:sz w:val="18"/>
      <w:szCs w:val="18"/>
    </w:rPr>
  </w:style>
  <w:style w:type="character" w:customStyle="1" w:styleId="232">
    <w:name w:val="标题 8 Char"/>
    <w:link w:val="10"/>
    <w:qFormat/>
    <w:uiPriority w:val="0"/>
    <w:rPr>
      <w:rFonts w:ascii="Arial" w:hAnsi="Arial" w:eastAsia="黑体"/>
      <w:kern w:val="2"/>
      <w:sz w:val="24"/>
      <w:szCs w:val="24"/>
    </w:rPr>
  </w:style>
  <w:style w:type="character" w:customStyle="1" w:styleId="233">
    <w:name w:val="Char Char Char11"/>
    <w:qFormat/>
    <w:uiPriority w:val="0"/>
    <w:rPr>
      <w:rFonts w:ascii="宋体" w:hAnsi="Courier New" w:eastAsia="宋体"/>
      <w:sz w:val="21"/>
      <w:szCs w:val="21"/>
      <w:lang w:val="en-US" w:eastAsia="zh-CN" w:bidi="ar-SA"/>
    </w:rPr>
  </w:style>
  <w:style w:type="character" w:customStyle="1" w:styleId="234">
    <w:name w:val="heading 2 Char1"/>
    <w:qFormat/>
    <w:uiPriority w:val="0"/>
    <w:rPr>
      <w:rFonts w:ascii="Cambria" w:hAnsi="Cambria" w:eastAsia="宋体"/>
      <w:b/>
      <w:bCs/>
      <w:kern w:val="2"/>
      <w:sz w:val="32"/>
      <w:szCs w:val="32"/>
      <w:lang w:val="en-US" w:eastAsia="zh-CN" w:bidi="ar-SA"/>
    </w:rPr>
  </w:style>
  <w:style w:type="character" w:customStyle="1" w:styleId="235">
    <w:name w:val="批注文字 Char"/>
    <w:link w:val="23"/>
    <w:qFormat/>
    <w:uiPriority w:val="0"/>
    <w:rPr>
      <w:rFonts w:eastAsia="宋体"/>
      <w:kern w:val="2"/>
      <w:sz w:val="21"/>
      <w:szCs w:val="24"/>
      <w:lang w:val="en-US" w:eastAsia="zh-CN" w:bidi="ar-SA"/>
    </w:rPr>
  </w:style>
  <w:style w:type="character" w:customStyle="1" w:styleId="236">
    <w:name w:val="批注主题 Char"/>
    <w:link w:val="67"/>
    <w:qFormat/>
    <w:uiPriority w:val="99"/>
    <w:rPr>
      <w:rFonts w:eastAsia="宋体"/>
      <w:b/>
      <w:bCs/>
      <w:kern w:val="2"/>
      <w:sz w:val="21"/>
      <w:szCs w:val="24"/>
      <w:lang w:val="en-US" w:eastAsia="zh-CN" w:bidi="ar-SA"/>
    </w:rPr>
  </w:style>
  <w:style w:type="character" w:customStyle="1" w:styleId="237">
    <w:name w:val="正文1 Char"/>
    <w:link w:val="238"/>
    <w:qFormat/>
    <w:uiPriority w:val="0"/>
    <w:rPr>
      <w:rFonts w:eastAsia="楷体_GB2312"/>
      <w:sz w:val="24"/>
      <w:lang w:val="en-US" w:eastAsia="zh-CN" w:bidi="ar-SA"/>
    </w:rPr>
  </w:style>
  <w:style w:type="paragraph" w:customStyle="1" w:styleId="238">
    <w:name w:val="正文1"/>
    <w:basedOn w:val="1"/>
    <w:link w:val="237"/>
    <w:qFormat/>
    <w:uiPriority w:val="0"/>
    <w:pPr>
      <w:adjustRightInd w:val="0"/>
      <w:spacing w:line="360" w:lineRule="atLeast"/>
      <w:jc w:val="left"/>
    </w:pPr>
    <w:rPr>
      <w:rFonts w:ascii="Calibri" w:hAnsi="Calibri" w:eastAsia="楷体_GB2312"/>
      <w:kern w:val="0"/>
      <w:sz w:val="24"/>
      <w:szCs w:val="20"/>
    </w:rPr>
  </w:style>
  <w:style w:type="character" w:customStyle="1" w:styleId="239">
    <w:name w:val="标题3 Char"/>
    <w:link w:val="240"/>
    <w:qFormat/>
    <w:uiPriority w:val="0"/>
    <w:rPr>
      <w:rFonts w:eastAsia="仿宋_GB2312"/>
      <w:b/>
      <w:kern w:val="2"/>
      <w:sz w:val="21"/>
      <w:szCs w:val="21"/>
    </w:rPr>
  </w:style>
  <w:style w:type="paragraph" w:customStyle="1" w:styleId="240">
    <w:name w:val="标题3"/>
    <w:basedOn w:val="241"/>
    <w:link w:val="239"/>
    <w:qFormat/>
    <w:uiPriority w:val="0"/>
    <w:pPr>
      <w:numPr>
        <w:ilvl w:val="0"/>
        <w:numId w:val="0"/>
      </w:numPr>
      <w:spacing w:line="300" w:lineRule="auto"/>
      <w:ind w:left="846" w:leftChars="200" w:hanging="426" w:hangingChars="202"/>
      <w:outlineLvl w:val="2"/>
    </w:pPr>
    <w:rPr>
      <w:rFonts w:eastAsia="仿宋_GB2312"/>
      <w:b/>
      <w:sz w:val="21"/>
      <w:szCs w:val="21"/>
    </w:rPr>
  </w:style>
  <w:style w:type="paragraph" w:customStyle="1" w:styleId="241">
    <w:name w:val="标题 33"/>
    <w:basedOn w:val="242"/>
    <w:link w:val="334"/>
    <w:qFormat/>
    <w:uiPriority w:val="0"/>
    <w:pPr>
      <w:numPr>
        <w:ilvl w:val="2"/>
        <w:numId w:val="9"/>
      </w:numPr>
    </w:pPr>
  </w:style>
  <w:style w:type="paragraph" w:customStyle="1" w:styleId="242">
    <w:name w:val="标题2"/>
    <w:basedOn w:val="1"/>
    <w:link w:val="333"/>
    <w:qFormat/>
    <w:uiPriority w:val="0"/>
    <w:pPr>
      <w:ind w:left="992" w:hanging="567" w:firstLineChars="200"/>
    </w:pPr>
    <w:rPr>
      <w:rFonts w:ascii="Calibri" w:hAnsi="Calibri"/>
      <w:sz w:val="30"/>
      <w:szCs w:val="20"/>
    </w:rPr>
  </w:style>
  <w:style w:type="character" w:customStyle="1" w:styleId="243">
    <w:name w:val="无间隔 Char"/>
    <w:link w:val="244"/>
    <w:qFormat/>
    <w:uiPriority w:val="1"/>
    <w:rPr>
      <w:sz w:val="22"/>
      <w:szCs w:val="22"/>
      <w:lang w:val="en-US" w:eastAsia="zh-CN" w:bidi="ar-SA"/>
    </w:rPr>
  </w:style>
  <w:style w:type="paragraph" w:customStyle="1" w:styleId="244">
    <w:name w:val="无间隔1"/>
    <w:link w:val="243"/>
    <w:qFormat/>
    <w:uiPriority w:val="1"/>
    <w:rPr>
      <w:rFonts w:ascii="Calibri" w:hAnsi="Calibri" w:eastAsia="宋体" w:cs="Times New Roman"/>
      <w:sz w:val="22"/>
      <w:szCs w:val="22"/>
      <w:lang w:val="en-US" w:eastAsia="zh-CN" w:bidi="ar-SA"/>
    </w:rPr>
  </w:style>
  <w:style w:type="character" w:customStyle="1" w:styleId="245">
    <w:name w:val="heading 4 Char"/>
    <w:qFormat/>
    <w:uiPriority w:val="0"/>
    <w:rPr>
      <w:rFonts w:ascii="Arial" w:hAnsi="Arial" w:eastAsia="黑体" w:cs="Times New Roman"/>
      <w:sz w:val="21"/>
      <w:szCs w:val="21"/>
    </w:rPr>
  </w:style>
  <w:style w:type="character" w:customStyle="1" w:styleId="246">
    <w:name w:val="标题 Char"/>
    <w:link w:val="2"/>
    <w:qFormat/>
    <w:uiPriority w:val="0"/>
    <w:rPr>
      <w:rFonts w:ascii="Cambria" w:hAnsi="Cambria" w:eastAsia="宋体"/>
      <w:b/>
      <w:bCs/>
      <w:sz w:val="32"/>
      <w:szCs w:val="32"/>
      <w:lang w:val="en-US" w:eastAsia="zh-CN" w:bidi="ar-SA"/>
    </w:rPr>
  </w:style>
  <w:style w:type="character" w:customStyle="1" w:styleId="247">
    <w:name w:val="b Char1"/>
    <w:qFormat/>
    <w:uiPriority w:val="0"/>
    <w:rPr>
      <w:kern w:val="2"/>
      <w:sz w:val="24"/>
      <w:szCs w:val="24"/>
    </w:rPr>
  </w:style>
  <w:style w:type="character" w:customStyle="1" w:styleId="248">
    <w:name w:val="样式 首行缩进:  0.74 厘米 Char"/>
    <w:link w:val="249"/>
    <w:qFormat/>
    <w:uiPriority w:val="0"/>
    <w:rPr>
      <w:rFonts w:ascii="宋体" w:hAnsi="宋体"/>
      <w:kern w:val="2"/>
      <w:sz w:val="24"/>
      <w:lang w:eastAsia="en-US"/>
    </w:rPr>
  </w:style>
  <w:style w:type="paragraph" w:customStyle="1" w:styleId="249">
    <w:name w:val="样式 首行缩进:  0.74 厘米"/>
    <w:basedOn w:val="1"/>
    <w:link w:val="248"/>
    <w:qFormat/>
    <w:uiPriority w:val="0"/>
    <w:pPr>
      <w:snapToGrid w:val="0"/>
      <w:spacing w:line="360" w:lineRule="auto"/>
      <w:ind w:firstLine="420"/>
    </w:pPr>
    <w:rPr>
      <w:rFonts w:ascii="宋体" w:hAnsi="宋体"/>
      <w:sz w:val="24"/>
      <w:szCs w:val="20"/>
      <w:lang w:eastAsia="en-US"/>
    </w:rPr>
  </w:style>
  <w:style w:type="character" w:customStyle="1" w:styleId="250">
    <w:name w:val="PI Char"/>
    <w:qFormat/>
    <w:uiPriority w:val="0"/>
    <w:rPr>
      <w:rFonts w:ascii="宋体" w:hAnsi="宋体"/>
      <w:sz w:val="24"/>
    </w:rPr>
  </w:style>
  <w:style w:type="character" w:customStyle="1" w:styleId="251">
    <w:name w:val="pt141"/>
    <w:qFormat/>
    <w:uiPriority w:val="0"/>
    <w:rPr>
      <w:color w:val="330066"/>
      <w:spacing w:val="450"/>
      <w:sz w:val="22"/>
      <w:szCs w:val="22"/>
    </w:rPr>
  </w:style>
  <w:style w:type="character" w:customStyle="1" w:styleId="252">
    <w:name w:val="gray6"/>
    <w:basedOn w:val="75"/>
    <w:qFormat/>
    <w:uiPriority w:val="0"/>
  </w:style>
  <w:style w:type="character" w:customStyle="1" w:styleId="253">
    <w:name w:val="签名 Char"/>
    <w:link w:val="47"/>
    <w:qFormat/>
    <w:uiPriority w:val="0"/>
    <w:rPr>
      <w:rFonts w:eastAsia="仿宋_GB2312"/>
      <w:sz w:val="24"/>
      <w:lang w:val="en-US" w:eastAsia="zh-CN" w:bidi="ar-SA"/>
    </w:rPr>
  </w:style>
  <w:style w:type="character" w:customStyle="1" w:styleId="254">
    <w:name w:val="样式2 Char"/>
    <w:link w:val="255"/>
    <w:qFormat/>
    <w:uiPriority w:val="0"/>
    <w:rPr>
      <w:rFonts w:ascii="宋体" w:hAnsi="宋体" w:eastAsia="宋体"/>
      <w:bCs/>
      <w:kern w:val="2"/>
      <w:sz w:val="28"/>
      <w:szCs w:val="28"/>
      <w:lang w:val="en-US" w:eastAsia="zh-CN" w:bidi="ar-SA"/>
    </w:rPr>
  </w:style>
  <w:style w:type="paragraph" w:customStyle="1" w:styleId="255">
    <w:name w:val="样式2"/>
    <w:basedOn w:val="4"/>
    <w:link w:val="254"/>
    <w:qFormat/>
    <w:uiPriority w:val="0"/>
    <w:pPr>
      <w:numPr>
        <w:ilvl w:val="0"/>
        <w:numId w:val="0"/>
      </w:numPr>
      <w:snapToGrid w:val="0"/>
      <w:spacing w:afterLines="50" w:line="480" w:lineRule="exact"/>
      <w:ind w:firstLine="556"/>
    </w:pPr>
    <w:rPr>
      <w:rFonts w:ascii="宋体" w:hAnsi="宋体" w:eastAsia="宋体"/>
      <w:b w:val="0"/>
      <w:sz w:val="28"/>
      <w:szCs w:val="28"/>
    </w:rPr>
  </w:style>
  <w:style w:type="character" w:customStyle="1" w:styleId="256">
    <w:name w:val="Char Char18"/>
    <w:qFormat/>
    <w:uiPriority w:val="0"/>
    <w:rPr>
      <w:b/>
      <w:bCs/>
      <w:kern w:val="2"/>
      <w:sz w:val="32"/>
      <w:szCs w:val="32"/>
    </w:rPr>
  </w:style>
  <w:style w:type="character" w:customStyle="1" w:styleId="257">
    <w:name w:val="Char Char19"/>
    <w:qFormat/>
    <w:uiPriority w:val="0"/>
    <w:rPr>
      <w:rFonts w:ascii="Cambria" w:hAnsi="Cambria"/>
      <w:b/>
      <w:bCs/>
      <w:kern w:val="2"/>
      <w:sz w:val="32"/>
      <w:szCs w:val="32"/>
    </w:rPr>
  </w:style>
  <w:style w:type="character" w:customStyle="1" w:styleId="258">
    <w:name w:val="heading 2 Char2"/>
    <w:qFormat/>
    <w:uiPriority w:val="0"/>
    <w:rPr>
      <w:rFonts w:ascii="Cambria" w:hAnsi="Cambria"/>
      <w:b/>
      <w:bCs/>
      <w:kern w:val="2"/>
      <w:sz w:val="32"/>
      <w:szCs w:val="32"/>
    </w:rPr>
  </w:style>
  <w:style w:type="character" w:customStyle="1" w:styleId="259">
    <w:name w:val="heading 3 Char2"/>
    <w:qFormat/>
    <w:uiPriority w:val="0"/>
    <w:rPr>
      <w:b/>
      <w:bCs/>
      <w:kern w:val="2"/>
      <w:sz w:val="32"/>
      <w:szCs w:val="32"/>
    </w:rPr>
  </w:style>
  <w:style w:type="character" w:customStyle="1" w:styleId="260">
    <w:name w:val="heading 4 Char2"/>
    <w:qFormat/>
    <w:uiPriority w:val="0"/>
    <w:rPr>
      <w:rFonts w:ascii="Cambria" w:hAnsi="Cambria"/>
      <w:b/>
      <w:bCs/>
      <w:kern w:val="2"/>
      <w:sz w:val="28"/>
      <w:szCs w:val="28"/>
    </w:rPr>
  </w:style>
  <w:style w:type="character" w:customStyle="1" w:styleId="261">
    <w:name w:val="heading 4 Char1"/>
    <w:qFormat/>
    <w:uiPriority w:val="0"/>
    <w:rPr>
      <w:rFonts w:ascii="Cambria" w:hAnsi="Cambria" w:eastAsia="宋体"/>
      <w:b/>
      <w:bCs/>
      <w:kern w:val="2"/>
      <w:sz w:val="28"/>
      <w:szCs w:val="28"/>
      <w:lang w:val="en-US" w:eastAsia="zh-CN" w:bidi="ar-SA"/>
    </w:rPr>
  </w:style>
  <w:style w:type="character" w:customStyle="1" w:styleId="262">
    <w:name w:val="heading 5 Char2"/>
    <w:qFormat/>
    <w:uiPriority w:val="0"/>
    <w:rPr>
      <w:b/>
      <w:bCs/>
      <w:kern w:val="2"/>
      <w:sz w:val="28"/>
      <w:szCs w:val="28"/>
    </w:rPr>
  </w:style>
  <w:style w:type="character" w:customStyle="1" w:styleId="263">
    <w:name w:val="heading 8 Char1"/>
    <w:qFormat/>
    <w:uiPriority w:val="0"/>
    <w:rPr>
      <w:rFonts w:ascii="Arial" w:hAnsi="Arial" w:eastAsia="黑体"/>
      <w:sz w:val="24"/>
      <w:lang w:val="en-US" w:eastAsia="zh-CN" w:bidi="ar-SA"/>
    </w:rPr>
  </w:style>
  <w:style w:type="character" w:customStyle="1" w:styleId="264">
    <w:name w:val="表标题 Char"/>
    <w:link w:val="265"/>
    <w:qFormat/>
    <w:uiPriority w:val="0"/>
    <w:rPr>
      <w:rFonts w:hAnsi="宋体"/>
      <w:szCs w:val="21"/>
    </w:rPr>
  </w:style>
  <w:style w:type="paragraph" w:customStyle="1" w:styleId="265">
    <w:name w:val="表标题"/>
    <w:basedOn w:val="18"/>
    <w:link w:val="264"/>
    <w:qFormat/>
    <w:uiPriority w:val="0"/>
    <w:pPr>
      <w:autoSpaceDE/>
      <w:autoSpaceDN/>
      <w:adjustRightInd/>
      <w:spacing w:beforeLines="50" w:line="360" w:lineRule="auto"/>
      <w:jc w:val="center"/>
    </w:pPr>
    <w:rPr>
      <w:rFonts w:ascii="Calibri" w:hAnsi="宋体" w:eastAsia="宋体"/>
      <w:szCs w:val="21"/>
    </w:rPr>
  </w:style>
  <w:style w:type="character" w:customStyle="1" w:styleId="266">
    <w:name w:val="Footer-Even Char2"/>
    <w:qFormat/>
    <w:uiPriority w:val="0"/>
    <w:rPr>
      <w:kern w:val="2"/>
      <w:sz w:val="18"/>
      <w:szCs w:val="18"/>
    </w:rPr>
  </w:style>
  <w:style w:type="character" w:customStyle="1" w:styleId="267">
    <w:name w:val="PI Char2"/>
    <w:qFormat/>
    <w:uiPriority w:val="0"/>
    <w:rPr>
      <w:kern w:val="2"/>
      <w:sz w:val="24"/>
      <w:szCs w:val="24"/>
    </w:rPr>
  </w:style>
  <w:style w:type="character" w:customStyle="1" w:styleId="268">
    <w:name w:val="heading 1 Char1"/>
    <w:qFormat/>
    <w:uiPriority w:val="0"/>
    <w:rPr>
      <w:rFonts w:eastAsia="宋体"/>
      <w:b/>
      <w:bCs/>
      <w:kern w:val="44"/>
      <w:sz w:val="44"/>
      <w:szCs w:val="44"/>
      <w:lang w:val="en-US" w:eastAsia="zh-CN" w:bidi="ar-SA"/>
    </w:rPr>
  </w:style>
  <w:style w:type="character" w:customStyle="1" w:styleId="269">
    <w:name w:val="heading 3 Char1"/>
    <w:qFormat/>
    <w:uiPriority w:val="0"/>
    <w:rPr>
      <w:rFonts w:eastAsia="宋体"/>
      <w:b/>
      <w:bCs/>
      <w:kern w:val="2"/>
      <w:sz w:val="32"/>
      <w:szCs w:val="32"/>
      <w:lang w:val="en-US" w:eastAsia="zh-CN" w:bidi="ar-SA"/>
    </w:rPr>
  </w:style>
  <w:style w:type="character" w:customStyle="1" w:styleId="270">
    <w:name w:val="PI Char1"/>
    <w:qFormat/>
    <w:uiPriority w:val="0"/>
    <w:rPr>
      <w:rFonts w:eastAsia="宋体"/>
      <w:kern w:val="2"/>
      <w:sz w:val="24"/>
      <w:szCs w:val="24"/>
      <w:lang w:val="en-US" w:eastAsia="zh-CN" w:bidi="ar-SA"/>
    </w:rPr>
  </w:style>
  <w:style w:type="character" w:customStyle="1" w:styleId="271">
    <w:name w:val="Ò³Ã¼ Char Char1"/>
    <w:qFormat/>
    <w:uiPriority w:val="0"/>
    <w:rPr>
      <w:rFonts w:eastAsia="宋体"/>
      <w:kern w:val="2"/>
      <w:sz w:val="18"/>
      <w:szCs w:val="18"/>
      <w:lang w:val="en-US" w:eastAsia="zh-CN" w:bidi="ar-SA"/>
    </w:rPr>
  </w:style>
  <w:style w:type="character" w:customStyle="1" w:styleId="272">
    <w:name w:val="Footer-Even Char1"/>
    <w:qFormat/>
    <w:uiPriority w:val="0"/>
    <w:rPr>
      <w:rFonts w:eastAsia="宋体"/>
      <w:kern w:val="2"/>
      <w:sz w:val="18"/>
      <w:szCs w:val="18"/>
      <w:lang w:val="en-US" w:eastAsia="zh-CN" w:bidi="ar-SA"/>
    </w:rPr>
  </w:style>
  <w:style w:type="character" w:customStyle="1" w:styleId="273">
    <w:name w:val="部分目录标题 Char"/>
    <w:link w:val="274"/>
    <w:qFormat/>
    <w:uiPriority w:val="0"/>
    <w:rPr>
      <w:rFonts w:ascii="宋体" w:hAnsi="宋体"/>
      <w:kern w:val="2"/>
      <w:sz w:val="32"/>
      <w:szCs w:val="32"/>
    </w:rPr>
  </w:style>
  <w:style w:type="paragraph" w:customStyle="1" w:styleId="274">
    <w:name w:val="部分目录标题"/>
    <w:basedOn w:val="1"/>
    <w:link w:val="273"/>
    <w:qFormat/>
    <w:uiPriority w:val="0"/>
    <w:pPr>
      <w:spacing w:line="360" w:lineRule="auto"/>
      <w:jc w:val="center"/>
    </w:pPr>
    <w:rPr>
      <w:rFonts w:ascii="宋体" w:hAnsi="宋体"/>
      <w:sz w:val="32"/>
      <w:szCs w:val="32"/>
    </w:rPr>
  </w:style>
  <w:style w:type="character" w:customStyle="1" w:styleId="275">
    <w:name w:val="正文（缩进） Char"/>
    <w:link w:val="276"/>
    <w:qFormat/>
    <w:uiPriority w:val="0"/>
    <w:rPr>
      <w:rFonts w:eastAsia="宋体"/>
      <w:kern w:val="2"/>
      <w:sz w:val="24"/>
      <w:szCs w:val="24"/>
      <w:lang w:val="en-US" w:eastAsia="zh-CN" w:bidi="ar-SA"/>
    </w:rPr>
  </w:style>
  <w:style w:type="paragraph" w:customStyle="1" w:styleId="276">
    <w:name w:val="正文（缩进）"/>
    <w:basedOn w:val="1"/>
    <w:link w:val="275"/>
    <w:qFormat/>
    <w:uiPriority w:val="0"/>
    <w:pPr>
      <w:spacing w:beforeLines="50" w:afterLines="50" w:line="360" w:lineRule="auto"/>
      <w:ind w:firstLine="480" w:firstLineChars="200"/>
    </w:pPr>
    <w:rPr>
      <w:rFonts w:ascii="Calibri" w:hAnsi="Calibri"/>
      <w:sz w:val="24"/>
    </w:rPr>
  </w:style>
  <w:style w:type="character" w:customStyle="1" w:styleId="277">
    <w:name w:val="正文（编号） Char"/>
    <w:link w:val="278"/>
    <w:qFormat/>
    <w:uiPriority w:val="0"/>
    <w:rPr>
      <w:rFonts w:eastAsia="宋体"/>
      <w:kern w:val="2"/>
      <w:sz w:val="24"/>
      <w:szCs w:val="24"/>
      <w:lang w:val="en-US" w:eastAsia="zh-CN" w:bidi="ar-SA"/>
    </w:rPr>
  </w:style>
  <w:style w:type="paragraph" w:customStyle="1" w:styleId="278">
    <w:name w:val="正文（编号）"/>
    <w:basedOn w:val="276"/>
    <w:link w:val="277"/>
    <w:qFormat/>
    <w:uiPriority w:val="0"/>
    <w:pPr>
      <w:tabs>
        <w:tab w:val="left" w:pos="1080"/>
      </w:tabs>
      <w:ind w:left="1080" w:hanging="540" w:firstLineChars="0"/>
    </w:pPr>
  </w:style>
  <w:style w:type="character" w:customStyle="1" w:styleId="279">
    <w:name w:val="正文文本 2 Char1"/>
    <w:qFormat/>
    <w:uiPriority w:val="0"/>
    <w:rPr>
      <w:kern w:val="2"/>
      <w:sz w:val="24"/>
      <w:szCs w:val="22"/>
    </w:rPr>
  </w:style>
  <w:style w:type="character" w:customStyle="1" w:styleId="280">
    <w:name w:val="样式 EHL二级项目 + 段前: 0.5 行 段后: 0.5 行 Char"/>
    <w:link w:val="281"/>
    <w:qFormat/>
    <w:uiPriority w:val="0"/>
    <w:rPr>
      <w:rFonts w:cs="宋体"/>
      <w:b/>
      <w:kern w:val="2"/>
      <w:sz w:val="24"/>
    </w:rPr>
  </w:style>
  <w:style w:type="paragraph" w:customStyle="1" w:styleId="281">
    <w:name w:val="样式 EHL二级项目 + 段前: 0.5 行 段后: 0.5 行"/>
    <w:basedOn w:val="1"/>
    <w:link w:val="280"/>
    <w:qFormat/>
    <w:uiPriority w:val="0"/>
    <w:pPr>
      <w:numPr>
        <w:ilvl w:val="0"/>
        <w:numId w:val="10"/>
      </w:numPr>
      <w:spacing w:beforeLines="50" w:afterLines="50" w:line="360" w:lineRule="auto"/>
    </w:pPr>
    <w:rPr>
      <w:rFonts w:ascii="Calibri" w:hAnsi="Calibri"/>
      <w:b/>
      <w:sz w:val="24"/>
      <w:szCs w:val="20"/>
    </w:rPr>
  </w:style>
  <w:style w:type="character" w:customStyle="1" w:styleId="282">
    <w:name w:val="样式1"/>
    <w:qFormat/>
    <w:uiPriority w:val="0"/>
    <w:rPr>
      <w:rFonts w:ascii="宋体" w:hAnsi="宋体" w:eastAsia="宋体"/>
      <w:i/>
      <w:color w:val="0070C0"/>
      <w:sz w:val="24"/>
      <w:u w:val="none"/>
    </w:rPr>
  </w:style>
  <w:style w:type="character" w:customStyle="1" w:styleId="283">
    <w:name w:val="正文首行缩进 Char"/>
    <w:qFormat/>
    <w:uiPriority w:val="0"/>
    <w:rPr>
      <w:rFonts w:eastAsia="仿宋_GB2312"/>
      <w:kern w:val="2"/>
      <w:sz w:val="24"/>
      <w:szCs w:val="24"/>
      <w:lang w:val="en-US" w:eastAsia="zh-CN" w:bidi="ar-SA"/>
    </w:rPr>
  </w:style>
  <w:style w:type="character" w:customStyle="1" w:styleId="284">
    <w:name w:val="正文（黑体） Char"/>
    <w:link w:val="285"/>
    <w:qFormat/>
    <w:uiPriority w:val="0"/>
    <w:rPr>
      <w:rFonts w:ascii="黑体" w:eastAsia="黑体"/>
      <w:color w:val="000080"/>
      <w:kern w:val="2"/>
      <w:sz w:val="24"/>
      <w:szCs w:val="24"/>
      <w:lang w:val="en-US" w:eastAsia="zh-CN" w:bidi="ar-SA"/>
    </w:rPr>
  </w:style>
  <w:style w:type="paragraph" w:customStyle="1" w:styleId="285">
    <w:name w:val="正文（黑体）"/>
    <w:basedOn w:val="1"/>
    <w:next w:val="1"/>
    <w:link w:val="284"/>
    <w:qFormat/>
    <w:uiPriority w:val="0"/>
    <w:pPr>
      <w:spacing w:beforeLines="50" w:afterLines="50" w:line="360" w:lineRule="auto"/>
      <w:ind w:firstLine="480" w:firstLineChars="200"/>
    </w:pPr>
    <w:rPr>
      <w:rFonts w:ascii="黑体" w:hAnsi="Calibri" w:eastAsia="黑体"/>
      <w:color w:val="000080"/>
      <w:sz w:val="24"/>
    </w:rPr>
  </w:style>
  <w:style w:type="character" w:customStyle="1" w:styleId="286">
    <w:name w:val="题注 Char"/>
    <w:link w:val="18"/>
    <w:qFormat/>
    <w:uiPriority w:val="2"/>
    <w:rPr>
      <w:rFonts w:ascii="Arial" w:hAnsi="Arial" w:eastAsia="黑体" w:cs="Arial"/>
    </w:rPr>
  </w:style>
  <w:style w:type="character" w:customStyle="1" w:styleId="287">
    <w:name w:val="Char Char Char"/>
    <w:qFormat/>
    <w:uiPriority w:val="0"/>
    <w:rPr>
      <w:rFonts w:ascii="宋体" w:hAnsi="Courier New" w:eastAsia="宋体"/>
      <w:sz w:val="21"/>
      <w:szCs w:val="21"/>
      <w:lang w:val="en-US" w:eastAsia="zh-CN" w:bidi="ar-SA"/>
    </w:rPr>
  </w:style>
  <w:style w:type="character" w:customStyle="1" w:styleId="288">
    <w:name w:val="!我的正文 Ctr+Q Char"/>
    <w:link w:val="171"/>
    <w:qFormat/>
    <w:uiPriority w:val="0"/>
    <w:rPr>
      <w:rFonts w:ascii="Arial" w:hAnsi="Arial"/>
      <w:kern w:val="2"/>
      <w:sz w:val="24"/>
      <w:szCs w:val="21"/>
    </w:rPr>
  </w:style>
  <w:style w:type="character" w:customStyle="1" w:styleId="289">
    <w:name w:val="样式1 Char"/>
    <w:qFormat/>
    <w:uiPriority w:val="0"/>
    <w:rPr>
      <w:rFonts w:ascii="Cambria" w:hAnsi="Cambria" w:eastAsia="宋体"/>
      <w:b/>
      <w:bCs/>
      <w:kern w:val="2"/>
      <w:sz w:val="32"/>
      <w:szCs w:val="32"/>
      <w:lang w:val="en-US" w:eastAsia="zh-CN" w:bidi="ar-SA"/>
    </w:rPr>
  </w:style>
  <w:style w:type="character" w:customStyle="1" w:styleId="290">
    <w:name w:val="b Char"/>
    <w:qFormat/>
    <w:uiPriority w:val="0"/>
    <w:rPr>
      <w:kern w:val="2"/>
      <w:sz w:val="24"/>
      <w:szCs w:val="24"/>
    </w:rPr>
  </w:style>
  <w:style w:type="character" w:customStyle="1" w:styleId="291">
    <w:name w:val="样式 标题 3Heading 3 - oldHeading 3H3l3CTBOD 03h33rd level...2 Char"/>
    <w:link w:val="292"/>
    <w:qFormat/>
    <w:uiPriority w:val="0"/>
    <w:rPr>
      <w:b/>
      <w:bCs/>
      <w:kern w:val="2"/>
      <w:sz w:val="24"/>
      <w:szCs w:val="32"/>
    </w:rPr>
  </w:style>
  <w:style w:type="paragraph" w:customStyle="1" w:styleId="292">
    <w:name w:val="样式 标题 3Heading 3 - oldHeading 3H3l3CTBOD 03h33rd level...2"/>
    <w:basedOn w:val="5"/>
    <w:link w:val="291"/>
    <w:qFormat/>
    <w:uiPriority w:val="0"/>
    <w:pPr>
      <w:numPr>
        <w:numId w:val="0"/>
      </w:numPr>
      <w:tabs>
        <w:tab w:val="left" w:pos="459"/>
      </w:tabs>
      <w:spacing w:beforeLines="50" w:afterLines="50" w:line="360" w:lineRule="auto"/>
      <w:jc w:val="left"/>
    </w:pPr>
    <w:rPr>
      <w:sz w:val="24"/>
    </w:rPr>
  </w:style>
  <w:style w:type="character" w:customStyle="1" w:styleId="293">
    <w:name w:val="尾注文本 Char1"/>
    <w:qFormat/>
    <w:uiPriority w:val="0"/>
    <w:rPr>
      <w:kern w:val="2"/>
      <w:sz w:val="21"/>
      <w:szCs w:val="24"/>
    </w:rPr>
  </w:style>
  <w:style w:type="character" w:customStyle="1" w:styleId="294">
    <w:name w:val="style11"/>
    <w:qFormat/>
    <w:uiPriority w:val="0"/>
    <w:rPr>
      <w:rFonts w:ascii="Verdana" w:hAnsi="Verdana" w:eastAsia="宋体"/>
      <w:color w:val="000000"/>
      <w:sz w:val="24"/>
      <w:lang w:val="en-US" w:eastAsia="en-US" w:bidi="ar-SA"/>
    </w:rPr>
  </w:style>
  <w:style w:type="character" w:customStyle="1" w:styleId="295">
    <w:name w:val="正文（标记） Char Char Char"/>
    <w:link w:val="296"/>
    <w:qFormat/>
    <w:uiPriority w:val="0"/>
    <w:rPr>
      <w:rFonts w:ascii="Verdana" w:hAnsi="Verdana"/>
      <w:kern w:val="2"/>
      <w:sz w:val="24"/>
      <w:szCs w:val="24"/>
      <w:lang w:eastAsia="en-US"/>
    </w:rPr>
  </w:style>
  <w:style w:type="paragraph" w:customStyle="1" w:styleId="296">
    <w:name w:val="正文（标记） Char Char"/>
    <w:basedOn w:val="1"/>
    <w:link w:val="295"/>
    <w:qFormat/>
    <w:uiPriority w:val="0"/>
    <w:pPr>
      <w:numPr>
        <w:ilvl w:val="0"/>
        <w:numId w:val="11"/>
      </w:numPr>
      <w:snapToGrid w:val="0"/>
      <w:spacing w:beforeLines="50" w:afterLines="50" w:line="360" w:lineRule="auto"/>
      <w:ind w:firstLine="0"/>
    </w:pPr>
    <w:rPr>
      <w:rFonts w:ascii="Verdana" w:hAnsi="Verdana"/>
      <w:sz w:val="24"/>
      <w:lang w:eastAsia="en-US"/>
    </w:rPr>
  </w:style>
  <w:style w:type="character" w:customStyle="1" w:styleId="297">
    <w:name w:val="正文文本 3 Char1"/>
    <w:qFormat/>
    <w:uiPriority w:val="0"/>
    <w:rPr>
      <w:kern w:val="2"/>
      <w:sz w:val="16"/>
      <w:szCs w:val="16"/>
    </w:rPr>
  </w:style>
  <w:style w:type="character" w:customStyle="1" w:styleId="298">
    <w:name w:val="方框下的123标题 Char"/>
    <w:link w:val="299"/>
    <w:qFormat/>
    <w:uiPriority w:val="0"/>
    <w:rPr>
      <w:kern w:val="2"/>
      <w:sz w:val="21"/>
      <w:szCs w:val="24"/>
    </w:rPr>
  </w:style>
  <w:style w:type="paragraph" w:customStyle="1" w:styleId="299">
    <w:name w:val="方框下的123标题"/>
    <w:basedOn w:val="1"/>
    <w:link w:val="298"/>
    <w:qFormat/>
    <w:uiPriority w:val="0"/>
    <w:pPr>
      <w:numPr>
        <w:ilvl w:val="0"/>
        <w:numId w:val="12"/>
      </w:numPr>
      <w:tabs>
        <w:tab w:val="left" w:pos="420"/>
      </w:tabs>
      <w:spacing w:line="360" w:lineRule="auto"/>
      <w:ind w:firstLine="0"/>
    </w:pPr>
    <w:rPr>
      <w:rFonts w:ascii="Calibri" w:hAnsi="Calibri"/>
    </w:rPr>
  </w:style>
  <w:style w:type="character" w:customStyle="1" w:styleId="300">
    <w:name w:val="arc11"/>
    <w:qFormat/>
    <w:uiPriority w:val="0"/>
    <w:rPr>
      <w:rFonts w:hint="default"/>
      <w:color w:val="333333"/>
      <w:sz w:val="24"/>
      <w:szCs w:val="24"/>
    </w:rPr>
  </w:style>
  <w:style w:type="character" w:customStyle="1" w:styleId="301">
    <w:name w:val="Char Char161"/>
    <w:qFormat/>
    <w:uiPriority w:val="0"/>
    <w:rPr>
      <w:rFonts w:eastAsia="宋体"/>
      <w:kern w:val="2"/>
      <w:sz w:val="21"/>
      <w:szCs w:val="24"/>
      <w:lang w:val="en-US" w:eastAsia="zh-CN" w:bidi="ar-SA"/>
    </w:rPr>
  </w:style>
  <w:style w:type="character" w:customStyle="1" w:styleId="302">
    <w:name w:val="表内文字 Char"/>
    <w:link w:val="303"/>
    <w:qFormat/>
    <w:uiPriority w:val="0"/>
    <w:rPr>
      <w:rFonts w:ascii="Arial" w:hAnsi="Arial" w:eastAsia="楷体_GB2312" w:cs="Arial"/>
      <w:kern w:val="2"/>
      <w:sz w:val="24"/>
      <w:szCs w:val="24"/>
    </w:rPr>
  </w:style>
  <w:style w:type="paragraph" w:customStyle="1" w:styleId="303">
    <w:name w:val="表内文字"/>
    <w:basedOn w:val="1"/>
    <w:link w:val="302"/>
    <w:qFormat/>
    <w:uiPriority w:val="0"/>
    <w:pPr>
      <w:adjustRightInd w:val="0"/>
      <w:snapToGrid w:val="0"/>
      <w:spacing w:line="500" w:lineRule="atLeast"/>
      <w:jc w:val="center"/>
    </w:pPr>
    <w:rPr>
      <w:rFonts w:ascii="Arial" w:hAnsi="Arial" w:eastAsia="楷体_GB2312"/>
      <w:sz w:val="24"/>
    </w:rPr>
  </w:style>
  <w:style w:type="character" w:customStyle="1" w:styleId="304">
    <w:name w:val="Char Char1"/>
    <w:qFormat/>
    <w:uiPriority w:val="0"/>
    <w:rPr>
      <w:rFonts w:ascii="宋体" w:hAnsi="Courier New"/>
      <w:kern w:val="2"/>
      <w:sz w:val="24"/>
      <w:lang w:bidi="ar-SA"/>
    </w:rPr>
  </w:style>
  <w:style w:type="character" w:customStyle="1" w:styleId="305">
    <w:name w:val="样式 样式 正文文本 + 首行缩进:  2.21 字符 + 首行缩进:  2.21 字符 Char"/>
    <w:link w:val="306"/>
    <w:qFormat/>
    <w:uiPriority w:val="0"/>
    <w:rPr>
      <w:rFonts w:ascii="仿宋_GB2312" w:eastAsia="仿宋_GB2312"/>
      <w:kern w:val="2"/>
      <w:sz w:val="28"/>
    </w:rPr>
  </w:style>
  <w:style w:type="paragraph" w:customStyle="1" w:styleId="306">
    <w:name w:val="样式 样式 正文文本 + 首行缩进:  2.21 字符 + 首行缩进:  2.21 字符"/>
    <w:basedOn w:val="1"/>
    <w:link w:val="305"/>
    <w:qFormat/>
    <w:uiPriority w:val="0"/>
    <w:pPr>
      <w:adjustRightInd w:val="0"/>
      <w:snapToGrid w:val="0"/>
      <w:spacing w:line="360" w:lineRule="auto"/>
      <w:ind w:firstLine="200" w:firstLineChars="200"/>
    </w:pPr>
    <w:rPr>
      <w:rFonts w:ascii="仿宋_GB2312" w:hAnsi="Calibri" w:eastAsia="仿宋_GB2312"/>
      <w:sz w:val="28"/>
      <w:szCs w:val="20"/>
    </w:rPr>
  </w:style>
  <w:style w:type="character" w:customStyle="1" w:styleId="307">
    <w:name w:val="Char Char11"/>
    <w:qFormat/>
    <w:uiPriority w:val="0"/>
    <w:rPr>
      <w:rFonts w:ascii="Cambria" w:hAnsi="Cambria" w:eastAsia="宋体" w:cs="Times New Roman"/>
      <w:b/>
      <w:bCs/>
      <w:kern w:val="2"/>
      <w:sz w:val="32"/>
      <w:szCs w:val="32"/>
    </w:rPr>
  </w:style>
  <w:style w:type="character" w:customStyle="1" w:styleId="308">
    <w:name w:val="首行缩进 Char"/>
    <w:link w:val="309"/>
    <w:qFormat/>
    <w:uiPriority w:val="0"/>
    <w:rPr>
      <w:kern w:val="2"/>
      <w:sz w:val="24"/>
      <w:szCs w:val="24"/>
    </w:rPr>
  </w:style>
  <w:style w:type="paragraph" w:customStyle="1" w:styleId="309">
    <w:name w:val="首行缩进"/>
    <w:basedOn w:val="1"/>
    <w:link w:val="308"/>
    <w:qFormat/>
    <w:uiPriority w:val="0"/>
    <w:pPr>
      <w:numPr>
        <w:ilvl w:val="1"/>
        <w:numId w:val="13"/>
      </w:numPr>
      <w:spacing w:line="360" w:lineRule="auto"/>
    </w:pPr>
    <w:rPr>
      <w:rFonts w:ascii="Calibri" w:hAnsi="Calibri"/>
      <w:sz w:val="24"/>
    </w:rPr>
  </w:style>
  <w:style w:type="character" w:customStyle="1" w:styleId="310">
    <w:name w:val="小标题 Char"/>
    <w:qFormat/>
    <w:uiPriority w:val="0"/>
    <w:rPr>
      <w:kern w:val="2"/>
      <w:sz w:val="24"/>
      <w:szCs w:val="24"/>
    </w:rPr>
  </w:style>
  <w:style w:type="character" w:customStyle="1" w:styleId="311">
    <w:name w:val="HTML 预设格式 Char"/>
    <w:link w:val="64"/>
    <w:qFormat/>
    <w:uiPriority w:val="0"/>
    <w:rPr>
      <w:rFonts w:ascii="宋体" w:hAnsi="宋体"/>
      <w:sz w:val="24"/>
      <w:szCs w:val="24"/>
    </w:rPr>
  </w:style>
  <w:style w:type="character" w:customStyle="1" w:styleId="312">
    <w:name w:val="HTML 预设格式 Char1"/>
    <w:qFormat/>
    <w:uiPriority w:val="0"/>
    <w:rPr>
      <w:rFonts w:ascii="Courier New" w:hAnsi="Courier New" w:cs="Courier New"/>
      <w:kern w:val="2"/>
    </w:rPr>
  </w:style>
  <w:style w:type="character" w:customStyle="1" w:styleId="313">
    <w:name w:val="Char Char9"/>
    <w:qFormat/>
    <w:uiPriority w:val="0"/>
    <w:rPr>
      <w:rFonts w:ascii="宋体" w:hAnsi="宋体" w:eastAsia="宋体" w:cs="Arial"/>
      <w:kern w:val="2"/>
      <w:sz w:val="24"/>
      <w:szCs w:val="24"/>
    </w:rPr>
  </w:style>
  <w:style w:type="character" w:customStyle="1" w:styleId="314">
    <w:name w:val="Char Char13"/>
    <w:qFormat/>
    <w:uiPriority w:val="0"/>
    <w:rPr>
      <w:rFonts w:ascii="Cambria" w:hAnsi="Cambria"/>
      <w:b/>
      <w:bCs/>
      <w:kern w:val="2"/>
      <w:sz w:val="32"/>
      <w:szCs w:val="32"/>
      <w:lang w:bidi="ar-SA"/>
    </w:rPr>
  </w:style>
  <w:style w:type="character" w:customStyle="1" w:styleId="315">
    <w:name w:val="z-窗体顶端 Char1"/>
    <w:qFormat/>
    <w:uiPriority w:val="0"/>
    <w:rPr>
      <w:rFonts w:ascii="Arial" w:hAnsi="Arial" w:cs="Arial"/>
      <w:vanish/>
      <w:kern w:val="2"/>
      <w:sz w:val="16"/>
      <w:szCs w:val="16"/>
    </w:rPr>
  </w:style>
  <w:style w:type="character" w:customStyle="1" w:styleId="316">
    <w:name w:val="sony12"/>
    <w:qFormat/>
    <w:uiPriority w:val="0"/>
    <w:rPr>
      <w:rFonts w:ascii="Verdana" w:hAnsi="Verdana" w:eastAsia="宋体"/>
      <w:sz w:val="24"/>
      <w:lang w:val="en-US" w:eastAsia="en-US" w:bidi="ar-SA"/>
    </w:rPr>
  </w:style>
  <w:style w:type="character" w:customStyle="1" w:styleId="317">
    <w:name w:val="正文格式 Char"/>
    <w:link w:val="318"/>
    <w:qFormat/>
    <w:uiPriority w:val="0"/>
    <w:rPr>
      <w:rFonts w:ascii="Arial" w:hAnsi="Arial" w:eastAsia="新宋体"/>
      <w:sz w:val="24"/>
    </w:rPr>
  </w:style>
  <w:style w:type="paragraph" w:customStyle="1" w:styleId="318">
    <w:name w:val="正文格式"/>
    <w:basedOn w:val="1"/>
    <w:link w:val="317"/>
    <w:qFormat/>
    <w:uiPriority w:val="0"/>
    <w:pPr>
      <w:widowControl/>
      <w:tabs>
        <w:tab w:val="left" w:pos="960"/>
      </w:tabs>
      <w:adjustRightInd w:val="0"/>
      <w:snapToGrid w:val="0"/>
      <w:spacing w:line="300" w:lineRule="auto"/>
      <w:ind w:firstLine="482"/>
      <w:textAlignment w:val="baseline"/>
    </w:pPr>
    <w:rPr>
      <w:rFonts w:ascii="Arial" w:hAnsi="Arial" w:eastAsia="新宋体"/>
      <w:kern w:val="0"/>
      <w:sz w:val="24"/>
      <w:szCs w:val="20"/>
    </w:rPr>
  </w:style>
  <w:style w:type="character" w:customStyle="1" w:styleId="319">
    <w:name w:val="正文段落 Char"/>
    <w:link w:val="320"/>
    <w:qFormat/>
    <w:uiPriority w:val="0"/>
    <w:rPr>
      <w:rFonts w:ascii="Verdana" w:hAnsi="Verdana"/>
      <w:kern w:val="2"/>
      <w:sz w:val="24"/>
      <w:szCs w:val="24"/>
      <w:lang w:eastAsia="en-US"/>
    </w:rPr>
  </w:style>
  <w:style w:type="paragraph" w:customStyle="1" w:styleId="320">
    <w:name w:val="正文段落"/>
    <w:basedOn w:val="1"/>
    <w:next w:val="1"/>
    <w:link w:val="319"/>
    <w:qFormat/>
    <w:uiPriority w:val="0"/>
    <w:pPr>
      <w:snapToGrid w:val="0"/>
      <w:spacing w:line="360" w:lineRule="auto"/>
      <w:ind w:firstLine="200" w:firstLineChars="200"/>
    </w:pPr>
    <w:rPr>
      <w:rFonts w:ascii="Verdana" w:hAnsi="Verdana"/>
      <w:sz w:val="24"/>
      <w:lang w:eastAsia="en-US"/>
    </w:rPr>
  </w:style>
  <w:style w:type="character" w:customStyle="1" w:styleId="321">
    <w:name w:val="正文首行缩进 Char2"/>
    <w:qFormat/>
    <w:uiPriority w:val="0"/>
    <w:rPr>
      <w:kern w:val="2"/>
      <w:sz w:val="24"/>
      <w:szCs w:val="24"/>
    </w:rPr>
  </w:style>
  <w:style w:type="character" w:customStyle="1" w:styleId="322">
    <w:name w:val="p14"/>
    <w:basedOn w:val="75"/>
    <w:qFormat/>
    <w:uiPriority w:val="0"/>
  </w:style>
  <w:style w:type="character" w:customStyle="1" w:styleId="323">
    <w:name w:val="content1"/>
    <w:qFormat/>
    <w:uiPriority w:val="0"/>
    <w:rPr>
      <w:rFonts w:hint="eastAsia" w:ascii="Οgb2312" w:eastAsia="Οgb2312"/>
      <w:color w:val="000000"/>
      <w:spacing w:val="15"/>
      <w:sz w:val="29"/>
      <w:szCs w:val="29"/>
    </w:rPr>
  </w:style>
  <w:style w:type="character" w:customStyle="1" w:styleId="324">
    <w:name w:val="Heading 2 Char"/>
    <w:qFormat/>
    <w:uiPriority w:val="0"/>
    <w:rPr>
      <w:rFonts w:ascii="Cambria" w:hAnsi="Cambria" w:eastAsia="宋体" w:cs="Times New Roman"/>
      <w:b/>
      <w:bCs/>
      <w:sz w:val="32"/>
      <w:szCs w:val="32"/>
    </w:rPr>
  </w:style>
  <w:style w:type="character" w:customStyle="1" w:styleId="325">
    <w:name w:val="样式 标题 3H31.1.1标题 3h3sect1.2.3BOD 03rd levellevel_3PIM 3... Char Char"/>
    <w:link w:val="326"/>
    <w:qFormat/>
    <w:uiPriority w:val="0"/>
    <w:rPr>
      <w:rFonts w:eastAsia="黑体"/>
      <w:b/>
      <w:bCs/>
      <w:color w:val="000000"/>
      <w:sz w:val="28"/>
      <w:szCs w:val="32"/>
    </w:rPr>
  </w:style>
  <w:style w:type="paragraph" w:customStyle="1" w:styleId="326">
    <w:name w:val="样式 标题 3H31.1.1标题 3h3sect1.2.3BOD 03rd levellevel_3PIM 3..."/>
    <w:basedOn w:val="5"/>
    <w:link w:val="325"/>
    <w:qFormat/>
    <w:uiPriority w:val="0"/>
    <w:pPr>
      <w:numPr>
        <w:numId w:val="0"/>
      </w:numPr>
      <w:tabs>
        <w:tab w:val="left" w:pos="459"/>
        <w:tab w:val="left" w:pos="900"/>
      </w:tabs>
      <w:autoSpaceDE w:val="0"/>
      <w:autoSpaceDN w:val="0"/>
      <w:snapToGrid w:val="0"/>
      <w:spacing w:beforeLines="50" w:afterLines="50" w:line="360" w:lineRule="auto"/>
      <w:jc w:val="left"/>
    </w:pPr>
    <w:rPr>
      <w:rFonts w:eastAsia="黑体"/>
      <w:color w:val="000000"/>
      <w:kern w:val="0"/>
      <w:sz w:val="28"/>
    </w:rPr>
  </w:style>
  <w:style w:type="character" w:customStyle="1" w:styleId="327">
    <w:name w:val="正文（缩进） Char Char1"/>
    <w:qFormat/>
    <w:uiPriority w:val="0"/>
    <w:rPr>
      <w:kern w:val="2"/>
      <w:sz w:val="24"/>
      <w:szCs w:val="24"/>
    </w:rPr>
  </w:style>
  <w:style w:type="character" w:customStyle="1" w:styleId="328">
    <w:name w:val="图片居中 Char"/>
    <w:link w:val="329"/>
    <w:qFormat/>
    <w:uiPriority w:val="0"/>
    <w:rPr>
      <w:kern w:val="2"/>
      <w:sz w:val="21"/>
    </w:rPr>
  </w:style>
  <w:style w:type="paragraph" w:customStyle="1" w:styleId="329">
    <w:name w:val="图片居中"/>
    <w:basedOn w:val="1"/>
    <w:next w:val="1"/>
    <w:link w:val="328"/>
    <w:qFormat/>
    <w:uiPriority w:val="0"/>
    <w:pPr>
      <w:jc w:val="center"/>
    </w:pPr>
    <w:rPr>
      <w:rFonts w:ascii="Calibri" w:hAnsi="Calibri"/>
      <w:szCs w:val="20"/>
    </w:rPr>
  </w:style>
  <w:style w:type="character" w:customStyle="1" w:styleId="330">
    <w:name w:val="t_tag"/>
    <w:basedOn w:val="75"/>
    <w:qFormat/>
    <w:uiPriority w:val="0"/>
  </w:style>
  <w:style w:type="character" w:customStyle="1" w:styleId="331">
    <w:name w:val="Char Char10"/>
    <w:qFormat/>
    <w:uiPriority w:val="0"/>
    <w:rPr>
      <w:rFonts w:eastAsia="宋体"/>
      <w:b/>
      <w:bCs/>
      <w:kern w:val="2"/>
      <w:sz w:val="24"/>
      <w:szCs w:val="24"/>
      <w:lang w:val="en-US" w:eastAsia="zh-CN" w:bidi="ar-SA"/>
    </w:rPr>
  </w:style>
  <w:style w:type="character" w:customStyle="1" w:styleId="332">
    <w:name w:val="ContentsHeader Char Char"/>
    <w:qFormat/>
    <w:uiPriority w:val="0"/>
    <w:rPr>
      <w:kern w:val="2"/>
      <w:sz w:val="18"/>
      <w:szCs w:val="18"/>
    </w:rPr>
  </w:style>
  <w:style w:type="character" w:customStyle="1" w:styleId="333">
    <w:name w:val="标题2 Char"/>
    <w:link w:val="242"/>
    <w:qFormat/>
    <w:uiPriority w:val="0"/>
    <w:rPr>
      <w:kern w:val="2"/>
      <w:sz w:val="30"/>
    </w:rPr>
  </w:style>
  <w:style w:type="character" w:customStyle="1" w:styleId="334">
    <w:name w:val="标题 33 Char"/>
    <w:link w:val="241"/>
    <w:qFormat/>
    <w:uiPriority w:val="0"/>
    <w:rPr>
      <w:kern w:val="2"/>
      <w:sz w:val="30"/>
    </w:rPr>
  </w:style>
  <w:style w:type="character" w:customStyle="1" w:styleId="335">
    <w:name w:val="部分标题 Char"/>
    <w:link w:val="336"/>
    <w:qFormat/>
    <w:uiPriority w:val="0"/>
    <w:rPr>
      <w:rFonts w:ascii="仿宋_GB2312" w:hAnsi="仿宋_GB2312" w:eastAsia="黑体"/>
      <w:bCs/>
      <w:kern w:val="44"/>
      <w:sz w:val="44"/>
      <w:szCs w:val="44"/>
    </w:rPr>
  </w:style>
  <w:style w:type="paragraph" w:customStyle="1" w:styleId="336">
    <w:name w:val="部分标题"/>
    <w:basedOn w:val="3"/>
    <w:link w:val="335"/>
    <w:qFormat/>
    <w:uiPriority w:val="0"/>
    <w:pPr>
      <w:numPr>
        <w:numId w:val="0"/>
      </w:numPr>
      <w:spacing w:before="120" w:after="120" w:line="360" w:lineRule="auto"/>
      <w:jc w:val="center"/>
    </w:pPr>
    <w:rPr>
      <w:rFonts w:ascii="仿宋_GB2312" w:hAnsi="仿宋_GB2312" w:eastAsia="黑体"/>
      <w:b w:val="0"/>
    </w:rPr>
  </w:style>
  <w:style w:type="character" w:customStyle="1" w:styleId="337">
    <w:name w:val="普通文字1 Char"/>
    <w:qFormat/>
    <w:uiPriority w:val="99"/>
    <w:rPr>
      <w:rFonts w:ascii="宋体" w:hAnsi="Courier New"/>
      <w:kern w:val="2"/>
      <w:sz w:val="21"/>
      <w:szCs w:val="21"/>
    </w:rPr>
  </w:style>
  <w:style w:type="character" w:customStyle="1" w:styleId="338">
    <w:name w:val="题注样式 Char"/>
    <w:link w:val="339"/>
    <w:qFormat/>
    <w:uiPriority w:val="0"/>
    <w:rPr>
      <w:rFonts w:ascii="Arial" w:hAnsi="Arial" w:cs="Arial"/>
      <w:b/>
      <w:kern w:val="2"/>
      <w:sz w:val="21"/>
    </w:rPr>
  </w:style>
  <w:style w:type="paragraph" w:customStyle="1" w:styleId="339">
    <w:name w:val="题注样式"/>
    <w:basedOn w:val="18"/>
    <w:link w:val="338"/>
    <w:qFormat/>
    <w:uiPriority w:val="0"/>
    <w:pPr>
      <w:autoSpaceDE/>
      <w:autoSpaceDN/>
      <w:adjustRightInd/>
      <w:spacing w:line="360" w:lineRule="auto"/>
      <w:ind w:firstLine="562"/>
      <w:jc w:val="center"/>
    </w:pPr>
    <w:rPr>
      <w:rFonts w:eastAsia="宋体"/>
      <w:b/>
      <w:kern w:val="2"/>
      <w:sz w:val="21"/>
    </w:rPr>
  </w:style>
  <w:style w:type="character" w:customStyle="1" w:styleId="340">
    <w:name w:val="v151"/>
    <w:qFormat/>
    <w:uiPriority w:val="0"/>
    <w:rPr>
      <w:sz w:val="18"/>
      <w:szCs w:val="18"/>
    </w:rPr>
  </w:style>
  <w:style w:type="character" w:customStyle="1" w:styleId="341">
    <w:name w:val="脚注文本 Char"/>
    <w:link w:val="55"/>
    <w:qFormat/>
    <w:uiPriority w:val="99"/>
    <w:rPr>
      <w:rFonts w:ascii="Calibri" w:hAnsi="Calibri" w:eastAsia="仿宋_GB2312"/>
      <w:kern w:val="2"/>
      <w:sz w:val="18"/>
      <w:szCs w:val="18"/>
    </w:rPr>
  </w:style>
  <w:style w:type="character" w:customStyle="1" w:styleId="342">
    <w:name w:val="标题5 Char"/>
    <w:link w:val="343"/>
    <w:qFormat/>
    <w:uiPriority w:val="0"/>
    <w:rPr>
      <w:rFonts w:eastAsia="仿宋_GB2312"/>
      <w:b/>
      <w:kern w:val="2"/>
      <w:sz w:val="24"/>
      <w:szCs w:val="21"/>
    </w:rPr>
  </w:style>
  <w:style w:type="paragraph" w:customStyle="1" w:styleId="343">
    <w:name w:val="标题5"/>
    <w:basedOn w:val="17"/>
    <w:link w:val="342"/>
    <w:qFormat/>
    <w:uiPriority w:val="0"/>
    <w:pPr>
      <w:adjustRightInd/>
      <w:spacing w:line="360" w:lineRule="auto"/>
      <w:ind w:left="2565" w:hanging="855"/>
      <w:textAlignment w:val="auto"/>
      <w:outlineLvl w:val="4"/>
    </w:pPr>
    <w:rPr>
      <w:rFonts w:eastAsia="仿宋_GB2312"/>
      <w:b/>
      <w:kern w:val="2"/>
      <w:sz w:val="24"/>
      <w:szCs w:val="21"/>
    </w:rPr>
  </w:style>
  <w:style w:type="character" w:customStyle="1" w:styleId="344">
    <w:name w:val="注释标题 Char"/>
    <w:link w:val="14"/>
    <w:qFormat/>
    <w:uiPriority w:val="0"/>
    <w:rPr>
      <w:kern w:val="2"/>
      <w:sz w:val="21"/>
    </w:rPr>
  </w:style>
  <w:style w:type="character" w:customStyle="1" w:styleId="345">
    <w:name w:val="总部分 Char"/>
    <w:link w:val="346"/>
    <w:qFormat/>
    <w:uiPriority w:val="0"/>
    <w:rPr>
      <w:rFonts w:ascii="仿宋_GB2312"/>
    </w:rPr>
  </w:style>
  <w:style w:type="paragraph" w:customStyle="1" w:styleId="346">
    <w:name w:val="总部分"/>
    <w:basedOn w:val="1"/>
    <w:link w:val="345"/>
    <w:qFormat/>
    <w:uiPriority w:val="0"/>
    <w:pPr>
      <w:ind w:left="-2" w:leftChars="-202" w:hanging="422" w:hangingChars="132"/>
      <w:jc w:val="center"/>
      <w:outlineLvl w:val="0"/>
    </w:pPr>
    <w:rPr>
      <w:rFonts w:ascii="仿宋_GB2312" w:hAnsi="Calibri"/>
      <w:kern w:val="0"/>
      <w:sz w:val="20"/>
      <w:szCs w:val="20"/>
    </w:rPr>
  </w:style>
  <w:style w:type="character" w:customStyle="1" w:styleId="347">
    <w:name w:val="Table Text Char"/>
    <w:link w:val="348"/>
    <w:qFormat/>
    <w:uiPriority w:val="0"/>
    <w:rPr>
      <w:sz w:val="24"/>
    </w:rPr>
  </w:style>
  <w:style w:type="paragraph" w:customStyle="1" w:styleId="348">
    <w:name w:val="Table Text"/>
    <w:basedOn w:val="1"/>
    <w:link w:val="347"/>
    <w:qFormat/>
    <w:uiPriority w:val="0"/>
    <w:pPr>
      <w:widowControl/>
      <w:autoSpaceDE w:val="0"/>
      <w:autoSpaceDN w:val="0"/>
      <w:adjustRightInd w:val="0"/>
      <w:spacing w:before="60" w:after="60"/>
      <w:jc w:val="left"/>
    </w:pPr>
    <w:rPr>
      <w:rFonts w:ascii="Calibri" w:hAnsi="Calibri"/>
      <w:kern w:val="0"/>
      <w:sz w:val="24"/>
      <w:szCs w:val="20"/>
    </w:rPr>
  </w:style>
  <w:style w:type="character" w:customStyle="1" w:styleId="349">
    <w:name w:val="Field Label"/>
    <w:qFormat/>
    <w:uiPriority w:val="0"/>
    <w:rPr>
      <w:rFonts w:ascii="Times New Roman" w:hAnsi="Times New Roman" w:cs="Times New Roman"/>
      <w:i/>
      <w:iCs/>
      <w:color w:val="004080"/>
      <w:sz w:val="20"/>
      <w:szCs w:val="20"/>
      <w:u w:color="000000"/>
    </w:rPr>
  </w:style>
  <w:style w:type="character" w:customStyle="1" w:styleId="350">
    <w:name w:val="nr1"/>
    <w:qFormat/>
    <w:uiPriority w:val="0"/>
    <w:rPr>
      <w:rFonts w:hint="eastAsia" w:ascii="楷体_GB2312" w:hAnsi="宋体" w:eastAsia="楷体_GB2312"/>
      <w:color w:val="000000"/>
      <w:kern w:val="2"/>
      <w:sz w:val="24"/>
      <w:szCs w:val="24"/>
      <w:lang w:val="en-US" w:eastAsia="zh-CN" w:bidi="ar-SA"/>
    </w:rPr>
  </w:style>
  <w:style w:type="character" w:customStyle="1" w:styleId="351">
    <w:name w:val="标题6 Char"/>
    <w:link w:val="352"/>
    <w:qFormat/>
    <w:uiPriority w:val="0"/>
    <w:rPr>
      <w:rFonts w:eastAsia="仿宋_GB2312"/>
      <w:b/>
      <w:kern w:val="2"/>
      <w:sz w:val="24"/>
      <w:szCs w:val="21"/>
    </w:rPr>
  </w:style>
  <w:style w:type="paragraph" w:customStyle="1" w:styleId="352">
    <w:name w:val="标题6"/>
    <w:basedOn w:val="343"/>
    <w:link w:val="351"/>
    <w:qFormat/>
    <w:uiPriority w:val="0"/>
    <w:pPr>
      <w:ind w:left="3270" w:hanging="1140"/>
      <w:outlineLvl w:val="5"/>
    </w:pPr>
  </w:style>
  <w:style w:type="character" w:customStyle="1" w:styleId="353">
    <w:name w:val="huei12b"/>
    <w:basedOn w:val="75"/>
    <w:qFormat/>
    <w:uiPriority w:val="0"/>
  </w:style>
  <w:style w:type="character" w:customStyle="1" w:styleId="354">
    <w:name w:val="图表 Char"/>
    <w:link w:val="355"/>
    <w:qFormat/>
    <w:uiPriority w:val="0"/>
    <w:rPr>
      <w:b/>
      <w:kern w:val="2"/>
      <w:sz w:val="21"/>
      <w:szCs w:val="24"/>
    </w:rPr>
  </w:style>
  <w:style w:type="paragraph" w:customStyle="1" w:styleId="355">
    <w:name w:val="图表"/>
    <w:basedOn w:val="1"/>
    <w:link w:val="354"/>
    <w:qFormat/>
    <w:uiPriority w:val="0"/>
    <w:pPr>
      <w:ind w:left="992" w:hanging="992"/>
      <w:jc w:val="center"/>
    </w:pPr>
    <w:rPr>
      <w:rFonts w:ascii="Calibri" w:hAnsi="Calibri"/>
      <w:b/>
    </w:rPr>
  </w:style>
  <w:style w:type="character" w:customStyle="1" w:styleId="356">
    <w:name w:val="5级项目 Char"/>
    <w:link w:val="357"/>
    <w:qFormat/>
    <w:uiPriority w:val="0"/>
    <w:rPr>
      <w:rFonts w:hAnsi="宋体" w:eastAsia="仿宋_GB2312"/>
      <w:b/>
      <w:kern w:val="2"/>
      <w:sz w:val="24"/>
      <w:szCs w:val="24"/>
    </w:rPr>
  </w:style>
  <w:style w:type="paragraph" w:customStyle="1" w:styleId="357">
    <w:name w:val="5级项目"/>
    <w:basedOn w:val="1"/>
    <w:link w:val="356"/>
    <w:qFormat/>
    <w:uiPriority w:val="0"/>
    <w:pPr>
      <w:numPr>
        <w:ilvl w:val="0"/>
        <w:numId w:val="14"/>
      </w:numPr>
      <w:autoSpaceDE w:val="0"/>
      <w:autoSpaceDN w:val="0"/>
      <w:adjustRightInd w:val="0"/>
      <w:ind w:firstLine="0"/>
      <w:jc w:val="left"/>
    </w:pPr>
    <w:rPr>
      <w:rFonts w:ascii="Calibri" w:hAnsi="宋体" w:eastAsia="仿宋_GB2312"/>
      <w:b/>
      <w:sz w:val="24"/>
    </w:rPr>
  </w:style>
  <w:style w:type="character" w:customStyle="1" w:styleId="358">
    <w:name w:val="图例 Char"/>
    <w:link w:val="359"/>
    <w:qFormat/>
    <w:uiPriority w:val="0"/>
    <w:rPr>
      <w:kern w:val="2"/>
      <w:sz w:val="24"/>
      <w:szCs w:val="24"/>
    </w:rPr>
  </w:style>
  <w:style w:type="paragraph" w:customStyle="1" w:styleId="359">
    <w:name w:val="图例"/>
    <w:basedOn w:val="1"/>
    <w:link w:val="358"/>
    <w:qFormat/>
    <w:uiPriority w:val="0"/>
    <w:pPr>
      <w:jc w:val="center"/>
    </w:pPr>
    <w:rPr>
      <w:rFonts w:ascii="Calibri" w:hAnsi="Calibri"/>
      <w:sz w:val="24"/>
    </w:rPr>
  </w:style>
  <w:style w:type="character" w:customStyle="1" w:styleId="360">
    <w:name w:val="注释 Char"/>
    <w:link w:val="361"/>
    <w:qFormat/>
    <w:uiPriority w:val="0"/>
    <w:rPr>
      <w:rFonts w:ascii="Arial" w:hAnsi="宋体" w:eastAsia="黑体"/>
      <w:color w:val="000000"/>
      <w:kern w:val="2"/>
      <w:sz w:val="18"/>
      <w:szCs w:val="18"/>
    </w:rPr>
  </w:style>
  <w:style w:type="paragraph" w:customStyle="1" w:styleId="361">
    <w:name w:val="注释"/>
    <w:basedOn w:val="18"/>
    <w:link w:val="360"/>
    <w:qFormat/>
    <w:uiPriority w:val="0"/>
    <w:pPr>
      <w:autoSpaceDE/>
      <w:autoSpaceDN/>
      <w:adjustRightInd/>
      <w:spacing w:line="360" w:lineRule="auto"/>
      <w:ind w:firstLine="378" w:firstLineChars="210"/>
    </w:pPr>
    <w:rPr>
      <w:rFonts w:hAnsi="宋体"/>
      <w:color w:val="000000"/>
      <w:kern w:val="2"/>
      <w:sz w:val="18"/>
      <w:szCs w:val="18"/>
    </w:rPr>
  </w:style>
  <w:style w:type="character" w:customStyle="1" w:styleId="362">
    <w:name w:val="级别1 Char"/>
    <w:link w:val="363"/>
    <w:qFormat/>
    <w:uiPriority w:val="0"/>
    <w:rPr>
      <w:b/>
      <w:kern w:val="2"/>
      <w:sz w:val="30"/>
    </w:rPr>
  </w:style>
  <w:style w:type="paragraph" w:customStyle="1" w:styleId="363">
    <w:name w:val="级别1"/>
    <w:basedOn w:val="1"/>
    <w:link w:val="362"/>
    <w:qFormat/>
    <w:uiPriority w:val="0"/>
    <w:pPr>
      <w:ind w:left="425"/>
    </w:pPr>
    <w:rPr>
      <w:rFonts w:ascii="Calibri" w:hAnsi="Calibri"/>
      <w:b/>
      <w:sz w:val="30"/>
      <w:szCs w:val="20"/>
    </w:rPr>
  </w:style>
  <w:style w:type="character" w:customStyle="1" w:styleId="364">
    <w:name w:val="级别2 Char"/>
    <w:link w:val="365"/>
    <w:qFormat/>
    <w:uiPriority w:val="0"/>
    <w:rPr>
      <w:b/>
      <w:kern w:val="2"/>
      <w:sz w:val="30"/>
    </w:rPr>
  </w:style>
  <w:style w:type="paragraph" w:customStyle="1" w:styleId="365">
    <w:name w:val="级别2"/>
    <w:basedOn w:val="363"/>
    <w:link w:val="364"/>
    <w:qFormat/>
    <w:uiPriority w:val="0"/>
    <w:pPr>
      <w:tabs>
        <w:tab w:val="left" w:pos="1320"/>
      </w:tabs>
      <w:ind w:left="1320" w:hanging="420"/>
    </w:pPr>
  </w:style>
  <w:style w:type="character" w:customStyle="1" w:styleId="366">
    <w:name w:val="常规正文 Char"/>
    <w:link w:val="367"/>
    <w:qFormat/>
    <w:uiPriority w:val="0"/>
    <w:rPr>
      <w:kern w:val="2"/>
      <w:sz w:val="24"/>
      <w:szCs w:val="24"/>
    </w:rPr>
  </w:style>
  <w:style w:type="paragraph" w:customStyle="1" w:styleId="367">
    <w:name w:val="常规正文"/>
    <w:basedOn w:val="1"/>
    <w:link w:val="366"/>
    <w:qFormat/>
    <w:uiPriority w:val="0"/>
    <w:pPr>
      <w:spacing w:line="360" w:lineRule="auto"/>
      <w:ind w:firstLine="200" w:firstLineChars="200"/>
    </w:pPr>
    <w:rPr>
      <w:rFonts w:ascii="Calibri" w:hAnsi="Calibri"/>
      <w:sz w:val="24"/>
    </w:rPr>
  </w:style>
  <w:style w:type="character" w:customStyle="1" w:styleId="368">
    <w:name w:val="圆形项目 Char"/>
    <w:link w:val="369"/>
    <w:qFormat/>
    <w:uiPriority w:val="0"/>
    <w:rPr>
      <w:rFonts w:eastAsia="仿宋_GB2312"/>
      <w:kern w:val="2"/>
      <w:sz w:val="24"/>
      <w:szCs w:val="24"/>
    </w:rPr>
  </w:style>
  <w:style w:type="paragraph" w:customStyle="1" w:styleId="369">
    <w:name w:val="圆形项目"/>
    <w:basedOn w:val="1"/>
    <w:link w:val="368"/>
    <w:qFormat/>
    <w:uiPriority w:val="0"/>
    <w:pPr>
      <w:numPr>
        <w:ilvl w:val="0"/>
        <w:numId w:val="15"/>
      </w:numPr>
      <w:spacing w:line="360" w:lineRule="auto"/>
      <w:ind w:firstLine="0"/>
    </w:pPr>
    <w:rPr>
      <w:rFonts w:ascii="Calibri" w:hAnsi="Calibri" w:eastAsia="仿宋_GB2312"/>
      <w:sz w:val="24"/>
    </w:rPr>
  </w:style>
  <w:style w:type="character" w:customStyle="1" w:styleId="370">
    <w:name w:val="插图表 Char"/>
    <w:link w:val="371"/>
    <w:qFormat/>
    <w:uiPriority w:val="0"/>
    <w:rPr>
      <w:rFonts w:eastAsia="仿宋_GB2312"/>
      <w:kern w:val="2"/>
      <w:sz w:val="24"/>
      <w:szCs w:val="24"/>
      <w:lang w:val="en-US" w:eastAsia="zh-CN"/>
    </w:rPr>
  </w:style>
  <w:style w:type="paragraph" w:customStyle="1" w:styleId="371">
    <w:name w:val="插图表"/>
    <w:basedOn w:val="1"/>
    <w:link w:val="370"/>
    <w:qFormat/>
    <w:uiPriority w:val="0"/>
    <w:pPr>
      <w:spacing w:line="360" w:lineRule="auto"/>
      <w:ind w:firstLine="200" w:firstLineChars="200"/>
      <w:jc w:val="center"/>
    </w:pPr>
    <w:rPr>
      <w:rFonts w:ascii="Calibri" w:hAnsi="Calibri" w:eastAsia="仿宋_GB2312"/>
      <w:sz w:val="24"/>
    </w:rPr>
  </w:style>
  <w:style w:type="character" w:customStyle="1" w:styleId="372">
    <w:name w:val="5级括号 Char"/>
    <w:link w:val="373"/>
    <w:qFormat/>
    <w:uiPriority w:val="0"/>
    <w:rPr>
      <w:rFonts w:ascii="华文中宋" w:hAnsi="华文中宋" w:eastAsia="华文中宋"/>
      <w:b/>
      <w:bCs/>
      <w:kern w:val="2"/>
      <w:sz w:val="24"/>
      <w:szCs w:val="24"/>
    </w:rPr>
  </w:style>
  <w:style w:type="paragraph" w:customStyle="1" w:styleId="373">
    <w:name w:val="5级括号"/>
    <w:basedOn w:val="5"/>
    <w:link w:val="372"/>
    <w:qFormat/>
    <w:uiPriority w:val="0"/>
    <w:pPr>
      <w:keepNext w:val="0"/>
      <w:numPr>
        <w:ilvl w:val="0"/>
        <w:numId w:val="16"/>
      </w:numPr>
      <w:spacing w:before="120" w:after="120" w:line="360" w:lineRule="auto"/>
      <w:outlineLvl w:val="4"/>
    </w:pPr>
    <w:rPr>
      <w:rFonts w:ascii="华文中宋" w:hAnsi="华文中宋" w:eastAsia="华文中宋"/>
      <w:sz w:val="24"/>
      <w:szCs w:val="24"/>
    </w:rPr>
  </w:style>
  <w:style w:type="character" w:customStyle="1" w:styleId="374">
    <w:name w:val="apple-converted-space"/>
    <w:basedOn w:val="75"/>
    <w:qFormat/>
    <w:uiPriority w:val="0"/>
  </w:style>
  <w:style w:type="paragraph" w:customStyle="1" w:styleId="375">
    <w:name w:val="正文下的123"/>
    <w:basedOn w:val="1"/>
    <w:next w:val="1"/>
    <w:qFormat/>
    <w:uiPriority w:val="0"/>
    <w:pPr>
      <w:spacing w:line="360" w:lineRule="auto"/>
      <w:ind w:firstLine="200" w:firstLineChars="200"/>
    </w:pPr>
    <w:rPr>
      <w:sz w:val="24"/>
    </w:rPr>
  </w:style>
  <w:style w:type="paragraph" w:customStyle="1" w:styleId="376">
    <w:name w:val="Char1"/>
    <w:basedOn w:val="1"/>
    <w:qFormat/>
    <w:uiPriority w:val="0"/>
    <w:pPr>
      <w:autoSpaceDE w:val="0"/>
      <w:autoSpaceDN w:val="0"/>
      <w:adjustRightInd w:val="0"/>
      <w:jc w:val="left"/>
    </w:pPr>
    <w:rPr>
      <w:rFonts w:ascii="仿宋_GB2312" w:eastAsia="仿宋_GB2312"/>
      <w:b/>
      <w:kern w:val="0"/>
      <w:sz w:val="32"/>
      <w:szCs w:val="32"/>
    </w:rPr>
  </w:style>
  <w:style w:type="paragraph" w:customStyle="1" w:styleId="377">
    <w:name w:val=".."/>
    <w:basedOn w:val="378"/>
    <w:next w:val="378"/>
    <w:qFormat/>
    <w:uiPriority w:val="0"/>
    <w:rPr>
      <w:rFonts w:ascii="楷体_GB2312" w:eastAsia="楷体_GB2312" w:cs="Times New Roman"/>
      <w:color w:val="auto"/>
    </w:rPr>
  </w:style>
  <w:style w:type="paragraph" w:customStyle="1" w:styleId="37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79">
    <w:name w:val="样式 标题 3H31.1.1标题 3h3sect1.2.3BOD 03rd levellevel_3PIM 3...1"/>
    <w:basedOn w:val="5"/>
    <w:qFormat/>
    <w:uiPriority w:val="0"/>
    <w:pPr>
      <w:numPr>
        <w:numId w:val="0"/>
      </w:numPr>
      <w:tabs>
        <w:tab w:val="left" w:pos="459"/>
        <w:tab w:val="left" w:pos="900"/>
      </w:tabs>
      <w:autoSpaceDE w:val="0"/>
      <w:autoSpaceDN w:val="0"/>
      <w:snapToGrid w:val="0"/>
      <w:spacing w:beforeLines="50" w:afterLines="50" w:line="360" w:lineRule="auto"/>
      <w:jc w:val="left"/>
    </w:pPr>
    <w:rPr>
      <w:rFonts w:ascii="Courier New" w:hAnsi="Courier New" w:eastAsia="黑体"/>
      <w:color w:val="000000"/>
      <w:kern w:val="0"/>
      <w:sz w:val="28"/>
    </w:rPr>
  </w:style>
  <w:style w:type="paragraph" w:customStyle="1" w:styleId="380">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81">
    <w:name w:val="五级标题"/>
    <w:basedOn w:val="7"/>
    <w:next w:val="1"/>
    <w:qFormat/>
    <w:uiPriority w:val="0"/>
    <w:pPr>
      <w:numPr>
        <w:ilvl w:val="0"/>
        <w:numId w:val="0"/>
      </w:numPr>
      <w:tabs>
        <w:tab w:val="left" w:pos="993"/>
      </w:tabs>
      <w:adjustRightInd w:val="0"/>
      <w:spacing w:beforeLines="50" w:afterLines="50" w:line="376" w:lineRule="atLeast"/>
      <w:ind w:left="1008"/>
      <w:textAlignment w:val="baseline"/>
    </w:pPr>
    <w:rPr>
      <w:rFonts w:ascii="黑体" w:hAnsi="黑体" w:eastAsia="黑体"/>
      <w:kern w:val="0"/>
      <w:sz w:val="30"/>
      <w:szCs w:val="30"/>
    </w:rPr>
  </w:style>
  <w:style w:type="paragraph" w:customStyle="1" w:styleId="382">
    <w:name w:val="Char Char 字元 字元 字元 Char Char Char Char"/>
    <w:basedOn w:val="1"/>
    <w:qFormat/>
    <w:uiPriority w:val="0"/>
    <w:pPr>
      <w:adjustRightInd w:val="0"/>
      <w:spacing w:line="360" w:lineRule="auto"/>
    </w:pPr>
    <w:rPr>
      <w:kern w:val="0"/>
      <w:sz w:val="24"/>
      <w:szCs w:val="20"/>
    </w:rPr>
  </w:style>
  <w:style w:type="paragraph" w:customStyle="1" w:styleId="383">
    <w:name w:val="xl23"/>
    <w:basedOn w:val="1"/>
    <w:qFormat/>
    <w:uiPriority w:val="0"/>
    <w:pPr>
      <w:widowControl/>
      <w:pBdr>
        <w:top w:val="single" w:color="auto" w:sz="8" w:space="0"/>
      </w:pBdr>
      <w:spacing w:before="100" w:beforeAutospacing="1" w:after="100" w:afterAutospacing="1"/>
      <w:jc w:val="center"/>
      <w:textAlignment w:val="center"/>
    </w:pPr>
    <w:rPr>
      <w:rFonts w:ascii="宋体" w:hAnsi="宋体" w:cs="宋体"/>
      <w:kern w:val="0"/>
      <w:sz w:val="20"/>
      <w:szCs w:val="20"/>
    </w:rPr>
  </w:style>
  <w:style w:type="paragraph" w:customStyle="1" w:styleId="384">
    <w:name w:val="正文5"/>
    <w:basedOn w:val="1"/>
    <w:qFormat/>
    <w:uiPriority w:val="0"/>
    <w:pPr>
      <w:spacing w:line="312" w:lineRule="atLeast"/>
      <w:ind w:left="2126"/>
    </w:pPr>
    <w:rPr>
      <w:rFonts w:eastAsia="楷体"/>
      <w:snapToGrid w:val="0"/>
      <w:kern w:val="0"/>
      <w:sz w:val="24"/>
      <w:szCs w:val="20"/>
      <w:lang w:eastAsia="en-US"/>
    </w:rPr>
  </w:style>
  <w:style w:type="paragraph" w:customStyle="1" w:styleId="385">
    <w:name w:val="列出段落1"/>
    <w:basedOn w:val="1"/>
    <w:qFormat/>
    <w:uiPriority w:val="0"/>
    <w:pPr>
      <w:ind w:firstLine="420" w:firstLineChars="200"/>
    </w:pPr>
    <w:rPr>
      <w:rFonts w:ascii="Calibri" w:hAnsi="Calibri"/>
      <w:szCs w:val="22"/>
    </w:rPr>
  </w:style>
  <w:style w:type="paragraph" w:customStyle="1" w:styleId="386">
    <w:name w:val="xl69"/>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87">
    <w:name w:val="xl33"/>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88">
    <w:name w:val="图5"/>
    <w:basedOn w:val="1"/>
    <w:qFormat/>
    <w:uiPriority w:val="0"/>
    <w:pPr>
      <w:adjustRightInd w:val="0"/>
      <w:spacing w:line="220" w:lineRule="exact"/>
      <w:jc w:val="center"/>
      <w:textAlignment w:val="baseline"/>
    </w:pPr>
    <w:rPr>
      <w:rFonts w:ascii="仿宋_GB2312" w:eastAsia="仿宋_GB2312"/>
      <w:kern w:val="0"/>
      <w:szCs w:val="20"/>
    </w:rPr>
  </w:style>
  <w:style w:type="paragraph" w:customStyle="1" w:styleId="389">
    <w:name w:val="11章四级标题"/>
    <w:basedOn w:val="7"/>
    <w:next w:val="1"/>
    <w:qFormat/>
    <w:uiPriority w:val="0"/>
    <w:pPr>
      <w:numPr>
        <w:ilvl w:val="0"/>
        <w:numId w:val="0"/>
      </w:numPr>
      <w:spacing w:line="374" w:lineRule="auto"/>
      <w:jc w:val="left"/>
    </w:pPr>
    <w:rPr>
      <w:rFonts w:eastAsia="黑体"/>
      <w:b w:val="0"/>
    </w:rPr>
  </w:style>
  <w:style w:type="paragraph" w:customStyle="1" w:styleId="390">
    <w:name w:val="Char1 Char Char Char Char Char Char Char Char Char Char Char Char1 Char Char Char Char Char1 Char Char Char Char Char Char Char Char Char1 Char"/>
    <w:basedOn w:val="1"/>
    <w:qFormat/>
    <w:uiPriority w:val="0"/>
    <w:pPr>
      <w:widowControl/>
      <w:tabs>
        <w:tab w:val="left" w:pos="525"/>
      </w:tabs>
      <w:adjustRightInd w:val="0"/>
      <w:spacing w:after="160" w:line="240" w:lineRule="exact"/>
      <w:ind w:firstLine="560" w:firstLineChars="200"/>
      <w:jc w:val="left"/>
    </w:pPr>
  </w:style>
  <w:style w:type="paragraph" w:customStyle="1" w:styleId="391">
    <w:name w:val="样式 样式 正文文本缩进 + 仿宋_GB2312 小四 首行缩进:  0 厘米 行距: 1.5 倍行距 + (中文) 仿宋_GB... Char Char"/>
    <w:basedOn w:val="1"/>
    <w:qFormat/>
    <w:uiPriority w:val="0"/>
    <w:pPr>
      <w:autoSpaceDE w:val="0"/>
      <w:autoSpaceDN w:val="0"/>
      <w:adjustRightInd w:val="0"/>
      <w:spacing w:line="360" w:lineRule="auto"/>
      <w:ind w:firstLine="480" w:firstLineChars="200"/>
      <w:jc w:val="left"/>
    </w:pPr>
    <w:rPr>
      <w:rFonts w:ascii="仿宋_GB2312" w:eastAsia="新宋体"/>
      <w:kern w:val="0"/>
      <w:sz w:val="24"/>
      <w:szCs w:val="20"/>
    </w:rPr>
  </w:style>
  <w:style w:type="paragraph" w:customStyle="1" w:styleId="392">
    <w:name w:val="1d"/>
    <w:basedOn w:val="1"/>
    <w:qFormat/>
    <w:uiPriority w:val="0"/>
    <w:pPr>
      <w:ind w:left="420" w:leftChars="200" w:firstLine="420"/>
    </w:pPr>
    <w:rPr>
      <w:rFonts w:ascii="宋体" w:hAnsi="宋体"/>
      <w:sz w:val="24"/>
    </w:rPr>
  </w:style>
  <w:style w:type="paragraph" w:customStyle="1" w:styleId="393">
    <w:name w:val="样式 标题 3Heading 3 - oldHeading 3H3l3CTBOD 03h33rd level...1"/>
    <w:basedOn w:val="5"/>
    <w:qFormat/>
    <w:uiPriority w:val="0"/>
    <w:pPr>
      <w:numPr>
        <w:numId w:val="0"/>
      </w:numPr>
      <w:tabs>
        <w:tab w:val="left" w:pos="459"/>
      </w:tabs>
      <w:spacing w:beforeLines="50" w:afterLines="50" w:line="360" w:lineRule="auto"/>
      <w:jc w:val="left"/>
    </w:pPr>
    <w:rPr>
      <w:rFonts w:ascii="Courier New" w:hAnsi="Courier New" w:eastAsia="黑体" w:cs="宋体"/>
      <w:b w:val="0"/>
      <w:color w:val="000000"/>
      <w:sz w:val="30"/>
      <w:szCs w:val="30"/>
    </w:rPr>
  </w:style>
  <w:style w:type="paragraph" w:customStyle="1" w:styleId="394">
    <w:name w:val="样式 标题 4H44th levelTitre4第三层条PIM 4h4sect 1.2.3.4Ref Headi..."/>
    <w:basedOn w:val="6"/>
    <w:next w:val="1"/>
    <w:qFormat/>
    <w:uiPriority w:val="0"/>
    <w:pPr>
      <w:keepNext/>
      <w:widowControl w:val="0"/>
      <w:tabs>
        <w:tab w:val="left" w:pos="864"/>
      </w:tabs>
      <w:autoSpaceDE/>
      <w:autoSpaceDN/>
      <w:adjustRightInd/>
      <w:snapToGrid/>
      <w:spacing w:before="120" w:after="120" w:line="360" w:lineRule="auto"/>
      <w:ind w:left="864" w:hanging="864"/>
      <w:jc w:val="both"/>
    </w:pPr>
    <w:rPr>
      <w:rFonts w:eastAsia="黑体" w:cs="宋体"/>
      <w:b w:val="0"/>
      <w:kern w:val="2"/>
      <w:sz w:val="28"/>
      <w:szCs w:val="28"/>
    </w:rPr>
  </w:style>
  <w:style w:type="paragraph" w:customStyle="1" w:styleId="395">
    <w:name w:val="前言、引言标题"/>
    <w:next w:val="1"/>
    <w:qFormat/>
    <w:uiPriority w:val="0"/>
    <w:pPr>
      <w:numPr>
        <w:ilvl w:val="0"/>
        <w:numId w:val="17"/>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96">
    <w:name w:val="Heading 2 节"/>
    <w:next w:val="1"/>
    <w:qFormat/>
    <w:uiPriority w:val="0"/>
    <w:pPr>
      <w:tabs>
        <w:tab w:val="left" w:pos="360"/>
      </w:tabs>
      <w:spacing w:beforeLines="35" w:afterLines="35" w:line="440" w:lineRule="exact"/>
      <w:jc w:val="center"/>
    </w:pPr>
    <w:rPr>
      <w:rFonts w:ascii="Times New Roman" w:hAnsi="Times New Roman" w:eastAsia="黑体" w:cs="Times New Roman"/>
      <w:b/>
      <w:bCs/>
      <w:kern w:val="2"/>
      <w:sz w:val="28"/>
      <w:szCs w:val="28"/>
      <w:lang w:val="en-US" w:eastAsia="zh-CN" w:bidi="ar-SA"/>
    </w:rPr>
  </w:style>
  <w:style w:type="paragraph" w:customStyle="1" w:styleId="397">
    <w:name w:val="Char Char Char Char Char Char Char Char Char Char Char Char Char"/>
    <w:basedOn w:val="1"/>
    <w:qFormat/>
    <w:uiPriority w:val="0"/>
    <w:rPr>
      <w:rFonts w:ascii="Tahoma" w:hAnsi="Tahoma"/>
      <w:sz w:val="24"/>
      <w:szCs w:val="20"/>
    </w:rPr>
  </w:style>
  <w:style w:type="paragraph" w:customStyle="1" w:styleId="398">
    <w:name w:val="样式 左侧:  0.85 厘米 首行缩进:  0.85 厘米"/>
    <w:basedOn w:val="1"/>
    <w:qFormat/>
    <w:uiPriority w:val="0"/>
    <w:pPr>
      <w:autoSpaceDE w:val="0"/>
      <w:autoSpaceDN w:val="0"/>
      <w:adjustRightInd w:val="0"/>
      <w:spacing w:line="360" w:lineRule="auto"/>
      <w:ind w:firstLine="482"/>
      <w:jc w:val="left"/>
    </w:pPr>
    <w:rPr>
      <w:rFonts w:cs="宋体"/>
      <w:kern w:val="0"/>
      <w:sz w:val="24"/>
      <w:szCs w:val="20"/>
    </w:rPr>
  </w:style>
  <w:style w:type="paragraph" w:customStyle="1" w:styleId="399">
    <w:name w:val="样式 题注 + 首行缩进:  2 字符2"/>
    <w:basedOn w:val="18"/>
    <w:qFormat/>
    <w:uiPriority w:val="0"/>
    <w:pPr>
      <w:keepNext/>
      <w:autoSpaceDE/>
      <w:autoSpaceDN/>
      <w:adjustRightInd/>
      <w:spacing w:before="240" w:after="240" w:line="360" w:lineRule="auto"/>
      <w:ind w:firstLine="200" w:firstLineChars="200"/>
      <w:jc w:val="both"/>
    </w:pPr>
    <w:rPr>
      <w:rFonts w:ascii="宋体" w:hAnsi="宋体" w:eastAsia="宋体" w:cs="宋体"/>
      <w:kern w:val="2"/>
      <w:sz w:val="24"/>
      <w:szCs w:val="24"/>
    </w:rPr>
  </w:style>
  <w:style w:type="paragraph" w:customStyle="1" w:styleId="400">
    <w:name w:val="样式 标题 2标题 2 Char二级标题 Char第一层条 CharTitle2 Charl2 Charheadin..."/>
    <w:basedOn w:val="4"/>
    <w:qFormat/>
    <w:uiPriority w:val="0"/>
    <w:pPr>
      <w:numPr>
        <w:numId w:val="0"/>
      </w:numPr>
      <w:tabs>
        <w:tab w:val="left" w:pos="927"/>
      </w:tabs>
      <w:spacing w:line="415" w:lineRule="auto"/>
      <w:ind w:left="360" w:right="240" w:rightChars="100"/>
    </w:pPr>
    <w:rPr>
      <w:rFonts w:ascii="黑体" w:cs="宋体"/>
      <w:szCs w:val="20"/>
    </w:rPr>
  </w:style>
  <w:style w:type="paragraph" w:customStyle="1" w:styleId="401">
    <w:name w:val="样式 最新标题3 + 段后: 0.5 行"/>
    <w:basedOn w:val="1"/>
    <w:qFormat/>
    <w:uiPriority w:val="0"/>
    <w:pPr>
      <w:spacing w:line="440" w:lineRule="exact"/>
    </w:pPr>
    <w:rPr>
      <w:sz w:val="24"/>
    </w:rPr>
  </w:style>
  <w:style w:type="paragraph" w:customStyle="1" w:styleId="402">
    <w:name w:val="xl5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03">
    <w:name w:val="图标题"/>
    <w:basedOn w:val="1"/>
    <w:next w:val="1"/>
    <w:qFormat/>
    <w:uiPriority w:val="0"/>
    <w:pPr>
      <w:tabs>
        <w:tab w:val="left" w:pos="432"/>
      </w:tabs>
      <w:spacing w:line="360" w:lineRule="atLeast"/>
      <w:jc w:val="center"/>
    </w:pPr>
    <w:rPr>
      <w:bCs/>
    </w:rPr>
  </w:style>
  <w:style w:type="paragraph" w:customStyle="1" w:styleId="404">
    <w:name w:val="xl95"/>
    <w:basedOn w:val="1"/>
    <w:qFormat/>
    <w:uiPriority w:val="0"/>
    <w:pPr>
      <w:widowControl/>
      <w:pBdr>
        <w:top w:val="single" w:color="auto" w:sz="8" w:space="0"/>
        <w:left w:val="single" w:color="auto" w:sz="8" w:space="0"/>
        <w:bottom w:val="single" w:color="auto" w:sz="8" w:space="0"/>
        <w:right w:val="single" w:color="auto" w:sz="4" w:space="0"/>
      </w:pBdr>
      <w:spacing w:before="100" w:beforeAutospacing="1" w:after="100" w:afterAutospacing="1"/>
      <w:jc w:val="center"/>
    </w:pPr>
    <w:rPr>
      <w:kern w:val="0"/>
      <w:sz w:val="24"/>
    </w:rPr>
  </w:style>
  <w:style w:type="paragraph" w:customStyle="1" w:styleId="405">
    <w:name w:val="标准"/>
    <w:basedOn w:val="1"/>
    <w:qFormat/>
    <w:uiPriority w:val="0"/>
    <w:pPr>
      <w:overflowPunct w:val="0"/>
      <w:autoSpaceDE w:val="0"/>
      <w:autoSpaceDN w:val="0"/>
      <w:adjustRightInd w:val="0"/>
      <w:spacing w:line="240" w:lineRule="atLeast"/>
      <w:textAlignment w:val="baseline"/>
    </w:pPr>
    <w:rPr>
      <w:rFonts w:eastAsia="楷体_GB2312"/>
      <w:kern w:val="0"/>
      <w:sz w:val="24"/>
      <w:szCs w:val="20"/>
    </w:rPr>
  </w:style>
  <w:style w:type="paragraph" w:customStyle="1" w:styleId="406">
    <w:name w:val="xl124"/>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07">
    <w:name w:val="Char2"/>
    <w:basedOn w:val="1"/>
    <w:qFormat/>
    <w:uiPriority w:val="0"/>
    <w:rPr>
      <w:sz w:val="24"/>
    </w:rPr>
  </w:style>
  <w:style w:type="paragraph" w:customStyle="1" w:styleId="408">
    <w:name w:val="xl9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409">
    <w:name w:val="正文文字 + 首行缩进:  2 字符"/>
    <w:basedOn w:val="1"/>
    <w:qFormat/>
    <w:uiPriority w:val="0"/>
    <w:pPr>
      <w:spacing w:line="360" w:lineRule="auto"/>
      <w:ind w:firstLine="200" w:firstLineChars="200"/>
    </w:pPr>
    <w:rPr>
      <w:rFonts w:cs="宋体"/>
      <w:sz w:val="24"/>
      <w:szCs w:val="20"/>
    </w:rPr>
  </w:style>
  <w:style w:type="paragraph" w:customStyle="1" w:styleId="410">
    <w:name w:val="xl112"/>
    <w:basedOn w:val="1"/>
    <w:qFormat/>
    <w:uiPriority w:val="0"/>
    <w:pPr>
      <w:widowControl/>
      <w:spacing w:before="100" w:beforeAutospacing="1" w:after="100" w:afterAutospacing="1"/>
      <w:jc w:val="center"/>
    </w:pPr>
    <w:rPr>
      <w:rFonts w:ascii="宋体" w:hAnsi="宋体" w:cs="宋体"/>
      <w:b/>
      <w:bCs/>
      <w:kern w:val="0"/>
      <w:sz w:val="24"/>
    </w:rPr>
  </w:style>
  <w:style w:type="paragraph" w:customStyle="1" w:styleId="411">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12">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1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14">
    <w:name w:val="Char Char Char Char"/>
    <w:basedOn w:val="21"/>
    <w:qFormat/>
    <w:uiPriority w:val="0"/>
    <w:rPr>
      <w:rFonts w:ascii="Tahoma" w:hAnsi="Tahoma"/>
      <w:sz w:val="24"/>
    </w:rPr>
  </w:style>
  <w:style w:type="paragraph" w:customStyle="1" w:styleId="415">
    <w:name w:val="小节标题"/>
    <w:basedOn w:val="6"/>
    <w:qFormat/>
    <w:uiPriority w:val="0"/>
    <w:pPr>
      <w:keepNext/>
      <w:widowControl w:val="0"/>
      <w:autoSpaceDE/>
      <w:autoSpaceDN/>
      <w:adjustRightInd/>
      <w:snapToGrid/>
      <w:spacing w:before="280" w:after="290" w:line="374" w:lineRule="auto"/>
      <w:jc w:val="both"/>
    </w:pPr>
    <w:rPr>
      <w:rFonts w:ascii="Arial" w:hAnsi="Arial" w:eastAsia="仿宋_GB2312"/>
      <w:bCs/>
      <w:kern w:val="2"/>
      <w:sz w:val="28"/>
      <w:szCs w:val="28"/>
    </w:rPr>
  </w:style>
  <w:style w:type="paragraph" w:customStyle="1" w:styleId="416">
    <w:name w:val="图表文字"/>
    <w:basedOn w:val="1"/>
    <w:qFormat/>
    <w:uiPriority w:val="0"/>
  </w:style>
  <w:style w:type="paragraph" w:customStyle="1" w:styleId="417">
    <w:name w:val="样式 标题 3H31.1.1标题 3Level 3 Headlevel_3PIM 3h3sect1.2.3 + 小..."/>
    <w:basedOn w:val="1"/>
    <w:qFormat/>
    <w:uiPriority w:val="0"/>
    <w:pPr>
      <w:numPr>
        <w:ilvl w:val="1"/>
        <w:numId w:val="18"/>
      </w:numPr>
      <w:tabs>
        <w:tab w:val="left" w:pos="1320"/>
      </w:tabs>
      <w:adjustRightInd w:val="0"/>
      <w:snapToGrid w:val="0"/>
      <w:spacing w:line="440" w:lineRule="exact"/>
      <w:ind w:firstLine="0"/>
      <w:textAlignment w:val="baseline"/>
    </w:pPr>
    <w:rPr>
      <w:rFonts w:ascii="宋体" w:hAnsi="宋体" w:cs="宋体"/>
      <w:kern w:val="0"/>
      <w:sz w:val="24"/>
      <w:szCs w:val="20"/>
    </w:rPr>
  </w:style>
  <w:style w:type="paragraph" w:customStyle="1" w:styleId="418">
    <w:name w:val="文档正文"/>
    <w:basedOn w:val="1"/>
    <w:qFormat/>
    <w:uiPriority w:val="0"/>
    <w:pPr>
      <w:adjustRightInd w:val="0"/>
      <w:spacing w:line="300" w:lineRule="auto"/>
      <w:ind w:firstLine="567"/>
      <w:textAlignment w:val="baseline"/>
    </w:pPr>
    <w:rPr>
      <w:kern w:val="0"/>
      <w:sz w:val="24"/>
      <w:szCs w:val="20"/>
    </w:rPr>
  </w:style>
  <w:style w:type="paragraph" w:customStyle="1" w:styleId="419">
    <w:name w:val="目次、标准名称标题"/>
    <w:basedOn w:val="1"/>
    <w:next w:val="1"/>
    <w:qFormat/>
    <w:uiPriority w:val="0"/>
    <w:pPr>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20">
    <w:name w:val="文本正文黑体缩进"/>
    <w:basedOn w:val="1"/>
    <w:next w:val="421"/>
    <w:qFormat/>
    <w:uiPriority w:val="0"/>
    <w:pPr>
      <w:spacing w:beforeLines="50" w:afterLines="50" w:line="360" w:lineRule="auto"/>
      <w:ind w:firstLine="200" w:firstLineChars="200"/>
    </w:pPr>
    <w:rPr>
      <w:rFonts w:ascii="Arial" w:hAnsi="Arial" w:eastAsia="黑体"/>
      <w:sz w:val="24"/>
    </w:rPr>
  </w:style>
  <w:style w:type="paragraph" w:customStyle="1" w:styleId="421">
    <w:name w:val="文本正文缩进"/>
    <w:basedOn w:val="1"/>
    <w:qFormat/>
    <w:uiPriority w:val="0"/>
    <w:pPr>
      <w:spacing w:beforeLines="50" w:afterLines="50" w:line="360" w:lineRule="auto"/>
      <w:ind w:firstLine="200" w:firstLineChars="200"/>
    </w:pPr>
    <w:rPr>
      <w:sz w:val="24"/>
      <w:szCs w:val="21"/>
    </w:rPr>
  </w:style>
  <w:style w:type="paragraph" w:customStyle="1" w:styleId="422">
    <w:name w:val="封面"/>
    <w:qFormat/>
    <w:uiPriority w:val="0"/>
    <w:pPr>
      <w:widowControl w:val="0"/>
      <w:spacing w:line="412" w:lineRule="atLeast"/>
      <w:jc w:val="both"/>
    </w:pPr>
    <w:rPr>
      <w:rFonts w:ascii="Times New Roman" w:hAnsi="Times New Roman" w:eastAsia="宋体" w:cs="Times New Roman"/>
      <w:kern w:val="2"/>
      <w:sz w:val="21"/>
      <w:lang w:val="en-US" w:eastAsia="zh-CN" w:bidi="ar-SA"/>
    </w:rPr>
  </w:style>
  <w:style w:type="paragraph" w:customStyle="1" w:styleId="423">
    <w:name w:val="xl68"/>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kern w:val="0"/>
      <w:sz w:val="24"/>
    </w:rPr>
  </w:style>
  <w:style w:type="paragraph" w:customStyle="1" w:styleId="424">
    <w:name w:val="xl30"/>
    <w:basedOn w:val="1"/>
    <w:qFormat/>
    <w:uiPriority w:val="0"/>
    <w:pPr>
      <w:widowControl/>
      <w:spacing w:before="100" w:beforeAutospacing="1" w:after="100" w:afterAutospacing="1"/>
      <w:jc w:val="right"/>
      <w:textAlignment w:val="center"/>
    </w:pPr>
    <w:rPr>
      <w:rFonts w:ascii="宋体" w:hAnsi="宋体" w:cs="宋体"/>
      <w:kern w:val="0"/>
      <w:sz w:val="20"/>
      <w:szCs w:val="20"/>
    </w:rPr>
  </w:style>
  <w:style w:type="paragraph" w:customStyle="1" w:styleId="425">
    <w:name w:val="xl7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426">
    <w:name w:val="xl102"/>
    <w:basedOn w:val="1"/>
    <w:qFormat/>
    <w:uiPriority w:val="0"/>
    <w:pPr>
      <w:widowControl/>
      <w:pBdr>
        <w:left w:val="single" w:color="auto" w:sz="4" w:space="0"/>
        <w:right w:val="single" w:color="auto" w:sz="4" w:space="0"/>
      </w:pBdr>
      <w:spacing w:before="100" w:beforeAutospacing="1" w:after="100" w:afterAutospacing="1"/>
      <w:jc w:val="left"/>
      <w:textAlignment w:val="top"/>
    </w:pPr>
    <w:rPr>
      <w:rFonts w:ascii="宋体" w:hAnsi="宋体" w:cs="宋体"/>
      <w:color w:val="000000"/>
      <w:kern w:val="0"/>
      <w:sz w:val="24"/>
    </w:rPr>
  </w:style>
  <w:style w:type="paragraph" w:customStyle="1" w:styleId="427">
    <w:name w:val="样式 样式 标题 4 + 段后: 0.5 行"/>
    <w:basedOn w:val="1"/>
    <w:qFormat/>
    <w:uiPriority w:val="0"/>
    <w:pPr>
      <w:spacing w:line="440" w:lineRule="exact"/>
    </w:pPr>
    <w:rPr>
      <w:sz w:val="24"/>
    </w:rPr>
  </w:style>
  <w:style w:type="paragraph" w:customStyle="1" w:styleId="428">
    <w:name w:val="一级项目正文"/>
    <w:basedOn w:val="1"/>
    <w:qFormat/>
    <w:uiPriority w:val="1"/>
    <w:pPr>
      <w:numPr>
        <w:ilvl w:val="0"/>
        <w:numId w:val="19"/>
      </w:numPr>
      <w:spacing w:line="360" w:lineRule="auto"/>
      <w:ind w:left="0" w:firstLine="480" w:firstLineChars="200"/>
    </w:pPr>
    <w:rPr>
      <w:b/>
      <w:sz w:val="24"/>
    </w:rPr>
  </w:style>
  <w:style w:type="paragraph" w:customStyle="1" w:styleId="429">
    <w:name w:val="Paragraph Text"/>
    <w:basedOn w:val="1"/>
    <w:qFormat/>
    <w:uiPriority w:val="0"/>
    <w:pPr>
      <w:widowControl/>
      <w:spacing w:line="320" w:lineRule="exact"/>
      <w:jc w:val="left"/>
    </w:pPr>
    <w:rPr>
      <w:rFonts w:ascii="Beijing" w:eastAsia="Times New Roman"/>
      <w:kern w:val="0"/>
      <w:sz w:val="18"/>
      <w:szCs w:val="18"/>
    </w:rPr>
  </w:style>
  <w:style w:type="paragraph" w:customStyle="1" w:styleId="430">
    <w:name w:val="居中"/>
    <w:basedOn w:val="1"/>
    <w:qFormat/>
    <w:uiPriority w:val="0"/>
    <w:pPr>
      <w:snapToGrid w:val="0"/>
      <w:spacing w:line="360" w:lineRule="auto"/>
      <w:jc w:val="center"/>
    </w:pPr>
    <w:rPr>
      <w:sz w:val="24"/>
    </w:rPr>
  </w:style>
  <w:style w:type="paragraph" w:customStyle="1" w:styleId="431">
    <w:name w:val="Char Char Char Char Char Char Char1"/>
    <w:basedOn w:val="1"/>
    <w:qFormat/>
    <w:uiPriority w:val="0"/>
    <w:pPr>
      <w:widowControl/>
      <w:snapToGrid w:val="0"/>
      <w:spacing w:after="160" w:line="360" w:lineRule="auto"/>
      <w:jc w:val="left"/>
    </w:pPr>
    <w:rPr>
      <w:kern w:val="0"/>
      <w:sz w:val="24"/>
      <w:lang w:eastAsia="en-US"/>
    </w:rPr>
  </w:style>
  <w:style w:type="paragraph" w:customStyle="1" w:styleId="432">
    <w:name w:val="Char Char Char Char Char Char Char"/>
    <w:basedOn w:val="1"/>
    <w:qFormat/>
    <w:uiPriority w:val="0"/>
    <w:rPr>
      <w:rFonts w:ascii="仿宋_GB2312" w:eastAsia="仿宋_GB2312"/>
      <w:b/>
      <w:sz w:val="32"/>
      <w:szCs w:val="32"/>
    </w:rPr>
  </w:style>
  <w:style w:type="paragraph" w:customStyle="1" w:styleId="43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kern w:val="0"/>
      <w:szCs w:val="21"/>
    </w:rPr>
  </w:style>
  <w:style w:type="paragraph" w:customStyle="1" w:styleId="434">
    <w:name w:val="xl120"/>
    <w:basedOn w:val="1"/>
    <w:qFormat/>
    <w:uiPriority w:val="0"/>
    <w:pPr>
      <w:widowControl/>
      <w:pBdr>
        <w:left w:val="single" w:color="auto" w:sz="8" w:space="0"/>
        <w:bottom w:val="single" w:color="auto" w:sz="8" w:space="0"/>
        <w:right w:val="single" w:color="auto" w:sz="4" w:space="0"/>
      </w:pBdr>
      <w:spacing w:before="100" w:beforeAutospacing="1" w:after="100" w:afterAutospacing="1"/>
      <w:jc w:val="center"/>
    </w:pPr>
    <w:rPr>
      <w:kern w:val="0"/>
      <w:sz w:val="24"/>
    </w:rPr>
  </w:style>
  <w:style w:type="paragraph" w:customStyle="1" w:styleId="435">
    <w:name w:val="Char Char Char Char1"/>
    <w:basedOn w:val="1"/>
    <w:next w:val="5"/>
    <w:qFormat/>
    <w:uiPriority w:val="0"/>
    <w:pPr>
      <w:ind w:left="1155"/>
    </w:pPr>
    <w:rPr>
      <w:rFonts w:ascii="仿宋_GB2312"/>
      <w:b/>
      <w:sz w:val="28"/>
      <w:szCs w:val="32"/>
    </w:rPr>
  </w:style>
  <w:style w:type="paragraph" w:customStyle="1" w:styleId="436">
    <w:name w:val="样式 编号1 + 楷体_GB2312 四号"/>
    <w:basedOn w:val="224"/>
    <w:qFormat/>
    <w:uiPriority w:val="0"/>
    <w:rPr>
      <w:rFonts w:ascii="楷体_GB2312" w:hAnsi="楷体_GB2312" w:eastAsia="楷体_GB2312"/>
      <w:lang w:eastAsia="en-US"/>
    </w:rPr>
  </w:style>
  <w:style w:type="paragraph" w:customStyle="1" w:styleId="437">
    <w:name w:val="表格格式"/>
    <w:basedOn w:val="1"/>
    <w:qFormat/>
    <w:uiPriority w:val="0"/>
    <w:pPr>
      <w:tabs>
        <w:tab w:val="left" w:pos="0"/>
      </w:tabs>
      <w:autoSpaceDE w:val="0"/>
      <w:autoSpaceDN w:val="0"/>
      <w:spacing w:line="300" w:lineRule="auto"/>
      <w:jc w:val="center"/>
    </w:pPr>
    <w:rPr>
      <w:rFonts w:cs="宋体"/>
      <w:color w:val="FF0000"/>
      <w:sz w:val="24"/>
      <w:szCs w:val="20"/>
    </w:rPr>
  </w:style>
  <w:style w:type="paragraph" w:customStyle="1" w:styleId="438">
    <w:name w:val="样式 题注 + 首行缩进:  2 字符"/>
    <w:basedOn w:val="18"/>
    <w:qFormat/>
    <w:uiPriority w:val="0"/>
    <w:pPr>
      <w:keepNext/>
      <w:autoSpaceDE/>
      <w:autoSpaceDN/>
      <w:adjustRightInd/>
      <w:spacing w:before="240" w:after="240" w:line="360" w:lineRule="auto"/>
      <w:ind w:firstLine="400" w:firstLineChars="200"/>
      <w:jc w:val="both"/>
    </w:pPr>
    <w:rPr>
      <w:rFonts w:ascii="宋体" w:hAnsi="宋体" w:eastAsia="宋体" w:cs="宋体"/>
      <w:kern w:val="2"/>
      <w:sz w:val="24"/>
      <w:szCs w:val="24"/>
    </w:rPr>
  </w:style>
  <w:style w:type="paragraph" w:customStyle="1" w:styleId="439">
    <w:name w:val="xl118"/>
    <w:basedOn w:val="1"/>
    <w:qFormat/>
    <w:uiPriority w:val="0"/>
    <w:pPr>
      <w:widowControl/>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jc w:val="left"/>
    </w:pPr>
    <w:rPr>
      <w:rFonts w:ascii="宋体" w:hAnsi="宋体" w:cs="宋体"/>
      <w:kern w:val="0"/>
      <w:sz w:val="24"/>
    </w:rPr>
  </w:style>
  <w:style w:type="paragraph" w:customStyle="1" w:styleId="440">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Cs w:val="21"/>
    </w:rPr>
  </w:style>
  <w:style w:type="paragraph" w:customStyle="1" w:styleId="441">
    <w:name w:val="a呼市图名"/>
    <w:qFormat/>
    <w:uiPriority w:val="0"/>
    <w:pPr>
      <w:spacing w:beforeLines="100" w:afterLines="100"/>
      <w:jc w:val="center"/>
    </w:pPr>
    <w:rPr>
      <w:rFonts w:ascii="Times New Roman" w:hAnsi="Times New Roman" w:eastAsia="黑体" w:cs="Times New Roman"/>
      <w:bCs/>
      <w:kern w:val="2"/>
      <w:sz w:val="21"/>
      <w:szCs w:val="32"/>
      <w:lang w:val="en-US" w:eastAsia="zh-CN" w:bidi="ar-SA"/>
    </w:rPr>
  </w:style>
  <w:style w:type="paragraph" w:customStyle="1" w:styleId="442">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jc w:val="center"/>
    </w:pPr>
    <w:rPr>
      <w:rFonts w:ascii="宋体" w:hAnsi="宋体" w:cs="宋体"/>
      <w:kern w:val="0"/>
      <w:sz w:val="24"/>
    </w:rPr>
  </w:style>
  <w:style w:type="paragraph" w:customStyle="1" w:styleId="443">
    <w:name w:val="Char Char Char2"/>
    <w:basedOn w:val="1"/>
    <w:qFormat/>
    <w:uiPriority w:val="0"/>
    <w:pPr>
      <w:tabs>
        <w:tab w:val="left" w:pos="0"/>
      </w:tabs>
      <w:autoSpaceDE w:val="0"/>
      <w:autoSpaceDN w:val="0"/>
      <w:adjustRightInd w:val="0"/>
      <w:jc w:val="left"/>
    </w:pPr>
    <w:rPr>
      <w:rFonts w:eastAsia="仿宋_GB2312"/>
      <w:kern w:val="0"/>
      <w:sz w:val="28"/>
      <w:szCs w:val="20"/>
    </w:rPr>
  </w:style>
  <w:style w:type="paragraph" w:customStyle="1" w:styleId="444">
    <w:name w:val="正文样式 首行缩进:  0.74 厘米"/>
    <w:basedOn w:val="1"/>
    <w:qFormat/>
    <w:uiPriority w:val="0"/>
    <w:pPr>
      <w:autoSpaceDE w:val="0"/>
      <w:autoSpaceDN w:val="0"/>
      <w:adjustRightInd w:val="0"/>
      <w:spacing w:beforeLines="50" w:line="360" w:lineRule="auto"/>
      <w:ind w:firstLine="420"/>
      <w:jc w:val="left"/>
    </w:pPr>
    <w:rPr>
      <w:rFonts w:cs="宋体"/>
      <w:kern w:val="0"/>
      <w:sz w:val="24"/>
      <w:szCs w:val="20"/>
    </w:rPr>
  </w:style>
  <w:style w:type="paragraph" w:customStyle="1" w:styleId="445">
    <w:name w:val="xl46"/>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cs="宋体"/>
      <w:kern w:val="0"/>
      <w:sz w:val="24"/>
    </w:rPr>
  </w:style>
  <w:style w:type="paragraph" w:customStyle="1" w:styleId="446">
    <w:name w:val="项目编号2"/>
    <w:basedOn w:val="1"/>
    <w:next w:val="1"/>
    <w:qFormat/>
    <w:uiPriority w:val="0"/>
    <w:pPr>
      <w:numPr>
        <w:ilvl w:val="0"/>
        <w:numId w:val="20"/>
      </w:numPr>
      <w:spacing w:line="360" w:lineRule="auto"/>
      <w:jc w:val="left"/>
    </w:pPr>
    <w:rPr>
      <w:rFonts w:ascii="宋体"/>
      <w:sz w:val="24"/>
    </w:rPr>
  </w:style>
  <w:style w:type="paragraph" w:customStyle="1" w:styleId="447">
    <w:name w:val="修订1"/>
    <w:qFormat/>
    <w:uiPriority w:val="99"/>
    <w:rPr>
      <w:rFonts w:ascii="Times New Roman" w:hAnsi="Times New Roman" w:eastAsia="宋体" w:cs="Times New Roman"/>
      <w:kern w:val="2"/>
      <w:sz w:val="21"/>
      <w:szCs w:val="24"/>
      <w:lang w:val="en-US" w:eastAsia="zh-CN" w:bidi="ar-SA"/>
    </w:rPr>
  </w:style>
  <w:style w:type="paragraph" w:customStyle="1" w:styleId="448">
    <w:name w:val="xl86"/>
    <w:basedOn w:val="1"/>
    <w:qFormat/>
    <w:uiPriority w:val="0"/>
    <w:pPr>
      <w:widowControl/>
      <w:pBdr>
        <w:top w:val="single" w:color="auto" w:sz="8" w:space="0"/>
        <w:left w:val="single" w:color="auto" w:sz="4" w:space="0"/>
        <w:bottom w:val="single" w:color="auto" w:sz="4" w:space="0"/>
        <w:right w:val="single" w:color="auto" w:sz="4" w:space="0"/>
      </w:pBdr>
      <w:shd w:val="clear" w:color="000000" w:fill="FFFF99"/>
      <w:spacing w:before="100" w:beforeAutospacing="1" w:after="100" w:afterAutospacing="1"/>
      <w:jc w:val="center"/>
    </w:pPr>
    <w:rPr>
      <w:rFonts w:ascii="宋体" w:hAnsi="宋体" w:cs="宋体"/>
      <w:color w:val="000000"/>
      <w:kern w:val="0"/>
      <w:sz w:val="24"/>
    </w:rPr>
  </w:style>
  <w:style w:type="paragraph" w:customStyle="1" w:styleId="449">
    <w:name w:val="xl10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450">
    <w:name w:val="图表内文字"/>
    <w:qFormat/>
    <w:uiPriority w:val="0"/>
    <w:pPr>
      <w:widowControl w:val="0"/>
      <w:spacing w:line="360" w:lineRule="auto"/>
      <w:jc w:val="center"/>
    </w:pPr>
    <w:rPr>
      <w:rFonts w:ascii="Times New Roman" w:hAnsi="Times New Roman" w:eastAsia="宋体" w:cs="Times New Roman"/>
      <w:kern w:val="2"/>
      <w:sz w:val="24"/>
      <w:szCs w:val="28"/>
      <w:lang w:val="en-US" w:eastAsia="zh-CN" w:bidi="ar-SA"/>
    </w:rPr>
  </w:style>
  <w:style w:type="paragraph" w:customStyle="1" w:styleId="451">
    <w:name w:val="Char1 Char Char Char"/>
    <w:basedOn w:val="1"/>
    <w:qFormat/>
    <w:uiPriority w:val="0"/>
    <w:rPr>
      <w:rFonts w:ascii="Tahoma" w:hAnsi="Tahoma"/>
      <w:sz w:val="24"/>
      <w:szCs w:val="20"/>
    </w:rPr>
  </w:style>
  <w:style w:type="paragraph" w:customStyle="1" w:styleId="452">
    <w:name w:val="xl44"/>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53">
    <w:name w:val="标书三级标题"/>
    <w:basedOn w:val="5"/>
    <w:qFormat/>
    <w:uiPriority w:val="0"/>
    <w:pPr>
      <w:widowControl/>
      <w:numPr>
        <w:ilvl w:val="0"/>
        <w:numId w:val="0"/>
      </w:numPr>
      <w:spacing w:before="120" w:after="120" w:line="415" w:lineRule="auto"/>
      <w:jc w:val="left"/>
      <w:outlineLvl w:val="3"/>
    </w:pPr>
    <w:rPr>
      <w:rFonts w:ascii="Cambria" w:hAnsi="Cambria" w:eastAsia="黑体"/>
      <w:b w:val="0"/>
      <w:kern w:val="0"/>
      <w:sz w:val="28"/>
      <w:szCs w:val="28"/>
      <w:lang w:eastAsia="en-US" w:bidi="en-US"/>
    </w:rPr>
  </w:style>
  <w:style w:type="paragraph" w:customStyle="1" w:styleId="454">
    <w:name w:val="Subject Title"/>
    <w:basedOn w:val="1"/>
    <w:qFormat/>
    <w:uiPriority w:val="0"/>
    <w:pPr>
      <w:widowControl/>
      <w:spacing w:before="60" w:after="60" w:line="280" w:lineRule="exact"/>
      <w:ind w:left="907" w:right="360"/>
    </w:pPr>
    <w:rPr>
      <w:rFonts w:ascii="Arial Narrow" w:hAnsi="Arial Narrow"/>
      <w:b/>
      <w:kern w:val="0"/>
      <w:sz w:val="32"/>
      <w:szCs w:val="20"/>
      <w:lang w:eastAsia="en-US"/>
    </w:rPr>
  </w:style>
  <w:style w:type="paragraph" w:customStyle="1" w:styleId="455">
    <w:name w:val="文字"/>
    <w:basedOn w:val="1"/>
    <w:qFormat/>
    <w:uiPriority w:val="0"/>
    <w:pPr>
      <w:tabs>
        <w:tab w:val="left" w:pos="8520"/>
      </w:tabs>
      <w:spacing w:line="312" w:lineRule="auto"/>
      <w:ind w:right="-210" w:firstLine="556"/>
    </w:pPr>
    <w:rPr>
      <w:rFonts w:ascii="楷体_GB2312" w:eastAsia="楷体_GB2312"/>
      <w:sz w:val="28"/>
      <w:szCs w:val="20"/>
    </w:rPr>
  </w:style>
  <w:style w:type="paragraph" w:customStyle="1" w:styleId="456">
    <w:name w:val="样式 题注 + 首行缩进:  2 字符1"/>
    <w:basedOn w:val="18"/>
    <w:qFormat/>
    <w:uiPriority w:val="0"/>
    <w:pPr>
      <w:keepNext/>
      <w:autoSpaceDE/>
      <w:autoSpaceDN/>
      <w:adjustRightInd/>
      <w:spacing w:before="240" w:after="240" w:line="360" w:lineRule="auto"/>
      <w:ind w:firstLine="200" w:firstLineChars="200"/>
      <w:jc w:val="both"/>
    </w:pPr>
    <w:rPr>
      <w:rFonts w:ascii="宋体" w:hAnsi="宋体" w:eastAsia="宋体" w:cs="宋体"/>
      <w:kern w:val="2"/>
      <w:sz w:val="24"/>
      <w:szCs w:val="24"/>
    </w:rPr>
  </w:style>
  <w:style w:type="paragraph" w:customStyle="1" w:styleId="457">
    <w:name w:val="正文无缩进"/>
    <w:basedOn w:val="1"/>
    <w:qFormat/>
    <w:uiPriority w:val="0"/>
    <w:pPr>
      <w:spacing w:line="440" w:lineRule="exact"/>
    </w:pPr>
    <w:rPr>
      <w:rFonts w:cs="宋体"/>
      <w:sz w:val="24"/>
      <w:szCs w:val="20"/>
    </w:rPr>
  </w:style>
  <w:style w:type="paragraph" w:customStyle="1" w:styleId="458">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59">
    <w:name w:val="xl8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460">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jc w:val="center"/>
    </w:pPr>
    <w:rPr>
      <w:rFonts w:ascii="宋体" w:hAnsi="宋体" w:cs="宋体"/>
      <w:kern w:val="0"/>
      <w:sz w:val="24"/>
    </w:rPr>
  </w:style>
  <w:style w:type="paragraph" w:customStyle="1" w:styleId="461">
    <w:name w:val="xl117"/>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462">
    <w:name w:val="xl11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463">
    <w:name w:val="列表内容"/>
    <w:basedOn w:val="1"/>
    <w:next w:val="1"/>
    <w:qFormat/>
    <w:uiPriority w:val="0"/>
    <w:pPr>
      <w:widowControl/>
      <w:numPr>
        <w:ilvl w:val="0"/>
        <w:numId w:val="21"/>
      </w:numPr>
      <w:autoSpaceDE w:val="0"/>
      <w:autoSpaceDN w:val="0"/>
      <w:adjustRightInd w:val="0"/>
      <w:ind w:left="0" w:firstLine="200"/>
      <w:jc w:val="left"/>
    </w:pPr>
    <w:rPr>
      <w:kern w:val="0"/>
      <w:sz w:val="18"/>
      <w:szCs w:val="20"/>
    </w:rPr>
  </w:style>
  <w:style w:type="paragraph" w:customStyle="1" w:styleId="464">
    <w:name w:val="Table Heading"/>
    <w:basedOn w:val="1"/>
    <w:qFormat/>
    <w:uiPriority w:val="0"/>
    <w:pPr>
      <w:topLinePunct/>
      <w:spacing w:before="80" w:after="80"/>
      <w:jc w:val="left"/>
    </w:pPr>
    <w:rPr>
      <w:rFonts w:ascii="Arial" w:hAnsi="Arial" w:eastAsia="黑体" w:cs="Arial"/>
      <w:sz w:val="18"/>
      <w:szCs w:val="21"/>
    </w:rPr>
  </w:style>
  <w:style w:type="paragraph" w:customStyle="1" w:styleId="465">
    <w:name w:val="xl54"/>
    <w:basedOn w:val="1"/>
    <w:qFormat/>
    <w:uiPriority w:val="0"/>
    <w:pPr>
      <w:widowControl/>
      <w:pBdr>
        <w:top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66">
    <w:name w:val="技术报告正文"/>
    <w:basedOn w:val="1"/>
    <w:qFormat/>
    <w:uiPriority w:val="0"/>
    <w:pPr>
      <w:autoSpaceDE w:val="0"/>
      <w:autoSpaceDN w:val="0"/>
      <w:adjustRightInd w:val="0"/>
      <w:spacing w:beforeLines="50" w:line="440" w:lineRule="exact"/>
      <w:ind w:firstLine="538" w:firstLineChars="192"/>
      <w:jc w:val="left"/>
    </w:pPr>
    <w:rPr>
      <w:rFonts w:cs="Arial"/>
      <w:bCs/>
      <w:kern w:val="0"/>
      <w:sz w:val="28"/>
      <w:szCs w:val="20"/>
    </w:rPr>
  </w:style>
  <w:style w:type="paragraph" w:customStyle="1" w:styleId="467">
    <w:name w:val="Char Char Char Char Char Char Char Char Char Char Char Char1 Char"/>
    <w:basedOn w:val="1"/>
    <w:qFormat/>
    <w:uiPriority w:val="0"/>
    <w:pPr>
      <w:snapToGrid w:val="0"/>
      <w:spacing w:line="360" w:lineRule="auto"/>
      <w:ind w:firstLine="200" w:firstLineChars="200"/>
    </w:pPr>
    <w:rPr>
      <w:rFonts w:eastAsia="仿宋_GB2312"/>
      <w:sz w:val="24"/>
    </w:rPr>
  </w:style>
  <w:style w:type="paragraph" w:customStyle="1" w:styleId="468">
    <w:name w:val="序列a)b)"/>
    <w:basedOn w:val="1"/>
    <w:qFormat/>
    <w:uiPriority w:val="0"/>
    <w:pPr>
      <w:widowControl/>
      <w:numPr>
        <w:ilvl w:val="1"/>
        <w:numId w:val="22"/>
      </w:numPr>
      <w:tabs>
        <w:tab w:val="left" w:pos="845"/>
        <w:tab w:val="clear" w:pos="840"/>
      </w:tabs>
      <w:adjustRightInd w:val="0"/>
      <w:snapToGrid w:val="0"/>
      <w:spacing w:line="300" w:lineRule="auto"/>
      <w:ind w:firstLine="0"/>
      <w:jc w:val="left"/>
      <w:textAlignment w:val="baseline"/>
    </w:pPr>
    <w:rPr>
      <w:kern w:val="0"/>
      <w:sz w:val="24"/>
      <w:szCs w:val="20"/>
    </w:rPr>
  </w:style>
  <w:style w:type="paragraph" w:customStyle="1" w:styleId="469">
    <w:name w:val="三级条标题"/>
    <w:basedOn w:val="470"/>
    <w:next w:val="1"/>
    <w:qFormat/>
    <w:uiPriority w:val="0"/>
    <w:pPr>
      <w:numPr>
        <w:ilvl w:val="4"/>
      </w:numPr>
      <w:outlineLvl w:val="4"/>
    </w:pPr>
  </w:style>
  <w:style w:type="paragraph" w:customStyle="1" w:styleId="470">
    <w:name w:val="二级条标题"/>
    <w:basedOn w:val="471"/>
    <w:next w:val="1"/>
    <w:qFormat/>
    <w:uiPriority w:val="0"/>
    <w:pPr>
      <w:numPr>
        <w:ilvl w:val="3"/>
      </w:numPr>
      <w:outlineLvl w:val="3"/>
    </w:pPr>
  </w:style>
  <w:style w:type="paragraph" w:customStyle="1" w:styleId="471">
    <w:name w:val="一级条标题"/>
    <w:next w:val="1"/>
    <w:qFormat/>
    <w:uiPriority w:val="0"/>
    <w:pPr>
      <w:numPr>
        <w:ilvl w:val="2"/>
        <w:numId w:val="17"/>
      </w:numPr>
      <w:outlineLvl w:val="2"/>
    </w:pPr>
    <w:rPr>
      <w:rFonts w:ascii="Times New Roman" w:hAnsi="Times New Roman" w:eastAsia="黑体" w:cs="Times New Roman"/>
      <w:sz w:val="21"/>
      <w:lang w:val="en-US" w:eastAsia="zh-CN" w:bidi="ar-SA"/>
    </w:rPr>
  </w:style>
  <w:style w:type="paragraph" w:customStyle="1" w:styleId="472">
    <w:name w:val="二级编号正文"/>
    <w:basedOn w:val="1"/>
    <w:qFormat/>
    <w:uiPriority w:val="1"/>
    <w:pPr>
      <w:numPr>
        <w:ilvl w:val="0"/>
        <w:numId w:val="23"/>
      </w:numPr>
      <w:spacing w:line="360" w:lineRule="auto"/>
      <w:ind w:left="0" w:firstLine="400" w:firstLineChars="400"/>
    </w:pPr>
    <w:rPr>
      <w:sz w:val="24"/>
    </w:rPr>
  </w:style>
  <w:style w:type="paragraph" w:customStyle="1" w:styleId="473">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rPr>
  </w:style>
  <w:style w:type="paragraph" w:customStyle="1" w:styleId="474">
    <w:name w:val="xl139"/>
    <w:basedOn w:val="1"/>
    <w:qFormat/>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475">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76">
    <w:name w:val="章标题"/>
    <w:next w:val="1"/>
    <w:qFormat/>
    <w:uiPriority w:val="0"/>
    <w:pPr>
      <w:numPr>
        <w:ilvl w:val="1"/>
        <w:numId w:val="17"/>
      </w:numPr>
      <w:spacing w:beforeLines="50" w:afterLines="50"/>
      <w:jc w:val="both"/>
      <w:outlineLvl w:val="1"/>
    </w:pPr>
    <w:rPr>
      <w:rFonts w:ascii="黑体" w:hAnsi="Times New Roman" w:eastAsia="黑体" w:cs="Times New Roman"/>
      <w:sz w:val="21"/>
      <w:lang w:val="en-US" w:eastAsia="zh-CN" w:bidi="ar-SA"/>
    </w:rPr>
  </w:style>
  <w:style w:type="paragraph" w:customStyle="1" w:styleId="477">
    <w:name w:val="mynormal"/>
    <w:basedOn w:val="1"/>
    <w:qFormat/>
    <w:uiPriority w:val="0"/>
    <w:pPr>
      <w:jc w:val="left"/>
    </w:pPr>
    <w:rPr>
      <w:szCs w:val="21"/>
    </w:rPr>
  </w:style>
  <w:style w:type="paragraph" w:customStyle="1" w:styleId="478">
    <w:name w:val="xl10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79">
    <w:name w:val="xl123"/>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pPr>
    <w:rPr>
      <w:kern w:val="0"/>
      <w:sz w:val="24"/>
    </w:rPr>
  </w:style>
  <w:style w:type="paragraph" w:customStyle="1" w:styleId="480">
    <w:name w:val="首航缩进"/>
    <w:basedOn w:val="1"/>
    <w:qFormat/>
    <w:uiPriority w:val="0"/>
    <w:pPr>
      <w:spacing w:line="360" w:lineRule="auto"/>
      <w:ind w:firstLine="480" w:firstLineChars="200"/>
    </w:pPr>
    <w:rPr>
      <w:color w:val="FF0000"/>
      <w:sz w:val="24"/>
    </w:rPr>
  </w:style>
  <w:style w:type="paragraph" w:customStyle="1" w:styleId="481">
    <w:name w:val="样式 标题 2h2sect 1.2二级H22nd level2Header 2l2Titre2Head 2..."/>
    <w:basedOn w:val="4"/>
    <w:qFormat/>
    <w:uiPriority w:val="0"/>
    <w:pPr>
      <w:numPr>
        <w:numId w:val="0"/>
      </w:numPr>
      <w:spacing w:before="120" w:after="120" w:line="360" w:lineRule="auto"/>
    </w:pPr>
    <w:rPr>
      <w:rFonts w:ascii="黑体" w:hAnsi="黑体" w:cs="宋体"/>
      <w:sz w:val="30"/>
      <w:szCs w:val="30"/>
    </w:rPr>
  </w:style>
  <w:style w:type="paragraph" w:customStyle="1" w:styleId="482">
    <w:name w:val="附录章标题"/>
    <w:next w:val="413"/>
    <w:qFormat/>
    <w:uiPriority w:val="0"/>
    <w:pPr>
      <w:tabs>
        <w:tab w:val="left" w:pos="840"/>
      </w:tabs>
      <w:wordWrap w:val="0"/>
      <w:overflowPunct w:val="0"/>
      <w:autoSpaceDE w:val="0"/>
      <w:spacing w:beforeLines="50" w:afterLines="50"/>
      <w:ind w:left="840" w:hanging="420"/>
      <w:jc w:val="both"/>
      <w:textAlignment w:val="baseline"/>
      <w:outlineLvl w:val="1"/>
    </w:pPr>
    <w:rPr>
      <w:rFonts w:ascii="黑体" w:hAnsi="Times New Roman" w:eastAsia="黑体" w:cs="Times New Roman"/>
      <w:kern w:val="21"/>
      <w:sz w:val="21"/>
      <w:lang w:val="en-US" w:eastAsia="zh-CN" w:bidi="ar-SA"/>
    </w:rPr>
  </w:style>
  <w:style w:type="paragraph" w:customStyle="1" w:styleId="483">
    <w:name w:val="Level4"/>
    <w:basedOn w:val="1"/>
    <w:qFormat/>
    <w:uiPriority w:val="0"/>
    <w:pPr>
      <w:widowControl/>
      <w:tabs>
        <w:tab w:val="left" w:pos="432"/>
      </w:tabs>
      <w:spacing w:line="300" w:lineRule="auto"/>
      <w:ind w:firstLine="567"/>
    </w:pPr>
    <w:rPr>
      <w:rFonts w:cs="Arial"/>
      <w:kern w:val="0"/>
      <w:sz w:val="24"/>
      <w:szCs w:val="22"/>
      <w:lang w:val="en-GB"/>
    </w:rPr>
  </w:style>
  <w:style w:type="paragraph" w:customStyle="1" w:styleId="484">
    <w:name w:val="图表名称"/>
    <w:qFormat/>
    <w:uiPriority w:val="0"/>
    <w:pPr>
      <w:spacing w:line="360" w:lineRule="auto"/>
      <w:jc w:val="center"/>
    </w:pPr>
    <w:rPr>
      <w:rFonts w:ascii="Times New Roman" w:hAnsi="Times New Roman" w:eastAsia="宋体" w:cs="Times New Roman"/>
      <w:b/>
      <w:sz w:val="24"/>
      <w:szCs w:val="24"/>
      <w:lang w:val="en-US" w:eastAsia="zh-CN" w:bidi="ar-SA"/>
    </w:rPr>
  </w:style>
  <w:style w:type="paragraph" w:customStyle="1" w:styleId="485">
    <w:name w:val="样式 编号 + 行距: 1.5 倍行距"/>
    <w:basedOn w:val="214"/>
    <w:qFormat/>
    <w:uiPriority w:val="0"/>
    <w:pPr>
      <w:tabs>
        <w:tab w:val="left" w:pos="420"/>
      </w:tabs>
      <w:snapToGrid w:val="0"/>
      <w:spacing w:before="120" w:line="360" w:lineRule="auto"/>
      <w:ind w:left="-34" w:firstLine="454" w:firstLineChars="0"/>
    </w:pPr>
    <w:rPr>
      <w:rFonts w:ascii="宋体" w:hAnsi="宋体" w:eastAsia="Times New Roman" w:cs="宋体"/>
      <w:color w:val="000000"/>
      <w:sz w:val="24"/>
      <w:szCs w:val="20"/>
      <w:lang w:eastAsia="en-US"/>
    </w:rPr>
  </w:style>
  <w:style w:type="paragraph" w:customStyle="1" w:styleId="486">
    <w:name w:val="样式4"/>
    <w:basedOn w:val="487"/>
    <w:qFormat/>
    <w:uiPriority w:val="0"/>
    <w:pPr>
      <w:tabs>
        <w:tab w:val="left" w:pos="945"/>
      </w:tabs>
      <w:ind w:left="3990" w:leftChars="100" w:right="100"/>
    </w:pPr>
    <w:rPr>
      <w:color w:val="auto"/>
      <w:sz w:val="28"/>
      <w:szCs w:val="28"/>
    </w:rPr>
  </w:style>
  <w:style w:type="paragraph" w:customStyle="1" w:styleId="487">
    <w:name w:val="标题样式3"/>
    <w:basedOn w:val="5"/>
    <w:qFormat/>
    <w:uiPriority w:val="0"/>
    <w:pPr>
      <w:numPr>
        <w:ilvl w:val="0"/>
        <w:numId w:val="0"/>
      </w:numPr>
      <w:tabs>
        <w:tab w:val="left" w:pos="945"/>
      </w:tabs>
      <w:spacing w:beforeLines="50" w:afterLines="50"/>
    </w:pPr>
    <w:rPr>
      <w:rFonts w:ascii="华文中宋" w:hAnsi="华文中宋" w:eastAsia="华文中宋"/>
      <w:b w:val="0"/>
      <w:color w:val="000000"/>
      <w:szCs w:val="30"/>
    </w:rPr>
  </w:style>
  <w:style w:type="paragraph" w:customStyle="1" w:styleId="48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89">
    <w:name w:val="标准小四"/>
    <w:basedOn w:val="1"/>
    <w:qFormat/>
    <w:uiPriority w:val="0"/>
    <w:pPr>
      <w:autoSpaceDE w:val="0"/>
      <w:autoSpaceDN w:val="0"/>
      <w:adjustRightInd w:val="0"/>
      <w:spacing w:line="360" w:lineRule="auto"/>
      <w:ind w:firstLine="480" w:firstLineChars="200"/>
      <w:jc w:val="left"/>
    </w:pPr>
    <w:rPr>
      <w:rFonts w:ascii="Arial" w:hAnsi="Arial"/>
      <w:kern w:val="0"/>
      <w:sz w:val="24"/>
      <w:szCs w:val="21"/>
    </w:rPr>
  </w:style>
  <w:style w:type="paragraph" w:customStyle="1" w:styleId="490">
    <w:name w:val="标书一级标题"/>
    <w:basedOn w:val="3"/>
    <w:qFormat/>
    <w:uiPriority w:val="0"/>
    <w:pPr>
      <w:widowControl/>
      <w:numPr>
        <w:numId w:val="24"/>
      </w:numPr>
      <w:adjustRightInd w:val="0"/>
      <w:spacing w:before="0" w:after="0" w:line="276" w:lineRule="auto"/>
      <w:jc w:val="center"/>
    </w:pPr>
    <w:rPr>
      <w:rFonts w:ascii="Arial" w:hAnsi="Arial" w:eastAsia="黑体"/>
      <w:b w:val="0"/>
      <w:smallCaps/>
      <w:color w:val="365F91"/>
      <w:kern w:val="0"/>
      <w:sz w:val="36"/>
      <w:szCs w:val="28"/>
      <w:lang w:eastAsia="en-US" w:bidi="en-US"/>
    </w:rPr>
  </w:style>
  <w:style w:type="paragraph" w:customStyle="1" w:styleId="491">
    <w:name w:val="编号列项（三级）"/>
    <w:qFormat/>
    <w:uiPriority w:val="0"/>
    <w:pPr>
      <w:numPr>
        <w:ilvl w:val="2"/>
        <w:numId w:val="25"/>
      </w:numPr>
    </w:pPr>
    <w:rPr>
      <w:rFonts w:ascii="宋体" w:hAnsi="Times New Roman" w:eastAsia="宋体" w:cs="Times New Roman"/>
      <w:sz w:val="21"/>
      <w:lang w:val="en-US" w:eastAsia="zh-CN" w:bidi="ar-SA"/>
    </w:rPr>
  </w:style>
  <w:style w:type="paragraph" w:customStyle="1" w:styleId="492">
    <w:name w:val="2级标题"/>
    <w:basedOn w:val="1"/>
    <w:qFormat/>
    <w:uiPriority w:val="0"/>
    <w:pPr>
      <w:autoSpaceDN w:val="0"/>
      <w:snapToGrid w:val="0"/>
      <w:spacing w:line="300" w:lineRule="auto"/>
    </w:pPr>
    <w:rPr>
      <w:rFonts w:ascii="宋体" w:hAnsi="宋体"/>
      <w:b/>
      <w:sz w:val="28"/>
      <w:szCs w:val="28"/>
    </w:rPr>
  </w:style>
  <w:style w:type="paragraph" w:customStyle="1" w:styleId="493">
    <w:name w:val="缺省文本"/>
    <w:basedOn w:val="1"/>
    <w:qFormat/>
    <w:uiPriority w:val="0"/>
    <w:pPr>
      <w:autoSpaceDE w:val="0"/>
      <w:autoSpaceDN w:val="0"/>
      <w:adjustRightInd w:val="0"/>
      <w:jc w:val="left"/>
    </w:pPr>
    <w:rPr>
      <w:kern w:val="0"/>
      <w:sz w:val="24"/>
    </w:rPr>
  </w:style>
  <w:style w:type="paragraph" w:customStyle="1" w:styleId="494">
    <w:name w:val="Bullet1"/>
    <w:basedOn w:val="1"/>
    <w:qFormat/>
    <w:uiPriority w:val="0"/>
    <w:pPr>
      <w:widowControl/>
      <w:numPr>
        <w:ilvl w:val="0"/>
        <w:numId w:val="26"/>
      </w:numPr>
      <w:tabs>
        <w:tab w:val="left" w:pos="-30"/>
      </w:tabs>
      <w:spacing w:line="400" w:lineRule="atLeast"/>
      <w:ind w:left="1260" w:hanging="580"/>
    </w:pPr>
    <w:rPr>
      <w:sz w:val="24"/>
      <w:szCs w:val="20"/>
    </w:rPr>
  </w:style>
  <w:style w:type="paragraph" w:customStyle="1" w:styleId="495">
    <w:name w:val="样式 标题 2 + 行距: 1.5 倍行距"/>
    <w:basedOn w:val="4"/>
    <w:qFormat/>
    <w:uiPriority w:val="0"/>
    <w:pPr>
      <w:numPr>
        <w:numId w:val="0"/>
      </w:numPr>
      <w:spacing w:before="0" w:after="0" w:line="360" w:lineRule="auto"/>
    </w:pPr>
    <w:rPr>
      <w:rFonts w:cs="宋体"/>
      <w:sz w:val="28"/>
      <w:szCs w:val="20"/>
    </w:rPr>
  </w:style>
  <w:style w:type="paragraph" w:customStyle="1" w:styleId="496">
    <w:name w:val="Char Char1 Char Char Char Char Char Char Char Char Char Char Char Char Char Char"/>
    <w:basedOn w:val="1"/>
    <w:qFormat/>
    <w:uiPriority w:val="0"/>
    <w:pPr>
      <w:widowControl/>
      <w:autoSpaceDE w:val="0"/>
      <w:autoSpaceDN w:val="0"/>
      <w:adjustRightInd w:val="0"/>
      <w:spacing w:after="160" w:line="240" w:lineRule="exact"/>
      <w:jc w:val="left"/>
    </w:pPr>
    <w:rPr>
      <w:kern w:val="0"/>
      <w:sz w:val="20"/>
      <w:szCs w:val="20"/>
    </w:rPr>
  </w:style>
  <w:style w:type="paragraph" w:customStyle="1" w:styleId="497">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98">
    <w:name w:val="Heading 1 章"/>
    <w:next w:val="1"/>
    <w:qFormat/>
    <w:uiPriority w:val="0"/>
    <w:pPr>
      <w:numPr>
        <w:ilvl w:val="0"/>
        <w:numId w:val="27"/>
      </w:numPr>
      <w:tabs>
        <w:tab w:val="left" w:pos="1134"/>
        <w:tab w:val="clear" w:pos="1144"/>
      </w:tabs>
      <w:spacing w:beforeLines="100" w:afterLines="100" w:line="440" w:lineRule="exact"/>
      <w:jc w:val="center"/>
    </w:pPr>
    <w:rPr>
      <w:rFonts w:ascii="黑体" w:hAnsi="黑体" w:eastAsia="黑体" w:cs="宋体"/>
      <w:b/>
      <w:bCs/>
      <w:kern w:val="44"/>
      <w:sz w:val="32"/>
      <w:lang w:val="en-US" w:eastAsia="zh-CN" w:bidi="ar-SA"/>
    </w:rPr>
  </w:style>
  <w:style w:type="paragraph" w:customStyle="1" w:styleId="499">
    <w:name w:val="样式3"/>
    <w:basedOn w:val="365"/>
    <w:qFormat/>
    <w:uiPriority w:val="0"/>
    <w:pPr>
      <w:tabs>
        <w:tab w:val="left" w:pos="1620"/>
        <w:tab w:val="left" w:pos="1740"/>
      </w:tabs>
      <w:ind w:left="1740"/>
    </w:pPr>
    <w:rPr>
      <w:sz w:val="24"/>
      <w:szCs w:val="24"/>
    </w:rPr>
  </w:style>
  <w:style w:type="paragraph" w:customStyle="1" w:styleId="500">
    <w:name w:val="xl100"/>
    <w:basedOn w:val="1"/>
    <w:qFormat/>
    <w:uiPriority w:val="0"/>
    <w:pPr>
      <w:widowControl/>
      <w:pBdr>
        <w:top w:val="single" w:color="auto" w:sz="8" w:space="0"/>
        <w:left w:val="single" w:color="auto" w:sz="4" w:space="0"/>
        <w:bottom w:val="single" w:color="auto" w:sz="8" w:space="0"/>
        <w:right w:val="single" w:color="auto" w:sz="4" w:space="0"/>
      </w:pBdr>
      <w:spacing w:before="100" w:beforeAutospacing="1" w:after="100" w:afterAutospacing="1"/>
      <w:jc w:val="left"/>
      <w:textAlignment w:val="top"/>
    </w:pPr>
    <w:rPr>
      <w:rFonts w:ascii="宋体" w:hAnsi="宋体" w:cs="宋体"/>
      <w:color w:val="000000"/>
      <w:kern w:val="0"/>
      <w:sz w:val="24"/>
    </w:rPr>
  </w:style>
  <w:style w:type="paragraph" w:customStyle="1" w:styleId="501">
    <w:name w:val="xl5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02">
    <w:name w:val="正文-宋体四号"/>
    <w:basedOn w:val="1"/>
    <w:qFormat/>
    <w:uiPriority w:val="0"/>
    <w:pPr>
      <w:spacing w:line="360" w:lineRule="auto"/>
      <w:ind w:firstLine="560" w:firstLineChars="200"/>
    </w:pPr>
    <w:rPr>
      <w:rFonts w:cs="宋体"/>
      <w:sz w:val="28"/>
      <w:szCs w:val="20"/>
    </w:rPr>
  </w:style>
  <w:style w:type="paragraph" w:customStyle="1" w:styleId="503">
    <w:name w:val="NICMAN Body Text"/>
    <w:basedOn w:val="1"/>
    <w:next w:val="27"/>
    <w:qFormat/>
    <w:uiPriority w:val="0"/>
    <w:pPr>
      <w:autoSpaceDE w:val="0"/>
      <w:autoSpaceDN w:val="0"/>
      <w:adjustRightInd w:val="0"/>
      <w:spacing w:after="120"/>
      <w:jc w:val="left"/>
    </w:pPr>
    <w:rPr>
      <w:kern w:val="0"/>
      <w:sz w:val="20"/>
      <w:szCs w:val="20"/>
    </w:rPr>
  </w:style>
  <w:style w:type="paragraph" w:customStyle="1" w:styleId="504">
    <w:name w:val="样式 样式 标题 4H4 + 行距: 多倍行距 1.25 字行 + 行距: 1.5 倍行距"/>
    <w:basedOn w:val="1"/>
    <w:qFormat/>
    <w:uiPriority w:val="0"/>
    <w:pPr>
      <w:numPr>
        <w:ilvl w:val="3"/>
        <w:numId w:val="1"/>
      </w:numPr>
    </w:pPr>
  </w:style>
  <w:style w:type="paragraph" w:customStyle="1" w:styleId="505">
    <w:name w:val="排列"/>
    <w:basedOn w:val="1"/>
    <w:qFormat/>
    <w:uiPriority w:val="0"/>
    <w:pPr>
      <w:widowControl/>
      <w:numPr>
        <w:ilvl w:val="0"/>
        <w:numId w:val="28"/>
      </w:numPr>
      <w:tabs>
        <w:tab w:val="clear" w:pos="1620"/>
      </w:tabs>
      <w:autoSpaceDE w:val="0"/>
      <w:autoSpaceDN w:val="0"/>
      <w:adjustRightInd w:val="0"/>
      <w:spacing w:line="360" w:lineRule="auto"/>
      <w:ind w:left="0" w:firstLine="0"/>
      <w:jc w:val="left"/>
    </w:pPr>
    <w:rPr>
      <w:rFonts w:ascii="宋体" w:hAnsi="宋体"/>
      <w:kern w:val="0"/>
      <w:sz w:val="20"/>
      <w:szCs w:val="20"/>
      <w:lang w:val="zh-CN"/>
    </w:rPr>
  </w:style>
  <w:style w:type="paragraph" w:customStyle="1" w:styleId="506">
    <w:name w:val="正文（缩进） Char Char Char"/>
    <w:basedOn w:val="1"/>
    <w:qFormat/>
    <w:uiPriority w:val="0"/>
    <w:pPr>
      <w:spacing w:beforeLines="50" w:afterLines="50" w:line="360" w:lineRule="auto"/>
      <w:ind w:firstLine="480" w:firstLineChars="200"/>
    </w:pPr>
    <w:rPr>
      <w:sz w:val="24"/>
    </w:rPr>
  </w:style>
  <w:style w:type="paragraph" w:customStyle="1" w:styleId="507">
    <w:name w:val="Char1 Char Char Char1"/>
    <w:basedOn w:val="1"/>
    <w:qFormat/>
    <w:uiPriority w:val="0"/>
    <w:rPr>
      <w:rFonts w:ascii="Tahoma" w:hAnsi="Tahoma"/>
      <w:sz w:val="24"/>
      <w:szCs w:val="20"/>
    </w:rPr>
  </w:style>
  <w:style w:type="paragraph" w:customStyle="1" w:styleId="508">
    <w:name w:val="xl129"/>
    <w:basedOn w:val="1"/>
    <w:qFormat/>
    <w:uiPriority w:val="0"/>
    <w:pPr>
      <w:widowControl/>
      <w:pBdr>
        <w:top w:val="single" w:color="auto" w:sz="8" w:space="0"/>
        <w:left w:val="single" w:color="auto" w:sz="4" w:space="0"/>
        <w:bottom w:val="single" w:color="auto" w:sz="4" w:space="0"/>
        <w:right w:val="single" w:color="auto" w:sz="4" w:space="0"/>
      </w:pBdr>
      <w:shd w:val="clear" w:color="000000" w:fill="FFCC00"/>
      <w:spacing w:before="100" w:beforeAutospacing="1" w:after="100" w:afterAutospacing="1"/>
      <w:jc w:val="left"/>
    </w:pPr>
    <w:rPr>
      <w:rFonts w:ascii="宋体" w:hAnsi="宋体" w:cs="宋体"/>
      <w:kern w:val="0"/>
      <w:sz w:val="24"/>
    </w:rPr>
  </w:style>
  <w:style w:type="paragraph" w:customStyle="1" w:styleId="509">
    <w:name w:val="样式 样式 标题 3小标题章标题1Bold Headbhlevel_3PIM 3H3Level 3 Head第二层条... + ..."/>
    <w:basedOn w:val="510"/>
    <w:qFormat/>
    <w:uiPriority w:val="0"/>
    <w:pPr>
      <w:ind w:left="567"/>
    </w:pPr>
  </w:style>
  <w:style w:type="paragraph" w:customStyle="1" w:styleId="510">
    <w:name w:val="样式 标题 3小标题章标题1Bold Headbhlevel_3PIM 3H3Level 3 Head第二层条..."/>
    <w:basedOn w:val="5"/>
    <w:qFormat/>
    <w:uiPriority w:val="0"/>
    <w:pPr>
      <w:numPr>
        <w:numId w:val="0"/>
      </w:numPr>
      <w:spacing w:line="360" w:lineRule="auto"/>
      <w:ind w:right="100" w:rightChars="100"/>
    </w:pPr>
    <w:rPr>
      <w:rFonts w:ascii="Courier New" w:hAnsi="Courier New" w:eastAsia="华文中宋" w:cs="宋体"/>
      <w:color w:val="000000"/>
      <w:sz w:val="30"/>
      <w:szCs w:val="20"/>
    </w:rPr>
  </w:style>
  <w:style w:type="paragraph" w:customStyle="1" w:styleId="511">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12">
    <w:name w:val="font9"/>
    <w:basedOn w:val="1"/>
    <w:qFormat/>
    <w:uiPriority w:val="0"/>
    <w:pPr>
      <w:widowControl/>
      <w:spacing w:before="100" w:beforeAutospacing="1" w:after="100" w:afterAutospacing="1"/>
      <w:jc w:val="left"/>
    </w:pPr>
    <w:rPr>
      <w:color w:val="FF0000"/>
      <w:kern w:val="0"/>
      <w:szCs w:val="21"/>
    </w:rPr>
  </w:style>
  <w:style w:type="paragraph" w:customStyle="1" w:styleId="513">
    <w:name w:val="xl91"/>
    <w:basedOn w:val="1"/>
    <w:qFormat/>
    <w:uiPriority w:val="0"/>
    <w:pPr>
      <w:widowControl/>
      <w:pBdr>
        <w:left w:val="single" w:color="auto" w:sz="4" w:space="0"/>
        <w:bottom w:val="single" w:color="auto" w:sz="4" w:space="0"/>
        <w:right w:val="single" w:color="auto" w:sz="4" w:space="0"/>
      </w:pBdr>
      <w:shd w:val="clear" w:color="000000" w:fill="FFFF99"/>
      <w:spacing w:before="100" w:beforeAutospacing="1" w:after="100" w:afterAutospacing="1"/>
      <w:jc w:val="center"/>
    </w:pPr>
    <w:rPr>
      <w:rFonts w:ascii="宋体" w:hAnsi="宋体" w:cs="宋体"/>
      <w:color w:val="000000"/>
      <w:kern w:val="0"/>
      <w:sz w:val="24"/>
    </w:rPr>
  </w:style>
  <w:style w:type="paragraph" w:customStyle="1" w:styleId="514">
    <w:name w:val="样式 题注 + 居中 首行缩进:  2 字符"/>
    <w:basedOn w:val="18"/>
    <w:qFormat/>
    <w:uiPriority w:val="0"/>
    <w:pPr>
      <w:keepNext/>
      <w:autoSpaceDE/>
      <w:autoSpaceDN/>
      <w:adjustRightInd/>
      <w:spacing w:before="240" w:after="240" w:line="360" w:lineRule="auto"/>
      <w:ind w:firstLine="400" w:firstLineChars="200"/>
      <w:jc w:val="center"/>
    </w:pPr>
    <w:rPr>
      <w:rFonts w:ascii="宋体" w:hAnsi="宋体" w:eastAsia="宋体" w:cs="宋体"/>
      <w:kern w:val="2"/>
      <w:sz w:val="24"/>
      <w:szCs w:val="24"/>
    </w:rPr>
  </w:style>
  <w:style w:type="paragraph" w:customStyle="1" w:styleId="515">
    <w:name w:val="xl4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16">
    <w:name w:val="xl56"/>
    <w:basedOn w:val="1"/>
    <w:qFormat/>
    <w:uiPriority w:val="0"/>
    <w:pPr>
      <w:widowControl/>
      <w:pBdr>
        <w:lef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17">
    <w:name w:val="xl121"/>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18">
    <w:name w:val="CM9"/>
    <w:basedOn w:val="1"/>
    <w:next w:val="1"/>
    <w:qFormat/>
    <w:uiPriority w:val="0"/>
    <w:pPr>
      <w:autoSpaceDE w:val="0"/>
      <w:autoSpaceDN w:val="0"/>
      <w:adjustRightInd w:val="0"/>
      <w:spacing w:line="468" w:lineRule="atLeast"/>
      <w:jc w:val="left"/>
    </w:pPr>
    <w:rPr>
      <w:rFonts w:ascii="宋体"/>
      <w:kern w:val="0"/>
      <w:sz w:val="24"/>
    </w:rPr>
  </w:style>
  <w:style w:type="paragraph" w:customStyle="1" w:styleId="519">
    <w:name w:val="xl70"/>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20">
    <w:name w:val="样式 正文文本"/>
    <w:basedOn w:val="1"/>
    <w:qFormat/>
    <w:uiPriority w:val="0"/>
    <w:pPr>
      <w:adjustRightInd w:val="0"/>
      <w:snapToGrid w:val="0"/>
      <w:spacing w:line="400" w:lineRule="exact"/>
      <w:ind w:firstLine="200" w:firstLineChars="200"/>
    </w:pPr>
    <w:rPr>
      <w:rFonts w:ascii="Arial" w:hAnsi="Arial" w:cs="宋体"/>
      <w:color w:val="000000"/>
      <w:szCs w:val="20"/>
    </w:rPr>
  </w:style>
  <w:style w:type="paragraph" w:customStyle="1" w:styleId="521">
    <w:name w:val="xl65"/>
    <w:basedOn w:val="1"/>
    <w:qFormat/>
    <w:uiPriority w:val="0"/>
    <w:pPr>
      <w:widowControl/>
      <w:spacing w:before="100" w:beforeAutospacing="1" w:after="100" w:afterAutospacing="1"/>
      <w:jc w:val="left"/>
    </w:pPr>
    <w:rPr>
      <w:rFonts w:ascii="宋体" w:hAnsi="宋体" w:cs="宋体"/>
      <w:kern w:val="0"/>
      <w:sz w:val="24"/>
    </w:rPr>
  </w:style>
  <w:style w:type="paragraph" w:customStyle="1" w:styleId="522">
    <w:name w:val="正文文字表格居中"/>
    <w:basedOn w:val="1"/>
    <w:next w:val="63"/>
    <w:qFormat/>
    <w:uiPriority w:val="0"/>
    <w:pPr>
      <w:autoSpaceDE w:val="0"/>
      <w:autoSpaceDN w:val="0"/>
      <w:adjustRightInd w:val="0"/>
      <w:snapToGrid w:val="0"/>
      <w:spacing w:line="360" w:lineRule="auto"/>
      <w:jc w:val="left"/>
    </w:pPr>
    <w:rPr>
      <w:rFonts w:ascii="宋体"/>
      <w:b/>
      <w:kern w:val="0"/>
      <w:sz w:val="24"/>
      <w:szCs w:val="20"/>
    </w:rPr>
  </w:style>
  <w:style w:type="paragraph" w:customStyle="1" w:styleId="523">
    <w:name w:val="Char Char1 Char"/>
    <w:basedOn w:val="1"/>
    <w:qFormat/>
    <w:uiPriority w:val="0"/>
    <w:pPr>
      <w:widowControl/>
      <w:autoSpaceDE w:val="0"/>
      <w:autoSpaceDN w:val="0"/>
      <w:adjustRightInd w:val="0"/>
      <w:snapToGrid w:val="0"/>
      <w:spacing w:before="120" w:after="160" w:line="360" w:lineRule="auto"/>
      <w:ind w:right="-360"/>
      <w:jc w:val="left"/>
    </w:pPr>
    <w:rPr>
      <w:rFonts w:ascii="Arial" w:hAnsi="Arial"/>
      <w:kern w:val="0"/>
      <w:sz w:val="24"/>
      <w:szCs w:val="20"/>
      <w:lang w:eastAsia="en-US"/>
    </w:rPr>
  </w:style>
  <w:style w:type="paragraph" w:customStyle="1" w:styleId="524">
    <w:name w:val="图表目录1"/>
    <w:basedOn w:val="37"/>
    <w:qFormat/>
    <w:uiPriority w:val="0"/>
    <w:pPr>
      <w:spacing w:after="120"/>
      <w:ind w:firstLine="0" w:firstLineChars="0"/>
      <w:jc w:val="center"/>
    </w:pPr>
    <w:rPr>
      <w:rFonts w:ascii="楷体"/>
      <w:sz w:val="28"/>
      <w:szCs w:val="20"/>
    </w:rPr>
  </w:style>
  <w:style w:type="paragraph" w:customStyle="1" w:styleId="525">
    <w:name w:val="xl64"/>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26">
    <w:name w:val="xl8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527">
    <w:name w:val="Char211"/>
    <w:basedOn w:val="1"/>
    <w:qFormat/>
    <w:uiPriority w:val="0"/>
    <w:pPr>
      <w:autoSpaceDE w:val="0"/>
      <w:autoSpaceDN w:val="0"/>
      <w:adjustRightInd w:val="0"/>
      <w:jc w:val="left"/>
    </w:pPr>
    <w:rPr>
      <w:rFonts w:ascii="仿宋_GB2312" w:eastAsia="仿宋_GB2312"/>
      <w:b/>
      <w:kern w:val="0"/>
      <w:sz w:val="32"/>
      <w:szCs w:val="32"/>
    </w:rPr>
  </w:style>
  <w:style w:type="paragraph" w:customStyle="1" w:styleId="528">
    <w:name w:val="xl74"/>
    <w:basedOn w:val="1"/>
    <w:qFormat/>
    <w:uiPriority w:val="0"/>
    <w:pPr>
      <w:widowControl/>
      <w:pBdr>
        <w:left w:val="single" w:color="auto" w:sz="8" w:space="0"/>
        <w:right w:val="single" w:color="auto" w:sz="4" w:space="0"/>
      </w:pBdr>
      <w:spacing w:before="100" w:beforeAutospacing="1" w:after="100" w:afterAutospacing="1"/>
      <w:jc w:val="center"/>
    </w:pPr>
    <w:rPr>
      <w:kern w:val="0"/>
      <w:sz w:val="24"/>
    </w:rPr>
  </w:style>
  <w:style w:type="paragraph" w:customStyle="1" w:styleId="529">
    <w:name w:val="xl99"/>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530">
    <w:name w:val="xl96"/>
    <w:basedOn w:val="1"/>
    <w:qFormat/>
    <w:uiPriority w:val="0"/>
    <w:pPr>
      <w:widowControl/>
      <w:pBdr>
        <w:top w:val="single" w:color="auto" w:sz="8"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 w:val="24"/>
    </w:rPr>
  </w:style>
  <w:style w:type="paragraph" w:customStyle="1" w:styleId="531">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532">
    <w:name w:val="Level2"/>
    <w:basedOn w:val="1"/>
    <w:next w:val="4"/>
    <w:qFormat/>
    <w:uiPriority w:val="0"/>
    <w:pPr>
      <w:keepNext/>
      <w:widowControl/>
      <w:spacing w:before="40" w:after="40" w:line="300" w:lineRule="auto"/>
      <w:ind w:firstLine="567"/>
    </w:pPr>
    <w:rPr>
      <w:rFonts w:ascii="Arial" w:hAnsi="Arial" w:cs="Arial"/>
      <w:i/>
      <w:iCs/>
      <w:color w:val="000080"/>
      <w:kern w:val="0"/>
      <w:sz w:val="24"/>
      <w:szCs w:val="22"/>
      <w:lang w:val="en-GB"/>
    </w:rPr>
  </w:style>
  <w:style w:type="paragraph" w:customStyle="1" w:styleId="533">
    <w:name w:val="样式 标题 3H31.1.1标题 3h3sect1.2.3BOD 03rd levellevel_3PIM 3...3"/>
    <w:basedOn w:val="5"/>
    <w:qFormat/>
    <w:uiPriority w:val="0"/>
    <w:pPr>
      <w:numPr>
        <w:numId w:val="0"/>
      </w:numPr>
      <w:tabs>
        <w:tab w:val="left" w:pos="459"/>
        <w:tab w:val="left" w:pos="900"/>
      </w:tabs>
      <w:autoSpaceDE w:val="0"/>
      <w:autoSpaceDN w:val="0"/>
      <w:snapToGrid w:val="0"/>
      <w:spacing w:beforeLines="50" w:afterLines="50" w:line="360" w:lineRule="auto"/>
      <w:jc w:val="left"/>
    </w:pPr>
    <w:rPr>
      <w:rFonts w:ascii="Courier New" w:hAnsi="Courier New" w:eastAsia="黑体"/>
      <w:color w:val="000000"/>
      <w:kern w:val="0"/>
      <w:sz w:val="28"/>
    </w:rPr>
  </w:style>
  <w:style w:type="paragraph" w:customStyle="1" w:styleId="534">
    <w:name w:val="xl98"/>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535">
    <w:name w:val="Bulleting First Indent 1"/>
    <w:basedOn w:val="68"/>
    <w:qFormat/>
    <w:uiPriority w:val="0"/>
    <w:pPr>
      <w:numPr>
        <w:ilvl w:val="0"/>
        <w:numId w:val="29"/>
      </w:numPr>
      <w:tabs>
        <w:tab w:val="left" w:pos="420"/>
      </w:tabs>
      <w:autoSpaceDE/>
      <w:autoSpaceDN/>
      <w:adjustRightInd/>
      <w:spacing w:before="20" w:after="20" w:line="300" w:lineRule="auto"/>
      <w:ind w:hanging="397" w:firstLineChars="0"/>
      <w:jc w:val="both"/>
    </w:pPr>
    <w:rPr>
      <w:rFonts w:ascii="Tahoma" w:hAnsi="Tahoma"/>
      <w:szCs w:val="21"/>
    </w:rPr>
  </w:style>
  <w:style w:type="paragraph" w:customStyle="1" w:styleId="536">
    <w:name w:val="xl10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537">
    <w:name w:val="xl114"/>
    <w:basedOn w:val="1"/>
    <w:qFormat/>
    <w:uiPriority w:val="0"/>
    <w:pPr>
      <w:widowControl/>
      <w:pBdr>
        <w:bottom w:val="single" w:color="auto" w:sz="8" w:space="0"/>
      </w:pBdr>
      <w:spacing w:before="100" w:beforeAutospacing="1" w:after="100" w:afterAutospacing="1"/>
      <w:jc w:val="center"/>
    </w:pPr>
    <w:rPr>
      <w:rFonts w:ascii="宋体" w:hAnsi="宋体" w:cs="宋体"/>
      <w:kern w:val="0"/>
      <w:sz w:val="24"/>
    </w:rPr>
  </w:style>
  <w:style w:type="paragraph" w:customStyle="1" w:styleId="538">
    <w:name w:val="此正文"/>
    <w:basedOn w:val="1"/>
    <w:qFormat/>
    <w:uiPriority w:val="0"/>
    <w:pPr>
      <w:autoSpaceDE w:val="0"/>
      <w:autoSpaceDN w:val="0"/>
      <w:adjustRightInd w:val="0"/>
      <w:spacing w:line="360" w:lineRule="auto"/>
      <w:ind w:firstLine="200" w:firstLineChars="200"/>
      <w:jc w:val="left"/>
    </w:pPr>
    <w:rPr>
      <w:kern w:val="0"/>
      <w:sz w:val="24"/>
      <w:szCs w:val="20"/>
    </w:rPr>
  </w:style>
  <w:style w:type="paragraph" w:customStyle="1" w:styleId="539">
    <w:name w:val="xl88"/>
    <w:basedOn w:val="1"/>
    <w:qFormat/>
    <w:uiPriority w:val="0"/>
    <w:pPr>
      <w:widowControl/>
      <w:pBdr>
        <w:top w:val="single" w:color="auto" w:sz="8"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540">
    <w:name w:val="xl138"/>
    <w:basedOn w:val="1"/>
    <w:qFormat/>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jc w:val="left"/>
    </w:pPr>
    <w:rPr>
      <w:rFonts w:ascii="宋体" w:hAnsi="宋体" w:cs="宋体"/>
      <w:kern w:val="0"/>
      <w:sz w:val="24"/>
    </w:rPr>
  </w:style>
  <w:style w:type="paragraph" w:customStyle="1" w:styleId="541">
    <w:name w:val="部分1"/>
    <w:basedOn w:val="1"/>
    <w:qFormat/>
    <w:uiPriority w:val="0"/>
    <w:pPr>
      <w:keepNext/>
      <w:pageBreakBefore/>
      <w:tabs>
        <w:tab w:val="left" w:pos="720"/>
      </w:tabs>
      <w:autoSpaceDE w:val="0"/>
      <w:autoSpaceDN w:val="0"/>
      <w:adjustRightInd w:val="0"/>
      <w:spacing w:line="360" w:lineRule="auto"/>
      <w:jc w:val="center"/>
      <w:outlineLvl w:val="0"/>
    </w:pPr>
    <w:rPr>
      <w:rFonts w:eastAsia="黑体"/>
      <w:b/>
      <w:kern w:val="44"/>
      <w:sz w:val="36"/>
      <w:szCs w:val="20"/>
    </w:rPr>
  </w:style>
  <w:style w:type="paragraph" w:customStyle="1" w:styleId="542">
    <w:name w:val="样式 编号1 + 首行缩进:  0 字符"/>
    <w:basedOn w:val="1"/>
    <w:qFormat/>
    <w:uiPriority w:val="0"/>
    <w:pPr>
      <w:snapToGrid w:val="0"/>
      <w:spacing w:line="360" w:lineRule="auto"/>
    </w:pPr>
    <w:rPr>
      <w:rFonts w:cs="宋体"/>
      <w:sz w:val="24"/>
      <w:szCs w:val="20"/>
    </w:rPr>
  </w:style>
  <w:style w:type="paragraph" w:customStyle="1" w:styleId="543">
    <w:name w:val="Char5 Char Char1 Char"/>
    <w:basedOn w:val="1"/>
    <w:qFormat/>
    <w:uiPriority w:val="0"/>
    <w:rPr>
      <w:rFonts w:ascii="Tahoma" w:hAnsi="Tahoma"/>
      <w:sz w:val="24"/>
      <w:szCs w:val="20"/>
    </w:rPr>
  </w:style>
  <w:style w:type="paragraph" w:customStyle="1" w:styleId="544">
    <w:name w:val="!标题6 Ctrl+6"/>
    <w:basedOn w:val="1"/>
    <w:next w:val="171"/>
    <w:qFormat/>
    <w:uiPriority w:val="0"/>
    <w:pPr>
      <w:numPr>
        <w:ilvl w:val="5"/>
        <w:numId w:val="22"/>
      </w:numPr>
      <w:tabs>
        <w:tab w:val="left" w:pos="4286"/>
      </w:tabs>
      <w:adjustRightInd w:val="0"/>
      <w:snapToGrid w:val="0"/>
      <w:spacing w:beforeLines="50" w:afterLines="50" w:line="360" w:lineRule="auto"/>
      <w:ind w:left="0" w:firstLine="0"/>
      <w:jc w:val="left"/>
      <w:outlineLvl w:val="5"/>
    </w:pPr>
    <w:rPr>
      <w:rFonts w:ascii="宋体" w:hAnsi="宋体"/>
      <w:b/>
      <w:sz w:val="24"/>
      <w:szCs w:val="20"/>
    </w:rPr>
  </w:style>
  <w:style w:type="paragraph" w:customStyle="1" w:styleId="545">
    <w:name w:val="xl80"/>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546">
    <w:name w:val="xl63"/>
    <w:basedOn w:val="1"/>
    <w:qFormat/>
    <w:uiPriority w:val="0"/>
    <w:pPr>
      <w:widowControl/>
      <w:pBdr>
        <w:top w:val="single" w:color="auto" w:sz="8" w:space="0"/>
        <w:lef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47">
    <w:name w:val="xl57"/>
    <w:basedOn w:val="1"/>
    <w:qFormat/>
    <w:uiPriority w:val="0"/>
    <w:pPr>
      <w:widowControl/>
      <w:spacing w:before="100" w:beforeAutospacing="1" w:after="100" w:afterAutospacing="1"/>
      <w:jc w:val="center"/>
      <w:textAlignment w:val="center"/>
    </w:pPr>
    <w:rPr>
      <w:rFonts w:ascii="宋体" w:hAnsi="宋体" w:cs="宋体"/>
      <w:kern w:val="0"/>
      <w:sz w:val="20"/>
      <w:szCs w:val="20"/>
    </w:rPr>
  </w:style>
  <w:style w:type="paragraph" w:customStyle="1" w:styleId="548">
    <w:name w:val="xl136"/>
    <w:basedOn w:val="1"/>
    <w:qFormat/>
    <w:uiPriority w:val="0"/>
    <w:pPr>
      <w:widowControl/>
      <w:pBdr>
        <w:top w:val="single" w:color="auto" w:sz="8" w:space="0"/>
        <w:left w:val="single" w:color="auto" w:sz="4" w:space="0"/>
        <w:right w:val="single" w:color="auto" w:sz="4" w:space="0"/>
      </w:pBdr>
      <w:shd w:val="clear" w:color="000000" w:fill="FFCC00"/>
      <w:spacing w:before="100" w:beforeAutospacing="1" w:after="100" w:afterAutospacing="1"/>
      <w:jc w:val="left"/>
    </w:pPr>
    <w:rPr>
      <w:rFonts w:ascii="宋体" w:hAnsi="宋体" w:cs="宋体"/>
      <w:kern w:val="0"/>
      <w:sz w:val="24"/>
    </w:rPr>
  </w:style>
  <w:style w:type="paragraph" w:customStyle="1" w:styleId="549">
    <w:name w:val="正5"/>
    <w:basedOn w:val="1"/>
    <w:next w:val="68"/>
    <w:qFormat/>
    <w:uiPriority w:val="0"/>
    <w:pPr>
      <w:spacing w:line="460" w:lineRule="exact"/>
      <w:jc w:val="center"/>
    </w:pPr>
    <w:rPr>
      <w:rFonts w:ascii="仿宋_GB2312" w:eastAsia="仿宋_GB2312"/>
      <w:sz w:val="24"/>
      <w:szCs w:val="20"/>
    </w:rPr>
  </w:style>
  <w:style w:type="paragraph" w:customStyle="1" w:styleId="550">
    <w:name w:val="正文2"/>
    <w:basedOn w:val="1"/>
    <w:qFormat/>
    <w:uiPriority w:val="0"/>
    <w:pPr>
      <w:autoSpaceDE w:val="0"/>
      <w:autoSpaceDN w:val="0"/>
      <w:adjustRightInd w:val="0"/>
      <w:spacing w:before="156" w:line="360" w:lineRule="auto"/>
      <w:ind w:firstLine="510" w:firstLineChars="200"/>
      <w:jc w:val="left"/>
    </w:pPr>
    <w:rPr>
      <w:kern w:val="0"/>
      <w:sz w:val="24"/>
      <w:szCs w:val="20"/>
    </w:rPr>
  </w:style>
  <w:style w:type="paragraph" w:customStyle="1" w:styleId="551">
    <w:name w:val="xl8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552">
    <w:name w:val="样式 样式 样式 标题 3小标题章标题1Bold Headbhlevel_3PIM 3H3Level 3 Head第二层条......"/>
    <w:basedOn w:val="509"/>
    <w:qFormat/>
    <w:uiPriority w:val="0"/>
    <w:pPr>
      <w:ind w:left="-333"/>
    </w:pPr>
  </w:style>
  <w:style w:type="paragraph" w:customStyle="1" w:styleId="553">
    <w:name w:val="点序列"/>
    <w:basedOn w:val="1"/>
    <w:qFormat/>
    <w:uiPriority w:val="0"/>
    <w:pPr>
      <w:tabs>
        <w:tab w:val="left" w:pos="360"/>
        <w:tab w:val="left" w:pos="907"/>
      </w:tabs>
      <w:adjustRightInd w:val="0"/>
      <w:spacing w:before="60" w:after="60" w:line="300" w:lineRule="auto"/>
      <w:ind w:left="360"/>
      <w:textAlignment w:val="baseline"/>
    </w:pPr>
    <w:rPr>
      <w:rFonts w:eastAsia="仿宋_GB2312"/>
      <w:kern w:val="0"/>
      <w:sz w:val="24"/>
      <w:szCs w:val="20"/>
    </w:rPr>
  </w:style>
  <w:style w:type="paragraph" w:customStyle="1" w:styleId="554">
    <w:name w:val="图片格式"/>
    <w:basedOn w:val="1"/>
    <w:qFormat/>
    <w:uiPriority w:val="1"/>
    <w:pPr>
      <w:keepNext/>
      <w:ind w:firstLine="200" w:firstLineChars="200"/>
      <w:jc w:val="center"/>
    </w:pPr>
  </w:style>
  <w:style w:type="paragraph" w:customStyle="1" w:styleId="555">
    <w:name w:val="a呼市表名"/>
    <w:qFormat/>
    <w:uiPriority w:val="0"/>
    <w:pPr>
      <w:spacing w:beforeLines="100" w:afterLines="100"/>
      <w:jc w:val="center"/>
    </w:pPr>
    <w:rPr>
      <w:rFonts w:ascii="Times New Roman" w:hAnsi="Times New Roman" w:eastAsia="黑体" w:cs="Times New Roman"/>
      <w:bCs/>
      <w:kern w:val="2"/>
      <w:sz w:val="21"/>
      <w:szCs w:val="32"/>
      <w:lang w:val="en-US" w:eastAsia="zh-CN" w:bidi="ar-SA"/>
    </w:rPr>
  </w:style>
  <w:style w:type="paragraph" w:customStyle="1" w:styleId="556">
    <w:name w:val="图题"/>
    <w:basedOn w:val="1"/>
    <w:next w:val="1"/>
    <w:qFormat/>
    <w:uiPriority w:val="0"/>
    <w:pPr>
      <w:widowControl/>
      <w:tabs>
        <w:tab w:val="left" w:pos="0"/>
      </w:tabs>
      <w:autoSpaceDN w:val="0"/>
      <w:spacing w:line="300" w:lineRule="auto"/>
      <w:jc w:val="center"/>
    </w:pPr>
    <w:rPr>
      <w:rFonts w:ascii="仿宋_GB2312" w:eastAsia="仿宋_GB2312"/>
      <w:kern w:val="0"/>
      <w:sz w:val="24"/>
    </w:rPr>
  </w:style>
  <w:style w:type="paragraph" w:customStyle="1" w:styleId="557">
    <w:name w:val="Char Char Char Char Char Char Char11"/>
    <w:basedOn w:val="1"/>
    <w:qFormat/>
    <w:uiPriority w:val="0"/>
    <w:rPr>
      <w:rFonts w:ascii="仿宋_GB2312" w:eastAsia="仿宋_GB2312"/>
      <w:b/>
      <w:sz w:val="32"/>
      <w:szCs w:val="32"/>
    </w:rPr>
  </w:style>
  <w:style w:type="paragraph" w:customStyle="1" w:styleId="558">
    <w:name w:val="正文（首行缩进）"/>
    <w:basedOn w:val="28"/>
    <w:qFormat/>
    <w:uiPriority w:val="0"/>
    <w:pPr>
      <w:widowControl/>
      <w:overflowPunct w:val="0"/>
      <w:autoSpaceDE w:val="0"/>
      <w:autoSpaceDN w:val="0"/>
      <w:adjustRightInd w:val="0"/>
      <w:spacing w:beforeLines="50" w:line="400" w:lineRule="exact"/>
      <w:ind w:left="200" w:leftChars="200" w:firstLine="200" w:firstLineChars="200"/>
      <w:jc w:val="left"/>
      <w:textAlignment w:val="baseline"/>
    </w:pPr>
    <w:rPr>
      <w:spacing w:val="10"/>
      <w:kern w:val="0"/>
      <w:sz w:val="24"/>
      <w:szCs w:val="20"/>
    </w:rPr>
  </w:style>
  <w:style w:type="paragraph" w:customStyle="1" w:styleId="559">
    <w:name w:val="样式 正文缩进表正文正文非缩进特点ALT+Z段1四号水上软件缩进正文编号正文对齐正文不缩进特点 Char...1"/>
    <w:basedOn w:val="17"/>
    <w:qFormat/>
    <w:uiPriority w:val="0"/>
    <w:pPr>
      <w:adjustRightInd/>
      <w:spacing w:before="156" w:after="156" w:line="360" w:lineRule="auto"/>
      <w:ind w:left="1446" w:firstLine="200" w:firstLineChars="200"/>
      <w:textAlignment w:val="auto"/>
    </w:pPr>
    <w:rPr>
      <w:rFonts w:cs="宋体"/>
      <w:kern w:val="2"/>
      <w:sz w:val="24"/>
    </w:rPr>
  </w:style>
  <w:style w:type="paragraph" w:customStyle="1" w:styleId="560">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61">
    <w:name w:val="14"/>
    <w:basedOn w:val="1"/>
    <w:qFormat/>
    <w:uiPriority w:val="0"/>
    <w:pPr>
      <w:snapToGrid w:val="0"/>
      <w:spacing w:beforeLines="30" w:line="288" w:lineRule="auto"/>
      <w:ind w:left="852" w:leftChars="355" w:firstLine="420" w:firstLineChars="175"/>
    </w:pPr>
    <w:rPr>
      <w:rFonts w:ascii="新宋体" w:hAnsi="新宋体"/>
      <w:sz w:val="24"/>
      <w:szCs w:val="20"/>
    </w:rPr>
  </w:style>
  <w:style w:type="paragraph" w:customStyle="1" w:styleId="562">
    <w:name w:val="xl92"/>
    <w:basedOn w:val="1"/>
    <w:qFormat/>
    <w:uiPriority w:val="0"/>
    <w:pPr>
      <w:widowControl/>
      <w:pBdr>
        <w:top w:val="single" w:color="auto" w:sz="4" w:space="0"/>
        <w:left w:val="single" w:color="auto" w:sz="4" w:space="0"/>
        <w:right w:val="single" w:color="auto" w:sz="4" w:space="0"/>
      </w:pBdr>
      <w:shd w:val="clear" w:color="000000" w:fill="FFFF99"/>
      <w:spacing w:before="100" w:beforeAutospacing="1" w:after="100" w:afterAutospacing="1"/>
      <w:jc w:val="center"/>
    </w:pPr>
    <w:rPr>
      <w:rFonts w:ascii="宋体" w:hAnsi="宋体" w:cs="宋体"/>
      <w:color w:val="000000"/>
      <w:kern w:val="0"/>
      <w:sz w:val="24"/>
    </w:rPr>
  </w:style>
  <w:style w:type="paragraph" w:customStyle="1" w:styleId="563">
    <w:name w:val="Char21"/>
    <w:basedOn w:val="1"/>
    <w:qFormat/>
    <w:uiPriority w:val="0"/>
    <w:pPr>
      <w:tabs>
        <w:tab w:val="left" w:pos="4267"/>
      </w:tabs>
      <w:ind w:left="4267" w:hanging="907"/>
    </w:pPr>
    <w:rPr>
      <w:rFonts w:ascii="Tahoma" w:hAnsi="Tahoma"/>
      <w:sz w:val="24"/>
      <w:szCs w:val="20"/>
    </w:rPr>
  </w:style>
  <w:style w:type="paragraph" w:customStyle="1" w:styleId="564">
    <w:name w:val="xl58"/>
    <w:basedOn w:val="1"/>
    <w:qFormat/>
    <w:uiPriority w:val="0"/>
    <w:pPr>
      <w:widowControl/>
      <w:pBdr>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65">
    <w:name w:val="xl25"/>
    <w:basedOn w:val="1"/>
    <w:qFormat/>
    <w:uiPriority w:val="0"/>
    <w:pPr>
      <w:widowControl/>
      <w:autoSpaceDE w:val="0"/>
      <w:autoSpaceDN w:val="0"/>
      <w:adjustRightInd w:val="0"/>
      <w:spacing w:before="100" w:beforeAutospacing="1" w:after="100" w:afterAutospacing="1"/>
      <w:jc w:val="center"/>
      <w:textAlignment w:val="center"/>
    </w:pPr>
    <w:rPr>
      <w:rFonts w:hint="eastAsia" w:ascii="楷体_GB2312" w:hAnsi="宋体" w:eastAsia="楷体_GB2312"/>
      <w:kern w:val="0"/>
      <w:sz w:val="24"/>
      <w:szCs w:val="20"/>
    </w:rPr>
  </w:style>
  <w:style w:type="paragraph" w:customStyle="1" w:styleId="566">
    <w:name w:val="样式 标题 1 + 行距: 1.5 倍行距"/>
    <w:basedOn w:val="3"/>
    <w:qFormat/>
    <w:uiPriority w:val="0"/>
    <w:pPr>
      <w:numPr>
        <w:numId w:val="30"/>
      </w:numPr>
      <w:tabs>
        <w:tab w:val="left" w:pos="1260"/>
      </w:tabs>
      <w:spacing w:before="120" w:after="120" w:line="360" w:lineRule="auto"/>
      <w:ind w:left="229"/>
    </w:pPr>
    <w:rPr>
      <w:rFonts w:cs="宋体"/>
      <w:sz w:val="32"/>
      <w:szCs w:val="20"/>
    </w:rPr>
  </w:style>
  <w:style w:type="paragraph" w:customStyle="1" w:styleId="567">
    <w:name w:val="样式 首行缩进:  2 字符2"/>
    <w:basedOn w:val="61"/>
    <w:qFormat/>
    <w:uiPriority w:val="0"/>
    <w:pPr>
      <w:spacing w:line="360" w:lineRule="auto"/>
      <w:ind w:left="200" w:firstLine="420" w:firstLineChars="200"/>
    </w:pPr>
    <w:rPr>
      <w:rFonts w:cs="宋体"/>
      <w:sz w:val="24"/>
    </w:rPr>
  </w:style>
  <w:style w:type="paragraph" w:customStyle="1" w:styleId="568">
    <w:name w:val="标题 31"/>
    <w:qFormat/>
    <w:uiPriority w:val="0"/>
    <w:pPr>
      <w:widowControl w:val="0"/>
      <w:autoSpaceDE w:val="0"/>
      <w:autoSpaceDN w:val="0"/>
      <w:adjustRightInd w:val="0"/>
      <w:spacing w:before="240" w:after="60"/>
      <w:outlineLvl w:val="2"/>
    </w:pPr>
    <w:rPr>
      <w:rFonts w:ascii="Arial" w:hAnsi="Arial" w:eastAsia="宋体" w:cs="Arial"/>
      <w:b/>
      <w:bCs/>
      <w:color w:val="004080"/>
      <w:sz w:val="26"/>
      <w:szCs w:val="26"/>
      <w:lang w:val="en-US" w:eastAsia="zh-CN" w:bidi="ar-SA"/>
    </w:rPr>
  </w:style>
  <w:style w:type="paragraph" w:customStyle="1" w:styleId="569">
    <w:name w:val="xl12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FF0000"/>
      <w:kern w:val="0"/>
      <w:sz w:val="24"/>
    </w:rPr>
  </w:style>
  <w:style w:type="paragraph" w:customStyle="1" w:styleId="570">
    <w:name w:val="xl55"/>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71">
    <w:name w:val="最新标题2"/>
    <w:basedOn w:val="1"/>
    <w:qFormat/>
    <w:uiPriority w:val="0"/>
    <w:pPr>
      <w:spacing w:line="440" w:lineRule="exact"/>
    </w:pPr>
    <w:rPr>
      <w:sz w:val="24"/>
    </w:rPr>
  </w:style>
  <w:style w:type="paragraph" w:customStyle="1" w:styleId="572">
    <w:name w:val="样式 标题 3Heading 3 - oldHeading 3H3l3CTBOD 03h33rd level..."/>
    <w:basedOn w:val="5"/>
    <w:qFormat/>
    <w:uiPriority w:val="0"/>
    <w:pPr>
      <w:numPr>
        <w:numId w:val="0"/>
      </w:numPr>
      <w:tabs>
        <w:tab w:val="left" w:pos="4500"/>
      </w:tabs>
      <w:spacing w:beforeLines="50" w:afterLines="50" w:line="360" w:lineRule="auto"/>
      <w:ind w:left="2907" w:hanging="567"/>
      <w:jc w:val="left"/>
    </w:pPr>
    <w:rPr>
      <w:rFonts w:ascii="Courier New" w:hAnsi="Courier New" w:eastAsia="黑体" w:cs="宋体"/>
      <w:color w:val="000000"/>
      <w:sz w:val="28"/>
      <w:szCs w:val="28"/>
    </w:rPr>
  </w:style>
  <w:style w:type="paragraph" w:customStyle="1" w:styleId="573">
    <w:name w:val="Figure"/>
    <w:basedOn w:val="1"/>
    <w:next w:val="1"/>
    <w:qFormat/>
    <w:uiPriority w:val="0"/>
    <w:pPr>
      <w:keepNext/>
      <w:topLinePunct/>
      <w:spacing w:before="160" w:after="160"/>
      <w:ind w:left="1134"/>
      <w:jc w:val="center"/>
    </w:pPr>
    <w:rPr>
      <w:rFonts w:ascii="Arial" w:hAnsi="Arial" w:cs="Arial"/>
      <w:szCs w:val="21"/>
    </w:rPr>
  </w:style>
  <w:style w:type="paragraph" w:customStyle="1" w:styleId="574">
    <w:name w:val="Char Char111"/>
    <w:basedOn w:val="1"/>
    <w:qFormat/>
    <w:uiPriority w:val="0"/>
    <w:rPr>
      <w:rFonts w:ascii="仿宋_GB2312" w:eastAsia="仿宋_GB2312"/>
      <w:b/>
      <w:sz w:val="32"/>
      <w:szCs w:val="32"/>
    </w:rPr>
  </w:style>
  <w:style w:type="paragraph" w:customStyle="1" w:styleId="575">
    <w:name w:val="Char3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76">
    <w:name w:val="!标题5 Ctrl+5"/>
    <w:basedOn w:val="1"/>
    <w:next w:val="171"/>
    <w:qFormat/>
    <w:uiPriority w:val="0"/>
    <w:pPr>
      <w:numPr>
        <w:ilvl w:val="4"/>
        <w:numId w:val="22"/>
      </w:numPr>
      <w:tabs>
        <w:tab w:val="left" w:pos="3501"/>
      </w:tabs>
      <w:adjustRightInd w:val="0"/>
      <w:snapToGrid w:val="0"/>
      <w:spacing w:beforeLines="50" w:afterLines="50" w:line="360" w:lineRule="auto"/>
      <w:ind w:left="0" w:firstLine="0"/>
      <w:jc w:val="left"/>
      <w:outlineLvl w:val="4"/>
    </w:pPr>
    <w:rPr>
      <w:rFonts w:ascii="宋体" w:hAnsi="宋体"/>
      <w:b/>
      <w:sz w:val="24"/>
      <w:szCs w:val="28"/>
      <w:lang w:val="zh-CN"/>
    </w:rPr>
  </w:style>
  <w:style w:type="paragraph" w:customStyle="1" w:styleId="577">
    <w:name w:val="xl119"/>
    <w:basedOn w:val="1"/>
    <w:qFormat/>
    <w:uiPriority w:val="0"/>
    <w:pPr>
      <w:widowControl/>
      <w:pBdr>
        <w:top w:val="single" w:color="auto" w:sz="8" w:space="0"/>
        <w:left w:val="single" w:color="auto" w:sz="8" w:space="0"/>
        <w:right w:val="single" w:color="auto" w:sz="4" w:space="0"/>
      </w:pBdr>
      <w:spacing w:before="100" w:beforeAutospacing="1" w:after="100" w:afterAutospacing="1"/>
      <w:jc w:val="center"/>
    </w:pPr>
    <w:rPr>
      <w:kern w:val="0"/>
      <w:sz w:val="24"/>
    </w:rPr>
  </w:style>
  <w:style w:type="paragraph" w:customStyle="1" w:styleId="578">
    <w:name w:val="Table Contents"/>
    <w:basedOn w:val="1"/>
    <w:qFormat/>
    <w:uiPriority w:val="0"/>
    <w:pPr>
      <w:suppressAutoHyphens/>
      <w:autoSpaceDE w:val="0"/>
      <w:autoSpaceDN w:val="0"/>
      <w:adjustRightInd w:val="0"/>
      <w:spacing w:after="120"/>
      <w:jc w:val="left"/>
    </w:pPr>
    <w:rPr>
      <w:rFonts w:ascii="Helvetica" w:hAnsi="Helvetica"/>
      <w:kern w:val="1"/>
      <w:sz w:val="20"/>
      <w:szCs w:val="20"/>
    </w:rPr>
  </w:style>
  <w:style w:type="paragraph" w:customStyle="1" w:styleId="579">
    <w:name w:val="xl49"/>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80">
    <w:name w:val="xl53"/>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81">
    <w:name w:val="xl116"/>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582">
    <w:name w:val="Char2 Char Char Char"/>
    <w:basedOn w:val="2"/>
    <w:qFormat/>
    <w:uiPriority w:val="0"/>
    <w:pPr>
      <w:tabs>
        <w:tab w:val="left" w:pos="900"/>
      </w:tabs>
      <w:autoSpaceDE/>
      <w:autoSpaceDN/>
      <w:adjustRightInd/>
      <w:spacing w:before="0" w:after="0"/>
      <w:outlineLvl w:val="9"/>
    </w:pPr>
    <w:rPr>
      <w:rFonts w:ascii="Tahoma" w:hAnsi="Tahoma" w:eastAsia="仿宋_GB2312" w:cs="Century"/>
      <w:kern w:val="2"/>
      <w:sz w:val="24"/>
      <w:szCs w:val="20"/>
    </w:rPr>
  </w:style>
  <w:style w:type="paragraph" w:customStyle="1" w:styleId="583">
    <w:name w:val="表格正文"/>
    <w:basedOn w:val="1"/>
    <w:qFormat/>
    <w:uiPriority w:val="0"/>
    <w:pPr>
      <w:spacing w:line="360" w:lineRule="auto"/>
      <w:ind w:firstLine="200" w:firstLineChars="200"/>
      <w:jc w:val="center"/>
    </w:pPr>
    <w:rPr>
      <w:rFonts w:eastAsia="仿宋_GB2312"/>
      <w:sz w:val="24"/>
    </w:rPr>
  </w:style>
  <w:style w:type="paragraph" w:customStyle="1" w:styleId="584">
    <w:name w:val="项目段落"/>
    <w:basedOn w:val="1"/>
    <w:qFormat/>
    <w:uiPriority w:val="0"/>
    <w:pPr>
      <w:tabs>
        <w:tab w:val="left" w:pos="360"/>
      </w:tabs>
      <w:adjustRightInd w:val="0"/>
      <w:snapToGrid w:val="0"/>
      <w:spacing w:line="360" w:lineRule="auto"/>
      <w:ind w:left="360" w:hanging="360"/>
      <w:jc w:val="left"/>
    </w:pPr>
    <w:rPr>
      <w:sz w:val="24"/>
    </w:rPr>
  </w:style>
  <w:style w:type="paragraph" w:customStyle="1" w:styleId="585">
    <w:name w:val="xl42"/>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86">
    <w:name w:val="xl11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 w:val="24"/>
    </w:rPr>
  </w:style>
  <w:style w:type="paragraph" w:customStyle="1" w:styleId="587">
    <w:name w:val="Style First line:  2 ch"/>
    <w:basedOn w:val="1"/>
    <w:qFormat/>
    <w:uiPriority w:val="0"/>
    <w:pPr>
      <w:spacing w:line="440" w:lineRule="exact"/>
      <w:ind w:firstLine="200" w:firstLineChars="200"/>
    </w:pPr>
    <w:rPr>
      <w:sz w:val="24"/>
    </w:rPr>
  </w:style>
  <w:style w:type="paragraph" w:customStyle="1" w:styleId="588">
    <w:name w:val="xl5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89">
    <w:name w:val="正文（标题三）"/>
    <w:basedOn w:val="1"/>
    <w:qFormat/>
    <w:uiPriority w:val="0"/>
    <w:pPr>
      <w:spacing w:line="360" w:lineRule="auto"/>
      <w:ind w:firstLine="200" w:firstLineChars="200"/>
    </w:pPr>
    <w:rPr>
      <w:sz w:val="24"/>
    </w:rPr>
  </w:style>
  <w:style w:type="paragraph" w:customStyle="1" w:styleId="590">
    <w:name w:val="font8"/>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591">
    <w:name w:val="表格文字（大）"/>
    <w:basedOn w:val="1"/>
    <w:qFormat/>
    <w:uiPriority w:val="0"/>
    <w:pPr>
      <w:autoSpaceDE w:val="0"/>
      <w:autoSpaceDN w:val="0"/>
      <w:adjustRightInd w:val="0"/>
      <w:spacing w:before="20" w:after="20"/>
      <w:jc w:val="left"/>
    </w:pPr>
    <w:rPr>
      <w:rFonts w:ascii="Century Gothic" w:hAnsi="Century Gothic" w:cs="Century Gothic"/>
      <w:kern w:val="0"/>
      <w:sz w:val="24"/>
      <w:szCs w:val="20"/>
    </w:rPr>
  </w:style>
  <w:style w:type="paragraph" w:customStyle="1" w:styleId="592">
    <w:name w:val="xl125"/>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kern w:val="0"/>
      <w:sz w:val="24"/>
    </w:rPr>
  </w:style>
  <w:style w:type="paragraph" w:customStyle="1" w:styleId="593">
    <w:name w:val="Char Char Char Char Char Char Char Char Char Char"/>
    <w:basedOn w:val="1"/>
    <w:qFormat/>
    <w:uiPriority w:val="0"/>
    <w:pPr>
      <w:autoSpaceDE w:val="0"/>
      <w:autoSpaceDN w:val="0"/>
      <w:adjustRightInd w:val="0"/>
      <w:jc w:val="left"/>
    </w:pPr>
    <w:rPr>
      <w:rFonts w:ascii="仿宋_GB2312" w:eastAsia="仿宋_GB2312"/>
      <w:b/>
      <w:kern w:val="0"/>
      <w:sz w:val="32"/>
      <w:szCs w:val="32"/>
    </w:rPr>
  </w:style>
  <w:style w:type="paragraph" w:customStyle="1" w:styleId="594">
    <w:name w:val="Style Heading 3H31.1.1标题 3Level 3 Headlevel_3PIM 3h3sect1.2...."/>
    <w:basedOn w:val="5"/>
    <w:qFormat/>
    <w:uiPriority w:val="0"/>
    <w:pPr>
      <w:numPr>
        <w:numId w:val="0"/>
      </w:numPr>
      <w:tabs>
        <w:tab w:val="left" w:pos="1571"/>
      </w:tabs>
      <w:spacing w:beforeLines="50" w:afterLines="50" w:line="360" w:lineRule="auto"/>
      <w:ind w:left="1571" w:hanging="720"/>
      <w:jc w:val="center"/>
    </w:pPr>
    <w:rPr>
      <w:rFonts w:ascii="宋体" w:hAnsi="Courier New" w:eastAsia="黑体"/>
      <w:color w:val="000000"/>
      <w:kern w:val="21"/>
      <w:sz w:val="28"/>
      <w:szCs w:val="20"/>
    </w:rPr>
  </w:style>
  <w:style w:type="paragraph" w:customStyle="1" w:styleId="595">
    <w:name w:val="公文正文"/>
    <w:qFormat/>
    <w:uiPriority w:val="0"/>
    <w:pPr>
      <w:ind w:firstLine="200" w:firstLineChars="200"/>
    </w:pPr>
    <w:rPr>
      <w:rFonts w:ascii="仿宋_GB2312" w:hAnsi="宋体" w:eastAsia="仿宋_GB2312" w:cs="Times New Roman"/>
      <w:kern w:val="28"/>
      <w:sz w:val="28"/>
      <w:szCs w:val="24"/>
      <w:lang w:val="en-US" w:eastAsia="zh-CN" w:bidi="ar-SA"/>
    </w:rPr>
  </w:style>
  <w:style w:type="paragraph" w:customStyle="1" w:styleId="596">
    <w:name w:val="封面标准号2"/>
    <w:basedOn w:val="1"/>
    <w:qFormat/>
    <w:uiPriority w:val="0"/>
    <w:pPr>
      <w:framePr w:w="9138" w:h="1244" w:hRule="exact" w:wrap="around" w:vAnchor="page" w:hAnchor="margin" w:y="2908" w:anchorLock="1"/>
      <w:kinsoku w:val="0"/>
      <w:overflowPunct w:val="0"/>
      <w:autoSpaceDE w:val="0"/>
      <w:autoSpaceDN w:val="0"/>
      <w:adjustRightInd w:val="0"/>
      <w:spacing w:before="357" w:line="280" w:lineRule="exact"/>
      <w:ind w:left="420"/>
      <w:jc w:val="right"/>
      <w:textAlignment w:val="center"/>
    </w:pPr>
    <w:rPr>
      <w:kern w:val="0"/>
      <w:sz w:val="28"/>
      <w:szCs w:val="20"/>
    </w:rPr>
  </w:style>
  <w:style w:type="paragraph" w:customStyle="1" w:styleId="597">
    <w:name w:val="Char Char Char Char Char Char Char Char Char Char Char Char1 Char1"/>
    <w:basedOn w:val="1"/>
    <w:qFormat/>
    <w:uiPriority w:val="0"/>
    <w:pPr>
      <w:snapToGrid w:val="0"/>
      <w:spacing w:line="360" w:lineRule="auto"/>
      <w:ind w:firstLine="200" w:firstLineChars="200"/>
    </w:pPr>
    <w:rPr>
      <w:rFonts w:eastAsia="仿宋_GB2312"/>
      <w:sz w:val="24"/>
    </w:rPr>
  </w:style>
  <w:style w:type="paragraph" w:customStyle="1" w:styleId="598">
    <w:name w:val="Char Char12"/>
    <w:basedOn w:val="1"/>
    <w:qFormat/>
    <w:uiPriority w:val="0"/>
    <w:pPr>
      <w:widowControl/>
      <w:autoSpaceDE w:val="0"/>
      <w:autoSpaceDN w:val="0"/>
      <w:adjustRightInd w:val="0"/>
      <w:spacing w:after="160" w:line="240" w:lineRule="exact"/>
      <w:jc w:val="left"/>
    </w:pPr>
    <w:rPr>
      <w:rFonts w:eastAsia="仿宋_GB2312"/>
      <w:kern w:val="0"/>
      <w:sz w:val="28"/>
      <w:szCs w:val="20"/>
    </w:rPr>
  </w:style>
  <w:style w:type="paragraph" w:customStyle="1" w:styleId="599">
    <w:name w:val="xl34"/>
    <w:basedOn w:val="1"/>
    <w:qFormat/>
    <w:uiPriority w:val="0"/>
    <w:pPr>
      <w:widowControl/>
      <w:spacing w:before="100" w:beforeAutospacing="1" w:after="100" w:afterAutospacing="1"/>
      <w:jc w:val="left"/>
      <w:textAlignment w:val="center"/>
    </w:pPr>
    <w:rPr>
      <w:kern w:val="0"/>
      <w:sz w:val="20"/>
      <w:szCs w:val="20"/>
    </w:rPr>
  </w:style>
  <w:style w:type="paragraph" w:customStyle="1" w:styleId="600">
    <w:name w:val="正文表标题"/>
    <w:next w:val="1"/>
    <w:qFormat/>
    <w:uiPriority w:val="0"/>
    <w:pPr>
      <w:tabs>
        <w:tab w:val="left" w:pos="366"/>
      </w:tabs>
      <w:ind w:left="593" w:hanging="113"/>
      <w:jc w:val="center"/>
    </w:pPr>
    <w:rPr>
      <w:rFonts w:ascii="黑体" w:hAnsi="Times New Roman" w:eastAsia="黑体" w:cs="Times New Roman"/>
      <w:sz w:val="21"/>
      <w:lang w:val="en-US" w:eastAsia="zh-CN" w:bidi="ar-SA"/>
    </w:rPr>
  </w:style>
  <w:style w:type="paragraph" w:customStyle="1" w:styleId="601">
    <w:name w:val="小初 加粗 居中"/>
    <w:basedOn w:val="1"/>
    <w:qFormat/>
    <w:uiPriority w:val="0"/>
    <w:pPr>
      <w:snapToGrid w:val="0"/>
      <w:spacing w:line="300" w:lineRule="auto"/>
      <w:jc w:val="center"/>
    </w:pPr>
    <w:rPr>
      <w:rFonts w:ascii="隶书" w:cs="宋体"/>
      <w:b/>
      <w:bCs/>
      <w:kern w:val="0"/>
      <w:sz w:val="52"/>
      <w:szCs w:val="52"/>
    </w:rPr>
  </w:style>
  <w:style w:type="paragraph" w:customStyle="1" w:styleId="60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603">
    <w:name w:val="Char Char Char Char Char Char Char Char Char Char Char Char Char Char Char Char Char Char Char"/>
    <w:basedOn w:val="21"/>
    <w:qFormat/>
    <w:uiPriority w:val="0"/>
    <w:pPr>
      <w:pageBreakBefore/>
    </w:pPr>
    <w:rPr>
      <w:rFonts w:ascii="Tahoma" w:hAnsi="Tahoma" w:eastAsia="Times New Roman"/>
      <w:kern w:val="96"/>
      <w:sz w:val="24"/>
    </w:rPr>
  </w:style>
  <w:style w:type="paragraph" w:customStyle="1" w:styleId="604">
    <w:name w:val="xl97"/>
    <w:basedOn w:val="1"/>
    <w:qFormat/>
    <w:uiPriority w:val="0"/>
    <w:pPr>
      <w:widowControl/>
      <w:pBdr>
        <w:top w:val="single" w:color="auto" w:sz="8"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605">
    <w:name w:val="!标题4 Ctrl+4"/>
    <w:basedOn w:val="1"/>
    <w:next w:val="171"/>
    <w:qFormat/>
    <w:uiPriority w:val="0"/>
    <w:pPr>
      <w:numPr>
        <w:ilvl w:val="3"/>
        <w:numId w:val="22"/>
      </w:numPr>
      <w:tabs>
        <w:tab w:val="left" w:pos="2716"/>
      </w:tabs>
      <w:adjustRightInd w:val="0"/>
      <w:snapToGrid w:val="0"/>
      <w:spacing w:beforeLines="50" w:afterLines="50" w:line="360" w:lineRule="auto"/>
      <w:ind w:left="0" w:firstLine="0"/>
      <w:jc w:val="left"/>
      <w:outlineLvl w:val="3"/>
    </w:pPr>
    <w:rPr>
      <w:rFonts w:ascii="宋体" w:hAnsi="宋体"/>
      <w:b/>
      <w:sz w:val="28"/>
      <w:szCs w:val="30"/>
    </w:rPr>
  </w:style>
  <w:style w:type="paragraph" w:customStyle="1" w:styleId="606">
    <w:name w:val="!标题3 Ctrl+3"/>
    <w:basedOn w:val="5"/>
    <w:next w:val="171"/>
    <w:qFormat/>
    <w:uiPriority w:val="0"/>
    <w:pPr>
      <w:keepNext w:val="0"/>
      <w:keepLines w:val="0"/>
      <w:numPr>
        <w:numId w:val="22"/>
      </w:numPr>
      <w:tabs>
        <w:tab w:val="left" w:pos="0"/>
        <w:tab w:val="left" w:pos="360"/>
      </w:tabs>
      <w:adjustRightInd w:val="0"/>
      <w:snapToGrid w:val="0"/>
      <w:spacing w:beforeLines="50" w:afterLines="50" w:line="360" w:lineRule="auto"/>
      <w:ind w:left="0" w:firstLine="0"/>
      <w:jc w:val="left"/>
    </w:pPr>
    <w:rPr>
      <w:rFonts w:ascii="宋体" w:hAnsi="宋体"/>
      <w:bCs w:val="0"/>
      <w:sz w:val="30"/>
      <w:szCs w:val="30"/>
    </w:rPr>
  </w:style>
  <w:style w:type="paragraph" w:customStyle="1" w:styleId="607">
    <w:name w:val="Char1 Char Char Char Char Char Char"/>
    <w:basedOn w:val="1"/>
    <w:qFormat/>
    <w:uiPriority w:val="0"/>
    <w:rPr>
      <w:rFonts w:ascii="Tahoma" w:hAnsi="Tahoma"/>
      <w:sz w:val="24"/>
      <w:szCs w:val="20"/>
    </w:rPr>
  </w:style>
  <w:style w:type="paragraph" w:customStyle="1" w:styleId="608">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609">
    <w:name w:val="font11"/>
    <w:basedOn w:val="1"/>
    <w:qFormat/>
    <w:uiPriority w:val="0"/>
    <w:pPr>
      <w:widowControl/>
      <w:spacing w:before="100" w:beforeAutospacing="1" w:after="100" w:afterAutospacing="1"/>
      <w:jc w:val="left"/>
    </w:pPr>
    <w:rPr>
      <w:rFonts w:ascii="宋体" w:hAnsi="宋体" w:cs="宋体"/>
      <w:color w:val="FF0000"/>
      <w:kern w:val="0"/>
      <w:szCs w:val="21"/>
      <w:u w:val="single"/>
    </w:rPr>
  </w:style>
  <w:style w:type="paragraph" w:customStyle="1" w:styleId="610">
    <w:name w:val="xl101"/>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611">
    <w:name w:val="xl78"/>
    <w:basedOn w:val="1"/>
    <w:qFormat/>
    <w:uiPriority w:val="0"/>
    <w:pPr>
      <w:widowControl/>
      <w:pBdr>
        <w:left w:val="single" w:color="auto" w:sz="4" w:space="0"/>
        <w:right w:val="single" w:color="auto" w:sz="4" w:space="0"/>
      </w:pBdr>
      <w:shd w:val="clear" w:color="000000" w:fill="FFCC00"/>
      <w:spacing w:before="100" w:beforeAutospacing="1" w:after="100" w:afterAutospacing="1"/>
      <w:jc w:val="left"/>
    </w:pPr>
    <w:rPr>
      <w:rFonts w:ascii="宋体" w:hAnsi="宋体" w:cs="宋体"/>
      <w:kern w:val="0"/>
      <w:sz w:val="24"/>
    </w:rPr>
  </w:style>
  <w:style w:type="paragraph" w:customStyle="1" w:styleId="61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613">
    <w:name w:val="文本框正文"/>
    <w:basedOn w:val="1"/>
    <w:qFormat/>
    <w:uiPriority w:val="0"/>
    <w:pPr>
      <w:spacing w:line="360" w:lineRule="auto"/>
      <w:ind w:firstLine="200" w:firstLineChars="200"/>
      <w:jc w:val="center"/>
    </w:pPr>
    <w:rPr>
      <w:b/>
      <w:sz w:val="24"/>
    </w:rPr>
  </w:style>
  <w:style w:type="paragraph" w:customStyle="1" w:styleId="614">
    <w:name w:val="xl135"/>
    <w:basedOn w:val="1"/>
    <w:qFormat/>
    <w:uiPriority w:val="0"/>
    <w:pPr>
      <w:widowControl/>
      <w:pBdr>
        <w:top w:val="single" w:color="auto" w:sz="4" w:space="0"/>
        <w:left w:val="single" w:color="auto" w:sz="4" w:space="0"/>
        <w:right w:val="single" w:color="auto" w:sz="4" w:space="0"/>
      </w:pBdr>
      <w:shd w:val="clear" w:color="000000" w:fill="FFCC00"/>
      <w:spacing w:before="100" w:beforeAutospacing="1" w:after="100" w:afterAutospacing="1"/>
      <w:jc w:val="left"/>
    </w:pPr>
    <w:rPr>
      <w:rFonts w:ascii="宋体" w:hAnsi="宋体" w:cs="宋体"/>
      <w:color w:val="000000"/>
      <w:kern w:val="0"/>
      <w:sz w:val="24"/>
    </w:rPr>
  </w:style>
  <w:style w:type="paragraph" w:customStyle="1" w:styleId="615">
    <w:name w:val="xl31"/>
    <w:basedOn w:val="1"/>
    <w:qFormat/>
    <w:uiPriority w:val="0"/>
    <w:pPr>
      <w:widowControl/>
      <w:pBdr>
        <w:bottom w:val="single" w:color="auto" w:sz="8" w:space="0"/>
      </w:pBdr>
      <w:spacing w:before="100" w:beforeAutospacing="1" w:after="100" w:afterAutospacing="1"/>
      <w:jc w:val="right"/>
      <w:textAlignment w:val="center"/>
    </w:pPr>
    <w:rPr>
      <w:rFonts w:ascii="宋体" w:hAnsi="宋体" w:cs="宋体"/>
      <w:kern w:val="0"/>
      <w:sz w:val="20"/>
      <w:szCs w:val="20"/>
    </w:rPr>
  </w:style>
  <w:style w:type="paragraph" w:customStyle="1" w:styleId="616">
    <w:name w:val="正文字缩2字"/>
    <w:basedOn w:val="1"/>
    <w:qFormat/>
    <w:uiPriority w:val="0"/>
    <w:pPr>
      <w:spacing w:before="60" w:after="60" w:line="360" w:lineRule="auto"/>
      <w:ind w:left="200" w:leftChars="200" w:firstLine="200" w:firstLineChars="200"/>
    </w:pPr>
    <w:rPr>
      <w:sz w:val="24"/>
    </w:rPr>
  </w:style>
  <w:style w:type="paragraph" w:customStyle="1" w:styleId="617">
    <w:name w:val="Char Char Char Char2"/>
    <w:basedOn w:val="1"/>
    <w:qFormat/>
    <w:uiPriority w:val="0"/>
    <w:pPr>
      <w:tabs>
        <w:tab w:val="left" w:pos="360"/>
      </w:tabs>
      <w:ind w:left="360" w:hanging="360" w:hangingChars="200"/>
    </w:pPr>
    <w:rPr>
      <w:sz w:val="24"/>
    </w:rPr>
  </w:style>
  <w:style w:type="paragraph" w:customStyle="1" w:styleId="618">
    <w:name w:val="一级编号正文"/>
    <w:basedOn w:val="1"/>
    <w:qFormat/>
    <w:uiPriority w:val="1"/>
    <w:pPr>
      <w:numPr>
        <w:ilvl w:val="0"/>
        <w:numId w:val="31"/>
      </w:numPr>
      <w:spacing w:line="360" w:lineRule="auto"/>
      <w:ind w:firstLine="200" w:firstLineChars="200"/>
    </w:pPr>
    <w:rPr>
      <w:b/>
      <w:sz w:val="24"/>
    </w:rPr>
  </w:style>
  <w:style w:type="paragraph" w:customStyle="1" w:styleId="619">
    <w:name w:val="xl133"/>
    <w:basedOn w:val="1"/>
    <w:qFormat/>
    <w:uiPriority w:val="0"/>
    <w:pPr>
      <w:widowControl/>
      <w:pBdr>
        <w:left w:val="single" w:color="auto" w:sz="4" w:space="0"/>
        <w:bottom w:val="single" w:color="auto" w:sz="4" w:space="0"/>
        <w:right w:val="single" w:color="auto" w:sz="4" w:space="0"/>
      </w:pBdr>
      <w:shd w:val="clear" w:color="000000" w:fill="FFCC00"/>
      <w:spacing w:before="100" w:beforeAutospacing="1" w:after="100" w:afterAutospacing="1"/>
      <w:jc w:val="left"/>
    </w:pPr>
    <w:rPr>
      <w:rFonts w:ascii="宋体" w:hAnsi="宋体" w:cs="宋体"/>
      <w:color w:val="000000"/>
      <w:kern w:val="0"/>
      <w:sz w:val="24"/>
    </w:rPr>
  </w:style>
  <w:style w:type="paragraph" w:customStyle="1" w:styleId="620">
    <w:name w:val="xl60"/>
    <w:basedOn w:val="1"/>
    <w:qFormat/>
    <w:uiPriority w:val="0"/>
    <w:pPr>
      <w:widowControl/>
      <w:pBdr>
        <w:top w:val="single" w:color="auto" w:sz="4" w:space="0"/>
        <w:bottom w:val="single" w:color="auto" w:sz="8" w:space="0"/>
      </w:pBdr>
      <w:spacing w:before="100" w:beforeAutospacing="1" w:after="100" w:afterAutospacing="1"/>
      <w:jc w:val="center"/>
      <w:textAlignment w:val="center"/>
    </w:pPr>
    <w:rPr>
      <w:rFonts w:ascii="宋体" w:hAnsi="宋体" w:cs="宋体"/>
      <w:kern w:val="0"/>
      <w:sz w:val="20"/>
      <w:szCs w:val="20"/>
    </w:rPr>
  </w:style>
  <w:style w:type="paragraph" w:customStyle="1" w:styleId="621">
    <w:name w:val="norm-para"/>
    <w:basedOn w:val="1"/>
    <w:qFormat/>
    <w:uiPriority w:val="0"/>
    <w:pPr>
      <w:widowControl/>
      <w:spacing w:after="120"/>
      <w:jc w:val="left"/>
    </w:pPr>
    <w:rPr>
      <w:rFonts w:ascii="Garamond" w:hAnsi="Garamond"/>
      <w:kern w:val="0"/>
      <w:sz w:val="24"/>
      <w:szCs w:val="20"/>
      <w:lang w:eastAsia="en-US"/>
    </w:rPr>
  </w:style>
  <w:style w:type="paragraph" w:customStyle="1" w:styleId="622">
    <w:name w:val="编号列表"/>
    <w:basedOn w:val="1"/>
    <w:qFormat/>
    <w:uiPriority w:val="0"/>
    <w:pPr>
      <w:numPr>
        <w:ilvl w:val="0"/>
        <w:numId w:val="32"/>
      </w:numPr>
      <w:tabs>
        <w:tab w:val="left" w:pos="1977"/>
      </w:tabs>
    </w:pPr>
  </w:style>
  <w:style w:type="paragraph" w:customStyle="1" w:styleId="623">
    <w:name w:val="四级条标题"/>
    <w:basedOn w:val="469"/>
    <w:next w:val="1"/>
    <w:qFormat/>
    <w:uiPriority w:val="0"/>
    <w:pPr>
      <w:numPr>
        <w:ilvl w:val="5"/>
      </w:numPr>
      <w:outlineLvl w:val="5"/>
    </w:pPr>
  </w:style>
  <w:style w:type="paragraph" w:customStyle="1" w:styleId="624">
    <w:name w:val="xl140"/>
    <w:basedOn w:val="1"/>
    <w:qFormat/>
    <w:uiPriority w:val="0"/>
    <w:pPr>
      <w:widowControl/>
      <w:pBdr>
        <w:left w:val="single" w:color="auto" w:sz="8" w:space="0"/>
        <w:bottom w:val="single" w:color="auto" w:sz="8"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625">
    <w:name w:val="Char1 Char Char Char2"/>
    <w:basedOn w:val="1"/>
    <w:qFormat/>
    <w:uiPriority w:val="0"/>
    <w:rPr>
      <w:rFonts w:ascii="Tahoma" w:hAnsi="Tahoma"/>
      <w:sz w:val="24"/>
      <w:szCs w:val="20"/>
    </w:rPr>
  </w:style>
  <w:style w:type="paragraph" w:customStyle="1" w:styleId="626">
    <w:name w:val="xl11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27">
    <w:name w:val="标准正文"/>
    <w:basedOn w:val="28"/>
    <w:qFormat/>
    <w:uiPriority w:val="0"/>
    <w:pPr>
      <w:spacing w:before="60" w:after="60" w:line="360" w:lineRule="auto"/>
      <w:ind w:left="0" w:firstLine="482"/>
    </w:pPr>
    <w:rPr>
      <w:rFonts w:ascii="Arial" w:hAnsi="Arial" w:eastAsia="Times New Roman"/>
      <w:sz w:val="24"/>
      <w:szCs w:val="20"/>
    </w:rPr>
  </w:style>
  <w:style w:type="paragraph" w:customStyle="1" w:styleId="628">
    <w:name w:val="图表内文字2"/>
    <w:qFormat/>
    <w:uiPriority w:val="0"/>
    <w:pPr>
      <w:spacing w:line="360" w:lineRule="auto"/>
      <w:jc w:val="center"/>
    </w:pPr>
    <w:rPr>
      <w:rFonts w:ascii="Times New Roman" w:hAnsi="Times New Roman" w:eastAsia="宋体" w:cs="Times New Roman"/>
      <w:b/>
      <w:sz w:val="24"/>
      <w:szCs w:val="24"/>
      <w:lang w:val="en-US" w:eastAsia="zh-CN" w:bidi="ar-SA"/>
    </w:rPr>
  </w:style>
  <w:style w:type="paragraph" w:customStyle="1" w:styleId="629">
    <w:name w:val="xl61"/>
    <w:basedOn w:val="1"/>
    <w:qFormat/>
    <w:uiPriority w:val="0"/>
    <w:pPr>
      <w:widowControl/>
      <w:pBdr>
        <w:top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630">
    <w:name w:val="Level1"/>
    <w:basedOn w:val="1"/>
    <w:qFormat/>
    <w:uiPriority w:val="0"/>
    <w:pPr>
      <w:widowControl/>
      <w:spacing w:before="60" w:after="60" w:line="300" w:lineRule="auto"/>
      <w:ind w:firstLine="567"/>
    </w:pPr>
    <w:rPr>
      <w:rFonts w:cs="Arial"/>
      <w:b/>
      <w:bCs/>
      <w:color w:val="000080"/>
      <w:kern w:val="0"/>
      <w:sz w:val="24"/>
      <w:szCs w:val="22"/>
      <w:lang w:val="en-GB"/>
    </w:rPr>
  </w:style>
  <w:style w:type="paragraph" w:customStyle="1" w:styleId="631">
    <w:name w:val="Char Char Char Char Char Char Char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632">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jc w:val="center"/>
    </w:pPr>
    <w:rPr>
      <w:rFonts w:ascii="宋体" w:hAnsi="宋体" w:cs="宋体"/>
      <w:color w:val="000000"/>
      <w:kern w:val="0"/>
      <w:sz w:val="24"/>
    </w:rPr>
  </w:style>
  <w:style w:type="paragraph" w:customStyle="1" w:styleId="633">
    <w:name w:val="项目编号"/>
    <w:basedOn w:val="634"/>
    <w:qFormat/>
    <w:uiPriority w:val="0"/>
    <w:pPr>
      <w:numPr>
        <w:ilvl w:val="0"/>
        <w:numId w:val="33"/>
      </w:numPr>
      <w:tabs>
        <w:tab w:val="left" w:pos="900"/>
      </w:tabs>
    </w:pPr>
  </w:style>
  <w:style w:type="paragraph" w:customStyle="1" w:styleId="634">
    <w:name w:val="样式 左  0 字符"/>
    <w:basedOn w:val="1"/>
    <w:qFormat/>
    <w:uiPriority w:val="0"/>
    <w:pPr>
      <w:spacing w:line="360" w:lineRule="auto"/>
      <w:ind w:firstLine="200" w:firstLineChars="200"/>
    </w:pPr>
    <w:rPr>
      <w:rFonts w:cs="宋体"/>
      <w:sz w:val="24"/>
      <w:szCs w:val="20"/>
    </w:rPr>
  </w:style>
  <w:style w:type="paragraph" w:customStyle="1" w:styleId="635">
    <w:name w:val="a呼市3级标题格式"/>
    <w:basedOn w:val="4"/>
    <w:qFormat/>
    <w:uiPriority w:val="0"/>
    <w:pPr>
      <w:numPr>
        <w:numId w:val="0"/>
      </w:numPr>
      <w:tabs>
        <w:tab w:val="left" w:pos="709"/>
      </w:tabs>
      <w:spacing w:before="156" w:after="156" w:line="360" w:lineRule="auto"/>
      <w:ind w:left="709" w:hanging="709"/>
      <w:outlineLvl w:val="2"/>
    </w:pPr>
    <w:rPr>
      <w:rFonts w:ascii="Times New Roman" w:hAnsi="Times New Roman"/>
      <w:b w:val="0"/>
      <w:sz w:val="30"/>
      <w:szCs w:val="30"/>
    </w:rPr>
  </w:style>
  <w:style w:type="paragraph" w:customStyle="1" w:styleId="636">
    <w:name w:val="Char Char1 Char Char Char"/>
    <w:basedOn w:val="1"/>
    <w:qFormat/>
    <w:uiPriority w:val="0"/>
    <w:pPr>
      <w:autoSpaceDE w:val="0"/>
      <w:autoSpaceDN w:val="0"/>
      <w:adjustRightInd w:val="0"/>
      <w:jc w:val="left"/>
    </w:pPr>
    <w:rPr>
      <w:rFonts w:ascii="仿宋_GB2312" w:eastAsia="仿宋_GB2312"/>
      <w:b/>
      <w:kern w:val="0"/>
      <w:sz w:val="32"/>
      <w:szCs w:val="32"/>
    </w:rPr>
  </w:style>
  <w:style w:type="paragraph" w:customStyle="1" w:styleId="637">
    <w:name w:val="Char13"/>
    <w:basedOn w:val="1"/>
    <w:qFormat/>
    <w:uiPriority w:val="0"/>
    <w:pPr>
      <w:widowControl/>
      <w:spacing w:after="160" w:line="240" w:lineRule="exact"/>
      <w:jc w:val="left"/>
    </w:pPr>
    <w:rPr>
      <w:rFonts w:ascii="Verdana" w:hAnsi="Verdana"/>
      <w:kern w:val="0"/>
      <w:sz w:val="20"/>
      <w:szCs w:val="20"/>
      <w:lang w:eastAsia="en-US"/>
    </w:rPr>
  </w:style>
  <w:style w:type="paragraph" w:customStyle="1" w:styleId="638">
    <w:name w:val="xl2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639">
    <w:name w:val="Figure Description"/>
    <w:basedOn w:val="1"/>
    <w:next w:val="573"/>
    <w:qFormat/>
    <w:uiPriority w:val="0"/>
    <w:pPr>
      <w:keepNext/>
      <w:widowControl/>
      <w:topLinePunct/>
      <w:spacing w:before="80" w:after="80"/>
      <w:ind w:left="1134"/>
      <w:jc w:val="center"/>
    </w:pPr>
    <w:rPr>
      <w:rFonts w:ascii="Arial" w:hAnsi="Arial" w:eastAsia="黑体" w:cs="Arial"/>
      <w:sz w:val="18"/>
      <w:szCs w:val="18"/>
    </w:rPr>
  </w:style>
  <w:style w:type="paragraph" w:customStyle="1" w:styleId="640">
    <w:name w:val="xl62"/>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641">
    <w:name w:val="xl131"/>
    <w:basedOn w:val="1"/>
    <w:qFormat/>
    <w:uiPriority w:val="0"/>
    <w:pPr>
      <w:widowControl/>
      <w:pBdr>
        <w:left w:val="single" w:color="auto" w:sz="4" w:space="0"/>
        <w:bottom w:val="single" w:color="auto" w:sz="4" w:space="0"/>
        <w:right w:val="single" w:color="auto" w:sz="4" w:space="0"/>
      </w:pBdr>
      <w:shd w:val="clear" w:color="000000" w:fill="FFCC00"/>
      <w:spacing w:before="100" w:beforeAutospacing="1" w:after="100" w:afterAutospacing="1"/>
      <w:jc w:val="left"/>
    </w:pPr>
    <w:rPr>
      <w:rFonts w:ascii="宋体" w:hAnsi="宋体" w:cs="宋体"/>
      <w:kern w:val="0"/>
      <w:sz w:val="24"/>
    </w:rPr>
  </w:style>
  <w:style w:type="paragraph" w:customStyle="1" w:styleId="642">
    <w:name w:val="正文（缩进） Char Char"/>
    <w:basedOn w:val="1"/>
    <w:qFormat/>
    <w:uiPriority w:val="0"/>
    <w:pPr>
      <w:spacing w:beforeLines="50" w:afterLines="50" w:line="360" w:lineRule="auto"/>
      <w:ind w:firstLine="480" w:firstLineChars="200"/>
    </w:pPr>
    <w:rPr>
      <w:sz w:val="24"/>
    </w:rPr>
  </w:style>
  <w:style w:type="paragraph" w:customStyle="1" w:styleId="643">
    <w:name w:val="Marginalie u65 10pt"/>
    <w:basedOn w:val="1"/>
    <w:next w:val="1"/>
    <w:qFormat/>
    <w:uiPriority w:val="0"/>
    <w:pPr>
      <w:overflowPunct w:val="0"/>
      <w:autoSpaceDE w:val="0"/>
      <w:autoSpaceDN w:val="0"/>
      <w:adjustRightInd w:val="0"/>
      <w:spacing w:line="227" w:lineRule="exact"/>
      <w:textAlignment w:val="baseline"/>
    </w:pPr>
    <w:rPr>
      <w:kern w:val="0"/>
      <w:sz w:val="20"/>
      <w:szCs w:val="20"/>
    </w:rPr>
  </w:style>
  <w:style w:type="paragraph" w:customStyle="1" w:styleId="644">
    <w:name w:val="xl115"/>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kern w:val="0"/>
      <w:sz w:val="24"/>
    </w:rPr>
  </w:style>
  <w:style w:type="paragraph" w:customStyle="1" w:styleId="645">
    <w:name w:val="0"/>
    <w:basedOn w:val="1"/>
    <w:qFormat/>
    <w:uiPriority w:val="0"/>
    <w:pPr>
      <w:widowControl/>
      <w:spacing w:before="100" w:beforeAutospacing="1" w:after="100" w:afterAutospacing="1"/>
      <w:jc w:val="left"/>
    </w:pPr>
    <w:rPr>
      <w:rFonts w:ascii="宋体" w:hAnsi="宋体" w:cs="宋体"/>
      <w:kern w:val="0"/>
      <w:sz w:val="24"/>
    </w:rPr>
  </w:style>
  <w:style w:type="paragraph" w:customStyle="1" w:styleId="646">
    <w:name w:val="图片"/>
    <w:basedOn w:val="1"/>
    <w:qFormat/>
    <w:uiPriority w:val="0"/>
    <w:pPr>
      <w:spacing w:line="240" w:lineRule="atLeast"/>
      <w:ind w:firstLine="567"/>
      <w:jc w:val="center"/>
    </w:pPr>
    <w:rPr>
      <w:rFonts w:cs="宋体"/>
      <w:sz w:val="24"/>
      <w:szCs w:val="20"/>
    </w:rPr>
  </w:style>
  <w:style w:type="paragraph" w:customStyle="1" w:styleId="647">
    <w:name w:val="标题五"/>
    <w:basedOn w:val="1"/>
    <w:qFormat/>
    <w:uiPriority w:val="0"/>
    <w:pPr>
      <w:numPr>
        <w:ilvl w:val="0"/>
        <w:numId w:val="18"/>
      </w:numPr>
      <w:tabs>
        <w:tab w:val="left" w:pos="1440"/>
        <w:tab w:val="clear" w:pos="840"/>
      </w:tabs>
      <w:autoSpaceDE w:val="0"/>
      <w:autoSpaceDN w:val="0"/>
      <w:adjustRightInd w:val="0"/>
      <w:spacing w:beforeLines="50" w:line="360" w:lineRule="auto"/>
      <w:ind w:left="1440"/>
      <w:jc w:val="left"/>
    </w:pPr>
    <w:rPr>
      <w:b/>
      <w:kern w:val="0"/>
      <w:sz w:val="24"/>
      <w:szCs w:val="20"/>
    </w:rPr>
  </w:style>
  <w:style w:type="paragraph" w:customStyle="1" w:styleId="648">
    <w:name w:val="xl39"/>
    <w:basedOn w:val="1"/>
    <w:qFormat/>
    <w:uiPriority w:val="0"/>
    <w:pPr>
      <w:widowControl/>
      <w:pBdr>
        <w:top w:val="single" w:color="auto" w:sz="4" w:space="0"/>
        <w:left w:val="single" w:color="auto" w:sz="4" w:space="0"/>
        <w:bottom w:val="single" w:color="auto" w:sz="8" w:space="0"/>
      </w:pBdr>
      <w:spacing w:before="100" w:beforeAutospacing="1" w:after="100" w:afterAutospacing="1"/>
      <w:jc w:val="center"/>
      <w:textAlignment w:val="center"/>
    </w:pPr>
    <w:rPr>
      <w:rFonts w:ascii="宋体" w:hAnsi="宋体" w:cs="宋体"/>
      <w:kern w:val="0"/>
      <w:sz w:val="20"/>
      <w:szCs w:val="20"/>
    </w:rPr>
  </w:style>
  <w:style w:type="paragraph" w:customStyle="1" w:styleId="649">
    <w:name w:val="加点正文"/>
    <w:basedOn w:val="1"/>
    <w:qFormat/>
    <w:uiPriority w:val="0"/>
    <w:pPr>
      <w:spacing w:line="300" w:lineRule="auto"/>
      <w:ind w:left="420" w:hanging="420" w:firstLineChars="200"/>
    </w:pPr>
    <w:rPr>
      <w:kern w:val="0"/>
      <w:sz w:val="24"/>
    </w:rPr>
  </w:style>
  <w:style w:type="paragraph" w:customStyle="1" w:styleId="650">
    <w:name w:val="level5"/>
    <w:basedOn w:val="1"/>
    <w:qFormat/>
    <w:uiPriority w:val="0"/>
    <w:pPr>
      <w:widowControl/>
      <w:numPr>
        <w:ilvl w:val="0"/>
        <w:numId w:val="34"/>
      </w:numPr>
      <w:spacing w:before="40" w:after="40"/>
    </w:pPr>
    <w:rPr>
      <w:rFonts w:cs="Arial"/>
      <w:kern w:val="0"/>
      <w:sz w:val="24"/>
      <w:szCs w:val="22"/>
      <w:lang w:val="en-GB"/>
    </w:rPr>
  </w:style>
  <w:style w:type="paragraph" w:customStyle="1" w:styleId="651">
    <w:name w:val="TOC 标题1"/>
    <w:basedOn w:val="3"/>
    <w:next w:val="1"/>
    <w:qFormat/>
    <w:uiPriority w:val="39"/>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652">
    <w:name w:val="样式 样式 EHL编号 + 段前: 0.5 行 段后: 0.5 行 + 段前: 0.5 行 段后: 0.5 行"/>
    <w:basedOn w:val="1"/>
    <w:qFormat/>
    <w:uiPriority w:val="0"/>
    <w:pPr>
      <w:numPr>
        <w:ilvl w:val="0"/>
        <w:numId w:val="35"/>
      </w:numPr>
      <w:spacing w:beforeLines="50" w:afterLines="50" w:line="360" w:lineRule="auto"/>
    </w:pPr>
    <w:rPr>
      <w:rFonts w:cs="宋体"/>
      <w:b/>
      <w:bCs/>
      <w:sz w:val="24"/>
      <w:szCs w:val="20"/>
    </w:rPr>
  </w:style>
  <w:style w:type="paragraph" w:customStyle="1" w:styleId="653">
    <w:name w:val="项目编号3"/>
    <w:basedOn w:val="1"/>
    <w:next w:val="1"/>
    <w:qFormat/>
    <w:uiPriority w:val="0"/>
    <w:pPr>
      <w:tabs>
        <w:tab w:val="left" w:pos="240"/>
        <w:tab w:val="left" w:pos="840"/>
      </w:tabs>
      <w:spacing w:line="360" w:lineRule="auto"/>
      <w:ind w:firstLine="200" w:firstLineChars="200"/>
      <w:jc w:val="left"/>
    </w:pPr>
    <w:rPr>
      <w:rFonts w:ascii="宋体"/>
      <w:sz w:val="24"/>
    </w:rPr>
  </w:style>
  <w:style w:type="paragraph" w:customStyle="1" w:styleId="654">
    <w:name w:val="正文居中"/>
    <w:basedOn w:val="1"/>
    <w:qFormat/>
    <w:uiPriority w:val="0"/>
    <w:pPr>
      <w:spacing w:before="50" w:after="50" w:line="300" w:lineRule="auto"/>
      <w:ind w:firstLine="200" w:firstLineChars="200"/>
      <w:jc w:val="center"/>
    </w:pPr>
    <w:rPr>
      <w:sz w:val="24"/>
    </w:rPr>
  </w:style>
  <w:style w:type="paragraph" w:customStyle="1" w:styleId="655">
    <w:name w:val="H4  (标题 4)"/>
    <w:basedOn w:val="1"/>
    <w:qFormat/>
    <w:uiPriority w:val="0"/>
    <w:pPr>
      <w:numPr>
        <w:ilvl w:val="3"/>
        <w:numId w:val="30"/>
      </w:numPr>
      <w:spacing w:line="360" w:lineRule="auto"/>
      <w:ind w:left="655" w:firstLine="200" w:firstLineChars="200"/>
    </w:pPr>
    <w:rPr>
      <w:rFonts w:ascii="Calibri" w:hAnsi="Calibri"/>
      <w:sz w:val="24"/>
      <w:szCs w:val="22"/>
    </w:rPr>
  </w:style>
  <w:style w:type="paragraph" w:customStyle="1" w:styleId="65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657">
    <w:name w:val="样式5"/>
    <w:basedOn w:val="3"/>
    <w:next w:val="1"/>
    <w:qFormat/>
    <w:uiPriority w:val="0"/>
    <w:pPr>
      <w:numPr>
        <w:numId w:val="0"/>
      </w:numPr>
      <w:adjustRightInd w:val="0"/>
      <w:snapToGrid w:val="0"/>
      <w:spacing w:before="120" w:after="120" w:line="578" w:lineRule="atLeast"/>
      <w:ind w:firstLine="723"/>
      <w:textAlignment w:val="baseline"/>
    </w:pPr>
    <w:rPr>
      <w:rFonts w:ascii="宋体" w:hAnsi="宋体" w:eastAsia="黑体"/>
      <w:b w:val="0"/>
      <w:color w:val="000000"/>
      <w:sz w:val="36"/>
      <w:szCs w:val="36"/>
    </w:rPr>
  </w:style>
  <w:style w:type="paragraph" w:customStyle="1" w:styleId="658">
    <w:name w:val="xl137"/>
    <w:basedOn w:val="1"/>
    <w:qFormat/>
    <w:uiPriority w:val="0"/>
    <w:pPr>
      <w:widowControl/>
      <w:pBdr>
        <w:left w:val="single" w:color="auto" w:sz="4" w:space="0"/>
        <w:bottom w:val="single" w:color="auto" w:sz="8" w:space="0"/>
        <w:right w:val="single" w:color="auto" w:sz="4" w:space="0"/>
      </w:pBdr>
      <w:shd w:val="clear" w:color="000000" w:fill="FFCC00"/>
      <w:spacing w:before="100" w:beforeAutospacing="1" w:after="100" w:afterAutospacing="1"/>
      <w:jc w:val="left"/>
    </w:pPr>
    <w:rPr>
      <w:rFonts w:ascii="宋体" w:hAnsi="宋体" w:cs="宋体"/>
      <w:kern w:val="0"/>
      <w:sz w:val="24"/>
    </w:rPr>
  </w:style>
  <w:style w:type="paragraph" w:customStyle="1" w:styleId="659">
    <w:name w:val="Char Char Char Char Char Char1"/>
    <w:basedOn w:val="1"/>
    <w:qFormat/>
    <w:uiPriority w:val="0"/>
    <w:rPr>
      <w:szCs w:val="20"/>
    </w:rPr>
  </w:style>
  <w:style w:type="paragraph" w:customStyle="1" w:styleId="660">
    <w:name w:val="并列条文1）2）"/>
    <w:basedOn w:val="318"/>
    <w:qFormat/>
    <w:uiPriority w:val="0"/>
    <w:pPr>
      <w:numPr>
        <w:ilvl w:val="0"/>
        <w:numId w:val="22"/>
      </w:numPr>
      <w:tabs>
        <w:tab w:val="left" w:pos="600"/>
        <w:tab w:val="clear" w:pos="960"/>
      </w:tabs>
      <w:spacing w:line="360" w:lineRule="auto"/>
      <w:ind w:left="0" w:firstLine="454"/>
      <w:jc w:val="left"/>
    </w:pPr>
    <w:rPr>
      <w:rFonts w:ascii="宋体" w:hAnsi="宋体" w:eastAsia="宋体"/>
      <w:kern w:val="24"/>
      <w:szCs w:val="24"/>
    </w:rPr>
  </w:style>
  <w:style w:type="paragraph" w:customStyle="1" w:styleId="661">
    <w:name w:val="font1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662">
    <w:name w:val="东莞正文"/>
    <w:basedOn w:val="1"/>
    <w:qFormat/>
    <w:uiPriority w:val="0"/>
    <w:pPr>
      <w:spacing w:line="360" w:lineRule="auto"/>
      <w:ind w:firstLine="480" w:firstLineChars="200"/>
    </w:pPr>
    <w:rPr>
      <w:rFonts w:ascii="Arial" w:hAnsi="Arial" w:eastAsia="仿宋_GB2312" w:cs="宋体"/>
      <w:color w:val="000000"/>
      <w:sz w:val="24"/>
      <w:szCs w:val="20"/>
    </w:rPr>
  </w:style>
  <w:style w:type="paragraph" w:customStyle="1" w:styleId="663">
    <w:name w:val="表内容"/>
    <w:basedOn w:val="1"/>
    <w:qFormat/>
    <w:uiPriority w:val="0"/>
    <w:pPr>
      <w:widowControl/>
      <w:jc w:val="left"/>
    </w:pPr>
    <w:rPr>
      <w:kern w:val="0"/>
      <w:sz w:val="24"/>
    </w:rPr>
  </w:style>
  <w:style w:type="paragraph" w:customStyle="1" w:styleId="664">
    <w:name w:val="xl22"/>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665">
    <w:name w:val="默认段落字体 Para Char Char Char Char Char Char Char"/>
    <w:basedOn w:val="1"/>
    <w:qFormat/>
    <w:uiPriority w:val="0"/>
    <w:rPr>
      <w:rFonts w:eastAsia="仿宋_GB2312"/>
      <w:sz w:val="28"/>
    </w:rPr>
  </w:style>
  <w:style w:type="paragraph" w:customStyle="1" w:styleId="666">
    <w:name w:val="列表1"/>
    <w:basedOn w:val="627"/>
    <w:qFormat/>
    <w:uiPriority w:val="0"/>
    <w:pPr>
      <w:numPr>
        <w:ilvl w:val="0"/>
        <w:numId w:val="36"/>
      </w:numPr>
      <w:tabs>
        <w:tab w:val="left" w:pos="425"/>
        <w:tab w:val="clear" w:pos="432"/>
      </w:tabs>
    </w:pPr>
  </w:style>
  <w:style w:type="paragraph" w:customStyle="1" w:styleId="667">
    <w:name w:val="A"/>
    <w:basedOn w:val="1"/>
    <w:qFormat/>
    <w:uiPriority w:val="0"/>
    <w:pPr>
      <w:tabs>
        <w:tab w:val="left" w:pos="430"/>
        <w:tab w:val="left" w:pos="900"/>
      </w:tabs>
      <w:spacing w:line="360" w:lineRule="auto"/>
      <w:ind w:left="230" w:hanging="420"/>
    </w:pPr>
    <w:rPr>
      <w:sz w:val="24"/>
    </w:rPr>
  </w:style>
  <w:style w:type="paragraph" w:customStyle="1" w:styleId="668">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669">
    <w:name w:val="Level3"/>
    <w:basedOn w:val="1"/>
    <w:qFormat/>
    <w:uiPriority w:val="0"/>
    <w:pPr>
      <w:widowControl/>
      <w:numPr>
        <w:ilvl w:val="0"/>
        <w:numId w:val="37"/>
      </w:numPr>
      <w:tabs>
        <w:tab w:val="clear" w:pos="432"/>
      </w:tabs>
      <w:spacing w:line="300" w:lineRule="auto"/>
      <w:ind w:left="0" w:firstLine="567"/>
    </w:pPr>
    <w:rPr>
      <w:rFonts w:cs="Arial"/>
      <w:kern w:val="0"/>
      <w:sz w:val="24"/>
      <w:szCs w:val="22"/>
      <w:lang w:val="en-GB"/>
    </w:rPr>
  </w:style>
  <w:style w:type="paragraph" w:customStyle="1" w:styleId="670">
    <w:name w:val="样式 目录 3 + 首行缩进:  2 字符"/>
    <w:basedOn w:val="35"/>
    <w:qFormat/>
    <w:uiPriority w:val="0"/>
    <w:pPr>
      <w:spacing w:line="300" w:lineRule="auto"/>
      <w:ind w:left="480" w:leftChars="0" w:firstLine="400" w:firstLineChars="200"/>
      <w:jc w:val="left"/>
    </w:pPr>
    <w:rPr>
      <w:rFonts w:cs="宋体"/>
      <w:iCs/>
      <w:sz w:val="20"/>
      <w:szCs w:val="20"/>
    </w:rPr>
  </w:style>
  <w:style w:type="paragraph" w:customStyle="1" w:styleId="671">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72">
    <w:name w:val="1）"/>
    <w:basedOn w:val="1"/>
    <w:qFormat/>
    <w:uiPriority w:val="0"/>
    <w:pPr>
      <w:tabs>
        <w:tab w:val="left" w:pos="1260"/>
      </w:tabs>
      <w:spacing w:line="360" w:lineRule="auto"/>
      <w:ind w:left="1260"/>
    </w:pPr>
    <w:rPr>
      <w:rFonts w:ascii="宋体" w:hAnsi="宋体"/>
      <w:sz w:val="24"/>
    </w:rPr>
  </w:style>
  <w:style w:type="paragraph" w:customStyle="1" w:styleId="673">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674">
    <w:name w:val="xl93"/>
    <w:basedOn w:val="1"/>
    <w:qFormat/>
    <w:uiPriority w:val="0"/>
    <w:pPr>
      <w:widowControl/>
      <w:shd w:val="clear" w:color="000000" w:fill="FFFF99"/>
      <w:spacing w:before="100" w:beforeAutospacing="1" w:after="100" w:afterAutospacing="1"/>
      <w:jc w:val="center"/>
    </w:pPr>
    <w:rPr>
      <w:rFonts w:ascii="宋体" w:hAnsi="宋体" w:cs="宋体"/>
      <w:kern w:val="0"/>
      <w:sz w:val="24"/>
    </w:rPr>
  </w:style>
  <w:style w:type="paragraph" w:customStyle="1" w:styleId="675">
    <w:name w:val="列项——（一级）"/>
    <w:qFormat/>
    <w:uiPriority w:val="0"/>
    <w:pPr>
      <w:widowControl w:val="0"/>
      <w:tabs>
        <w:tab w:val="left" w:pos="854"/>
        <w:tab w:val="left" w:pos="1260"/>
      </w:tabs>
      <w:ind w:left="1260" w:hanging="420"/>
      <w:jc w:val="both"/>
    </w:pPr>
    <w:rPr>
      <w:rFonts w:ascii="宋体" w:hAnsi="Times New Roman" w:eastAsia="宋体" w:cs="Times New Roman"/>
      <w:sz w:val="21"/>
      <w:lang w:val="en-US" w:eastAsia="zh-CN" w:bidi="ar-SA"/>
    </w:rPr>
  </w:style>
  <w:style w:type="paragraph" w:customStyle="1" w:styleId="676">
    <w:name w:val="ÕýÎÄÊ×ÐÐËõ½ø"/>
    <w:basedOn w:val="1"/>
    <w:qFormat/>
    <w:uiPriority w:val="0"/>
    <w:pPr>
      <w:widowControl/>
      <w:overflowPunct w:val="0"/>
      <w:autoSpaceDE w:val="0"/>
      <w:autoSpaceDN w:val="0"/>
      <w:adjustRightInd w:val="0"/>
      <w:spacing w:line="360" w:lineRule="auto"/>
      <w:ind w:left="1134"/>
      <w:jc w:val="left"/>
      <w:textAlignment w:val="baseline"/>
    </w:pPr>
    <w:rPr>
      <w:rFonts w:eastAsia="Times New Roman"/>
      <w:kern w:val="0"/>
      <w:sz w:val="20"/>
      <w:szCs w:val="20"/>
    </w:rPr>
  </w:style>
  <w:style w:type="paragraph" w:customStyle="1" w:styleId="677">
    <w:name w:val="xl40"/>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678">
    <w:name w:val="普通 (Web)"/>
    <w:basedOn w:val="378"/>
    <w:next w:val="378"/>
    <w:qFormat/>
    <w:uiPriority w:val="0"/>
    <w:pPr>
      <w:spacing w:before="100" w:after="100"/>
    </w:pPr>
    <w:rPr>
      <w:rFonts w:ascii="黑体" w:eastAsia="黑体" w:cs="Times New Roman"/>
      <w:color w:val="auto"/>
    </w:rPr>
  </w:style>
  <w:style w:type="paragraph" w:customStyle="1" w:styleId="679">
    <w:name w:val="样式 表内正文 + 五号 行距: 单倍行距"/>
    <w:basedOn w:val="1"/>
    <w:qFormat/>
    <w:uiPriority w:val="0"/>
    <w:pPr>
      <w:adjustRightInd w:val="0"/>
      <w:snapToGrid w:val="0"/>
    </w:pPr>
    <w:rPr>
      <w:rFonts w:ascii="Arial" w:hAnsi="Arial" w:cs="宋体"/>
      <w:szCs w:val="20"/>
    </w:rPr>
  </w:style>
  <w:style w:type="paragraph" w:customStyle="1" w:styleId="680">
    <w:name w:val="Table Description"/>
    <w:basedOn w:val="1"/>
    <w:next w:val="1"/>
    <w:qFormat/>
    <w:uiPriority w:val="0"/>
    <w:pPr>
      <w:keepNext/>
      <w:widowControl/>
      <w:topLinePunct/>
      <w:spacing w:before="80" w:after="80"/>
      <w:ind w:left="1134"/>
      <w:jc w:val="center"/>
    </w:pPr>
    <w:rPr>
      <w:rFonts w:ascii="Arial" w:hAnsi="Arial" w:eastAsia="黑体" w:cs="Arial"/>
      <w:sz w:val="18"/>
      <w:szCs w:val="18"/>
    </w:rPr>
  </w:style>
  <w:style w:type="paragraph" w:customStyle="1" w:styleId="68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Cs w:val="21"/>
    </w:rPr>
  </w:style>
  <w:style w:type="paragraph" w:customStyle="1" w:styleId="682">
    <w:name w:val="xl126"/>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kern w:val="0"/>
      <w:sz w:val="24"/>
    </w:rPr>
  </w:style>
  <w:style w:type="paragraph" w:customStyle="1" w:styleId="683">
    <w:name w:val="xl38"/>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684">
    <w:name w:val="xl130"/>
    <w:basedOn w:val="1"/>
    <w:qFormat/>
    <w:uiPriority w:val="0"/>
    <w:pPr>
      <w:widowControl/>
      <w:pBdr>
        <w:top w:val="single" w:color="auto" w:sz="4" w:space="0"/>
        <w:left w:val="single" w:color="auto" w:sz="4" w:space="0"/>
        <w:bottom w:val="single" w:color="auto" w:sz="8" w:space="0"/>
        <w:right w:val="single" w:color="auto" w:sz="4" w:space="0"/>
      </w:pBdr>
      <w:shd w:val="clear" w:color="000000" w:fill="FFCC00"/>
      <w:spacing w:before="100" w:beforeAutospacing="1" w:after="100" w:afterAutospacing="1"/>
      <w:jc w:val="left"/>
    </w:pPr>
    <w:rPr>
      <w:rFonts w:ascii="宋体" w:hAnsi="宋体" w:cs="宋体"/>
      <w:kern w:val="0"/>
      <w:sz w:val="24"/>
    </w:rPr>
  </w:style>
  <w:style w:type="paragraph" w:customStyle="1" w:styleId="685">
    <w:name w:val="xl104"/>
    <w:basedOn w:val="1"/>
    <w:qFormat/>
    <w:uiPriority w:val="0"/>
    <w:pPr>
      <w:widowControl/>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jc w:val="left"/>
    </w:pPr>
    <w:rPr>
      <w:rFonts w:ascii="宋体" w:hAnsi="宋体" w:cs="宋体"/>
      <w:color w:val="000000"/>
      <w:kern w:val="0"/>
      <w:sz w:val="24"/>
    </w:rPr>
  </w:style>
  <w:style w:type="paragraph" w:customStyle="1" w:styleId="686">
    <w:name w:val="表格文字"/>
    <w:basedOn w:val="1"/>
    <w:qFormat/>
    <w:uiPriority w:val="0"/>
    <w:rPr>
      <w:rFonts w:cs="宋体"/>
      <w:szCs w:val="20"/>
    </w:rPr>
  </w:style>
  <w:style w:type="paragraph" w:customStyle="1" w:styleId="687">
    <w:name w:val="Char Char Char Char Char Char"/>
    <w:basedOn w:val="1"/>
    <w:qFormat/>
    <w:uiPriority w:val="0"/>
    <w:rPr>
      <w:rFonts w:ascii="Tahoma" w:hAnsi="Tahoma"/>
      <w:sz w:val="24"/>
      <w:szCs w:val="20"/>
    </w:rPr>
  </w:style>
  <w:style w:type="paragraph" w:customStyle="1" w:styleId="688">
    <w:name w:val="Char111"/>
    <w:basedOn w:val="1"/>
    <w:qFormat/>
    <w:uiPriority w:val="0"/>
    <w:pPr>
      <w:widowControl/>
      <w:spacing w:after="160" w:line="240" w:lineRule="exact"/>
      <w:jc w:val="left"/>
    </w:pPr>
    <w:rPr>
      <w:rFonts w:ascii="Verdana" w:hAnsi="Verdana"/>
      <w:kern w:val="0"/>
      <w:sz w:val="20"/>
      <w:szCs w:val="20"/>
      <w:lang w:eastAsia="en-US"/>
    </w:rPr>
  </w:style>
  <w:style w:type="paragraph" w:customStyle="1" w:styleId="689">
    <w:name w:val="正文118"/>
    <w:basedOn w:val="1"/>
    <w:qFormat/>
    <w:uiPriority w:val="0"/>
    <w:pPr>
      <w:adjustRightInd w:val="0"/>
      <w:spacing w:before="360" w:after="360" w:line="440" w:lineRule="atLeast"/>
      <w:ind w:firstLine="200" w:firstLineChars="200"/>
    </w:pPr>
    <w:rPr>
      <w:kern w:val="0"/>
      <w:szCs w:val="21"/>
    </w:rPr>
  </w:style>
  <w:style w:type="paragraph" w:customStyle="1" w:styleId="690">
    <w:name w:val="xl5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691">
    <w:name w:val="WW-正文文字缩进 2"/>
    <w:basedOn w:val="1"/>
    <w:qFormat/>
    <w:uiPriority w:val="0"/>
    <w:pPr>
      <w:suppressAutoHyphens/>
      <w:autoSpaceDE w:val="0"/>
      <w:autoSpaceDN w:val="0"/>
      <w:adjustRightInd w:val="0"/>
      <w:ind w:firstLine="420"/>
      <w:jc w:val="left"/>
    </w:pPr>
    <w:rPr>
      <w:kern w:val="1"/>
      <w:sz w:val="20"/>
      <w:szCs w:val="20"/>
    </w:rPr>
  </w:style>
  <w:style w:type="paragraph" w:customStyle="1" w:styleId="692">
    <w:name w:val="正文3"/>
    <w:qFormat/>
    <w:uiPriority w:val="0"/>
    <w:rPr>
      <w:rFonts w:ascii="Times New Roman" w:hAnsi="Times New Roman" w:eastAsia="宋体" w:cs="Times New Roman"/>
      <w:lang w:val="ru-RU" w:eastAsia="ru-RU" w:bidi="ar-SA"/>
    </w:rPr>
  </w:style>
  <w:style w:type="paragraph" w:customStyle="1" w:styleId="693">
    <w:name w:val="xl45"/>
    <w:basedOn w:val="1"/>
    <w:qFormat/>
    <w:uiPriority w:val="0"/>
    <w:pPr>
      <w:widowControl/>
      <w:pBdr>
        <w:left w:val="single" w:color="auto" w:sz="4" w:space="0"/>
      </w:pBdr>
      <w:spacing w:before="100" w:beforeAutospacing="1" w:after="100" w:afterAutospacing="1"/>
      <w:jc w:val="left"/>
    </w:pPr>
    <w:rPr>
      <w:rFonts w:ascii="宋体" w:hAnsi="宋体" w:cs="宋体"/>
      <w:kern w:val="0"/>
      <w:sz w:val="24"/>
    </w:rPr>
  </w:style>
  <w:style w:type="paragraph" w:customStyle="1" w:styleId="694">
    <w:name w:val="样式"/>
    <w:basedOn w:val="1"/>
    <w:qFormat/>
    <w:uiPriority w:val="0"/>
    <w:pPr>
      <w:autoSpaceDE w:val="0"/>
      <w:autoSpaceDN w:val="0"/>
      <w:adjustRightInd w:val="0"/>
      <w:snapToGrid w:val="0"/>
      <w:spacing w:before="120" w:after="120" w:line="360" w:lineRule="auto"/>
      <w:jc w:val="left"/>
    </w:pPr>
    <w:rPr>
      <w:rFonts w:ascii="宋体"/>
      <w:kern w:val="0"/>
      <w:sz w:val="24"/>
      <w:szCs w:val="20"/>
    </w:rPr>
  </w:style>
  <w:style w:type="paragraph" w:customStyle="1" w:styleId="695">
    <w:name w:val="Char11"/>
    <w:basedOn w:val="1"/>
    <w:qFormat/>
    <w:uiPriority w:val="0"/>
    <w:rPr>
      <w:rFonts w:ascii="仿宋_GB2312" w:eastAsia="仿宋_GB2312"/>
      <w:b/>
      <w:sz w:val="32"/>
      <w:szCs w:val="32"/>
    </w:rPr>
  </w:style>
  <w:style w:type="paragraph" w:customStyle="1" w:styleId="696">
    <w:name w:val="xl7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697">
    <w:name w:val="样式 题注 + 首行缩进:  2 字符3"/>
    <w:basedOn w:val="18"/>
    <w:qFormat/>
    <w:uiPriority w:val="0"/>
    <w:pPr>
      <w:keepNext/>
      <w:autoSpaceDE/>
      <w:autoSpaceDN/>
      <w:adjustRightInd/>
      <w:spacing w:before="240" w:after="240" w:line="360" w:lineRule="auto"/>
      <w:ind w:firstLine="200" w:firstLineChars="200"/>
      <w:jc w:val="both"/>
    </w:pPr>
    <w:rPr>
      <w:rFonts w:ascii="宋体" w:hAnsi="宋体" w:eastAsia="宋体" w:cs="宋体"/>
      <w:kern w:val="2"/>
      <w:sz w:val="24"/>
      <w:szCs w:val="24"/>
    </w:rPr>
  </w:style>
  <w:style w:type="paragraph" w:customStyle="1" w:styleId="698">
    <w:name w:val="CM5"/>
    <w:basedOn w:val="1"/>
    <w:next w:val="1"/>
    <w:qFormat/>
    <w:uiPriority w:val="0"/>
    <w:pPr>
      <w:autoSpaceDE w:val="0"/>
      <w:autoSpaceDN w:val="0"/>
      <w:adjustRightInd w:val="0"/>
      <w:spacing w:line="468" w:lineRule="atLeast"/>
      <w:jc w:val="left"/>
    </w:pPr>
    <w:rPr>
      <w:rFonts w:ascii="宋体"/>
      <w:kern w:val="0"/>
      <w:sz w:val="24"/>
    </w:rPr>
  </w:style>
  <w:style w:type="paragraph" w:customStyle="1" w:styleId="699">
    <w:name w:val="招标书正文"/>
    <w:basedOn w:val="1"/>
    <w:qFormat/>
    <w:uiPriority w:val="0"/>
    <w:pPr>
      <w:spacing w:beforeLines="50" w:afterLines="50" w:line="300" w:lineRule="auto"/>
      <w:ind w:firstLine="200" w:firstLineChars="200"/>
    </w:pPr>
    <w:rPr>
      <w:rFonts w:cs="宋体"/>
      <w:szCs w:val="20"/>
    </w:rPr>
  </w:style>
  <w:style w:type="paragraph" w:customStyle="1" w:styleId="700">
    <w:name w:val="紧凑5号"/>
    <w:basedOn w:val="1"/>
    <w:qFormat/>
    <w:uiPriority w:val="0"/>
    <w:rPr>
      <w:kern w:val="0"/>
      <w:szCs w:val="20"/>
    </w:rPr>
  </w:style>
  <w:style w:type="paragraph" w:customStyle="1" w:styleId="701">
    <w:name w:val="样式 样式 左  0 字符1 + 左侧:  3 字符"/>
    <w:basedOn w:val="1"/>
    <w:qFormat/>
    <w:uiPriority w:val="0"/>
    <w:pPr>
      <w:spacing w:line="360" w:lineRule="auto"/>
      <w:ind w:left="400" w:leftChars="400"/>
    </w:pPr>
    <w:rPr>
      <w:rFonts w:cs="宋体"/>
      <w:sz w:val="24"/>
      <w:szCs w:val="20"/>
    </w:rPr>
  </w:style>
  <w:style w:type="paragraph" w:customStyle="1" w:styleId="702">
    <w:name w:val="样式6"/>
    <w:basedOn w:val="49"/>
    <w:qFormat/>
    <w:uiPriority w:val="0"/>
    <w:pPr>
      <w:tabs>
        <w:tab w:val="right" w:leader="dot" w:pos="9061"/>
      </w:tabs>
      <w:autoSpaceDE/>
      <w:autoSpaceDN/>
      <w:adjustRightInd/>
      <w:spacing w:line="360" w:lineRule="auto"/>
      <w:ind w:left="1077" w:leftChars="0" w:firstLine="480" w:firstLineChars="200"/>
    </w:pPr>
    <w:rPr>
      <w:rFonts w:ascii="华文中宋" w:hAnsi="华文中宋" w:eastAsia="华文中宋" w:cs="Calibri"/>
      <w:kern w:val="2"/>
      <w:sz w:val="24"/>
      <w:szCs w:val="18"/>
    </w:rPr>
  </w:style>
  <w:style w:type="paragraph" w:customStyle="1" w:styleId="703">
    <w:name w:val="样式 标题 3H31.1.1标题 3h3sect1.2.3BOD 03rd levellevel_3PIM 3...2"/>
    <w:basedOn w:val="5"/>
    <w:qFormat/>
    <w:uiPriority w:val="0"/>
    <w:pPr>
      <w:numPr>
        <w:numId w:val="0"/>
      </w:numPr>
      <w:tabs>
        <w:tab w:val="left" w:pos="459"/>
        <w:tab w:val="left" w:pos="900"/>
      </w:tabs>
      <w:autoSpaceDE w:val="0"/>
      <w:autoSpaceDN w:val="0"/>
      <w:snapToGrid w:val="0"/>
      <w:spacing w:beforeLines="50" w:afterLines="50" w:line="360" w:lineRule="auto"/>
      <w:jc w:val="left"/>
    </w:pPr>
    <w:rPr>
      <w:rFonts w:ascii="Courier New" w:hAnsi="Courier New" w:eastAsia="黑体"/>
      <w:color w:val="000000"/>
      <w:kern w:val="0"/>
      <w:sz w:val="28"/>
    </w:rPr>
  </w:style>
  <w:style w:type="paragraph" w:customStyle="1" w:styleId="704">
    <w:name w:val="xl134"/>
    <w:basedOn w:val="1"/>
    <w:qFormat/>
    <w:uiPriority w:val="0"/>
    <w:pPr>
      <w:widowControl/>
      <w:pBdr>
        <w:left w:val="single" w:color="auto" w:sz="4" w:space="0"/>
        <w:right w:val="single" w:color="auto" w:sz="4" w:space="0"/>
      </w:pBdr>
      <w:shd w:val="clear" w:color="000000" w:fill="FFCC00"/>
      <w:spacing w:before="100" w:beforeAutospacing="1" w:after="100" w:afterAutospacing="1"/>
      <w:jc w:val="left"/>
    </w:pPr>
    <w:rPr>
      <w:rFonts w:ascii="宋体" w:hAnsi="宋体" w:cs="宋体"/>
      <w:color w:val="000000"/>
      <w:kern w:val="0"/>
      <w:sz w:val="24"/>
    </w:rPr>
  </w:style>
  <w:style w:type="paragraph" w:customStyle="1" w:styleId="705">
    <w:name w:val="xl79"/>
    <w:basedOn w:val="1"/>
    <w:qFormat/>
    <w:uiPriority w:val="0"/>
    <w:pPr>
      <w:widowControl/>
      <w:pBdr>
        <w:left w:val="single" w:color="auto" w:sz="4" w:space="0"/>
        <w:bottom w:val="single" w:color="auto" w:sz="8" w:space="0"/>
        <w:right w:val="single" w:color="auto" w:sz="4" w:space="0"/>
      </w:pBdr>
      <w:shd w:val="clear" w:color="000000" w:fill="FFFF99"/>
      <w:spacing w:before="100" w:beforeAutospacing="1" w:after="100" w:afterAutospacing="1"/>
      <w:jc w:val="center"/>
    </w:pPr>
    <w:rPr>
      <w:rFonts w:ascii="宋体" w:hAnsi="宋体" w:cs="宋体"/>
      <w:color w:val="000000"/>
      <w:kern w:val="0"/>
      <w:sz w:val="24"/>
    </w:rPr>
  </w:style>
  <w:style w:type="paragraph" w:customStyle="1" w:styleId="706">
    <w:name w:val="xl36"/>
    <w:basedOn w:val="1"/>
    <w:qFormat/>
    <w:uiPriority w:val="0"/>
    <w:pPr>
      <w:widowControl/>
      <w:pBdr>
        <w:bottom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707">
    <w:name w:val="正文文本 21"/>
    <w:basedOn w:val="1"/>
    <w:qFormat/>
    <w:uiPriority w:val="0"/>
    <w:pPr>
      <w:widowControl/>
      <w:overflowPunct w:val="0"/>
      <w:autoSpaceDE w:val="0"/>
      <w:autoSpaceDN w:val="0"/>
      <w:adjustRightInd w:val="0"/>
      <w:ind w:left="720" w:hanging="720"/>
      <w:jc w:val="left"/>
      <w:textAlignment w:val="baseline"/>
    </w:pPr>
    <w:rPr>
      <w:kern w:val="0"/>
      <w:sz w:val="24"/>
      <w:szCs w:val="20"/>
      <w:lang w:val="en-GB"/>
    </w:rPr>
  </w:style>
  <w:style w:type="paragraph" w:customStyle="1" w:styleId="708">
    <w:name w:val="button"/>
    <w:basedOn w:val="1"/>
    <w:qFormat/>
    <w:uiPriority w:val="0"/>
    <w:pPr>
      <w:widowControl/>
      <w:autoSpaceDE w:val="0"/>
      <w:autoSpaceDN w:val="0"/>
      <w:adjustRightInd w:val="0"/>
      <w:spacing w:before="100" w:beforeAutospacing="1" w:after="100" w:afterAutospacing="1"/>
      <w:jc w:val="left"/>
    </w:pPr>
    <w:rPr>
      <w:rFonts w:ascii="Arial Unicode MS" w:hAnsi="Arial Unicode MS"/>
      <w:color w:val="000000"/>
      <w:kern w:val="0"/>
      <w:sz w:val="24"/>
      <w:szCs w:val="20"/>
    </w:rPr>
  </w:style>
  <w:style w:type="paragraph" w:customStyle="1" w:styleId="709">
    <w:name w:val="文本正文无缩进"/>
    <w:basedOn w:val="1"/>
    <w:qFormat/>
    <w:uiPriority w:val="0"/>
    <w:pPr>
      <w:spacing w:beforeLines="50" w:afterLines="50" w:line="360" w:lineRule="auto"/>
      <w:ind w:firstLine="200" w:firstLineChars="200"/>
    </w:pPr>
    <w:rPr>
      <w:sz w:val="24"/>
    </w:rPr>
  </w:style>
  <w:style w:type="paragraph" w:customStyle="1" w:styleId="710">
    <w:name w:val="xl105"/>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711">
    <w:name w:val="xl87"/>
    <w:basedOn w:val="1"/>
    <w:qFormat/>
    <w:uiPriority w:val="0"/>
    <w:pPr>
      <w:widowControl/>
      <w:pBdr>
        <w:top w:val="single" w:color="auto" w:sz="4" w:space="0"/>
        <w:left w:val="single" w:color="auto" w:sz="4" w:space="0"/>
        <w:bottom w:val="single" w:color="auto" w:sz="8" w:space="0"/>
        <w:right w:val="single" w:color="auto" w:sz="4" w:space="0"/>
      </w:pBdr>
      <w:shd w:val="clear" w:color="000000" w:fill="FFFF99"/>
      <w:spacing w:before="100" w:beforeAutospacing="1" w:after="100" w:afterAutospacing="1"/>
      <w:jc w:val="center"/>
    </w:pPr>
    <w:rPr>
      <w:rFonts w:ascii="宋体" w:hAnsi="宋体" w:cs="宋体"/>
      <w:color w:val="000000"/>
      <w:kern w:val="0"/>
      <w:sz w:val="24"/>
    </w:rPr>
  </w:style>
  <w:style w:type="paragraph" w:customStyle="1" w:styleId="712">
    <w:name w:val="p0"/>
    <w:basedOn w:val="1"/>
    <w:qFormat/>
    <w:uiPriority w:val="0"/>
    <w:pPr>
      <w:widowControl/>
      <w:spacing w:line="440" w:lineRule="atLeast"/>
      <w:ind w:firstLine="567"/>
    </w:pPr>
    <w:rPr>
      <w:kern w:val="0"/>
      <w:sz w:val="24"/>
    </w:rPr>
  </w:style>
  <w:style w:type="paragraph" w:customStyle="1" w:styleId="713">
    <w:name w:val="xl29"/>
    <w:basedOn w:val="1"/>
    <w:qFormat/>
    <w:uiPriority w:val="0"/>
    <w:pPr>
      <w:widowControl/>
      <w:autoSpaceDE w:val="0"/>
      <w:autoSpaceDN w:val="0"/>
      <w:adjustRightInd w:val="0"/>
      <w:spacing w:before="100" w:beforeAutospacing="1" w:after="100" w:afterAutospacing="1"/>
      <w:jc w:val="center"/>
    </w:pPr>
    <w:rPr>
      <w:rFonts w:ascii="Arial Unicode MS" w:hAnsi="Arial Unicode MS" w:eastAsia="Arial Unicode MS"/>
      <w:kern w:val="0"/>
      <w:sz w:val="24"/>
      <w:szCs w:val="20"/>
    </w:rPr>
  </w:style>
  <w:style w:type="paragraph" w:customStyle="1" w:styleId="714">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rPr>
  </w:style>
  <w:style w:type="paragraph" w:customStyle="1" w:styleId="715">
    <w:name w:val="List 1"/>
    <w:basedOn w:val="1"/>
    <w:qFormat/>
    <w:uiPriority w:val="0"/>
    <w:pPr>
      <w:numPr>
        <w:ilvl w:val="0"/>
        <w:numId w:val="38"/>
      </w:numPr>
      <w:overflowPunct w:val="0"/>
      <w:autoSpaceDE w:val="0"/>
      <w:autoSpaceDN w:val="0"/>
      <w:adjustRightInd w:val="0"/>
      <w:spacing w:beforeLines="50" w:afterLines="50" w:line="360" w:lineRule="auto"/>
      <w:ind w:firstLine="0"/>
      <w:textAlignment w:val="baseline"/>
    </w:pPr>
    <w:rPr>
      <w:rFonts w:ascii="楷体" w:eastAsia="楷体"/>
      <w:sz w:val="24"/>
    </w:rPr>
  </w:style>
  <w:style w:type="paragraph" w:customStyle="1" w:styleId="716">
    <w:name w:val="xl75"/>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717">
    <w:name w:val="Char"/>
    <w:basedOn w:val="1"/>
    <w:qFormat/>
    <w:uiPriority w:val="0"/>
    <w:pPr>
      <w:widowControl/>
      <w:spacing w:line="400" w:lineRule="exact"/>
      <w:jc w:val="center"/>
    </w:pPr>
    <w:rPr>
      <w:rFonts w:ascii="Verdana" w:hAnsi="Verdana"/>
      <w:kern w:val="0"/>
      <w:szCs w:val="20"/>
      <w:lang w:eastAsia="en-US"/>
    </w:rPr>
  </w:style>
  <w:style w:type="paragraph" w:customStyle="1" w:styleId="718">
    <w:name w:val="样式 标题 1H1Heading 0PIM 1Fab-1h11.Normal + Font: Helvetica..."/>
    <w:basedOn w:val="3"/>
    <w:qFormat/>
    <w:uiPriority w:val="0"/>
    <w:pPr>
      <w:numPr>
        <w:numId w:val="0"/>
      </w:numPr>
      <w:spacing w:before="120" w:after="120" w:line="360" w:lineRule="auto"/>
      <w:ind w:left="900" w:hanging="420"/>
    </w:pPr>
    <w:rPr>
      <w:rFonts w:cs="宋体"/>
      <w:sz w:val="32"/>
      <w:szCs w:val="20"/>
    </w:rPr>
  </w:style>
  <w:style w:type="paragraph" w:customStyle="1" w:styleId="719">
    <w:name w:val="Char Char Char1 Char"/>
    <w:basedOn w:val="1"/>
    <w:qFormat/>
    <w:uiPriority w:val="0"/>
    <w:rPr>
      <w:rFonts w:ascii="Tahoma" w:hAnsi="Tahoma"/>
      <w:sz w:val="24"/>
      <w:szCs w:val="20"/>
    </w:rPr>
  </w:style>
  <w:style w:type="paragraph" w:customStyle="1" w:styleId="720">
    <w:name w:val="xl132"/>
    <w:basedOn w:val="1"/>
    <w:qFormat/>
    <w:uiPriority w:val="0"/>
    <w:pPr>
      <w:widowControl/>
      <w:pBdr>
        <w:top w:val="single" w:color="auto" w:sz="4" w:space="0"/>
        <w:left w:val="single" w:color="auto" w:sz="4" w:space="0"/>
        <w:right w:val="single" w:color="auto" w:sz="4" w:space="0"/>
      </w:pBdr>
      <w:shd w:val="clear" w:color="000000" w:fill="FFCC00"/>
      <w:spacing w:before="100" w:beforeAutospacing="1" w:after="100" w:afterAutospacing="1"/>
      <w:jc w:val="left"/>
    </w:pPr>
    <w:rPr>
      <w:rFonts w:ascii="宋体" w:hAnsi="宋体" w:cs="宋体"/>
      <w:kern w:val="0"/>
      <w:sz w:val="24"/>
    </w:rPr>
  </w:style>
  <w:style w:type="paragraph" w:customStyle="1" w:styleId="721">
    <w:name w:val="样式 样式 样式 样式 标题 3小标题章标题1Bold Headbhlevel_3PIM 3H3Level 3 Head第二层条..."/>
    <w:basedOn w:val="552"/>
    <w:qFormat/>
    <w:uiPriority w:val="0"/>
    <w:pPr>
      <w:tabs>
        <w:tab w:val="left" w:pos="0"/>
      </w:tabs>
      <w:ind w:left="0" w:right="240"/>
    </w:pPr>
    <w:rPr>
      <w:rFonts w:eastAsia="黑体"/>
    </w:rPr>
  </w:style>
  <w:style w:type="paragraph" w:customStyle="1" w:styleId="722">
    <w:name w:val="Test2"/>
    <w:basedOn w:val="4"/>
    <w:qFormat/>
    <w:uiPriority w:val="0"/>
    <w:pPr>
      <w:keepNext w:val="0"/>
      <w:keepLines w:val="0"/>
      <w:widowControl/>
      <w:numPr>
        <w:ilvl w:val="0"/>
        <w:numId w:val="0"/>
      </w:numPr>
      <w:tabs>
        <w:tab w:val="left" w:pos="774"/>
      </w:tabs>
      <w:autoSpaceDE w:val="0"/>
      <w:autoSpaceDN w:val="0"/>
      <w:adjustRightInd w:val="0"/>
      <w:snapToGrid w:val="0"/>
      <w:spacing w:before="360" w:after="360" w:line="240" w:lineRule="atLeast"/>
      <w:ind w:left="774" w:hanging="576"/>
      <w:jc w:val="left"/>
    </w:pPr>
    <w:rPr>
      <w:rFonts w:ascii="宋体" w:eastAsia="宋体"/>
      <w:b w:val="0"/>
      <w:bCs w:val="0"/>
      <w:snapToGrid w:val="0"/>
      <w:kern w:val="0"/>
      <w:sz w:val="28"/>
    </w:rPr>
  </w:style>
  <w:style w:type="paragraph" w:customStyle="1" w:styleId="723">
    <w:name w:val="正文缩进1"/>
    <w:basedOn w:val="1"/>
    <w:next w:val="28"/>
    <w:qFormat/>
    <w:uiPriority w:val="0"/>
    <w:pPr>
      <w:autoSpaceDE w:val="0"/>
      <w:autoSpaceDN w:val="0"/>
      <w:adjustRightInd w:val="0"/>
      <w:snapToGrid w:val="0"/>
      <w:spacing w:after="120" w:line="360" w:lineRule="auto"/>
      <w:ind w:left="420" w:leftChars="200" w:firstLine="480" w:firstLineChars="200"/>
      <w:jc w:val="left"/>
    </w:pPr>
    <w:rPr>
      <w:kern w:val="0"/>
      <w:sz w:val="24"/>
      <w:szCs w:val="21"/>
    </w:rPr>
  </w:style>
  <w:style w:type="paragraph" w:customStyle="1" w:styleId="724">
    <w:name w:val="Char Char Char Char Char Char Char2"/>
    <w:basedOn w:val="1"/>
    <w:qFormat/>
    <w:uiPriority w:val="0"/>
    <w:pPr>
      <w:widowControl/>
      <w:spacing w:after="160" w:line="240" w:lineRule="exact"/>
      <w:jc w:val="left"/>
    </w:pPr>
    <w:rPr>
      <w:szCs w:val="20"/>
    </w:rPr>
  </w:style>
  <w:style w:type="paragraph" w:customStyle="1" w:styleId="725">
    <w:name w:val="项目编号1"/>
    <w:basedOn w:val="1"/>
    <w:next w:val="1"/>
    <w:qFormat/>
    <w:uiPriority w:val="0"/>
    <w:pPr>
      <w:numPr>
        <w:ilvl w:val="0"/>
        <w:numId w:val="39"/>
      </w:numPr>
      <w:spacing w:line="360" w:lineRule="auto"/>
      <w:jc w:val="left"/>
    </w:pPr>
    <w:rPr>
      <w:rFonts w:ascii="宋体"/>
      <w:sz w:val="24"/>
    </w:rPr>
  </w:style>
  <w:style w:type="paragraph" w:customStyle="1" w:styleId="726">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727">
    <w:name w:val="height"/>
    <w:basedOn w:val="1"/>
    <w:qFormat/>
    <w:uiPriority w:val="0"/>
    <w:pPr>
      <w:widowControl/>
      <w:snapToGrid w:val="0"/>
      <w:spacing w:before="100" w:beforeAutospacing="1" w:after="100" w:afterAutospacing="1" w:line="335" w:lineRule="atLeast"/>
      <w:jc w:val="left"/>
    </w:pPr>
    <w:rPr>
      <w:rFonts w:ascii="宋体" w:hAnsi="宋体" w:cs="宋体"/>
      <w:kern w:val="0"/>
      <w:sz w:val="24"/>
    </w:rPr>
  </w:style>
  <w:style w:type="paragraph" w:customStyle="1" w:styleId="728">
    <w:name w:val="题目1"/>
    <w:basedOn w:val="1"/>
    <w:qFormat/>
    <w:uiPriority w:val="0"/>
    <w:pPr>
      <w:tabs>
        <w:tab w:val="left" w:pos="1320"/>
      </w:tabs>
      <w:adjustRightInd w:val="0"/>
      <w:spacing w:line="312" w:lineRule="atLeast"/>
      <w:ind w:left="1320"/>
      <w:textAlignment w:val="baseline"/>
    </w:pPr>
    <w:rPr>
      <w:kern w:val="0"/>
      <w:szCs w:val="20"/>
    </w:rPr>
  </w:style>
  <w:style w:type="paragraph" w:customStyle="1" w:styleId="729">
    <w:name w:val="xl32"/>
    <w:basedOn w:val="1"/>
    <w:qFormat/>
    <w:uiPriority w:val="0"/>
    <w:pPr>
      <w:widowControl/>
      <w:pBdr>
        <w:top w:val="single" w:color="auto" w:sz="8" w:space="0"/>
      </w:pBdr>
      <w:spacing w:before="100" w:beforeAutospacing="1" w:after="100" w:afterAutospacing="1"/>
      <w:jc w:val="left"/>
      <w:textAlignment w:val="center"/>
    </w:pPr>
    <w:rPr>
      <w:rFonts w:ascii="宋体" w:hAnsi="宋体" w:cs="宋体"/>
      <w:kern w:val="0"/>
      <w:sz w:val="20"/>
      <w:szCs w:val="20"/>
    </w:rPr>
  </w:style>
  <w:style w:type="paragraph" w:customStyle="1" w:styleId="730">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731">
    <w:name w:val="样式 标题 2heading 2H2标题 2-3.1标题 4.1h22Header 2l2Level 2 He..."/>
    <w:basedOn w:val="4"/>
    <w:qFormat/>
    <w:uiPriority w:val="0"/>
    <w:pPr>
      <w:keepLines w:val="0"/>
      <w:numPr>
        <w:numId w:val="0"/>
      </w:numPr>
      <w:spacing w:before="100" w:after="60" w:line="240" w:lineRule="auto"/>
    </w:pPr>
    <w:rPr>
      <w:rFonts w:ascii="Times New Roman" w:hAnsi="Times New Roman" w:eastAsia="宋体"/>
      <w:sz w:val="24"/>
      <w:szCs w:val="24"/>
    </w:rPr>
  </w:style>
  <w:style w:type="paragraph" w:customStyle="1" w:styleId="732">
    <w:name w:val="默认段落字体 Para Char"/>
    <w:basedOn w:val="1"/>
    <w:qFormat/>
    <w:uiPriority w:val="0"/>
    <w:pPr>
      <w:adjustRightInd w:val="0"/>
      <w:snapToGrid w:val="0"/>
      <w:spacing w:line="360" w:lineRule="auto"/>
    </w:pPr>
    <w:rPr>
      <w:kern w:val="0"/>
      <w:sz w:val="24"/>
      <w:szCs w:val="20"/>
    </w:rPr>
  </w:style>
  <w:style w:type="paragraph" w:customStyle="1" w:styleId="733">
    <w:name w:val="a14"/>
    <w:basedOn w:val="1"/>
    <w:qFormat/>
    <w:uiPriority w:val="0"/>
    <w:pPr>
      <w:widowControl/>
      <w:spacing w:before="100" w:beforeAutospacing="1" w:after="100" w:afterAutospacing="1"/>
      <w:jc w:val="left"/>
    </w:pPr>
    <w:rPr>
      <w:rFonts w:ascii="宋体" w:hAnsi="宋体" w:cs="宋体"/>
      <w:kern w:val="0"/>
      <w:sz w:val="24"/>
    </w:rPr>
  </w:style>
  <w:style w:type="paragraph" w:customStyle="1" w:styleId="734">
    <w:name w:val="图表备注"/>
    <w:basedOn w:val="1"/>
    <w:qFormat/>
    <w:uiPriority w:val="0"/>
    <w:pPr>
      <w:spacing w:line="360" w:lineRule="auto"/>
      <w:ind w:firstLine="200" w:firstLineChars="200"/>
      <w:jc w:val="left"/>
    </w:pPr>
    <w:rPr>
      <w:sz w:val="18"/>
    </w:rPr>
  </w:style>
  <w:style w:type="paragraph" w:customStyle="1" w:styleId="735">
    <w:name w:val="五级条标题"/>
    <w:basedOn w:val="623"/>
    <w:next w:val="1"/>
    <w:qFormat/>
    <w:uiPriority w:val="0"/>
    <w:pPr>
      <w:numPr>
        <w:ilvl w:val="6"/>
      </w:numPr>
      <w:outlineLvl w:val="6"/>
    </w:pPr>
  </w:style>
  <w:style w:type="paragraph" w:customStyle="1" w:styleId="736">
    <w:name w:val="Char Char Char Char11"/>
    <w:basedOn w:val="1"/>
    <w:qFormat/>
    <w:uiPriority w:val="0"/>
    <w:pPr>
      <w:autoSpaceDE w:val="0"/>
      <w:autoSpaceDN w:val="0"/>
      <w:adjustRightInd w:val="0"/>
      <w:jc w:val="left"/>
    </w:pPr>
    <w:rPr>
      <w:rFonts w:ascii="Tahoma" w:hAnsi="Tahoma"/>
      <w:kern w:val="0"/>
      <w:sz w:val="24"/>
      <w:szCs w:val="20"/>
    </w:rPr>
  </w:style>
  <w:style w:type="paragraph" w:customStyle="1" w:styleId="737">
    <w:name w:val="二级项目正文"/>
    <w:basedOn w:val="1"/>
    <w:qFormat/>
    <w:uiPriority w:val="1"/>
    <w:pPr>
      <w:numPr>
        <w:ilvl w:val="0"/>
        <w:numId w:val="40"/>
      </w:numPr>
      <w:spacing w:line="360" w:lineRule="auto"/>
      <w:ind w:left="0" w:firstLine="960" w:firstLineChars="400"/>
    </w:pPr>
    <w:rPr>
      <w:sz w:val="24"/>
    </w:rPr>
  </w:style>
  <w:style w:type="paragraph" w:customStyle="1" w:styleId="738">
    <w:name w:val="列出段落11"/>
    <w:basedOn w:val="1"/>
    <w:qFormat/>
    <w:uiPriority w:val="0"/>
    <w:pPr>
      <w:spacing w:line="360" w:lineRule="auto"/>
      <w:ind w:firstLine="420" w:firstLineChars="200"/>
    </w:pPr>
    <w:rPr>
      <w:rFonts w:ascii="Calibri" w:hAnsi="Calibri"/>
      <w:sz w:val="24"/>
      <w:szCs w:val="22"/>
    </w:rPr>
  </w:style>
  <w:style w:type="paragraph" w:customStyle="1" w:styleId="739">
    <w:name w:val="样式 标题 5第四层条Titre5H5h5PIM 5Titre 5 lettreheading 5h51hea..."/>
    <w:basedOn w:val="7"/>
    <w:qFormat/>
    <w:uiPriority w:val="0"/>
    <w:pPr>
      <w:numPr>
        <w:ilvl w:val="0"/>
        <w:numId w:val="0"/>
      </w:numPr>
      <w:spacing w:before="100" w:beforeAutospacing="1" w:after="100" w:afterAutospacing="1" w:line="360" w:lineRule="auto"/>
    </w:pPr>
    <w:rPr>
      <w:rFonts w:cs="宋体"/>
      <w:szCs w:val="20"/>
    </w:rPr>
  </w:style>
  <w:style w:type="paragraph" w:customStyle="1" w:styleId="740">
    <w:name w:val="正文下小标题"/>
    <w:basedOn w:val="1"/>
    <w:next w:val="1"/>
    <w:qFormat/>
    <w:uiPriority w:val="0"/>
    <w:pPr>
      <w:spacing w:line="360" w:lineRule="auto"/>
      <w:ind w:firstLine="200" w:firstLineChars="200"/>
    </w:pPr>
    <w:rPr>
      <w:sz w:val="24"/>
    </w:rPr>
  </w:style>
  <w:style w:type="paragraph" w:customStyle="1" w:styleId="741">
    <w:name w:val="xl122"/>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742">
    <w:name w:val="_Style 307"/>
    <w:qFormat/>
    <w:uiPriority w:val="0"/>
    <w:rPr>
      <w:rFonts w:ascii="Calibri" w:hAnsi="Calibri" w:eastAsia="宋体" w:cs="Times New Roman"/>
      <w:lang w:val="en-US" w:eastAsia="zh-CN" w:bidi="ar-SA"/>
    </w:rPr>
  </w:style>
  <w:style w:type="paragraph" w:customStyle="1" w:styleId="743">
    <w:name w:val="a呼市4级标题格式"/>
    <w:basedOn w:val="635"/>
    <w:qFormat/>
    <w:uiPriority w:val="0"/>
    <w:pPr>
      <w:tabs>
        <w:tab w:val="left" w:pos="851"/>
        <w:tab w:val="clear" w:pos="709"/>
      </w:tabs>
      <w:ind w:left="851" w:hanging="851"/>
      <w:outlineLvl w:val="3"/>
    </w:pPr>
  </w:style>
  <w:style w:type="paragraph" w:customStyle="1" w:styleId="744">
    <w:name w:val="标书正文带编号"/>
    <w:basedOn w:val="1"/>
    <w:qFormat/>
    <w:uiPriority w:val="0"/>
    <w:pPr>
      <w:numPr>
        <w:ilvl w:val="0"/>
        <w:numId w:val="41"/>
      </w:numPr>
      <w:autoSpaceDE w:val="0"/>
      <w:autoSpaceDN w:val="0"/>
      <w:adjustRightInd w:val="0"/>
      <w:jc w:val="left"/>
    </w:pPr>
    <w:rPr>
      <w:rFonts w:cs="宋体"/>
      <w:kern w:val="0"/>
      <w:sz w:val="20"/>
      <w:szCs w:val="21"/>
    </w:rPr>
  </w:style>
  <w:style w:type="paragraph" w:customStyle="1" w:styleId="745">
    <w:name w:val="纯文本1"/>
    <w:basedOn w:val="1"/>
    <w:qFormat/>
    <w:uiPriority w:val="0"/>
    <w:pPr>
      <w:adjustRightInd w:val="0"/>
      <w:textAlignment w:val="baseline"/>
    </w:pPr>
    <w:rPr>
      <w:rFonts w:ascii="宋体" w:hAnsi="Courier New"/>
      <w:sz w:val="24"/>
      <w:szCs w:val="20"/>
    </w:rPr>
  </w:style>
  <w:style w:type="paragraph" w:customStyle="1" w:styleId="746">
    <w:name w:val="EHL四级项目"/>
    <w:basedOn w:val="1"/>
    <w:qFormat/>
    <w:uiPriority w:val="0"/>
    <w:pPr>
      <w:tabs>
        <w:tab w:val="left" w:pos="2410"/>
      </w:tabs>
      <w:spacing w:beforeLines="50" w:afterLines="50" w:line="360" w:lineRule="auto"/>
      <w:ind w:left="900"/>
    </w:pPr>
    <w:rPr>
      <w:sz w:val="24"/>
    </w:rPr>
  </w:style>
  <w:style w:type="paragraph" w:customStyle="1" w:styleId="747">
    <w:name w:val="List Header"/>
    <w:qFormat/>
    <w:uiPriority w:val="0"/>
    <w:pPr>
      <w:widowControl w:val="0"/>
      <w:autoSpaceDE w:val="0"/>
      <w:autoSpaceDN w:val="0"/>
      <w:adjustRightInd w:val="0"/>
    </w:pPr>
    <w:rPr>
      <w:rFonts w:ascii="Times New Roman" w:hAnsi="Times New Roman" w:eastAsia="宋体" w:cs="Times New Roman"/>
      <w:b/>
      <w:bCs/>
      <w:i/>
      <w:iCs/>
      <w:color w:val="0000A0"/>
      <w:lang w:val="en-US" w:eastAsia="zh-CN" w:bidi="ar-SA"/>
    </w:rPr>
  </w:style>
  <w:style w:type="paragraph" w:customStyle="1" w:styleId="748">
    <w:name w:val="数字编号列项（二级）"/>
    <w:qFormat/>
    <w:uiPriority w:val="0"/>
    <w:pPr>
      <w:numPr>
        <w:ilvl w:val="1"/>
        <w:numId w:val="25"/>
      </w:numPr>
      <w:jc w:val="both"/>
    </w:pPr>
    <w:rPr>
      <w:rFonts w:ascii="宋体" w:hAnsi="Times New Roman" w:eastAsia="宋体" w:cs="Times New Roman"/>
      <w:sz w:val="21"/>
      <w:lang w:val="en-US" w:eastAsia="zh-CN" w:bidi="ar-SA"/>
    </w:rPr>
  </w:style>
  <w:style w:type="paragraph" w:customStyle="1" w:styleId="749">
    <w:name w:val="字母编号列项（一级）"/>
    <w:qFormat/>
    <w:uiPriority w:val="0"/>
    <w:pPr>
      <w:numPr>
        <w:ilvl w:val="0"/>
        <w:numId w:val="25"/>
      </w:numPr>
      <w:jc w:val="both"/>
    </w:pPr>
    <w:rPr>
      <w:rFonts w:ascii="宋体" w:hAnsi="Times New Roman" w:eastAsia="宋体" w:cs="Times New Roman"/>
      <w:sz w:val="21"/>
      <w:lang w:val="en-US" w:eastAsia="zh-CN" w:bidi="ar-SA"/>
    </w:rPr>
  </w:style>
  <w:style w:type="paragraph" w:customStyle="1" w:styleId="750">
    <w:name w:val="注×："/>
    <w:qFormat/>
    <w:uiPriority w:val="0"/>
    <w:pPr>
      <w:widowControl w:val="0"/>
      <w:tabs>
        <w:tab w:val="left" w:pos="630"/>
        <w:tab w:val="left" w:pos="900"/>
      </w:tabs>
      <w:autoSpaceDE w:val="0"/>
      <w:autoSpaceDN w:val="0"/>
      <w:ind w:left="900" w:hanging="500"/>
      <w:jc w:val="both"/>
    </w:pPr>
    <w:rPr>
      <w:rFonts w:ascii="宋体" w:hAnsi="Times New Roman" w:eastAsia="宋体" w:cs="Times New Roman"/>
      <w:sz w:val="18"/>
      <w:lang w:val="en-US" w:eastAsia="zh-CN" w:bidi="ar-SA"/>
    </w:rPr>
  </w:style>
  <w:style w:type="paragraph" w:customStyle="1" w:styleId="751">
    <w:name w:val="正文段"/>
    <w:basedOn w:val="1"/>
    <w:qFormat/>
    <w:uiPriority w:val="0"/>
    <w:pPr>
      <w:widowControl/>
      <w:adjustRightInd w:val="0"/>
      <w:spacing w:after="240" w:line="360" w:lineRule="atLeast"/>
      <w:ind w:firstLine="454"/>
      <w:textAlignment w:val="bottom"/>
    </w:pPr>
    <w:rPr>
      <w:rFonts w:ascii="宋体"/>
      <w:kern w:val="0"/>
      <w:sz w:val="24"/>
      <w:szCs w:val="20"/>
    </w:rPr>
  </w:style>
  <w:style w:type="paragraph" w:customStyle="1" w:styleId="752">
    <w:name w:val="a南海表名"/>
    <w:qFormat/>
    <w:uiPriority w:val="0"/>
    <w:pPr>
      <w:spacing w:beforeLines="100" w:afterLines="100"/>
      <w:jc w:val="center"/>
    </w:pPr>
    <w:rPr>
      <w:rFonts w:ascii="Cambria" w:hAnsi="Cambria" w:eastAsia="黑体" w:cs="Times New Roman"/>
      <w:bCs/>
      <w:kern w:val="2"/>
      <w:sz w:val="21"/>
      <w:szCs w:val="32"/>
      <w:lang w:val="en-US" w:eastAsia="zh-CN" w:bidi="ar-SA"/>
    </w:rPr>
  </w:style>
  <w:style w:type="table" w:customStyle="1" w:styleId="753">
    <w:name w:val="三线表"/>
    <w:basedOn w:val="69"/>
    <w:qFormat/>
    <w:uiPriority w:val="0"/>
    <w:tblPr>
      <w:tblBorders>
        <w:top w:val="single" w:color="auto" w:sz="12" w:space="0"/>
        <w:bottom w:val="single" w:color="auto" w:sz="12" w:space="0"/>
      </w:tblBorders>
      <w:tblCellMar>
        <w:top w:w="0" w:type="dxa"/>
        <w:left w:w="108" w:type="dxa"/>
        <w:bottom w:w="0" w:type="dxa"/>
        <w:right w:w="108" w:type="dxa"/>
      </w:tblCellMar>
    </w:tblPr>
    <w:tblStylePr w:type="firstRow">
      <w:tcPr>
        <w:tcBorders>
          <w:top w:val="nil"/>
          <w:left w:val="nil"/>
          <w:bottom w:val="single" w:color="auto" w:sz="12" w:space="0"/>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tcPr>
    </w:tblStylePr>
  </w:style>
  <w:style w:type="paragraph" w:customStyle="1" w:styleId="754">
    <w:name w:val="4号正文"/>
    <w:basedOn w:val="17"/>
    <w:qFormat/>
    <w:uiPriority w:val="0"/>
    <w:pPr>
      <w:widowControl/>
      <w:adjustRightInd/>
      <w:spacing w:before="30" w:line="360" w:lineRule="auto"/>
      <w:ind w:firstLine="200" w:firstLineChars="200"/>
      <w:textAlignment w:val="auto"/>
    </w:pPr>
    <w:rPr>
      <w:rFonts w:ascii="Arial" w:hAnsi="Arial"/>
      <w:spacing w:val="6"/>
      <w:sz w:val="24"/>
      <w:szCs w:val="28"/>
    </w:rPr>
  </w:style>
  <w:style w:type="paragraph" w:customStyle="1" w:styleId="755">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756">
    <w:name w:val="样式 首行缩进:  0 字符"/>
    <w:basedOn w:val="1"/>
    <w:qFormat/>
    <w:uiPriority w:val="0"/>
    <w:pPr>
      <w:spacing w:line="360" w:lineRule="auto"/>
      <w:ind w:firstLine="200" w:firstLineChars="200"/>
    </w:pPr>
    <w:rPr>
      <w:rFonts w:ascii="Arial" w:hAnsi="Arial" w:cs="宋体"/>
      <w:sz w:val="24"/>
      <w:szCs w:val="20"/>
    </w:rPr>
  </w:style>
  <w:style w:type="paragraph" w:customStyle="1" w:styleId="757">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758">
    <w:name w:val="l正文"/>
    <w:basedOn w:val="1"/>
    <w:qFormat/>
    <w:uiPriority w:val="0"/>
    <w:pPr>
      <w:spacing w:line="300" w:lineRule="auto"/>
      <w:ind w:firstLine="200" w:firstLineChars="200"/>
      <w:jc w:val="left"/>
    </w:pPr>
    <w:rPr>
      <w:rFonts w:ascii="楷体_GB2312" w:hAnsi="Times" w:eastAsia="楷体_GB2312" w:cs="DengXian"/>
      <w:sz w:val="24"/>
    </w:rPr>
  </w:style>
  <w:style w:type="paragraph" w:styleId="759">
    <w:name w:val="List Paragraph"/>
    <w:basedOn w:val="1"/>
    <w:qFormat/>
    <w:uiPriority w:val="0"/>
    <w:pPr>
      <w:ind w:firstLine="420" w:firstLineChars="200"/>
    </w:pPr>
    <w:rPr>
      <w:rFonts w:ascii="Helvetica" w:hAnsi="Helvetica" w:eastAsia="Cambria" w:cs="黑体"/>
      <w:szCs w:val="22"/>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footer6.xml" Type="http://schemas.openxmlformats.org/officeDocument/2006/relationships/footer"/><Relationship Id="rId13" Target="header5.xml" Type="http://schemas.openxmlformats.org/officeDocument/2006/relationships/header"/><Relationship Id="rId14" Target="footer7.xml" Type="http://schemas.openxmlformats.org/officeDocument/2006/relationships/footer"/><Relationship Id="rId15" Target="theme/theme1.xml" Type="http://schemas.openxmlformats.org/officeDocument/2006/relationships/theme"/><Relationship Id="rId16" Target="../customXml/item1.xml" Type="http://schemas.openxmlformats.org/officeDocument/2006/relationships/customXml"/><Relationship Id="rId17" Target="numbering.xml" Type="http://schemas.openxmlformats.org/officeDocument/2006/relationships/numbering"/><Relationship Id="rId18" Target="../customXml/item2.xml" Type="http://schemas.openxmlformats.org/officeDocument/2006/relationships/customXml"/><Relationship Id="rId19"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header4.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8"/>
    <customShpInfo spid="_x0000_s4097"/>
    <customShpInfo spid="_x0000_s4100"/>
    <customShpInfo spid="_x0000_s4099"/>
    <customShpInfo spid="_x0000_s410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81D8DB-F495-4529-8FE9-DBC22FFD53A0}">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55</Pages>
  <Words>6077</Words>
  <Characters>34643</Characters>
  <Lines>288</Lines>
  <Paragraphs>81</Paragraphs>
  <TotalTime>1</TotalTime>
  <ScaleCrop>false</ScaleCrop>
  <LinksUpToDate>false</LinksUpToDate>
  <CharactersWithSpaces>40639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2020-07-22T02:59:00Z</dcterms:created>
  <dc:creator>猪猪猫.CN</dc:creator>
  <cp:lastModifiedBy>恒杰-林磊</cp:lastModifiedBy>
  <cp:lastPrinted>2011-04-19T08:10:00Z</cp:lastPrinted>
  <dcterms:modified xsi:type="dcterms:W3CDTF">2021-01-18T07:41:40Z</dcterms:modified>
  <cp:revision>52</cp:revision>
  <dc:title>温州市政府集中采购</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