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distribute"/>
        <w:rPr>
          <w:rFonts w:hint="default" w:ascii="Times New Roman" w:hAnsi="Times New Roman" w:eastAsia="新宋体" w:cs="Times New Roman"/>
          <w:color w:val="000000" w:themeColor="text1"/>
          <w:spacing w:val="20"/>
          <w:sz w:val="84"/>
          <w:highlight w:val="none"/>
          <w14:textFill>
            <w14:solidFill>
              <w14:schemeClr w14:val="tx1"/>
            </w14:solidFill>
          </w14:textFill>
        </w:rPr>
      </w:pPr>
    </w:p>
    <w:p>
      <w:pPr>
        <w:jc w:val="distribute"/>
        <w:rPr>
          <w:rFonts w:hint="default" w:ascii="Times New Roman" w:hAnsi="Times New Roman" w:eastAsia="新宋体" w:cs="Times New Roman"/>
          <w:b/>
          <w:bCs/>
          <w:color w:val="000000" w:themeColor="text1"/>
          <w:sz w:val="52"/>
          <w:szCs w:val="52"/>
          <w:highlight w:val="none"/>
          <w14:textFill>
            <w14:solidFill>
              <w14:schemeClr w14:val="tx1"/>
            </w14:solidFill>
          </w14:textFill>
        </w:rPr>
      </w:pPr>
      <w:r>
        <w:rPr>
          <w:rFonts w:hint="default" w:ascii="Times New Roman" w:hAnsi="Times New Roman" w:eastAsia="新宋体" w:cs="Times New Roman"/>
          <w:color w:val="000000" w:themeColor="text1"/>
          <w:spacing w:val="20"/>
          <w:sz w:val="84"/>
          <w:highlight w:val="none"/>
          <w14:textFill>
            <w14:solidFill>
              <w14:schemeClr w14:val="tx1"/>
            </w14:solidFill>
          </w14:textFill>
        </w:rPr>
        <w:t>温州市政府（分散）采购</w:t>
      </w:r>
    </w:p>
    <w:p>
      <w:pPr>
        <w:jc w:val="both"/>
        <w:rPr>
          <w:rFonts w:hint="default" w:ascii="Times New Roman" w:hAnsi="Times New Roman" w:eastAsia="新宋体" w:cs="Times New Roman"/>
          <w:b/>
          <w:bCs/>
          <w:color w:val="000000" w:themeColor="text1"/>
          <w:spacing w:val="26"/>
          <w:sz w:val="52"/>
          <w:highlight w:val="none"/>
          <w14:textFill>
            <w14:solidFill>
              <w14:schemeClr w14:val="tx1"/>
            </w14:solidFill>
          </w14:textFill>
        </w:rPr>
      </w:pPr>
    </w:p>
    <w:p>
      <w:pPr>
        <w:ind w:firstLine="2357" w:firstLineChars="235"/>
        <w:rPr>
          <w:rFonts w:hint="default" w:ascii="Times New Roman" w:hAnsi="Times New Roman" w:eastAsia="新宋体" w:cs="Times New Roman"/>
          <w:b/>
          <w:bCs/>
          <w:color w:val="000000" w:themeColor="text1"/>
          <w:spacing w:val="140"/>
          <w:sz w:val="72"/>
          <w:highlight w:val="none"/>
          <w14:textFill>
            <w14:solidFill>
              <w14:schemeClr w14:val="tx1"/>
            </w14:solidFill>
          </w14:textFill>
        </w:rPr>
      </w:pPr>
    </w:p>
    <w:p>
      <w:pPr>
        <w:ind w:firstLine="2357" w:firstLineChars="235"/>
        <w:rPr>
          <w:rFonts w:hint="default" w:ascii="Times New Roman" w:hAnsi="Times New Roman" w:eastAsia="新宋体" w:cs="Times New Roman"/>
          <w:b/>
          <w:bCs/>
          <w:color w:val="000000" w:themeColor="text1"/>
          <w:spacing w:val="140"/>
          <w:sz w:val="72"/>
          <w:highlight w:val="none"/>
          <w14:textFill>
            <w14:solidFill>
              <w14:schemeClr w14:val="tx1"/>
            </w14:solidFill>
          </w14:textFill>
        </w:rPr>
      </w:pPr>
    </w:p>
    <w:p>
      <w:pPr>
        <w:adjustRightInd w:val="0"/>
        <w:snapToGrid w:val="0"/>
        <w:spacing w:line="480" w:lineRule="auto"/>
        <w:ind w:right="361"/>
        <w:jc w:val="center"/>
        <w:rPr>
          <w:rFonts w:hint="default" w:ascii="Times New Roman" w:hAnsi="Times New Roman" w:eastAsia="新宋体" w:cs="Times New Roman"/>
          <w:color w:val="000000" w:themeColor="text1"/>
          <w:sz w:val="84"/>
          <w:szCs w:val="84"/>
          <w:highlight w:val="none"/>
          <w14:textFill>
            <w14:solidFill>
              <w14:schemeClr w14:val="tx1"/>
            </w14:solidFill>
          </w14:textFill>
        </w:rPr>
      </w:pPr>
      <w:r>
        <w:rPr>
          <w:rFonts w:hint="default" w:ascii="Times New Roman" w:hAnsi="Times New Roman" w:eastAsia="新宋体" w:cs="Times New Roman"/>
          <w:b/>
          <w:bCs/>
          <w:color w:val="000000" w:themeColor="text1"/>
          <w:sz w:val="84"/>
          <w:szCs w:val="84"/>
          <w:highlight w:val="none"/>
          <w:lang w:val="en-US" w:eastAsia="zh-CN"/>
          <w14:textFill>
            <w14:solidFill>
              <w14:schemeClr w14:val="tx1"/>
            </w14:solidFill>
          </w14:textFill>
        </w:rPr>
        <w:t>磋 商</w:t>
      </w:r>
      <w:r>
        <w:rPr>
          <w:rFonts w:hint="default" w:ascii="Times New Roman" w:hAnsi="Times New Roman" w:eastAsia="新宋体" w:cs="Times New Roman"/>
          <w:b/>
          <w:bCs/>
          <w:color w:val="000000" w:themeColor="text1"/>
          <w:sz w:val="84"/>
          <w:szCs w:val="84"/>
          <w:highlight w:val="none"/>
          <w14:textFill>
            <w14:solidFill>
              <w14:schemeClr w14:val="tx1"/>
            </w14:solidFill>
          </w14:textFill>
        </w:rPr>
        <w:t xml:space="preserve"> 文 件</w:t>
      </w:r>
    </w:p>
    <w:p>
      <w:pPr>
        <w:spacing w:line="800" w:lineRule="exact"/>
        <w:ind w:firstLine="1900" w:firstLineChars="500"/>
        <w:rPr>
          <w:rFonts w:hint="default" w:ascii="Times New Roman" w:hAnsi="Times New Roman" w:eastAsia="新宋体" w:cs="Times New Roman"/>
          <w:color w:val="000000" w:themeColor="text1"/>
          <w:spacing w:val="40"/>
          <w:sz w:val="30"/>
          <w:szCs w:val="30"/>
          <w:highlight w:val="none"/>
          <w:lang w:eastAsia="zh-CN"/>
          <w14:textFill>
            <w14:solidFill>
              <w14:schemeClr w14:val="tx1"/>
            </w14:solidFill>
          </w14:textFill>
        </w:rPr>
      </w:pPr>
      <w:r>
        <w:rPr>
          <w:rFonts w:hint="default" w:ascii="Times New Roman" w:hAnsi="Times New Roman" w:eastAsia="新宋体" w:cs="Times New Roman"/>
          <w:color w:val="000000" w:themeColor="text1"/>
          <w:spacing w:val="40"/>
          <w:sz w:val="30"/>
          <w:szCs w:val="30"/>
          <w:highlight w:val="none"/>
          <w14:textFill>
            <w14:solidFill>
              <w14:schemeClr w14:val="tx1"/>
            </w14:solidFill>
          </w14:textFill>
        </w:rPr>
        <w:t>项 目 编 号：WZUZFFS-JZCS-20220005</w:t>
      </w:r>
    </w:p>
    <w:p>
      <w:pPr>
        <w:spacing w:line="800" w:lineRule="exact"/>
        <w:ind w:firstLine="1900" w:firstLineChars="500"/>
        <w:rPr>
          <w:rFonts w:hint="eastAsia" w:ascii="Times New Roman" w:hAnsi="Times New Roman" w:eastAsia="新宋体" w:cs="Times New Roman"/>
          <w:b/>
          <w:bCs/>
          <w:color w:val="000000" w:themeColor="text1"/>
          <w:kern w:val="0"/>
          <w:sz w:val="32"/>
          <w:szCs w:val="32"/>
          <w:highlight w:val="none"/>
          <w:lang w:eastAsia="zh-CN"/>
          <w14:textFill>
            <w14:solidFill>
              <w14:schemeClr w14:val="tx1"/>
            </w14:solidFill>
          </w14:textFill>
        </w:rPr>
      </w:pPr>
      <w:r>
        <w:rPr>
          <w:rFonts w:hint="default" w:ascii="Times New Roman" w:hAnsi="Times New Roman" w:eastAsia="新宋体" w:cs="Times New Roman"/>
          <w:color w:val="000000" w:themeColor="text1"/>
          <w:spacing w:val="40"/>
          <w:sz w:val="30"/>
          <w:szCs w:val="30"/>
          <w:highlight w:val="none"/>
          <w14:textFill>
            <w14:solidFill>
              <w14:schemeClr w14:val="tx1"/>
            </w14:solidFill>
          </w14:textFill>
        </w:rPr>
        <w:t>项 目 名 称：</w:t>
      </w:r>
      <w:r>
        <w:rPr>
          <w:rFonts w:hint="eastAsia" w:eastAsia="新宋体" w:cs="Times New Roman"/>
          <w:b/>
          <w:bCs/>
          <w:color w:val="000000" w:themeColor="text1"/>
          <w:spacing w:val="40"/>
          <w:sz w:val="30"/>
          <w:szCs w:val="30"/>
          <w:highlight w:val="none"/>
          <w:lang w:eastAsia="zh-CN"/>
          <w14:textFill>
            <w14:solidFill>
              <w14:schemeClr w14:val="tx1"/>
            </w14:solidFill>
          </w14:textFill>
        </w:rPr>
        <w:t>单晶X射线衍射仪</w:t>
      </w:r>
    </w:p>
    <w:p>
      <w:pPr>
        <w:spacing w:line="800" w:lineRule="exact"/>
        <w:ind w:firstLine="1900" w:firstLineChars="500"/>
        <w:rPr>
          <w:rFonts w:hint="default" w:ascii="Times New Roman" w:hAnsi="Times New Roman" w:eastAsia="新宋体" w:cs="Times New Roman"/>
          <w:b/>
          <w:bCs/>
          <w:color w:val="000000" w:themeColor="text1"/>
          <w:spacing w:val="40"/>
          <w:sz w:val="30"/>
          <w:szCs w:val="30"/>
          <w:highlight w:val="none"/>
          <w14:textFill>
            <w14:solidFill>
              <w14:schemeClr w14:val="tx1"/>
            </w14:solidFill>
          </w14:textFill>
        </w:rPr>
      </w:pPr>
      <w:r>
        <w:rPr>
          <w:rFonts w:hint="default" w:ascii="Times New Roman" w:hAnsi="Times New Roman" w:eastAsia="新宋体" w:cs="Times New Roman"/>
          <w:color w:val="000000" w:themeColor="text1"/>
          <w:spacing w:val="40"/>
          <w:sz w:val="30"/>
          <w:szCs w:val="30"/>
          <w:highlight w:val="none"/>
          <w14:textFill>
            <w14:solidFill>
              <w14:schemeClr w14:val="tx1"/>
            </w14:solidFill>
          </w14:textFill>
        </w:rPr>
        <w:t>采 购 方 式：</w:t>
      </w:r>
      <w:r>
        <w:rPr>
          <w:rFonts w:hint="default" w:ascii="Times New Roman" w:hAnsi="Times New Roman" w:eastAsia="新宋体" w:cs="Times New Roman"/>
          <w:b/>
          <w:bCs/>
          <w:color w:val="000000" w:themeColor="text1"/>
          <w:spacing w:val="40"/>
          <w:sz w:val="30"/>
          <w:szCs w:val="30"/>
          <w:highlight w:val="none"/>
          <w14:textFill>
            <w14:solidFill>
              <w14:schemeClr w14:val="tx1"/>
            </w14:solidFill>
          </w14:textFill>
        </w:rPr>
        <w:t>竞争性磋商</w:t>
      </w:r>
    </w:p>
    <w:p>
      <w:pPr>
        <w:spacing w:line="800" w:lineRule="exact"/>
        <w:ind w:firstLine="1900" w:firstLineChars="500"/>
        <w:rPr>
          <w:rFonts w:hint="default" w:ascii="Times New Roman" w:hAnsi="Times New Roman" w:eastAsia="新宋体" w:cs="Times New Roman"/>
          <w:color w:val="000000" w:themeColor="text1"/>
          <w:highlight w:val="none"/>
          <w14:textFill>
            <w14:solidFill>
              <w14:schemeClr w14:val="tx1"/>
            </w14:solidFill>
          </w14:textFill>
        </w:rPr>
      </w:pPr>
      <w:r>
        <w:rPr>
          <w:rFonts w:hint="default" w:ascii="Times New Roman" w:hAnsi="Times New Roman" w:eastAsia="新宋体" w:cs="Times New Roman"/>
          <w:color w:val="000000" w:themeColor="text1"/>
          <w:spacing w:val="40"/>
          <w:sz w:val="30"/>
          <w:szCs w:val="30"/>
          <w:highlight w:val="none"/>
          <w14:textFill>
            <w14:solidFill>
              <w14:schemeClr w14:val="tx1"/>
            </w14:solidFill>
          </w14:textFill>
        </w:rPr>
        <w:t>评 审 方 式：</w:t>
      </w:r>
      <w:r>
        <w:rPr>
          <w:rFonts w:hint="default" w:ascii="Times New Roman" w:hAnsi="Times New Roman" w:eastAsia="新宋体" w:cs="Times New Roman"/>
          <w:b/>
          <w:bCs/>
          <w:color w:val="000000" w:themeColor="text1"/>
          <w:spacing w:val="40"/>
          <w:sz w:val="30"/>
          <w:szCs w:val="30"/>
          <w:highlight w:val="none"/>
          <w14:textFill>
            <w14:solidFill>
              <w14:schemeClr w14:val="tx1"/>
            </w14:solidFill>
          </w14:textFill>
        </w:rPr>
        <w:t>线上电子招投标</w:t>
      </w:r>
    </w:p>
    <w:p>
      <w:pPr>
        <w:spacing w:line="600" w:lineRule="exact"/>
        <w:rPr>
          <w:rFonts w:hint="default" w:ascii="Times New Roman" w:hAnsi="Times New Roman" w:eastAsia="新宋体" w:cs="Times New Roman"/>
          <w:color w:val="000000" w:themeColor="text1"/>
          <w:spacing w:val="40"/>
          <w:sz w:val="30"/>
          <w:szCs w:val="30"/>
          <w:highlight w:val="none"/>
          <w14:textFill>
            <w14:solidFill>
              <w14:schemeClr w14:val="tx1"/>
            </w14:solidFill>
          </w14:textFill>
        </w:rPr>
      </w:pPr>
    </w:p>
    <w:p>
      <w:pPr>
        <w:spacing w:line="600" w:lineRule="exact"/>
        <w:ind w:firstLine="1620" w:firstLineChars="450"/>
        <w:rPr>
          <w:rFonts w:hint="default" w:ascii="Times New Roman" w:hAnsi="Times New Roman" w:eastAsia="新宋体" w:cs="Times New Roman"/>
          <w:color w:val="000000" w:themeColor="text1"/>
          <w:spacing w:val="30"/>
          <w:sz w:val="30"/>
          <w:highlight w:val="none"/>
          <w14:textFill>
            <w14:solidFill>
              <w14:schemeClr w14:val="tx1"/>
            </w14:solidFill>
          </w14:textFill>
        </w:rPr>
      </w:pPr>
    </w:p>
    <w:p>
      <w:pPr>
        <w:spacing w:line="600" w:lineRule="exact"/>
        <w:jc w:val="center"/>
        <w:rPr>
          <w:rFonts w:hint="default" w:ascii="Times New Roman" w:hAnsi="Times New Roman" w:eastAsia="新宋体" w:cs="Times New Roman"/>
          <w:color w:val="000000" w:themeColor="text1"/>
          <w:spacing w:val="30"/>
          <w:sz w:val="30"/>
          <w:highlight w:val="none"/>
          <w:lang w:eastAsia="zh-CN"/>
          <w14:textFill>
            <w14:solidFill>
              <w14:schemeClr w14:val="tx1"/>
            </w14:solidFill>
          </w14:textFill>
        </w:rPr>
      </w:pPr>
      <w:r>
        <w:rPr>
          <w:rFonts w:hint="default" w:ascii="Times New Roman" w:hAnsi="Times New Roman" w:eastAsia="新宋体" w:cs="Times New Roman"/>
          <w:color w:val="000000" w:themeColor="text1"/>
          <w:spacing w:val="30"/>
          <w:sz w:val="30"/>
          <w:highlight w:val="none"/>
          <w:lang w:val="en-US" w:eastAsia="zh-CN"/>
          <w14:textFill>
            <w14:solidFill>
              <w14:schemeClr w14:val="tx1"/>
            </w14:solidFill>
          </w14:textFill>
        </w:rPr>
        <w:t>采 购</w:t>
      </w:r>
      <w:r>
        <w:rPr>
          <w:rFonts w:hint="default" w:ascii="Times New Roman" w:hAnsi="Times New Roman" w:eastAsia="新宋体" w:cs="Times New Roman"/>
          <w:color w:val="000000" w:themeColor="text1"/>
          <w:spacing w:val="30"/>
          <w:sz w:val="30"/>
          <w:highlight w:val="none"/>
          <w14:textFill>
            <w14:solidFill>
              <w14:schemeClr w14:val="tx1"/>
            </w14:solidFill>
          </w14:textFill>
        </w:rPr>
        <w:t xml:space="preserve"> 人：</w:t>
      </w:r>
      <w:r>
        <w:rPr>
          <w:rFonts w:hint="default" w:ascii="Times New Roman" w:hAnsi="Times New Roman" w:eastAsia="新宋体" w:cs="Times New Roman"/>
          <w:color w:val="000000" w:themeColor="text1"/>
          <w:spacing w:val="30"/>
          <w:sz w:val="30"/>
          <w:highlight w:val="none"/>
          <w:lang w:val="en-US" w:eastAsia="zh-CN"/>
          <w14:textFill>
            <w14:solidFill>
              <w14:schemeClr w14:val="tx1"/>
            </w14:solidFill>
          </w14:textFill>
        </w:rPr>
        <w:t>温州大学</w:t>
      </w:r>
    </w:p>
    <w:p>
      <w:pPr>
        <w:spacing w:line="600" w:lineRule="exact"/>
        <w:jc w:val="center"/>
        <w:rPr>
          <w:rFonts w:hint="default" w:ascii="Times New Roman" w:hAnsi="Times New Roman" w:eastAsia="新宋体" w:cs="Times New Roman"/>
          <w:color w:val="000000" w:themeColor="text1"/>
          <w:spacing w:val="30"/>
          <w:sz w:val="30"/>
          <w:highlight w:val="none"/>
          <w14:textFill>
            <w14:solidFill>
              <w14:schemeClr w14:val="tx1"/>
            </w14:solidFill>
          </w14:textFill>
        </w:rPr>
      </w:pPr>
      <w:r>
        <w:rPr>
          <w:rFonts w:hint="default" w:ascii="Times New Roman" w:hAnsi="Times New Roman" w:eastAsia="新宋体" w:cs="Times New Roman"/>
          <w:color w:val="000000" w:themeColor="text1"/>
          <w:spacing w:val="30"/>
          <w:sz w:val="30"/>
          <w:highlight w:val="none"/>
          <w:lang w:val="en-US" w:eastAsia="zh-CN"/>
          <w14:textFill>
            <w14:solidFill>
              <w14:schemeClr w14:val="tx1"/>
            </w14:solidFill>
          </w14:textFill>
        </w:rPr>
        <w:t>采购</w:t>
      </w:r>
      <w:r>
        <w:rPr>
          <w:rFonts w:hint="default" w:ascii="Times New Roman" w:hAnsi="Times New Roman" w:eastAsia="新宋体" w:cs="Times New Roman"/>
          <w:color w:val="000000" w:themeColor="text1"/>
          <w:spacing w:val="30"/>
          <w:sz w:val="30"/>
          <w:highlight w:val="none"/>
          <w14:textFill>
            <w14:solidFill>
              <w14:schemeClr w14:val="tx1"/>
            </w14:solidFill>
          </w14:textFill>
        </w:rPr>
        <w:t>代理机构：温州历程招标有限公司</w:t>
      </w:r>
    </w:p>
    <w:p>
      <w:pPr>
        <w:spacing w:line="600" w:lineRule="exact"/>
        <w:jc w:val="center"/>
        <w:rPr>
          <w:rFonts w:hint="default" w:ascii="Times New Roman" w:hAnsi="Times New Roman" w:eastAsia="新宋体" w:cs="Times New Roman"/>
          <w:color w:val="000000" w:themeColor="text1"/>
          <w:spacing w:val="30"/>
          <w:sz w:val="30"/>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pacing w:val="30"/>
          <w:sz w:val="30"/>
          <w:highlight w:val="none"/>
          <w:lang w:val="en-US" w:eastAsia="zh-CN"/>
          <w14:textFill>
            <w14:solidFill>
              <w14:schemeClr w14:val="tx1"/>
            </w14:solidFill>
          </w14:textFill>
        </w:rPr>
        <w:t>二〇二二年八月</w:t>
      </w:r>
    </w:p>
    <w:p>
      <w:pPr>
        <w:spacing w:line="360" w:lineRule="auto"/>
        <w:jc w:val="center"/>
        <w:rPr>
          <w:rFonts w:hint="default" w:ascii="Times New Roman" w:hAnsi="Times New Roman" w:eastAsia="新宋体" w:cs="Times New Roman"/>
          <w:color w:val="000000" w:themeColor="text1"/>
          <w:spacing w:val="40"/>
          <w:sz w:val="30"/>
          <w:szCs w:val="3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outlineLvl w:val="0"/>
        <w:rPr>
          <w:rFonts w:hint="default" w:ascii="Times New Roman" w:hAnsi="Times New Roman" w:eastAsia="新宋体" w:cs="Times New Roman"/>
          <w:b/>
          <w:bCs/>
          <w:color w:val="000000" w:themeColor="text1"/>
          <w:sz w:val="36"/>
          <w:szCs w:val="44"/>
          <w:highlight w:val="none"/>
          <w14:textFill>
            <w14:solidFill>
              <w14:schemeClr w14:val="tx1"/>
            </w14:solidFill>
          </w14:textFill>
        </w:rPr>
        <w:sectPr>
          <w:headerReference r:id="rId4" w:type="first"/>
          <w:footerReference r:id="rId7" w:type="first"/>
          <w:headerReference r:id="rId3" w:type="default"/>
          <w:footerReference r:id="rId5" w:type="default"/>
          <w:footerReference r:id="rId6" w:type="even"/>
          <w:type w:val="nextColumn"/>
          <w:pgSz w:w="11907" w:h="16840"/>
          <w:pgMar w:top="1134" w:right="1134" w:bottom="1134" w:left="1134"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bookmarkStart w:id="0" w:name="_Toc16800"/>
    </w:p>
    <w:p>
      <w:pPr>
        <w:keepNext w:val="0"/>
        <w:keepLines w:val="0"/>
        <w:pageBreakBefore w:val="0"/>
        <w:widowControl w:val="0"/>
        <w:kinsoku/>
        <w:wordWrap/>
        <w:overflowPunct/>
        <w:topLinePunct w:val="0"/>
        <w:autoSpaceDE/>
        <w:autoSpaceDN/>
        <w:bidi w:val="0"/>
        <w:adjustRightInd/>
        <w:snapToGrid/>
        <w:spacing w:beforeAutospacing="0" w:afterAutospacing="0" w:line="460" w:lineRule="exact"/>
        <w:jc w:val="center"/>
        <w:textAlignment w:val="auto"/>
        <w:outlineLvl w:val="0"/>
        <w:rPr>
          <w:rFonts w:hint="default" w:ascii="Times New Roman" w:hAnsi="Times New Roman" w:eastAsia="新宋体" w:cs="Times New Roman"/>
          <w:b/>
          <w:bCs/>
          <w:color w:val="000000" w:themeColor="text1"/>
          <w:sz w:val="36"/>
          <w:szCs w:val="44"/>
          <w:highlight w:val="none"/>
          <w14:textFill>
            <w14:solidFill>
              <w14:schemeClr w14:val="tx1"/>
            </w14:solidFill>
          </w14:textFill>
        </w:rPr>
      </w:pPr>
      <w:r>
        <w:rPr>
          <w:rFonts w:hint="default" w:ascii="Times New Roman" w:hAnsi="Times New Roman" w:eastAsia="新宋体" w:cs="Times New Roman"/>
          <w:b/>
          <w:bCs/>
          <w:color w:val="000000" w:themeColor="text1"/>
          <w:sz w:val="36"/>
          <w:szCs w:val="44"/>
          <w:highlight w:val="none"/>
          <w14:textFill>
            <w14:solidFill>
              <w14:schemeClr w14:val="tx1"/>
            </w14:solidFill>
          </w14:textFill>
        </w:rPr>
        <w:t>目</w:t>
      </w:r>
      <w:r>
        <w:rPr>
          <w:rFonts w:hint="default" w:ascii="Times New Roman" w:hAnsi="Times New Roman" w:eastAsia="新宋体" w:cs="Times New Roman"/>
          <w:b/>
          <w:bCs/>
          <w:color w:val="000000" w:themeColor="text1"/>
          <w:sz w:val="36"/>
          <w:szCs w:val="44"/>
          <w:highlight w:val="none"/>
          <w:lang w:val="en-US" w:eastAsia="zh-CN"/>
          <w14:textFill>
            <w14:solidFill>
              <w14:schemeClr w14:val="tx1"/>
            </w14:solidFill>
          </w14:textFill>
        </w:rPr>
        <w:t xml:space="preserve">  </w:t>
      </w:r>
      <w:r>
        <w:rPr>
          <w:rFonts w:hint="default" w:ascii="Times New Roman" w:hAnsi="Times New Roman" w:eastAsia="新宋体" w:cs="Times New Roman"/>
          <w:b/>
          <w:bCs/>
          <w:color w:val="000000" w:themeColor="text1"/>
          <w:sz w:val="36"/>
          <w:szCs w:val="44"/>
          <w:highlight w:val="none"/>
          <w14:textFill>
            <w14:solidFill>
              <w14:schemeClr w14:val="tx1"/>
            </w14:solidFill>
          </w14:textFill>
        </w:rPr>
        <w:t>录</w:t>
      </w:r>
      <w:bookmarkEnd w:id="0"/>
    </w:p>
    <w:p>
      <w:pPr>
        <w:bidi w:val="0"/>
        <w:rPr>
          <w:rFonts w:hint="default"/>
          <w:color w:val="000000" w:themeColor="text1"/>
          <w:highlight w:val="none"/>
          <w14:textFill>
            <w14:solidFill>
              <w14:schemeClr w14:val="tx1"/>
            </w14:solidFill>
          </w14:textFill>
        </w:rPr>
      </w:pPr>
    </w:p>
    <w:p>
      <w:pPr>
        <w:pStyle w:val="3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TOC \o "1-3" \h \u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_Toc16800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目</w:t>
      </w:r>
      <w:r>
        <w:rPr>
          <w:rFonts w:hint="default" w:ascii="Times New Roman" w:hAnsi="Times New Roman" w:eastAsia="新宋体" w:cs="Times New Roman"/>
          <w:bCs/>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bCs/>
          <w:color w:val="000000" w:themeColor="text1"/>
          <w:sz w:val="22"/>
          <w:szCs w:val="22"/>
          <w:highlight w:val="none"/>
          <w14:textFill>
            <w14:solidFill>
              <w14:schemeClr w14:val="tx1"/>
            </w14:solidFill>
          </w14:textFill>
        </w:rPr>
        <w:t>录</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_Toc16800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2</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3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_Toc20433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竞争性磋商公告</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_Toc20433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3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_Toc29301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第</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一</w:t>
      </w:r>
      <w:r>
        <w:rPr>
          <w:rFonts w:hint="default" w:ascii="Times New Roman" w:hAnsi="Times New Roman" w:eastAsia="新宋体" w:cs="Times New Roman"/>
          <w:color w:val="000000" w:themeColor="text1"/>
          <w:sz w:val="22"/>
          <w:szCs w:val="22"/>
          <w:highlight w:val="none"/>
          <w14:textFill>
            <w14:solidFill>
              <w14:schemeClr w14:val="tx1"/>
            </w14:solidFill>
          </w14:textFill>
        </w:rPr>
        <w:t>部分</w:t>
      </w:r>
      <w:r>
        <w:rPr>
          <w:rFonts w:hint="default" w:ascii="Times New Roman" w:hAnsi="Times New Roman" w:eastAsia="新宋体" w:cs="Times New Roman"/>
          <w:color w:val="000000" w:themeColor="text1"/>
          <w:sz w:val="22"/>
          <w:szCs w:val="22"/>
          <w:highlight w:val="none"/>
          <w:lang w:val="en-US"/>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磋商供应商须知</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_Toc29301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_Toc18771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前 附 表</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_Toc18771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_Toc21767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一、 说   明</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_Toc21767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11</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_Toc23282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二、 磋商文件</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_Toc23282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12</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_Toc78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三、 磋商响应文件的编制</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_Toc78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12</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_Toc5206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四、 磋商响应文件的递交</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_Toc5206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15</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_Toc3989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五、 磋商和评审</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_Toc3989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16</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_Toc27840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六、 授予合同</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_Toc27840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20</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3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_Toc18876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第</w:t>
      </w:r>
      <w:r>
        <w:rPr>
          <w:rFonts w:hint="default" w:ascii="Times New Roman" w:hAnsi="Times New Roman" w:eastAsia="新宋体" w:cs="Times New Roman"/>
          <w:color w:val="000000" w:themeColor="text1"/>
          <w:sz w:val="22"/>
          <w:szCs w:val="22"/>
          <w:highlight w:val="none"/>
          <w:lang w:val="en-US"/>
          <w14:textFill>
            <w14:solidFill>
              <w14:schemeClr w14:val="tx1"/>
            </w14:solidFill>
          </w14:textFill>
        </w:rPr>
        <w:t>二</w:t>
      </w:r>
      <w:r>
        <w:rPr>
          <w:rFonts w:hint="default" w:ascii="Times New Roman" w:hAnsi="Times New Roman" w:eastAsia="新宋体" w:cs="Times New Roman"/>
          <w:color w:val="000000" w:themeColor="text1"/>
          <w:sz w:val="22"/>
          <w:szCs w:val="22"/>
          <w:highlight w:val="none"/>
          <w14:textFill>
            <w14:solidFill>
              <w14:schemeClr w14:val="tx1"/>
            </w14:solidFill>
          </w14:textFill>
        </w:rPr>
        <w:t>部分</w:t>
      </w:r>
      <w:r>
        <w:rPr>
          <w:rFonts w:hint="default" w:ascii="Times New Roman" w:hAnsi="Times New Roman" w:eastAsia="新宋体" w:cs="Times New Roman"/>
          <w:color w:val="000000" w:themeColor="text1"/>
          <w:sz w:val="22"/>
          <w:szCs w:val="22"/>
          <w:highlight w:val="none"/>
          <w:lang w:val="en-US"/>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温州大学设备采购合同</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_Toc18876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22</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3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_Toc29123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第</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三</w:t>
      </w:r>
      <w:r>
        <w:rPr>
          <w:rFonts w:hint="default" w:ascii="Times New Roman" w:hAnsi="Times New Roman" w:eastAsia="新宋体" w:cs="Times New Roman"/>
          <w:color w:val="000000" w:themeColor="text1"/>
          <w:sz w:val="22"/>
          <w:szCs w:val="22"/>
          <w:highlight w:val="none"/>
          <w14:textFill>
            <w14:solidFill>
              <w14:schemeClr w14:val="tx1"/>
            </w14:solidFill>
          </w14:textFill>
        </w:rPr>
        <w:t>部分</w:t>
      </w:r>
      <w:r>
        <w:rPr>
          <w:rFonts w:hint="default" w:ascii="Times New Roman" w:hAnsi="Times New Roman" w:eastAsia="新宋体" w:cs="Times New Roman"/>
          <w:color w:val="000000" w:themeColor="text1"/>
          <w:sz w:val="22"/>
          <w:szCs w:val="22"/>
          <w:highlight w:val="none"/>
          <w:lang w:val="en-US"/>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附件</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_Toc29123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27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_Toc10092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附件一</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_Toc10092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27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2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_Toc32036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报价文件</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_Toc32036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27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_Toc22548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附件二</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_Toc22548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35</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2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_Toc12906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资格证明文件</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_Toc12906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35</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_Toc9128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附件三</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_Toc9128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39</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2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_Toc18969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bCs/>
          <w:color w:val="000000" w:themeColor="text1"/>
          <w:sz w:val="22"/>
          <w:szCs w:val="22"/>
          <w:highlight w:val="none"/>
          <w14:textFill>
            <w14:solidFill>
              <w14:schemeClr w14:val="tx1"/>
            </w14:solidFill>
          </w14:textFill>
        </w:rPr>
        <w:t>商务技术文件</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_Toc18969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39</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3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_Toc14199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第</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四</w:t>
      </w:r>
      <w:r>
        <w:rPr>
          <w:rFonts w:hint="default" w:ascii="Times New Roman" w:hAnsi="Times New Roman" w:eastAsia="新宋体" w:cs="Times New Roman"/>
          <w:color w:val="000000" w:themeColor="text1"/>
          <w:sz w:val="22"/>
          <w:szCs w:val="22"/>
          <w:highlight w:val="none"/>
          <w14:textFill>
            <w14:solidFill>
              <w14:schemeClr w14:val="tx1"/>
            </w14:solidFill>
          </w14:textFill>
        </w:rPr>
        <w:t>部分</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项目技术规范和服务要求</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_Toc14199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50</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37"/>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_Toc8121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第</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五</w:t>
      </w:r>
      <w:r>
        <w:rPr>
          <w:rFonts w:hint="default" w:ascii="Times New Roman" w:hAnsi="Times New Roman" w:eastAsia="新宋体" w:cs="Times New Roman"/>
          <w:color w:val="000000" w:themeColor="text1"/>
          <w:sz w:val="22"/>
          <w:szCs w:val="22"/>
          <w:highlight w:val="none"/>
          <w14:textFill>
            <w14:solidFill>
              <w14:schemeClr w14:val="tx1"/>
            </w14:solidFill>
          </w14:textFill>
        </w:rPr>
        <w:t>部分</w:t>
      </w:r>
      <w:r>
        <w:rPr>
          <w:rFonts w:hint="default" w:ascii="Times New Roman" w:hAnsi="Times New Roman" w:eastAsia="新宋体" w:cs="Times New Roman"/>
          <w:color w:val="000000" w:themeColor="text1"/>
          <w:sz w:val="22"/>
          <w:szCs w:val="22"/>
          <w:highlight w:val="none"/>
          <w:lang w:val="en-US"/>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磋商原则及方法</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_Toc8121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_Toc7829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一、总 则</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_Toc7829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_Toc24847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二、磋商组织</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_Toc24847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_Toc27303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三、评审程序</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_Toc27303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_Toc28729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四、综合评审</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_Toc28729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_Toc30751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五、</w:t>
      </w:r>
      <w:r>
        <w:rPr>
          <w:rFonts w:hint="default" w:ascii="Times New Roman" w:hAnsi="Times New Roman" w:eastAsia="新宋体" w:cs="Times New Roman"/>
          <w:bCs/>
          <w:color w:val="000000" w:themeColor="text1"/>
          <w:sz w:val="22"/>
          <w:szCs w:val="22"/>
          <w:highlight w:val="none"/>
          <w14:textFill>
            <w14:solidFill>
              <w14:schemeClr w14:val="tx1"/>
            </w14:solidFill>
          </w14:textFill>
        </w:rPr>
        <w:t>评分</w:t>
      </w:r>
      <w:r>
        <w:rPr>
          <w:rFonts w:hint="default" w:ascii="Times New Roman" w:hAnsi="Times New Roman" w:eastAsia="新宋体" w:cs="Times New Roman"/>
          <w:color w:val="000000" w:themeColor="text1"/>
          <w:sz w:val="22"/>
          <w:szCs w:val="22"/>
          <w:highlight w:val="none"/>
          <w14:textFill>
            <w14:solidFill>
              <w14:schemeClr w14:val="tx1"/>
            </w14:solidFill>
          </w14:textFill>
        </w:rPr>
        <w:t>细则</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_Toc30751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57</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_Toc22412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六、定标办法</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_Toc22412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59</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pStyle w:val="43"/>
        <w:keepNext w:val="0"/>
        <w:keepLines w:val="0"/>
        <w:pageBreakBefore w:val="0"/>
        <w:widowControl w:val="0"/>
        <w:tabs>
          <w:tab w:val="right" w:leader="dot" w:pos="9639"/>
        </w:tabs>
        <w:kinsoku/>
        <w:wordWrap/>
        <w:overflowPunct/>
        <w:topLinePunct w:val="0"/>
        <w:autoSpaceDE/>
        <w:autoSpaceDN/>
        <w:bidi w:val="0"/>
        <w:adjustRightInd/>
        <w:snapToGrid/>
        <w:spacing w:line="360" w:lineRule="auto"/>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instrText xml:space="preserve"> HYPERLINK \l _Toc20762 </w:instrText>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七、磋商供应商义务</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begin"/>
      </w:r>
      <w:r>
        <w:rPr>
          <w:rFonts w:hint="default" w:ascii="Times New Roman" w:hAnsi="Times New Roman" w:eastAsia="新宋体" w:cs="Times New Roman"/>
          <w:color w:val="000000" w:themeColor="text1"/>
          <w:sz w:val="22"/>
          <w:szCs w:val="22"/>
          <w:highlight w:val="none"/>
          <w14:textFill>
            <w14:solidFill>
              <w14:schemeClr w14:val="tx1"/>
            </w14:solidFill>
          </w14:textFill>
        </w:rPr>
        <w:instrText xml:space="preserve"> PAGEREF _Toc20762 \h </w:instrTex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separate"/>
      </w:r>
      <w:r>
        <w:rPr>
          <w:rFonts w:hint="default" w:ascii="Times New Roman" w:hAnsi="Times New Roman" w:eastAsia="新宋体" w:cs="Times New Roman"/>
          <w:color w:val="000000" w:themeColor="text1"/>
          <w:sz w:val="22"/>
          <w:szCs w:val="22"/>
          <w:highlight w:val="none"/>
          <w14:textFill>
            <w14:solidFill>
              <w14:schemeClr w14:val="tx1"/>
            </w14:solidFill>
          </w14:textFill>
        </w:rPr>
        <w:t>59</w:t>
      </w:r>
      <w:r>
        <w:rPr>
          <w:rFonts w:hint="default" w:ascii="Times New Roman" w:hAnsi="Times New Roman" w:eastAsia="新宋体" w:cs="Times New Roman"/>
          <w:color w:val="000000" w:themeColor="text1"/>
          <w:sz w:val="22"/>
          <w:szCs w:val="22"/>
          <w:highlight w:val="none"/>
          <w14:textFill>
            <w14:solidFill>
              <w14:schemeClr w14:val="tx1"/>
            </w14:solidFill>
          </w14:textFill>
        </w:rPr>
        <w:fldChar w:fldCharType="end"/>
      </w: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both"/>
        <w:textAlignment w:val="auto"/>
        <w:outlineLvl w:val="9"/>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40"/>
          <w:sz w:val="22"/>
          <w:szCs w:val="22"/>
          <w:highlight w:val="none"/>
          <w14:textFill>
            <w14:solidFill>
              <w14:schemeClr w14:val="tx1"/>
            </w14:solidFill>
          </w14:textFill>
        </w:rPr>
        <w:fldChar w:fldCharType="end"/>
      </w:r>
    </w:p>
    <w:p>
      <w:pPr>
        <w:spacing w:line="600" w:lineRule="exact"/>
        <w:rPr>
          <w:rFonts w:hint="default" w:ascii="Times New Roman" w:hAnsi="Times New Roman" w:eastAsia="新宋体" w:cs="Times New Roman"/>
          <w:b/>
          <w:color w:val="000000" w:themeColor="text1"/>
          <w:sz w:val="22"/>
          <w:szCs w:val="22"/>
          <w:highlight w:val="none"/>
          <w14:textFill>
            <w14:solidFill>
              <w14:schemeClr w14:val="tx1"/>
            </w14:solidFill>
          </w14:textFill>
        </w:rPr>
      </w:pPr>
    </w:p>
    <w:p>
      <w:pPr>
        <w:spacing w:line="360" w:lineRule="auto"/>
        <w:jc w:val="both"/>
        <w:rPr>
          <w:rFonts w:hint="default" w:ascii="Times New Roman" w:hAnsi="Times New Roman" w:eastAsia="新宋体" w:cs="Times New Roman"/>
          <w:b/>
          <w:color w:val="000000" w:themeColor="text1"/>
          <w:sz w:val="22"/>
          <w:szCs w:val="22"/>
          <w:highlight w:val="none"/>
          <w14:textFill>
            <w14:solidFill>
              <w14:schemeClr w14:val="tx1"/>
            </w14:solidFill>
          </w14:textFill>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Chars="0" w:right="0" w:rightChars="0"/>
        <w:jc w:val="center"/>
        <w:rPr>
          <w:rStyle w:val="338"/>
          <w:rFonts w:hint="default" w:ascii="Times New Roman" w:hAnsi="Times New Roman" w:eastAsia="新宋体" w:cs="Times New Roman"/>
          <w:b/>
          <w:color w:val="000000" w:themeColor="text1"/>
          <w:highlight w:val="none"/>
          <w14:textFill>
            <w14:solidFill>
              <w14:schemeClr w14:val="tx1"/>
            </w14:solidFill>
          </w14:textFill>
        </w:rPr>
      </w:pPr>
      <w:bookmarkStart w:id="1" w:name="_Toc436213254"/>
      <w:bookmarkStart w:id="2" w:name="_Toc84779266"/>
      <w:r>
        <w:rPr>
          <w:rFonts w:hint="default" w:ascii="Times New Roman" w:hAnsi="Times New Roman" w:eastAsia="新宋体" w:cs="Times New Roman"/>
          <w:b/>
          <w:color w:val="000000" w:themeColor="text1"/>
          <w:sz w:val="28"/>
          <w:szCs w:val="28"/>
          <w:highlight w:val="none"/>
          <w14:textFill>
            <w14:solidFill>
              <w14:schemeClr w14:val="tx1"/>
            </w14:solidFill>
          </w14:textFill>
        </w:rPr>
        <w:br w:type="page"/>
      </w:r>
      <w:bookmarkStart w:id="3" w:name="_Toc20433"/>
      <w:r>
        <w:rPr>
          <w:rStyle w:val="338"/>
          <w:rFonts w:hint="default" w:ascii="Times New Roman" w:hAnsi="Times New Roman" w:eastAsia="新宋体" w:cs="Times New Roman"/>
          <w:b/>
          <w:color w:val="000000" w:themeColor="text1"/>
          <w:szCs w:val="24"/>
          <w:highlight w:val="none"/>
          <w14:textFill>
            <w14:solidFill>
              <w14:schemeClr w14:val="tx1"/>
            </w14:solidFill>
          </w14:textFill>
        </w:rPr>
        <w:t>温州历程招标有限公司关于</w:t>
      </w:r>
      <w:r>
        <w:rPr>
          <w:rStyle w:val="338"/>
          <w:rFonts w:hint="default" w:ascii="Times New Roman" w:hAnsi="Times New Roman" w:eastAsia="新宋体" w:cs="Times New Roman"/>
          <w:b/>
          <w:color w:val="000000" w:themeColor="text1"/>
          <w:szCs w:val="24"/>
          <w:highlight w:val="none"/>
          <w:lang w:val="en-US"/>
          <w14:textFill>
            <w14:solidFill>
              <w14:schemeClr w14:val="tx1"/>
            </w14:solidFill>
          </w14:textFill>
        </w:rPr>
        <w:t>温州大学</w:t>
      </w:r>
      <w:r>
        <w:rPr>
          <w:rStyle w:val="338"/>
          <w:rFonts w:hint="eastAsia" w:eastAsia="新宋体" w:cs="Times New Roman"/>
          <w:b/>
          <w:color w:val="000000" w:themeColor="text1"/>
          <w:szCs w:val="24"/>
          <w:highlight w:val="none"/>
          <w:lang w:val="en-US"/>
          <w14:textFill>
            <w14:solidFill>
              <w14:schemeClr w14:val="tx1"/>
            </w14:solidFill>
          </w14:textFill>
        </w:rPr>
        <w:t>单晶X射线衍射仪</w:t>
      </w:r>
      <w:r>
        <w:rPr>
          <w:rStyle w:val="338"/>
          <w:rFonts w:hint="default" w:ascii="Times New Roman" w:hAnsi="Times New Roman" w:eastAsia="新宋体" w:cs="Times New Roman"/>
          <w:b/>
          <w:color w:val="000000" w:themeColor="text1"/>
          <w:szCs w:val="24"/>
          <w:highlight w:val="none"/>
          <w14:textFill>
            <w14:solidFill>
              <w14:schemeClr w14:val="tx1"/>
            </w14:solidFill>
          </w14:textFill>
        </w:rPr>
        <w:t>项目的竞争性磋商公告</w:t>
      </w:r>
      <w:bookmarkEnd w:id="3"/>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trPr>
        <w:tc>
          <w:tcPr>
            <w:tcW w:w="9855" w:type="dxa"/>
            <w:noWrap w:val="0"/>
            <w:vAlign w:val="top"/>
          </w:tcPr>
          <w:p>
            <w:pPr>
              <w:keepNext w:val="0"/>
              <w:keepLines w:val="0"/>
              <w:suppressLineNumbers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项目概况</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eastAsia" w:eastAsia="新宋体" w:cs="Times New Roman"/>
                <w:color w:val="000000" w:themeColor="text1"/>
                <w:sz w:val="22"/>
                <w:highlight w:val="none"/>
                <w:lang w:val="en-US" w:eastAsia="zh-CN"/>
                <w14:textFill>
                  <w14:solidFill>
                    <w14:schemeClr w14:val="tx1"/>
                  </w14:solidFill>
                </w14:textFill>
              </w:rPr>
              <w:t>单晶X射线衍射仪</w:t>
            </w:r>
            <w:r>
              <w:rPr>
                <w:rFonts w:hint="default" w:ascii="Times New Roman" w:hAnsi="Times New Roman" w:eastAsia="新宋体" w:cs="Times New Roman"/>
                <w:color w:val="000000" w:themeColor="text1"/>
                <w:sz w:val="22"/>
                <w:szCs w:val="22"/>
                <w:highlight w:val="none"/>
                <w14:textFill>
                  <w14:solidFill>
                    <w14:schemeClr w14:val="tx1"/>
                  </w14:solidFill>
                </w14:textFill>
              </w:rPr>
              <w:t>采购项目的潜在供应商应在浙江政府采购网（https://zfcg.czt.zj.gov.cn/）获取（下载）采购文件，并于2022年</w:t>
            </w:r>
            <w:r>
              <w:rPr>
                <w:rFonts w:hint="eastAsia" w:eastAsia="新宋体" w:cs="Times New Roman"/>
                <w:color w:val="000000" w:themeColor="text1"/>
                <w:sz w:val="22"/>
                <w:szCs w:val="22"/>
                <w:highlight w:val="none"/>
                <w:lang w:val="en-US" w:eastAsia="zh-CN"/>
                <w14:textFill>
                  <w14:solidFill>
                    <w14:schemeClr w14:val="tx1"/>
                  </w14:solidFill>
                </w14:textFill>
              </w:rPr>
              <w:t>8</w:t>
            </w:r>
            <w:r>
              <w:rPr>
                <w:rFonts w:hint="default" w:ascii="Times New Roman" w:hAnsi="Times New Roman" w:eastAsia="新宋体" w:cs="Times New Roman"/>
                <w:color w:val="000000" w:themeColor="text1"/>
                <w:sz w:val="22"/>
                <w:szCs w:val="22"/>
                <w:highlight w:val="none"/>
                <w14:textFill>
                  <w14:solidFill>
                    <w14:schemeClr w14:val="tx1"/>
                  </w14:solidFill>
                </w14:textFill>
              </w:rPr>
              <w:t>月</w:t>
            </w:r>
            <w:r>
              <w:rPr>
                <w:rFonts w:hint="eastAsia" w:eastAsia="新宋体" w:cs="Times New Roman"/>
                <w:color w:val="000000" w:themeColor="text1"/>
                <w:sz w:val="22"/>
                <w:szCs w:val="22"/>
                <w:highlight w:val="none"/>
                <w:lang w:val="en-US" w:eastAsia="zh-CN"/>
                <w14:textFill>
                  <w14:solidFill>
                    <w14:schemeClr w14:val="tx1"/>
                  </w14:solidFill>
                </w14:textFill>
              </w:rPr>
              <w:t>27</w:t>
            </w:r>
            <w:r>
              <w:rPr>
                <w:rFonts w:hint="default" w:ascii="Times New Roman" w:hAnsi="Times New Roman" w:eastAsia="新宋体" w:cs="Times New Roman"/>
                <w:color w:val="000000" w:themeColor="text1"/>
                <w:sz w:val="22"/>
                <w:szCs w:val="22"/>
                <w:highlight w:val="none"/>
                <w14:textFill>
                  <w14:solidFill>
                    <w14:schemeClr w14:val="tx1"/>
                  </w14:solidFill>
                </w14:textFill>
              </w:rPr>
              <w:t>日</w:t>
            </w:r>
            <w:r>
              <w:rPr>
                <w:rFonts w:hint="eastAsia" w:eastAsia="新宋体" w:cs="Times New Roman"/>
                <w:color w:val="000000" w:themeColor="text1"/>
                <w:sz w:val="22"/>
                <w:szCs w:val="22"/>
                <w:highlight w:val="none"/>
                <w:lang w:val="en-US" w:eastAsia="zh-CN"/>
                <w14:textFill>
                  <w14:solidFill>
                    <w14:schemeClr w14:val="tx1"/>
                  </w14:solidFill>
                </w14:textFill>
              </w:rPr>
              <w:t>09</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30（北京时间）前提交（上传）响应文件。</w:t>
            </w:r>
          </w:p>
        </w:tc>
      </w:tr>
    </w:tbl>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t>一、项目基本情况</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项目编号：WZUZFFS-JZCS-20220005</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项目名称：</w:t>
      </w:r>
      <w:r>
        <w:rPr>
          <w:rFonts w:hint="eastAsia" w:eastAsia="新宋体" w:cs="Times New Roman"/>
          <w:color w:val="000000" w:themeColor="text1"/>
          <w:sz w:val="22"/>
          <w:highlight w:val="none"/>
          <w:lang w:val="en-US" w:eastAsia="zh-CN"/>
          <w14:textFill>
            <w14:solidFill>
              <w14:schemeClr w14:val="tx1"/>
            </w14:solidFill>
          </w14:textFill>
        </w:rPr>
        <w:t>单晶X射线衍射仪</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采购方式：竞争性磋商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预算金额（元）：2000000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最高限价（元）：2000000</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采购需求：</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数量：1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预算金额（元）：2000000</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单位：台</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简要规格描述：具体详见磋商文件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备注：本项目允许进口设备进行投标</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合同履约期限：标项 1，具体详见磋商文件</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本项目（否）接受联合体投标。</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t>二、申请人的资格要求：</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2.落实政府采购政策需满足的资格要求：无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3.本项目的特定资格要求：无</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t>三、获取（下载）采购文件</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时间：/至2022年</w:t>
      </w:r>
      <w:r>
        <w:rPr>
          <w:rFonts w:hint="eastAsia" w:eastAsia="新宋体" w:cs="Times New Roman"/>
          <w:color w:val="000000" w:themeColor="text1"/>
          <w:sz w:val="22"/>
          <w:highlight w:val="none"/>
          <w:lang w:val="en-US" w:eastAsia="zh-CN"/>
          <w14:textFill>
            <w14:solidFill>
              <w14:schemeClr w14:val="tx1"/>
            </w14:solidFill>
          </w14:textFill>
        </w:rPr>
        <w:t>8</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月</w:t>
      </w:r>
      <w:r>
        <w:rPr>
          <w:rFonts w:hint="eastAsia" w:eastAsia="新宋体" w:cs="Times New Roman"/>
          <w:color w:val="000000" w:themeColor="text1"/>
          <w:sz w:val="22"/>
          <w:highlight w:val="none"/>
          <w:lang w:val="en-US" w:eastAsia="zh-CN"/>
          <w14:textFill>
            <w14:solidFill>
              <w14:schemeClr w14:val="tx1"/>
            </w14:solidFill>
          </w14:textFill>
        </w:rPr>
        <w:t>27</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日，每天上午00:00至12:00，下午12:00至23:59（北京时间，线上获取法定节假日均可，线下获取文件法定节假日除外）</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地点（网址）：政采云平台（http://zfcg.czt.zj.gov.cn）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方式：供应商登录政采云平台https://www.zcygov.cn/在线申请获取采购文件（进入“项目采购”应用，在获取采购文件菜单中选择项目，申请获取采购文件）</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售价（元）：0 </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t>四、响应文件提交（上传）</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截止时间：2022年</w:t>
      </w:r>
      <w:r>
        <w:rPr>
          <w:rFonts w:hint="eastAsia" w:eastAsia="新宋体" w:cs="Times New Roman"/>
          <w:color w:val="000000" w:themeColor="text1"/>
          <w:sz w:val="22"/>
          <w:highlight w:val="none"/>
          <w:lang w:val="en-US" w:eastAsia="zh-CN"/>
          <w14:textFill>
            <w14:solidFill>
              <w14:schemeClr w14:val="tx1"/>
            </w14:solidFill>
          </w14:textFill>
        </w:rPr>
        <w:t>8</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月</w:t>
      </w:r>
      <w:r>
        <w:rPr>
          <w:rFonts w:hint="eastAsia" w:eastAsia="新宋体" w:cs="Times New Roman"/>
          <w:color w:val="000000" w:themeColor="text1"/>
          <w:sz w:val="22"/>
          <w:highlight w:val="none"/>
          <w:lang w:val="en-US" w:eastAsia="zh-CN"/>
          <w14:textFill>
            <w14:solidFill>
              <w14:schemeClr w14:val="tx1"/>
            </w14:solidFill>
          </w14:textFill>
        </w:rPr>
        <w:t>27</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日</w:t>
      </w:r>
      <w:r>
        <w:rPr>
          <w:rFonts w:hint="eastAsia" w:eastAsia="新宋体" w:cs="Times New Roman"/>
          <w:color w:val="000000" w:themeColor="text1"/>
          <w:sz w:val="22"/>
          <w:highlight w:val="none"/>
          <w:lang w:val="en-US" w:eastAsia="zh-CN"/>
          <w14:textFill>
            <w14:solidFill>
              <w14:schemeClr w14:val="tx1"/>
            </w14:solidFill>
          </w14:textFill>
        </w:rPr>
        <w:t>09</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：30（北京时间）</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地点（网址）：政府采购云平台：http://zfcg.czt.zj.gov.cn </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t>五、响应文件开启</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开启时间：2022年8月27日09：30（北京时间）</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地点（网址）：温州大学茶山南校区行政楼516A室（政府采购云平台：http://zfcg.czt.zj.gov.cn） </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t>六、公告期限</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自本公告发布之日起3个工作日。</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t>七、其他补充事宜</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 </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keepNext w:val="0"/>
        <w:keepLines w:val="0"/>
        <w:pageBreakBefore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3.其他事项：（1）本项目通过“政府采购云平台（www.zcygov.cn）”实行在线投标响应（电子投标），供应商应先安装“政采云电子交易客户端”，并按照本磋商文件和“政府采购云平台”的要求，通过“政采云电子交易客户端”编制并加密磋商响应文件。供应商未按规定加密的磋商响应文件，“政府采购云平台”将予以拒收。 “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 （2）为确保网上操作合法、有效和安全，投标人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 （3）投标人应当在投标截止时间前，将生成的“电子加密磋商响应文件”上传递交至“政府采购云平台”。投标截止时间以后上传递交的磋商响应文件将被“政府采购云平台”拒收。 （4）投标人在“政府采购云平台”完成“电子加密磋商响应文件”的上传递交后，还可以在投标截止时间前递交以介质（U盘）存储的数据电文形式的“备份磋商响应文件”，“备份磋商响应文件”应当密封包装并在包装上标注投标项目名称、投标人名称并加盖公章。（可以（邮寄形式，建议顺丰）在投标截止时间前递交，并需采购代理机构确认是否收到） （5）通过“政府采购云平台”上传递交的“电子加密磋商响应文件”无法按时解密，投标人递交了备份磋商响应文件的，以备份磋商响应文件为依据，否则视为磋商响应文件撤回。通过“政府采购云平台”上传递交的“电子加密磋商响应文件”已按时解密的，“备份磋商响应文件”自动失效。投标人仅递交备份磋商响应文件的，投标无效。 </w:t>
      </w:r>
    </w:p>
    <w:p>
      <w:pPr>
        <w:keepNext w:val="0"/>
        <w:keepLines w:val="0"/>
        <w:pageBreakBefore w:val="0"/>
        <w:tabs>
          <w:tab w:val="left" w:pos="360"/>
        </w:tabs>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en-US" w:eastAsia="zh-CN"/>
          <w14:textFill>
            <w14:solidFill>
              <w14:schemeClr w14:val="tx1"/>
            </w14:solidFill>
          </w14:textFill>
        </w:rPr>
        <w:t>八、凡对本次招标提出询问、质疑、投诉，请按以下方式联系</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1.采购人信息</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名</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称：</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温州大学</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地</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址：浙江省温州市茶山镇高教园区</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传</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真：</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val="en-US"/>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项目联系人（询问）：</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张老师</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项目联系方式（询问）：0577-86596037</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质疑联系人：贾老师</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质疑联系方式：0577-86596095</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2.采购代理机构信息</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名</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称：温州历程招标有限公司 </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地</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址：温州市鹿城区学院中路229号三想集团5楼</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传</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真：0577-89887255   </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项目联系人（询问）：郑永强</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项目联系方式（询问）：0577-89887322、13757727199</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质疑联系人：肖忠文</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质疑联系方式：13757727199 </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3.同级政府采购监督管理部门</w:t>
      </w:r>
    </w:p>
    <w:p>
      <w:pPr>
        <w:keepNext w:val="0"/>
        <w:keepLines w:val="0"/>
        <w:pageBreakBefore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名</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称：温州市财政局政府采购监管处    </w:t>
      </w:r>
    </w:p>
    <w:p>
      <w:pPr>
        <w:keepNext w:val="0"/>
        <w:keepLines w:val="0"/>
        <w:pageBreakBefore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地</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址：温州市鹿城区绣山路299号   </w:t>
      </w:r>
    </w:p>
    <w:p>
      <w:pPr>
        <w:keepNext w:val="0"/>
        <w:keepLines w:val="0"/>
        <w:pageBreakBefore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传</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真：/ </w:t>
      </w:r>
    </w:p>
    <w:p>
      <w:pPr>
        <w:keepNext w:val="0"/>
        <w:keepLines w:val="0"/>
        <w:pageBreakBefore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联系人：项先生、蔡女士</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监督投诉电话：0577-88532725、88521948 </w:t>
      </w: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0"/>
          <w:szCs w:val="20"/>
          <w:highlight w:val="none"/>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0"/>
          <w:szCs w:val="20"/>
          <w:highlight w:val="none"/>
          <w14:textFill>
            <w14:solidFill>
              <w14:schemeClr w14:val="tx1"/>
            </w14:solidFill>
          </w14:textFill>
        </w:rPr>
      </w:pPr>
      <w:r>
        <w:rPr>
          <w:rFonts w:hint="default" w:ascii="Times New Roman" w:hAnsi="Times New Roman" w:eastAsia="新宋体" w:cs="Times New Roman"/>
          <w:color w:val="000000" w:themeColor="text1"/>
          <w:sz w:val="20"/>
          <w:szCs w:val="20"/>
          <w:highlight w:val="none"/>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       </w:t>
      </w: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ind w:firstLine="400" w:firstLineChars="200"/>
        <w:textAlignment w:val="auto"/>
        <w:rPr>
          <w:rFonts w:hint="default" w:ascii="Times New Roman" w:hAnsi="Times New Roman" w:eastAsia="新宋体" w:cs="Times New Roman"/>
          <w:color w:val="000000" w:themeColor="text1"/>
          <w:sz w:val="20"/>
          <w:szCs w:val="20"/>
          <w:highlight w:val="none"/>
          <w14:textFill>
            <w14:solidFill>
              <w14:schemeClr w14:val="tx1"/>
            </w14:solidFill>
          </w14:textFill>
        </w:rPr>
      </w:pPr>
    </w:p>
    <w:p>
      <w:pPr>
        <w:pStyle w:val="46"/>
        <w:keepNext w:val="0"/>
        <w:keepLines w:val="0"/>
        <w:pageBreakBefore w:val="0"/>
        <w:kinsoku/>
        <w:wordWrap/>
        <w:overflowPunct/>
        <w:topLinePunct w:val="0"/>
        <w:autoSpaceDE/>
        <w:autoSpaceDN/>
        <w:bidi w:val="0"/>
        <w:adjustRightInd/>
        <w:snapToGrid/>
        <w:spacing w:before="0" w:beforeAutospacing="0" w:after="0" w:afterAutospacing="0" w:line="460" w:lineRule="exact"/>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0"/>
          <w:szCs w:val="20"/>
          <w:highlight w:val="none"/>
          <w14:textFill>
            <w14:solidFill>
              <w14:schemeClr w14:val="tx1"/>
            </w14:solidFill>
          </w14:textFill>
        </w:rPr>
        <w:t>CA问题联系电话（人工）：汇信CA 400-888-4636；天谷CA 400-087-8198。</w:t>
      </w:r>
    </w:p>
    <w:bookmarkEnd w:id="1"/>
    <w:bookmarkEnd w:id="2"/>
    <w:p>
      <w:pPr>
        <w:pStyle w:val="22"/>
        <w:spacing w:line="460" w:lineRule="exact"/>
        <w:ind w:left="437" w:leftChars="208" w:firstLine="0" w:firstLineChars="0"/>
        <w:jc w:val="center"/>
        <w:outlineLvl w:val="0"/>
        <w:rPr>
          <w:rStyle w:val="63"/>
          <w:rFonts w:hint="default" w:ascii="Times New Roman" w:hAnsi="Times New Roman" w:eastAsia="新宋体" w:cs="Times New Roman"/>
          <w:color w:val="000000" w:themeColor="text1"/>
          <w:highlight w:val="none"/>
          <w14:textFill>
            <w14:solidFill>
              <w14:schemeClr w14:val="tx1"/>
            </w14:solidFill>
          </w14:textFill>
        </w:rPr>
      </w:pPr>
      <w:bookmarkStart w:id="4" w:name="_Toc436213255"/>
      <w:r>
        <w:rPr>
          <w:rFonts w:hint="default" w:ascii="Times New Roman" w:hAnsi="Times New Roman" w:eastAsia="新宋体" w:cs="Times New Roman"/>
          <w:b/>
          <w:color w:val="000000" w:themeColor="text1"/>
          <w:sz w:val="28"/>
          <w:szCs w:val="28"/>
          <w:highlight w:val="none"/>
          <w14:textFill>
            <w14:solidFill>
              <w14:schemeClr w14:val="tx1"/>
            </w14:solidFill>
          </w14:textFill>
        </w:rPr>
        <w:br w:type="page"/>
      </w:r>
      <w:bookmarkStart w:id="5" w:name="_Toc29301"/>
      <w:bookmarkStart w:id="6" w:name="_Toc14429"/>
      <w:bookmarkStart w:id="7" w:name="_Toc11857"/>
      <w:r>
        <w:rPr>
          <w:rStyle w:val="63"/>
          <w:rFonts w:hint="default" w:ascii="Times New Roman" w:hAnsi="Times New Roman" w:eastAsia="新宋体" w:cs="Times New Roman"/>
          <w:color w:val="000000" w:themeColor="text1"/>
          <w:highlight w:val="none"/>
          <w14:textFill>
            <w14:solidFill>
              <w14:schemeClr w14:val="tx1"/>
            </w14:solidFill>
          </w14:textFill>
        </w:rPr>
        <w:t>第</w:t>
      </w:r>
      <w:r>
        <w:rPr>
          <w:rStyle w:val="63"/>
          <w:rFonts w:hint="default" w:ascii="Times New Roman" w:hAnsi="Times New Roman" w:eastAsia="新宋体" w:cs="Times New Roman"/>
          <w:color w:val="000000" w:themeColor="text1"/>
          <w:highlight w:val="none"/>
          <w:lang w:val="en-US" w:eastAsia="zh-CN"/>
          <w14:textFill>
            <w14:solidFill>
              <w14:schemeClr w14:val="tx1"/>
            </w14:solidFill>
          </w14:textFill>
        </w:rPr>
        <w:t>一</w:t>
      </w:r>
      <w:r>
        <w:rPr>
          <w:rStyle w:val="63"/>
          <w:rFonts w:hint="default" w:ascii="Times New Roman" w:hAnsi="Times New Roman" w:eastAsia="新宋体" w:cs="Times New Roman"/>
          <w:color w:val="000000" w:themeColor="text1"/>
          <w:highlight w:val="none"/>
          <w14:textFill>
            <w14:solidFill>
              <w14:schemeClr w14:val="tx1"/>
            </w14:solidFill>
          </w14:textFill>
        </w:rPr>
        <w:t>部分</w:t>
      </w:r>
      <w:r>
        <w:rPr>
          <w:rStyle w:val="63"/>
          <w:rFonts w:hint="default" w:ascii="Times New Roman" w:hAnsi="Times New Roman" w:eastAsia="新宋体" w:cs="Times New Roman"/>
          <w:color w:val="000000" w:themeColor="text1"/>
          <w:highlight w:val="none"/>
          <w:lang w:val="en-US"/>
          <w14:textFill>
            <w14:solidFill>
              <w14:schemeClr w14:val="tx1"/>
            </w14:solidFill>
          </w14:textFill>
        </w:rPr>
        <w:t xml:space="preserve">   </w:t>
      </w:r>
      <w:r>
        <w:rPr>
          <w:rStyle w:val="63"/>
          <w:rFonts w:hint="default" w:ascii="Times New Roman" w:hAnsi="Times New Roman" w:eastAsia="新宋体" w:cs="Times New Roman"/>
          <w:color w:val="000000" w:themeColor="text1"/>
          <w:highlight w:val="none"/>
          <w14:textFill>
            <w14:solidFill>
              <w14:schemeClr w14:val="tx1"/>
            </w14:solidFill>
          </w14:textFill>
        </w:rPr>
        <w:t>磋商供应商须知</w:t>
      </w:r>
      <w:bookmarkEnd w:id="4"/>
      <w:bookmarkEnd w:id="5"/>
      <w:bookmarkEnd w:id="6"/>
      <w:bookmarkEnd w:id="7"/>
    </w:p>
    <w:p>
      <w:pPr>
        <w:keepNext/>
        <w:keepLines/>
        <w:shd w:val="clear" w:color="auto" w:fill="FFFFFF"/>
        <w:tabs>
          <w:tab w:val="left" w:pos="706"/>
        </w:tabs>
        <w:snapToGrid w:val="0"/>
        <w:spacing w:line="360" w:lineRule="auto"/>
        <w:jc w:val="center"/>
        <w:outlineLvl w:val="1"/>
        <w:rPr>
          <w:rFonts w:hint="default" w:ascii="Times New Roman" w:hAnsi="Times New Roman" w:eastAsia="新宋体" w:cs="Times New Roman"/>
          <w:b/>
          <w:bCs/>
          <w:color w:val="000000" w:themeColor="text1"/>
          <w:sz w:val="24"/>
          <w:highlight w:val="none"/>
          <w14:textFill>
            <w14:solidFill>
              <w14:schemeClr w14:val="tx1"/>
            </w14:solidFill>
          </w14:textFill>
        </w:rPr>
      </w:pPr>
      <w:bookmarkStart w:id="8" w:name="_Toc14271"/>
      <w:bookmarkStart w:id="9" w:name="_Toc10207"/>
      <w:bookmarkStart w:id="10" w:name="_Toc28581"/>
      <w:bookmarkStart w:id="11" w:name="_Toc30636"/>
      <w:bookmarkStart w:id="12" w:name="_Toc354996695"/>
      <w:bookmarkStart w:id="13" w:name="_Toc28809"/>
      <w:bookmarkStart w:id="14" w:name="_Toc33194387"/>
      <w:bookmarkStart w:id="15" w:name="_Toc233618971"/>
      <w:bookmarkStart w:id="16" w:name="_Toc18771"/>
      <w:bookmarkStart w:id="17" w:name="_Toc436213256"/>
      <w:r>
        <w:rPr>
          <w:rFonts w:hint="default" w:ascii="Times New Roman" w:hAnsi="Times New Roman" w:eastAsia="新宋体" w:cs="Times New Roman"/>
          <w:b/>
          <w:bCs/>
          <w:color w:val="000000" w:themeColor="text1"/>
          <w:sz w:val="24"/>
          <w:highlight w:val="none"/>
          <w14:textFill>
            <w14:solidFill>
              <w14:schemeClr w14:val="tx1"/>
            </w14:solidFill>
          </w14:textFill>
        </w:rPr>
        <w:t>前 附 表</w:t>
      </w:r>
      <w:bookmarkEnd w:id="8"/>
      <w:bookmarkEnd w:id="9"/>
      <w:bookmarkEnd w:id="10"/>
      <w:bookmarkEnd w:id="11"/>
      <w:bookmarkEnd w:id="12"/>
      <w:bookmarkEnd w:id="13"/>
      <w:bookmarkEnd w:id="14"/>
      <w:bookmarkEnd w:id="15"/>
      <w:bookmarkEnd w:id="16"/>
    </w:p>
    <w:tbl>
      <w:tblPr>
        <w:tblStyle w:val="50"/>
        <w:tblW w:w="102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03"/>
        <w:gridCol w:w="969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603" w:type="dxa"/>
            <w:tcBorders>
              <w:top w:val="single" w:color="000000" w:sz="8"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条款</w:t>
            </w:r>
          </w:p>
        </w:tc>
        <w:tc>
          <w:tcPr>
            <w:tcW w:w="9694" w:type="dxa"/>
            <w:tcBorders>
              <w:top w:val="single" w:color="000000" w:sz="8"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31" w:hRule="atLeast"/>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w:t>
            </w:r>
          </w:p>
        </w:tc>
        <w:tc>
          <w:tcPr>
            <w:tcW w:w="9694" w:type="dxa"/>
            <w:tcBorders>
              <w:top w:val="single" w:color="000000" w:sz="2" w:space="0"/>
              <w:left w:val="single" w:color="000000" w:sz="2" w:space="0"/>
              <w:bottom w:val="single" w:color="000000" w:sz="2" w:space="0"/>
              <w:right w:val="single" w:color="000000" w:sz="8" w:space="0"/>
            </w:tcBorders>
            <w:noWrap w:val="0"/>
            <w:vAlign w:val="top"/>
          </w:tcPr>
          <w:p>
            <w:pPr>
              <w:keepNext w:val="0"/>
              <w:keepLines w:val="0"/>
              <w:pageBreakBefore w:val="0"/>
              <w:suppressLineNumbers w:val="0"/>
              <w:tabs>
                <w:tab w:val="left" w:pos="360"/>
              </w:tabs>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一、项目名称：</w:t>
            </w:r>
            <w:r>
              <w:rPr>
                <w:rFonts w:hint="eastAsia" w:eastAsia="新宋体" w:cs="Times New Roman"/>
                <w:b/>
                <w:bCs/>
                <w:color w:val="000000" w:themeColor="text1"/>
                <w:sz w:val="22"/>
                <w:szCs w:val="22"/>
                <w:highlight w:val="none"/>
                <w:lang w:val="en-US" w:eastAsia="zh-CN"/>
                <w14:textFill>
                  <w14:solidFill>
                    <w14:schemeClr w14:val="tx1"/>
                  </w14:solidFill>
                </w14:textFill>
              </w:rPr>
              <w:t>单晶X射线衍射仪</w:t>
            </w:r>
          </w:p>
          <w:p>
            <w:pPr>
              <w:keepNext w:val="0"/>
              <w:keepLines w:val="0"/>
              <w:pageBreakBefore w:val="0"/>
              <w:suppressLineNumbers w:val="0"/>
              <w:tabs>
                <w:tab w:val="left" w:pos="360"/>
              </w:tabs>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二、采购内容：</w:t>
            </w:r>
          </w:p>
          <w:tbl>
            <w:tblPr>
              <w:tblStyle w:val="50"/>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4"/>
              <w:gridCol w:w="725"/>
              <w:gridCol w:w="750"/>
              <w:gridCol w:w="1217"/>
              <w:gridCol w:w="3025"/>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val="en-US" w:eastAsia="zh-CN"/>
                      <w14:textFill>
                        <w14:solidFill>
                          <w14:schemeClr w14:val="tx1"/>
                        </w14:solidFill>
                      </w14:textFill>
                    </w:rPr>
                    <w:t>项目名称</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数量</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单位</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预算</w:t>
                  </w:r>
                  <w:r>
                    <w:rPr>
                      <w:rFonts w:hint="default" w:ascii="Times New Roman" w:hAnsi="Times New Roman" w:eastAsia="新宋体" w:cs="Times New Roman"/>
                      <w:color w:val="000000" w:themeColor="text1"/>
                      <w:kern w:val="0"/>
                      <w:sz w:val="22"/>
                      <w:szCs w:val="22"/>
                      <w:highlight w:val="none"/>
                      <w:lang w:val="en-US" w:eastAsia="zh-CN"/>
                      <w14:textFill>
                        <w14:solidFill>
                          <w14:schemeClr w14:val="tx1"/>
                        </w14:solidFill>
                      </w14:textFill>
                    </w:rPr>
                    <w:t>金额</w:t>
                  </w:r>
                </w:p>
              </w:tc>
              <w:tc>
                <w:tcPr>
                  <w:tcW w:w="3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简要技术要求、用途</w:t>
                  </w:r>
                </w:p>
              </w:tc>
              <w:tc>
                <w:tcPr>
                  <w:tcW w:w="18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20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eastAsia="新宋体" w:cs="Times New Roman"/>
                      <w:color w:val="000000" w:themeColor="text1"/>
                      <w:sz w:val="22"/>
                      <w:szCs w:val="22"/>
                      <w:highlight w:val="none"/>
                      <w:lang w:val="en-US" w:eastAsia="zh-CN"/>
                      <w14:textFill>
                        <w14:solidFill>
                          <w14:schemeClr w14:val="tx1"/>
                        </w14:solidFill>
                      </w14:textFill>
                    </w:rPr>
                    <w:t>单晶X射线衍射仪</w:t>
                  </w:r>
                </w:p>
              </w:tc>
              <w:tc>
                <w:tcPr>
                  <w:tcW w:w="7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kern w:val="0"/>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val="en-US" w:eastAsia="zh-CN"/>
                      <w14:textFill>
                        <w14:solidFill>
                          <w14:schemeClr w14:val="tx1"/>
                        </w14:solidFill>
                      </w14:textFill>
                    </w:rPr>
                    <w:t>1</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val="en-US" w:eastAsia="zh-CN"/>
                      <w14:textFill>
                        <w14:solidFill>
                          <w14:schemeClr w14:val="tx1"/>
                        </w14:solidFill>
                      </w14:textFill>
                    </w:rPr>
                    <w:t>台</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pStyle w:val="235"/>
                    <w:keepNext w:val="0"/>
                    <w:keepLines w:val="0"/>
                    <w:pageBreakBefore w:val="0"/>
                    <w:suppressLineNumbers w:val="0"/>
                    <w:kinsoku/>
                    <w:wordWrap/>
                    <w:overflowPunct/>
                    <w:topLinePunct w:val="0"/>
                    <w:bidi w:val="0"/>
                    <w:snapToGrid w:val="0"/>
                    <w:spacing w:before="0" w:beforeAutospacing="0" w:after="0" w:afterAutospacing="0" w:line="460" w:lineRule="exact"/>
                    <w:ind w:left="0" w:right="0" w:firstLine="0" w:firstLineChars="0"/>
                    <w:jc w:val="cente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200万元</w:t>
                  </w:r>
                </w:p>
              </w:tc>
              <w:tc>
                <w:tcPr>
                  <w:tcW w:w="3025" w:type="dxa"/>
                  <w:tcBorders>
                    <w:top w:val="single" w:color="auto" w:sz="4" w:space="0"/>
                    <w:lef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详见磋商文件第四部分“项目技术规范和服务要求”</w:t>
                  </w:r>
                </w:p>
              </w:tc>
              <w:tc>
                <w:tcPr>
                  <w:tcW w:w="1857" w:type="dxa"/>
                  <w:tcBorders>
                    <w:top w:val="single" w:color="auto" w:sz="4" w:space="0"/>
                    <w:left w:val="single" w:color="auto" w:sz="4"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kern w:val="0"/>
                      <w:sz w:val="22"/>
                      <w:szCs w:val="22"/>
                      <w:highlight w:val="none"/>
                      <w:lang w:val="en-US" w:eastAsia="zh-CN"/>
                      <w14:textFill>
                        <w14:solidFill>
                          <w14:schemeClr w14:val="tx1"/>
                        </w14:solidFill>
                      </w14:textFill>
                    </w:rPr>
                  </w:pPr>
                  <w:r>
                    <w:rPr>
                      <w:rFonts w:hint="eastAsia" w:eastAsia="新宋体" w:cs="Times New Roman"/>
                      <w:color w:val="000000" w:themeColor="text1"/>
                      <w:kern w:val="0"/>
                      <w:sz w:val="22"/>
                      <w:szCs w:val="22"/>
                      <w:highlight w:val="none"/>
                      <w:lang w:val="en-US" w:eastAsia="zh-CN"/>
                      <w14:textFill>
                        <w14:solidFill>
                          <w14:schemeClr w14:val="tx1"/>
                        </w14:solidFill>
                      </w14:textFill>
                    </w:rPr>
                    <w:t>本项目允许进口设备进行投标</w:t>
                  </w:r>
                </w:p>
              </w:tc>
            </w:tr>
          </w:tbl>
          <w:p>
            <w:pPr>
              <w:keepNext w:val="0"/>
              <w:keepLines w:val="0"/>
              <w:pageBreakBefore w:val="0"/>
              <w:suppressLineNumbers w:val="0"/>
              <w:tabs>
                <w:tab w:val="left" w:pos="360"/>
              </w:tabs>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▲如</w:t>
            </w:r>
            <w:r>
              <w:rPr>
                <w:rFonts w:hint="default" w:ascii="Times New Roman" w:hAnsi="Times New Roman" w:eastAsia="新宋体" w:cs="Times New Roman"/>
                <w:b/>
                <w:bCs/>
                <w:color w:val="000000" w:themeColor="text1"/>
                <w:sz w:val="22"/>
                <w:szCs w:val="22"/>
                <w:highlight w:val="none"/>
                <w:lang w:val="en-US" w:eastAsia="zh-CN" w:bidi="ar"/>
                <w14:textFill>
                  <w14:solidFill>
                    <w14:schemeClr w14:val="tx1"/>
                  </w14:solidFill>
                </w14:textFill>
              </w:rPr>
              <w:t>磋商供应商</w:t>
            </w: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报价超过预算按无效标处理</w:t>
            </w:r>
            <w:r>
              <w:rPr>
                <w:rFonts w:hint="default" w:ascii="Times New Roman" w:hAnsi="Times New Roman" w:eastAsia="新宋体" w:cs="Times New Roman"/>
                <w:b/>
                <w:bCs/>
                <w:color w:val="000000" w:themeColor="text1"/>
                <w:sz w:val="22"/>
                <w:szCs w:val="22"/>
                <w:highlight w:val="none"/>
                <w:lang w:eastAsia="zh-CN" w:bidi="ar"/>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2</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磋商有效期：</w:t>
            </w:r>
            <w:r>
              <w:rPr>
                <w:rFonts w:hint="default" w:ascii="Times New Roman" w:hAnsi="Times New Roman" w:eastAsia="新宋体" w:cs="Times New Roman"/>
                <w:color w:val="000000" w:themeColor="text1"/>
                <w:sz w:val="22"/>
                <w:szCs w:val="22"/>
                <w:highlight w:val="none"/>
                <w14:textFill>
                  <w14:solidFill>
                    <w14:schemeClr w14:val="tx1"/>
                  </w14:solidFill>
                </w14:textFill>
              </w:rPr>
              <w:t>自磋商响应文件递交截止日起120天。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3</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磋商保证金数额：无</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4</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b w:val="0"/>
                <w:bCs w:val="0"/>
                <w:color w:val="000000" w:themeColor="text1"/>
                <w:sz w:val="22"/>
                <w:szCs w:val="22"/>
                <w:highlight w:val="none"/>
                <w:shd w:val="clear" w:color="auto" w:fill="auto"/>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采购服务费：根据国家计委计价格【2002】1980号《招标代理服务收费管理暂行办法》规定按成交金额的差额定率累计法计算后下浮</w:t>
            </w:r>
            <w:r>
              <w:rPr>
                <w:rFonts w:hint="default" w:ascii="Times New Roman" w:hAnsi="Times New Roman" w:eastAsia="新宋体" w:cs="Times New Roman"/>
                <w:b/>
                <w:bCs/>
                <w:color w:val="000000" w:themeColor="text1"/>
                <w:sz w:val="22"/>
                <w:szCs w:val="22"/>
                <w:highlight w:val="none"/>
                <w:lang w:val="en-US" w:eastAsia="zh-CN" w:bidi="ar"/>
                <w14:textFill>
                  <w14:solidFill>
                    <w14:schemeClr w14:val="tx1"/>
                  </w14:solidFill>
                </w14:textFill>
              </w:rPr>
              <w:t>2</w:t>
            </w: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0%收取</w:t>
            </w:r>
            <w:r>
              <w:rPr>
                <w:rFonts w:hint="default" w:ascii="Times New Roman" w:hAnsi="Times New Roman" w:eastAsia="新宋体" w:cs="Times New Roman"/>
                <w:b/>
                <w:bCs/>
                <w:color w:val="000000" w:themeColor="text1"/>
                <w:sz w:val="22"/>
                <w:szCs w:val="22"/>
                <w:highlight w:val="none"/>
                <w:lang w:eastAsia="zh-CN" w:bidi="ar"/>
                <w14:textFill>
                  <w14:solidFill>
                    <w14:schemeClr w14:val="tx1"/>
                  </w14:solidFill>
                </w14:textFill>
              </w:rPr>
              <w:t>，</w:t>
            </w:r>
            <w:r>
              <w:rPr>
                <w:rFonts w:hint="default" w:ascii="Times New Roman" w:hAnsi="Times New Roman" w:eastAsia="新宋体" w:cs="Times New Roman"/>
                <w:b/>
                <w:bCs/>
                <w:color w:val="000000" w:themeColor="text1"/>
                <w:sz w:val="22"/>
                <w:szCs w:val="22"/>
                <w:highlight w:val="none"/>
                <w:lang w:val="en-US" w:eastAsia="zh-CN" w:bidi="ar"/>
                <w14:textFill>
                  <w14:solidFill>
                    <w14:schemeClr w14:val="tx1"/>
                  </w14:solidFill>
                </w14:textFill>
              </w:rPr>
              <w:t>不足3000元按3000元收取，</w:t>
            </w: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由</w:t>
            </w:r>
            <w:r>
              <w:rPr>
                <w:rFonts w:hint="default" w:ascii="Times New Roman" w:hAnsi="Times New Roman" w:eastAsia="新宋体" w:cs="Times New Roman"/>
                <w:b/>
                <w:bCs/>
                <w:color w:val="000000" w:themeColor="text1"/>
                <w:sz w:val="22"/>
                <w:szCs w:val="22"/>
                <w:highlight w:val="none"/>
                <w:lang w:val="en-US" w:eastAsia="zh-CN" w:bidi="ar"/>
                <w14:textFill>
                  <w14:solidFill>
                    <w14:schemeClr w14:val="tx1"/>
                  </w14:solidFill>
                </w14:textFill>
              </w:rPr>
              <w:t>成交</w:t>
            </w: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人在领取</w:t>
            </w:r>
            <w:r>
              <w:rPr>
                <w:rFonts w:hint="default" w:ascii="Times New Roman" w:hAnsi="Times New Roman" w:eastAsia="新宋体" w:cs="Times New Roman"/>
                <w:b/>
                <w:bCs/>
                <w:color w:val="000000" w:themeColor="text1"/>
                <w:sz w:val="22"/>
                <w:szCs w:val="22"/>
                <w:highlight w:val="none"/>
                <w:lang w:val="en-US" w:eastAsia="zh-CN" w:bidi="ar"/>
                <w14:textFill>
                  <w14:solidFill>
                    <w14:schemeClr w14:val="tx1"/>
                  </w14:solidFill>
                </w14:textFill>
              </w:rPr>
              <w:t>成交</w:t>
            </w: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通知书时支付。</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户  名：温州历程招标有限公司</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账  号：33050162870409101001</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开户行：中国建设银行温州黎明支行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5</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磋商响应文件的组成：</w:t>
            </w: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完整的《磋商响应文件》由“资格文件”、“报价文件”和“商务技术文件”三个部分组成。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6</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磋商响应文件的编制：</w:t>
            </w: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供应商应先安装“政采云电子交易客户端”，并按照本磋商文件和“政府采购云平台”的要求，通过“政采云电子交易客户端”编制并加密磋商响应文件。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7</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磋商响应文件的签章：</w:t>
            </w: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电子签章。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8</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磋商响应文件的形式：</w:t>
            </w: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☑电子磋商响应文件（包括“电子加密磋商响应文件”和“备份磋商响应文件”，在磋商响应文件编制完成后同时生成）；</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（1）“电子加密磋商响应文件”是指通过“政采云电子交易客户端”完成磋商响应文件编制后生成并加密的数据电文形式的磋商响应文件。</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（2）“备份磋商响应文件”是指与“电子加密磋商响应文件”同时生成的数据电文形式的电子文件（备份标书），其他方式编制的备份磋商响应文件视为无效备份磋商响应文件。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9</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磋商响应文件份数：</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“电子加密磋商响应文件”：在线上传递交、一份。</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“备份磋商响应文件”：密封包装后磋商响应文件递交截止时间前递交、一份</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（若不提供备份文件，电子加密磋商响应文件解密失败，磋商供应商自行负责。）</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可以（顺丰邮寄形式）在磋商响应文件递交截止时间前递交，并需采购代理机构确认是否收到，</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收件人：肖忠文，联系方式：13757727199</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邮寄地址：温州市鹿城区学院中路229号三想集团</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5</w:t>
            </w:r>
            <w:r>
              <w:rPr>
                <w:rFonts w:hint="default" w:ascii="Times New Roman" w:hAnsi="Times New Roman" w:eastAsia="新宋体" w:cs="Times New Roman"/>
                <w:color w:val="000000" w:themeColor="text1"/>
                <w:sz w:val="22"/>
                <w:szCs w:val="22"/>
                <w:highlight w:val="none"/>
                <w14:textFill>
                  <w14:solidFill>
                    <w14:schemeClr w14:val="tx1"/>
                  </w14:solidFill>
                </w14:textFill>
              </w:rPr>
              <w:t>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10</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磋商响应文件的上传和递交：</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（1）“电子加密磋商响应文件”的上传、递交：</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a.磋商供应商应在</w:t>
            </w:r>
            <w:r>
              <w:rPr>
                <w:rFonts w:hint="default" w:ascii="Times New Roman" w:hAnsi="Times New Roman" w:eastAsia="新宋体" w:cs="Times New Roman"/>
                <w:color w:val="000000" w:themeColor="text1"/>
                <w:sz w:val="22"/>
                <w:szCs w:val="22"/>
                <w:highlight w:val="none"/>
                <w14:textFill>
                  <w14:solidFill>
                    <w14:schemeClr w14:val="tx1"/>
                  </w14:solidFill>
                </w14:textFill>
              </w:rPr>
              <w:t>磋商响应文件递交截止</w:t>
            </w: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时间前将“电子加密磋商响应文件”成功上传递交至“政府采购云平台”，否则磋商无效。</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b.“电子加密磋商响应文件”成功上传递交后，供应商可自行打印磋商响应文件接收回执。</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（2）“备份磋商响应文件”的密封包装、递交：</w:t>
            </w:r>
          </w:p>
          <w:p>
            <w:pPr>
              <w:keepNext w:val="0"/>
              <w:keepLines w:val="0"/>
              <w:pageBreakBefore w:val="0"/>
              <w:suppressLineNumbers w:val="0"/>
              <w:tabs>
                <w:tab w:val="left" w:pos="360"/>
              </w:tabs>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a.磋商供应商在“政府采购云平台”完成“电子加密磋商响应文件”的上传递交后，</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还可以在磋商响应文件递交截止时间前递交以介质（U盘）存储的数据电文形式的“备份磋商响应文件”，（可以（顺丰邮寄形式）在磋商响应文件递交截止时间前递交，并需采购代理机构确认是否收到）；</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b.“备份磋商响应文件”应当密封包装，并在包装上标注项目名称、磋商供应商名称并加盖公章。没有密封包装或者逾期（邮寄）送达至磋商地点的“备份磋商响应文件”将不予接收；</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c.通过“政府采购云平台”成功上传递交的“电子加密磋商响应文件”已按时解密的，“备份磋商响应文件”自动失效。</w:t>
            </w:r>
            <w:r>
              <w:rPr>
                <w:rFonts w:hint="default" w:ascii="Times New Roman" w:hAnsi="Times New Roman" w:eastAsia="新宋体" w:cs="Times New Roman"/>
                <w:color w:val="000000" w:themeColor="text1"/>
                <w:sz w:val="22"/>
                <w:szCs w:val="22"/>
                <w:highlight w:val="none"/>
                <w14:textFill>
                  <w14:solidFill>
                    <w14:schemeClr w14:val="tx1"/>
                  </w14:solidFill>
                </w14:textFill>
              </w:rPr>
              <w:t>磋商响应文件递交截止</w:t>
            </w: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时间前，磋商供应商仅递交了“备份磋商响应文件”而未将“电子加密磋商响应文件”成功上传至“政府采购云平台”的，磋商无效。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11</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电子加密磋商响应文件的解密和异常情况处理：</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（1）开标后，采购组织机构将向各磋商供应商发出“电子加密磋商响应文件”的解密通知，各磋商供应商代表应当在接到解密通知后30分钟内自行完成“电子加密磋商响应文件”的在线解密。</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2）通过“政府采购云平台”成功上传递交的“电子加密磋商响应文件”无法按时解密，磋商供应商如按规定递交了“备份磋商响应文件”的，以“备份磋商响应文件”为依据（由采购组织机构按“政府采购云平台”操作规范将“备份磋商响应文件”上传至“政府采购云平台”，上传成功后，“电子加密磋商响应文件”自动失效），否则视为磋商响应文件撤回。</w:t>
            </w:r>
          </w:p>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（3）磋商响应文件递交截止时间前，磋商供应商仅递交了“备份磋商响应文件”而未将电子加密磋商响应文件上传至“政府采购云平台”的，磋商响应文件无效。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12</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磋商响应文件递交截止时间：</w:t>
            </w:r>
            <w:r>
              <w:rPr>
                <w:rFonts w:hint="default" w:ascii="Times New Roman" w:hAnsi="Times New Roman" w:eastAsia="新宋体" w:cs="Times New Roman"/>
                <w:b/>
                <w:bCs/>
                <w:color w:val="000000" w:themeColor="text1"/>
                <w:sz w:val="22"/>
                <w:szCs w:val="22"/>
                <w:highlight w:val="none"/>
                <w:lang w:val="en-US" w:eastAsia="zh-CN" w:bidi="ar"/>
                <w14:textFill>
                  <w14:solidFill>
                    <w14:schemeClr w14:val="tx1"/>
                  </w14:solidFill>
                </w14:textFill>
              </w:rPr>
              <w:t>2022年8月27日09：30</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13</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磋商地点：</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温州大学茶山南校区行政楼516A室（政府采购云平台</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http://zfcg.czt.zj.gov.cn</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highlight w:val="no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auto" w:sz="4"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14</w:t>
            </w:r>
          </w:p>
        </w:tc>
        <w:tc>
          <w:tcPr>
            <w:tcW w:w="9694" w:type="dxa"/>
            <w:tcBorders>
              <w:top w:val="single" w:color="000000" w:sz="2" w:space="0"/>
              <w:left w:val="single" w:color="000000" w:sz="2" w:space="0"/>
              <w:bottom w:val="single" w:color="auto" w:sz="4" w:space="0"/>
              <w:right w:val="single" w:color="000000" w:sz="8"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bidi="ar"/>
                <w14:textFill>
                  <w14:solidFill>
                    <w14:schemeClr w14:val="tx1"/>
                  </w14:solidFill>
                </w14:textFill>
              </w:rPr>
              <w:t>开标时间和地点：</w:t>
            </w: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同磋商响应文件递交截止时间与磋商地点。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15</w:t>
            </w:r>
          </w:p>
        </w:tc>
        <w:tc>
          <w:tcPr>
            <w:tcW w:w="9694"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带“▲”条款系指实质性要求条款。</w:t>
            </w:r>
            <w:r>
              <w:rPr>
                <w:rFonts w:hint="default" w:ascii="Times New Roman" w:hAnsi="Times New Roman" w:eastAsia="新宋体" w:cs="Times New Roman"/>
                <w:color w:val="000000" w:themeColor="text1"/>
                <w:sz w:val="22"/>
                <w:szCs w:val="22"/>
                <w:highlight w:val="none"/>
                <w14:textFill>
                  <w14:solidFill>
                    <w14:schemeClr w14:val="tx1"/>
                  </w14:solidFill>
                </w14:textFill>
              </w:rPr>
              <w:t>“★”是关键技术参数及要求。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auto" w:sz="4" w:space="0"/>
              <w:left w:val="single" w:color="000000" w:sz="8" w:space="0"/>
              <w:bottom w:val="single" w:color="auto" w:sz="4" w:space="0"/>
              <w:right w:val="single" w:color="000000" w:sz="2"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val="en-US" w:eastAsia="zh-CN"/>
                <w14:textFill>
                  <w14:solidFill>
                    <w14:schemeClr w14:val="tx1"/>
                  </w14:solidFill>
                </w14:textFill>
              </w:rPr>
              <w:t>16</w:t>
            </w:r>
          </w:p>
        </w:tc>
        <w:tc>
          <w:tcPr>
            <w:tcW w:w="9694" w:type="dxa"/>
            <w:tcBorders>
              <w:top w:val="single" w:color="auto" w:sz="4" w:space="0"/>
              <w:left w:val="single" w:color="000000" w:sz="2" w:space="0"/>
              <w:bottom w:val="single" w:color="auto" w:sz="4"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bidi="ar"/>
                <w14:textFill>
                  <w14:solidFill>
                    <w14:schemeClr w14:val="tx1"/>
                  </w14:solidFill>
                </w14:textFill>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textAlignment w:val="cente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kern w:val="0"/>
                <w:sz w:val="22"/>
                <w:szCs w:val="22"/>
                <w:highlight w:val="none"/>
                <w:lang w:bidi="ar"/>
                <w14:textFill>
                  <w14:solidFill>
                    <w14:schemeClr w14:val="tx1"/>
                  </w14:solidFill>
                </w14:textFill>
              </w:rPr>
              <w:t>1</w:t>
            </w:r>
            <w:r>
              <w:rPr>
                <w:rFonts w:hint="default" w:ascii="Times New Roman" w:hAnsi="Times New Roman" w:eastAsia="新宋体" w:cs="Times New Roman"/>
                <w:b/>
                <w:bCs/>
                <w:color w:val="000000" w:themeColor="text1"/>
                <w:kern w:val="0"/>
                <w:sz w:val="22"/>
                <w:szCs w:val="22"/>
                <w:highlight w:val="none"/>
                <w:lang w:val="en-US" w:eastAsia="zh-CN" w:bidi="ar"/>
                <w14:textFill>
                  <w14:solidFill>
                    <w14:schemeClr w14:val="tx1"/>
                  </w14:solidFill>
                </w14:textFill>
              </w:rPr>
              <w:t>7</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kern w:val="10"/>
                <w:sz w:val="22"/>
                <w:szCs w:val="22"/>
                <w:highlight w:val="none"/>
                <w14:textFill>
                  <w14:solidFill>
                    <w14:schemeClr w14:val="tx1"/>
                  </w14:solidFill>
                </w14:textFill>
              </w:rPr>
              <w:t>潜在供应商需在浙江政府采购网http://zfcg.czt.zj.gov.cn/进行免费注册，具体详见浙江政府采购网供应商注册要求。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textAlignment w:val="cente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kern w:val="0"/>
                <w:sz w:val="22"/>
                <w:szCs w:val="22"/>
                <w:highlight w:val="none"/>
                <w:lang w:bidi="ar"/>
                <w14:textFill>
                  <w14:solidFill>
                    <w14:schemeClr w14:val="tx1"/>
                  </w14:solidFill>
                </w14:textFill>
              </w:rPr>
              <w:t>1</w:t>
            </w:r>
            <w:r>
              <w:rPr>
                <w:rFonts w:hint="default" w:ascii="Times New Roman" w:hAnsi="Times New Roman" w:eastAsia="新宋体" w:cs="Times New Roman"/>
                <w:b/>
                <w:bCs/>
                <w:color w:val="000000" w:themeColor="text1"/>
                <w:kern w:val="0"/>
                <w:sz w:val="22"/>
                <w:szCs w:val="22"/>
                <w:highlight w:val="none"/>
                <w:lang w:val="en-US" w:eastAsia="zh-CN" w:bidi="ar"/>
                <w14:textFill>
                  <w14:solidFill>
                    <w14:schemeClr w14:val="tx1"/>
                  </w14:solidFill>
                </w14:textFill>
              </w:rPr>
              <w:t>8</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shd w:val="clear" w:color="auto" w:fill="auto"/>
              <w:kinsoku/>
              <w:wordWrap/>
              <w:overflowPunct/>
              <w:topLinePunct w:val="0"/>
              <w:bidi w:val="0"/>
              <w:adjustRightInd w:val="0"/>
              <w:snapToGrid w:val="0"/>
              <w:spacing w:before="0" w:beforeAutospacing="0" w:after="0" w:afterAutospacing="0" w:line="460" w:lineRule="exact"/>
              <w:ind w:left="0" w:right="0" w:firstLine="442" w:firstLineChars="200"/>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1、扶持中小企业（监狱企业、残疾人福利性单位）：</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项目预算：</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200 </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万元</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2</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项目属性：</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①货物类  </w:t>
            </w:r>
            <w:r>
              <w:rPr>
                <w:rFonts w:hint="default" w:ascii="Times New Roman" w:hAnsi="Times New Roman" w:eastAsia="新宋体" w:cs="Times New Roman"/>
                <w:color w:val="000000" w:themeColor="text1"/>
                <w:sz w:val="22"/>
                <w:szCs w:val="22"/>
                <w:highlight w:val="none"/>
                <w14:textFill>
                  <w14:solidFill>
                    <w14:schemeClr w14:val="tx1"/>
                  </w14:solidFill>
                </w14:textFill>
              </w:rPr>
              <w:t>（①货物类/②服务类/③工程类）</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3</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项目对应的中小企业划分标准所属行业：</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工业  </w:t>
            </w:r>
            <w:r>
              <w:rPr>
                <w:rFonts w:hint="default" w:ascii="Times New Roman" w:hAnsi="Times New Roman" w:eastAsia="新宋体" w:cs="Times New Roman"/>
                <w:color w:val="000000" w:themeColor="text1"/>
                <w:sz w:val="22"/>
                <w:szCs w:val="22"/>
                <w:highlight w:val="none"/>
                <w14:textFill>
                  <w14:solidFill>
                    <w14:schemeClr w14:val="tx1"/>
                  </w14:solidFill>
                </w14:textFill>
              </w:rPr>
              <w:t>（具体根据《中小企业划型标准规定》执行）</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4</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本项目</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eastAsia" w:eastAsia="新宋体" w:cs="Times New Roman"/>
                <w:color w:val="000000" w:themeColor="text1"/>
                <w:sz w:val="22"/>
                <w:szCs w:val="22"/>
                <w:highlight w:val="none"/>
                <w:u w:val="single"/>
                <w:lang w:val="en-US" w:eastAsia="zh-CN"/>
                <w14:textFill>
                  <w14:solidFill>
                    <w14:schemeClr w14:val="tx1"/>
                  </w14:solidFill>
                </w14:textFill>
              </w:rPr>
              <w:t>否</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属于预留份额专门面向中小企业采购的项目。</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5</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上述第4项中确定为“是”的采购项目，预留份额通过（</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）措施进行：</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①将采购项目整体或者设置采购包专门面向中小企业采购； </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②要求供应商以联合体形式参加采购活动，且联合体中中小企业承担的部分达到</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比例</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③要求获得采购合同的供应商将采购项目中的 </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比例</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分包给一家或者多家中小企业。</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6</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对于经主管预算单位统筹后未预留份额专门面向中小企业采购的采购项目，以及预留份额项目中的非预留部分采购包，请贵单位明确对符合本办法规定的小微企业报价给予</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（6%—10%）（工程项目为 3%—5%）的扣除，用扣除后的价格参加评审。 </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（2%-3%）（工程项目为 1%—2%）的扣除，用扣除后的价格参加评审。</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专门面向中小企业采购的项目或者标项，不再执行价格评审优惠的扶持政策。</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val="en-US" w:eastAsia="zh-CN"/>
                <w14:textFill>
                  <w14:solidFill>
                    <w14:schemeClr w14:val="tx1"/>
                  </w14:solidFill>
                </w14:textFill>
              </w:rPr>
              <w:t>2</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、节能产品、环境标志产品的强制采购政策</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根据财政部、国家发展和改革委员会、生态环境部等部门公布的政府采购节能产品、环境标志产品品目清单的规定，依据品目清单和认证证书实施政府优先采购和强制采购。招标人拟采购的产品属于品目清单范围内的强制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、节能产品、环境标志产品的优先采购政策</w:t>
            </w:r>
          </w:p>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firstLine="440" w:firstLineChars="200"/>
              <w:jc w:val="left"/>
              <w:rPr>
                <w:rFonts w:hint="default" w:ascii="Times New Roman" w:hAnsi="Times New Roman" w:eastAsia="新宋体" w:cs="Times New Roman"/>
                <w:b/>
                <w:color w:val="000000" w:themeColor="text1"/>
                <w:kern w:val="1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根据财政部、国家发展和改革委员会、生态环境部等部门公布的政府采购节能产品、环境标志产品品目清单的规定、依据品目清单和认证证书实施政府优先采购和强制采购。招标人拟采购的产品属于品目清单范围内的优先采购品目的，供应商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03" w:type="dxa"/>
            <w:tcBorders>
              <w:top w:val="single" w:color="000000" w:sz="2" w:space="0"/>
              <w:left w:val="single" w:color="000000" w:sz="8" w:space="0"/>
              <w:bottom w:val="single" w:color="000000" w:sz="2" w:space="0"/>
              <w:right w:val="single" w:color="000000" w:sz="2" w:space="0"/>
            </w:tcBorders>
            <w:noWrap w:val="0"/>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460" w:lineRule="exact"/>
              <w:ind w:left="0" w:right="0"/>
              <w:jc w:val="center"/>
              <w:textAlignment w:val="cente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kern w:val="0"/>
                <w:sz w:val="22"/>
                <w:szCs w:val="22"/>
                <w:highlight w:val="none"/>
                <w:lang w:bidi="ar"/>
                <w14:textFill>
                  <w14:solidFill>
                    <w14:schemeClr w14:val="tx1"/>
                  </w14:solidFill>
                </w14:textFill>
              </w:rPr>
              <w:t>1</w:t>
            </w:r>
            <w:r>
              <w:rPr>
                <w:rFonts w:hint="default" w:ascii="Times New Roman" w:hAnsi="Times New Roman" w:eastAsia="新宋体" w:cs="Times New Roman"/>
                <w:b/>
                <w:bCs/>
                <w:color w:val="000000" w:themeColor="text1"/>
                <w:kern w:val="0"/>
                <w:sz w:val="22"/>
                <w:szCs w:val="22"/>
                <w:highlight w:val="none"/>
                <w:lang w:val="en-US" w:eastAsia="zh-CN" w:bidi="ar"/>
                <w14:textFill>
                  <w14:solidFill>
                    <w14:schemeClr w14:val="tx1"/>
                  </w14:solidFill>
                </w14:textFill>
              </w:rPr>
              <w:t>9</w:t>
            </w:r>
          </w:p>
        </w:tc>
        <w:tc>
          <w:tcPr>
            <w:tcW w:w="9694" w:type="dxa"/>
            <w:tcBorders>
              <w:top w:val="single" w:color="000000" w:sz="2" w:space="0"/>
              <w:left w:val="single" w:color="000000" w:sz="2" w:space="0"/>
              <w:bottom w:val="single" w:color="000000" w:sz="2" w:space="0"/>
              <w:right w:val="single" w:color="000000" w:sz="8" w:space="0"/>
            </w:tcBorders>
            <w:noWrap w:val="0"/>
            <w:vAlign w:val="center"/>
          </w:tcPr>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根据《关于在政府采购活动中查询及使用信用记录有关问题的通知》财库[2016]125号的规定：</w:t>
            </w:r>
          </w:p>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1）采购人或采购代理机构将对本项目供应商的信用记录进行查询。查询渠道为信用中国网站（www.creditchina.gov.cn）、中国政府采购网（www.ccgp.gov.cn）；</w:t>
            </w:r>
          </w:p>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2）截止时点：提交磋商响应文件（响应文件）截止时间前3年内；</w:t>
            </w:r>
          </w:p>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3）查询记录和证据的留存：信用信息查询记录和证据以网页截图等方式留存。</w:t>
            </w:r>
          </w:p>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4）使用规则：被列入失信被执行人、重大税收违法案件当事人名单、政府采购严重违法失信行为记录名单及其它不符合《中华人民共和国政府采购法》第二十二条规定条件的，其磋商将被拒绝。</w:t>
            </w:r>
          </w:p>
          <w:p>
            <w:pPr>
              <w:keepNext w:val="0"/>
              <w:keepLines w:val="0"/>
              <w:pageBreakBefore w:val="0"/>
              <w:suppressLineNumbers w:val="0"/>
              <w:kinsoku/>
              <w:wordWrap/>
              <w:overflowPunct/>
              <w:topLinePunct w:val="0"/>
              <w:bidi w:val="0"/>
              <w:snapToGrid w:val="0"/>
              <w:spacing w:before="0" w:beforeAutospacing="0" w:after="0" w:afterAutospacing="0" w:line="460" w:lineRule="exact"/>
              <w:ind w:left="0" w:right="0"/>
              <w:rPr>
                <w:rFonts w:hint="default" w:ascii="Times New Roman" w:hAnsi="Times New Roman" w:eastAsia="新宋体" w:cs="Times New Roman"/>
                <w:b/>
                <w:color w:val="000000" w:themeColor="text1"/>
                <w:kern w:val="1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5）联合体成员任意一方存在不良信用记录的，视同联合体存在不良信用记录。</w:t>
            </w:r>
          </w:p>
        </w:tc>
      </w:tr>
    </w:tbl>
    <w:p>
      <w:pPr>
        <w:bidi w:val="0"/>
        <w:rPr>
          <w:rFonts w:hint="default" w:ascii="Times New Roman" w:hAnsi="Times New Roman" w:eastAsia="新宋体" w:cs="Times New Roman"/>
          <w:color w:val="000000" w:themeColor="text1"/>
          <w:highlight w:val="none"/>
          <w14:textFill>
            <w14:solidFill>
              <w14:schemeClr w14:val="tx1"/>
            </w14:solidFill>
          </w14:textFill>
        </w:rPr>
      </w:pPr>
    </w:p>
    <w:p>
      <w:pPr>
        <w:bidi w:val="0"/>
        <w:rPr>
          <w:rFonts w:hint="default" w:ascii="Times New Roman" w:hAnsi="Times New Roman" w:eastAsia="新宋体" w:cs="Times New Roman"/>
          <w:color w:val="000000" w:themeColor="text1"/>
          <w:highlight w:val="none"/>
          <w14:textFill>
            <w14:solidFill>
              <w14:schemeClr w14:val="tx1"/>
            </w14:solidFill>
          </w14:textFill>
        </w:rPr>
      </w:pPr>
    </w:p>
    <w:p>
      <w:pPr>
        <w:rPr>
          <w:rFonts w:hint="default" w:ascii="Times New Roman" w:hAnsi="Times New Roman" w:eastAsia="新宋体" w:cs="Times New Roman"/>
          <w:color w:val="000000" w:themeColor="text1"/>
          <w:highlight w:val="none"/>
          <w14:textFill>
            <w14:solidFill>
              <w14:schemeClr w14:val="tx1"/>
            </w14:solidFill>
          </w14:textFill>
        </w:rPr>
      </w:pPr>
      <w:bookmarkStart w:id="18" w:name="_Toc4197"/>
      <w:bookmarkStart w:id="19" w:name="_Toc24199"/>
    </w:p>
    <w:p>
      <w:pPr>
        <w:rPr>
          <w:rFonts w:hint="default" w:ascii="Times New Roman" w:hAnsi="Times New Roman" w:eastAsia="新宋体" w:cs="Times New Roman"/>
          <w:color w:val="000000" w:themeColor="text1"/>
          <w:highlight w:val="none"/>
          <w14:textFill>
            <w14:solidFill>
              <w14:schemeClr w14:val="tx1"/>
            </w14:solidFill>
          </w14:textFill>
        </w:rPr>
      </w:pPr>
      <w:r>
        <w:rPr>
          <w:rFonts w:hint="default" w:ascii="Times New Roman" w:hAnsi="Times New Roman" w:eastAsia="新宋体" w:cs="Times New Roman"/>
          <w:color w:val="000000" w:themeColor="text1"/>
          <w:highlight w:val="none"/>
          <w14:textFill>
            <w14:solidFill>
              <w14:schemeClr w14:val="tx1"/>
            </w14:solidFill>
          </w14:textFill>
        </w:rPr>
        <w:br w:type="page"/>
      </w:r>
    </w:p>
    <w:bookmarkEnd w:id="17"/>
    <w:bookmarkEnd w:id="18"/>
    <w:bookmarkEnd w:id="19"/>
    <w:p>
      <w:pPr>
        <w:spacing w:before="100" w:beforeAutospacing="1" w:after="100" w:afterAutospacing="1" w:line="460" w:lineRule="exact"/>
        <w:jc w:val="center"/>
        <w:outlineLvl w:val="1"/>
        <w:rPr>
          <w:rFonts w:hint="default" w:ascii="Times New Roman" w:hAnsi="Times New Roman" w:eastAsia="新宋体" w:cs="Times New Roman"/>
          <w:b/>
          <w:bCs/>
          <w:color w:val="000000" w:themeColor="text1"/>
          <w:sz w:val="32"/>
          <w:szCs w:val="32"/>
          <w:highlight w:val="none"/>
          <w14:textFill>
            <w14:solidFill>
              <w14:schemeClr w14:val="tx1"/>
            </w14:solidFill>
          </w14:textFill>
        </w:rPr>
      </w:pPr>
      <w:bookmarkStart w:id="20" w:name="_Toc29436"/>
      <w:bookmarkStart w:id="21" w:name="_Toc21767"/>
      <w:r>
        <w:rPr>
          <w:rFonts w:hint="default" w:ascii="Times New Roman" w:hAnsi="Times New Roman" w:eastAsia="新宋体" w:cs="Times New Roman"/>
          <w:b/>
          <w:bCs/>
          <w:color w:val="000000" w:themeColor="text1"/>
          <w:sz w:val="32"/>
          <w:szCs w:val="32"/>
          <w:highlight w:val="none"/>
          <w14:textFill>
            <w14:solidFill>
              <w14:schemeClr w14:val="tx1"/>
            </w14:solidFill>
          </w14:textFill>
        </w:rPr>
        <w:t>一、 说   明</w:t>
      </w:r>
      <w:bookmarkEnd w:id="20"/>
      <w:bookmarkEnd w:id="21"/>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本次采购是按照《中华人民共和国政府采购法》、《政府采购货物和服务招标投标管理办法》、《中华人民共和国政府采购法实施条例》和《政府采购竞争性磋商采购方式管理暂行办法》等法律及有关法规组织和实施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2、定义</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采购人：是指依法进行政府采购的国家机关、事业单位、团体组织</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采购代理机构：受采购人委托，在委托的范围内办理政府采购事宜的机构；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磋商供应商：是指参加本政府采购项目磋商的供应商；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磋商供应商代表：是指参加本项目磋商活动的供应商法定代表人或法定代表人授权代表；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磋商联合体：是指两个以上供应商组成联合体，以一个供应商的身份参加磋商；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甲方：是指合同签订的一方，一般与采购人、用户相同；</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乙方：是指合同签订的另一方，与成交供应商相同；</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制造商：是指拥有所投产品自主知识产权的单位；</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中小企业（含中型、小型、微型）：符合中小企业划分标准（工信部联企业[2011]300号），在本项目政府采购活动中提供本企业制造的货物，或者提供其他中小企业制造的货物。本项所称货物不包括使用大型企业注册商标的货物及进口货物。小型、微型企业提供中型企业制造的货物的，视同为中型企业。</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原件备查：要求携带原件备查的，供应商应按要求携带备查，如磋商小组发现磋商响应文件资料复印件存有瑕疵，致使内容模糊、关键信息难以辨认、材料真实性存疑等情形的，有权核对原件或磋商小组认为有必有核对原件，若供应商未能提交原件，将会导致磋商小组作出对其不利的评定，一切后果由供应商自行承担。</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“▲”为实质性响应项，不满足则磋商无效。“★”是关键技术参数及要求。</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3、磋商供应商代表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3.1指全权代表磋商供应商参加磋商活动并签署磋商响应文件的人，如果磋商供应商代表不是法定代表人，须持有《法定代表人授权书》（见附件）。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根据政府采购相关法律、法规、规章、文件规定并满足磋商文件规定资格条件的区域性分支机构、个体工商户、个人独资企业、合伙企业参加本项目磋商并由单位负责人签署的相关磋商资料与本磋商文件规定由法定代表人签署的的文件材料具有同等效力。</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4、磋商费用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4.1</w:t>
      </w: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磋商供应商应承担所有与准备和参加磋商有关费用，不论磋商的结果如何，采购人或采购代理机构均无义务和责任承担这些费用。</w:t>
      </w:r>
    </w:p>
    <w:p>
      <w:pPr>
        <w:spacing w:before="100" w:beforeAutospacing="1" w:after="100" w:afterAutospacing="1" w:line="460" w:lineRule="exact"/>
        <w:jc w:val="center"/>
        <w:outlineLvl w:val="1"/>
        <w:rPr>
          <w:rFonts w:hint="default" w:ascii="Times New Roman" w:hAnsi="Times New Roman" w:eastAsia="新宋体" w:cs="Times New Roman"/>
          <w:b/>
          <w:bCs/>
          <w:color w:val="000000" w:themeColor="text1"/>
          <w:sz w:val="32"/>
          <w:szCs w:val="32"/>
          <w:highlight w:val="none"/>
          <w14:textFill>
            <w14:solidFill>
              <w14:schemeClr w14:val="tx1"/>
            </w14:solidFill>
          </w14:textFill>
        </w:rPr>
      </w:pPr>
      <w:bookmarkStart w:id="22" w:name="_Toc23282"/>
      <w:bookmarkStart w:id="23" w:name="_Toc20678"/>
      <w:r>
        <w:rPr>
          <w:rFonts w:hint="default" w:ascii="Times New Roman" w:hAnsi="Times New Roman" w:eastAsia="新宋体" w:cs="Times New Roman"/>
          <w:b/>
          <w:bCs/>
          <w:color w:val="000000" w:themeColor="text1"/>
          <w:sz w:val="32"/>
          <w:szCs w:val="32"/>
          <w:highlight w:val="none"/>
          <w14:textFill>
            <w14:solidFill>
              <w14:schemeClr w14:val="tx1"/>
            </w14:solidFill>
          </w14:textFill>
        </w:rPr>
        <w:t>二、 磋商文件</w:t>
      </w:r>
      <w:bookmarkEnd w:id="22"/>
      <w:bookmarkEnd w:id="23"/>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1、磋商文件由磋商文件目录所列内容及相关资料组成。</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2、磋商文件的澄清和修改</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2.1提交首次磋商响应文件截止之日前，采购人、采购代理机构或者磋商小组可以对已发出的磋商文件进行必要的澄清或者修改，澄清或者修改的内容作为磋商文件的组成部分。澄清或者修改的内容可能影响磋商响应文件编制的，采购人、采购代理机构应当在提交首次磋商响应文件截止时间至少5日前，以书面形式通知所有获取磋商文件的供应商；不足5日的，采购人、采购代理机构应当顺延提交首次磋商响应文件截止时间。</w:t>
      </w:r>
    </w:p>
    <w:p>
      <w:pPr>
        <w:spacing w:before="100" w:beforeAutospacing="1" w:after="100" w:afterAutospacing="1" w:line="460" w:lineRule="exact"/>
        <w:jc w:val="center"/>
        <w:outlineLvl w:val="1"/>
        <w:rPr>
          <w:rFonts w:hint="default" w:ascii="Times New Roman" w:hAnsi="Times New Roman" w:eastAsia="新宋体" w:cs="Times New Roman"/>
          <w:b/>
          <w:bCs/>
          <w:color w:val="000000" w:themeColor="text1"/>
          <w:sz w:val="32"/>
          <w:szCs w:val="32"/>
          <w:highlight w:val="none"/>
          <w14:textFill>
            <w14:solidFill>
              <w14:schemeClr w14:val="tx1"/>
            </w14:solidFill>
          </w14:textFill>
        </w:rPr>
      </w:pPr>
      <w:bookmarkStart w:id="24" w:name="_Toc78"/>
      <w:bookmarkStart w:id="25" w:name="_Toc7296"/>
      <w:r>
        <w:rPr>
          <w:rFonts w:hint="default" w:ascii="Times New Roman" w:hAnsi="Times New Roman" w:eastAsia="新宋体" w:cs="Times New Roman"/>
          <w:b/>
          <w:bCs/>
          <w:color w:val="000000" w:themeColor="text1"/>
          <w:sz w:val="32"/>
          <w:szCs w:val="32"/>
          <w:highlight w:val="none"/>
          <w14:textFill>
            <w14:solidFill>
              <w14:schemeClr w14:val="tx1"/>
            </w14:solidFill>
          </w14:textFill>
        </w:rPr>
        <w:t>三、 磋商响应文件的编制</w:t>
      </w:r>
      <w:bookmarkEnd w:id="24"/>
      <w:bookmarkEnd w:id="25"/>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1、磋商供应商应认真阅读磋商文件中所有事项、格式、条款和技术规范等。</w:t>
      </w:r>
      <w:r>
        <w:rPr>
          <w:rFonts w:hint="default" w:ascii="Times New Roman" w:hAnsi="Times New Roman" w:eastAsia="新宋体" w:cs="Times New Roman"/>
          <w:b/>
          <w:color w:val="000000" w:themeColor="text1"/>
          <w:sz w:val="22"/>
          <w:szCs w:val="22"/>
          <w:highlight w:val="none"/>
          <w14:textFill>
            <w14:solidFill>
              <w14:schemeClr w14:val="tx1"/>
            </w14:solidFill>
          </w14:textFill>
        </w:rPr>
        <w:t>磋商供应商没有按照磋商文件要求提交全部资料，或者没有对磋商文件各个方面做出实质性响应，导致磋商被否决的风险由磋商供应商自行承担。</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2、磋商供应商应保证所提供文件资料的真实性，所有文件资料必须是针对本次磋商的。如发现磋商供应商提供了虚假文件资料，其磋商将被否决，并自行承担相应的法律责任。</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3、</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磋商响应文件的构成：</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磋商响应文件</w:t>
      </w:r>
      <w:r>
        <w:rPr>
          <w:rFonts w:hint="default" w:ascii="Times New Roman" w:hAnsi="Times New Roman" w:eastAsia="新宋体" w:cs="Times New Roman"/>
          <w:color w:val="000000" w:themeColor="text1"/>
          <w:kern w:val="0"/>
          <w:sz w:val="22"/>
          <w:szCs w:val="22"/>
          <w:highlight w:val="none"/>
          <w:lang w:val="zh-CN"/>
          <w14:textFill>
            <w14:solidFill>
              <w14:schemeClr w14:val="tx1"/>
            </w14:solidFill>
          </w14:textFill>
        </w:rPr>
        <w:t>应当包括以下主要内容：资格文件、报价文件、商务技术文件。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kern w:val="0"/>
          <w:sz w:val="22"/>
          <w:szCs w:val="22"/>
          <w:highlight w:val="none"/>
          <w:u w:val="none"/>
          <w:lang w:val="zh-CN"/>
          <w14:textFill>
            <w14:solidFill>
              <w14:schemeClr w14:val="tx1"/>
            </w14:solidFill>
          </w14:textFill>
        </w:rPr>
      </w:pPr>
      <w:r>
        <w:rPr>
          <w:rFonts w:hint="default" w:ascii="Times New Roman" w:hAnsi="Times New Roman" w:eastAsia="新宋体" w:cs="Times New Roman"/>
          <w:b/>
          <w:bCs/>
          <w:color w:val="000000" w:themeColor="text1"/>
          <w:kern w:val="0"/>
          <w:sz w:val="22"/>
          <w:szCs w:val="22"/>
          <w:highlight w:val="none"/>
          <w:u w:val="none"/>
          <w14:textFill>
            <w14:solidFill>
              <w14:schemeClr w14:val="tx1"/>
            </w14:solidFill>
          </w14:textFill>
        </w:rPr>
        <w:t>3.1</w:t>
      </w:r>
      <w:r>
        <w:rPr>
          <w:rFonts w:hint="default" w:ascii="Times New Roman" w:hAnsi="Times New Roman" w:eastAsia="新宋体" w:cs="Times New Roman"/>
          <w:b/>
          <w:bCs/>
          <w:color w:val="000000" w:themeColor="text1"/>
          <w:kern w:val="0"/>
          <w:sz w:val="22"/>
          <w:szCs w:val="22"/>
          <w:highlight w:val="none"/>
          <w:u w:val="none"/>
          <w:lang w:val="zh-CN"/>
          <w14:textFill>
            <w14:solidFill>
              <w14:schemeClr w14:val="tx1"/>
            </w14:solidFill>
          </w14:textFill>
        </w:rPr>
        <w:t xml:space="preserve">磋商供应商的资格文件至少应包括以下内容： </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u w:val="none"/>
          <w:lang w:val="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u w:val="none"/>
          <w:lang w:val="zh-CN"/>
          <w14:textFill>
            <w14:solidFill>
              <w14:schemeClr w14:val="tx1"/>
            </w14:solidFill>
          </w14:textFill>
        </w:rPr>
        <w:t>基本资格条件审查材料：即证明其符合《中华人民共和国政府采购法》规定的供应商基本条件的有关资格证明文件。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包括：</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（1）</w:t>
      </w:r>
      <w:r>
        <w:rPr>
          <w:rFonts w:hint="default" w:ascii="Times New Roman" w:hAnsi="Times New Roman" w:eastAsia="新宋体" w:cs="Times New Roman"/>
          <w:bCs/>
          <w:color w:val="000000" w:themeColor="text1"/>
          <w:sz w:val="22"/>
          <w:szCs w:val="22"/>
          <w:highlight w:val="none"/>
          <w:u w:val="none"/>
          <w14:textFill>
            <w14:solidFill>
              <w14:schemeClr w14:val="tx1"/>
            </w14:solidFill>
          </w14:textFill>
        </w:rPr>
        <w:t>营业执照</w:t>
      </w:r>
      <w:r>
        <w:rPr>
          <w:rFonts w:hint="default" w:ascii="Times New Roman" w:hAnsi="Times New Roman" w:eastAsia="新宋体" w:cs="Times New Roman"/>
          <w:color w:val="000000" w:themeColor="text1"/>
          <w:sz w:val="22"/>
          <w:szCs w:val="22"/>
          <w:highlight w:val="none"/>
          <w:u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或事业法人登记证书或其它工商等登记证明材料；自然人参与政府采购，提供身份证</w:t>
      </w:r>
      <w:r>
        <w:rPr>
          <w:rFonts w:hint="default" w:ascii="Times New Roman" w:hAnsi="Times New Roman" w:eastAsia="新宋体" w:cs="Times New Roman"/>
          <w:color w:val="000000" w:themeColor="text1"/>
          <w:sz w:val="22"/>
          <w:szCs w:val="22"/>
          <w:highlight w:val="none"/>
          <w:u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 xml:space="preserve">复印件； </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磋商响应文件中提供相关材料），证明其具备实际承担责任的能力和法定的缔结合同能力，可以独立参加政府采购活动，由单位负责人签署相关文件材料；</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（2）最近一年财务报表</w:t>
      </w:r>
      <w:r>
        <w:rPr>
          <w:rFonts w:hint="default" w:ascii="Times New Roman" w:hAnsi="Times New Roman" w:eastAsia="新宋体" w:cs="Times New Roman"/>
          <w:color w:val="000000" w:themeColor="text1"/>
          <w:sz w:val="22"/>
          <w:szCs w:val="22"/>
          <w:highlight w:val="none"/>
          <w:u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复印件，新成立的公司提供情况说明</w:t>
      </w:r>
      <w:r>
        <w:rPr>
          <w:rFonts w:hint="default" w:ascii="Times New Roman" w:hAnsi="Times New Roman" w:eastAsia="新宋体" w:cs="Times New Roman"/>
          <w:color w:val="000000" w:themeColor="text1"/>
          <w:sz w:val="22"/>
          <w:szCs w:val="22"/>
          <w:highlight w:val="none"/>
          <w:u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（3）具有履行合同所必需的场地、设备和专业技术能力的承诺函；</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（4）依法缴纳税收和社会保障资金的承诺函；</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（5）参加政府采购活动前3年内在经营活动中没有重大违法记录的声明函；</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（6）单位负责人为同一人或者存在直接控股、管理关系的不同供应商，不得参加同一合同项下的政府采购活动承诺函；</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（7）供应商不属于公益一类事业单位承诺函。</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（8）未被“信用中国”（www.creditchina.gov.cn）、中国政府采购网（www.ccgp.gov.cn）列入失信被执行人、重大税收违法案件当事人名单、政府采购严重违法失信行为记录名单.</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信用信息查询记录和证据以项目公告发出日期后的网页截图为准；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（9）政府采购活动确认声明书</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上述资格条件审查材料有一项不提供的，视为资格审查不通过。</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 xml:space="preserve">3.2磋商供应商的报价文件至少应包括以下内容： </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（1）磋商响应</w:t>
      </w:r>
      <w:r>
        <w:rPr>
          <w:rFonts w:hint="default" w:ascii="Times New Roman" w:hAnsi="Times New Roman" w:eastAsia="新宋体" w:cs="Times New Roman"/>
          <w:color w:val="000000" w:themeColor="text1"/>
          <w:sz w:val="22"/>
          <w:szCs w:val="22"/>
          <w:highlight w:val="none"/>
          <w:u w:val="none"/>
          <w:lang w:val="zh-CN"/>
          <w14:textFill>
            <w14:solidFill>
              <w14:schemeClr w14:val="tx1"/>
            </w14:solidFill>
          </w14:textFill>
        </w:rPr>
        <w:t>函</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（2）报价一览表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（3）分项报价表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 xml:space="preserve">（4）中小企业声明函、监狱企业、残疾人福利性单位及其他相关的充分的证明材料。（如有） </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color w:val="000000" w:themeColor="text1"/>
          <w:kern w:val="0"/>
          <w:sz w:val="22"/>
          <w:szCs w:val="22"/>
          <w:highlight w:val="none"/>
          <w:lang w:val="zh-CN"/>
          <w14:textFill>
            <w14:solidFill>
              <w14:schemeClr w14:val="tx1"/>
            </w14:solidFill>
          </w14:textFill>
        </w:rPr>
      </w:pPr>
      <w:r>
        <w:rPr>
          <w:rFonts w:hint="default" w:ascii="Times New Roman" w:hAnsi="Times New Roman" w:eastAsia="新宋体" w:cs="Times New Roman"/>
          <w:b/>
          <w:bCs/>
          <w:color w:val="000000" w:themeColor="text1"/>
          <w:kern w:val="0"/>
          <w:sz w:val="22"/>
          <w:szCs w:val="22"/>
          <w:highlight w:val="none"/>
          <w14:textFill>
            <w14:solidFill>
              <w14:schemeClr w14:val="tx1"/>
            </w14:solidFill>
          </w14:textFill>
        </w:rPr>
        <w:t>3.3</w:t>
      </w:r>
      <w:r>
        <w:rPr>
          <w:rFonts w:hint="default" w:ascii="Times New Roman" w:hAnsi="Times New Roman" w:eastAsia="新宋体" w:cs="Times New Roman"/>
          <w:b/>
          <w:bCs/>
          <w:color w:val="000000" w:themeColor="text1"/>
          <w:kern w:val="0"/>
          <w:sz w:val="22"/>
          <w:szCs w:val="22"/>
          <w:highlight w:val="none"/>
          <w:lang w:val="zh-CN"/>
          <w14:textFill>
            <w14:solidFill>
              <w14:schemeClr w14:val="tx1"/>
            </w14:solidFill>
          </w14:textFill>
        </w:rPr>
        <w:t>磋商供应商的商务技术文件应包括以下内容：</w:t>
      </w:r>
      <w:r>
        <w:rPr>
          <w:rFonts w:hint="default" w:ascii="Times New Roman" w:hAnsi="Times New Roman" w:eastAsia="新宋体" w:cs="Times New Roman"/>
          <w:color w:val="000000" w:themeColor="text1"/>
          <w:kern w:val="0"/>
          <w:sz w:val="22"/>
          <w:szCs w:val="22"/>
          <w:highlight w:val="none"/>
          <w:lang w:val="zh-CN"/>
          <w14:textFill>
            <w14:solidFill>
              <w14:schemeClr w14:val="tx1"/>
            </w14:solidFill>
          </w14:textFill>
        </w:rPr>
        <w:t xml:space="preserve"> </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（1）法定代表人授权委托书（需提供法定代表人及授权委托人的身份证复印件加盖公章）；</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（2）磋商供应商情况表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bCs/>
          <w:color w:val="000000" w:themeColor="text1"/>
          <w:sz w:val="22"/>
          <w:szCs w:val="22"/>
          <w:highlight w:val="none"/>
          <w:u w:val="none" w:color="000000"/>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偏离表（</w:t>
      </w:r>
      <w:r>
        <w:rPr>
          <w:rFonts w:hint="default" w:ascii="Times New Roman" w:hAnsi="Times New Roman" w:eastAsia="新宋体" w:cs="Times New Roman"/>
          <w:color w:val="000000" w:themeColor="text1"/>
          <w:sz w:val="22"/>
          <w:szCs w:val="22"/>
          <w:highlight w:val="none"/>
          <w14:textFill>
            <w14:solidFill>
              <w14:schemeClr w14:val="tx1"/>
            </w14:solidFill>
          </w14:textFill>
        </w:rPr>
        <w:t>商务、技术偏离</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4</w:t>
      </w:r>
      <w:r>
        <w:rPr>
          <w:rFonts w:hint="default" w:ascii="Times New Roman" w:hAnsi="Times New Roman" w:eastAsia="新宋体" w:cs="Times New Roman"/>
          <w:color w:val="000000" w:themeColor="text1"/>
          <w:sz w:val="22"/>
          <w:szCs w:val="22"/>
          <w:highlight w:val="none"/>
          <w:u w:val="none" w:color="000000"/>
          <w:lang w:eastAsia="zh-CN"/>
          <w14:textFill>
            <w14:solidFill>
              <w14:schemeClr w14:val="tx1"/>
            </w14:solidFill>
          </w14:textFill>
        </w:rPr>
        <w:t>）</w:t>
      </w:r>
      <w:r>
        <w:rPr>
          <w:rFonts w:hint="eastAsia"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备品、易损件、备件、专用工具清单</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5</w:t>
      </w:r>
      <w:r>
        <w:rPr>
          <w:rFonts w:hint="default" w:ascii="Times New Roman" w:hAnsi="Times New Roman" w:eastAsia="新宋体" w:cs="Times New Roman"/>
          <w:color w:val="000000" w:themeColor="text1"/>
          <w:sz w:val="22"/>
          <w:szCs w:val="22"/>
          <w:highlight w:val="none"/>
          <w:u w:val="none" w:color="000000"/>
          <w:lang w:eastAsia="zh-CN"/>
          <w14:textFill>
            <w14:solidFill>
              <w14:schemeClr w14:val="tx1"/>
            </w14:solidFill>
          </w14:textFill>
        </w:rPr>
        <w:t>）</w:t>
      </w:r>
      <w:r>
        <w:rPr>
          <w:rFonts w:hint="eastAsia"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设备配套的合理性</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（6）</w:t>
      </w:r>
      <w:r>
        <w:rPr>
          <w:rFonts w:hint="eastAsia"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设备运行成本</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7</w:t>
      </w:r>
      <w:r>
        <w:rPr>
          <w:rFonts w:hint="default" w:ascii="Times New Roman" w:hAnsi="Times New Roman" w:eastAsia="新宋体" w:cs="Times New Roman"/>
          <w:color w:val="000000" w:themeColor="text1"/>
          <w:sz w:val="22"/>
          <w:szCs w:val="22"/>
          <w:highlight w:val="none"/>
          <w:u w:val="none" w:color="000000"/>
          <w:lang w:eastAsia="zh-CN"/>
          <w14:textFill>
            <w14:solidFill>
              <w14:schemeClr w14:val="tx1"/>
            </w14:solidFill>
          </w14:textFill>
        </w:rPr>
        <w:t>）</w:t>
      </w:r>
      <w:r>
        <w:rPr>
          <w:rFonts w:hint="eastAsia"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设备维修成本</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（8）</w:t>
      </w:r>
      <w:r>
        <w:rPr>
          <w:rFonts w:hint="eastAsia"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业绩</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（9）制造商或代理商售后服务维修能力</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（10）培训与技术支持</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14:textFill>
            <w14:solidFill>
              <w14:schemeClr w14:val="tx1"/>
            </w14:solidFill>
          </w14:textFill>
        </w:rPr>
        <w:t>资质文件（如有）、磋商供应商</w:t>
      </w:r>
      <w:r>
        <w:rPr>
          <w:rFonts w:hint="default" w:ascii="Times New Roman" w:hAnsi="Times New Roman" w:eastAsia="新宋体" w:cs="Times New Roman"/>
          <w:color w:val="000000" w:themeColor="text1"/>
          <w:sz w:val="22"/>
          <w:szCs w:val="22"/>
          <w:highlight w:val="none"/>
          <w:u w:val="none" w:color="000000"/>
          <w:lang w:val="en-US" w:eastAsia="zh-CN"/>
          <w14:textFill>
            <w14:solidFill>
              <w14:schemeClr w14:val="tx1"/>
            </w14:solidFill>
          </w14:textFill>
        </w:rPr>
        <w:t>认为</w:t>
      </w:r>
      <w:r>
        <w:rPr>
          <w:rFonts w:hint="default" w:ascii="Times New Roman" w:hAnsi="Times New Roman" w:eastAsia="新宋体" w:cs="Times New Roman"/>
          <w:color w:val="000000" w:themeColor="text1"/>
          <w:sz w:val="22"/>
          <w:szCs w:val="22"/>
          <w:highlight w:val="none"/>
          <w14:textFill>
            <w14:solidFill>
              <w14:schemeClr w14:val="tx1"/>
            </w14:solidFill>
          </w14:textFill>
        </w:rPr>
        <w:t>其他必要提供的资料</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lang w:val="zh-CN"/>
          <w14:textFill>
            <w14:solidFill>
              <w14:schemeClr w14:val="tx1"/>
            </w14:solidFill>
          </w14:textFill>
        </w:rPr>
      </w:pPr>
      <w:r>
        <w:rPr>
          <w:rFonts w:hint="default" w:ascii="Times New Roman" w:hAnsi="Times New Roman" w:eastAsia="新宋体" w:cs="Times New Roman"/>
          <w:b/>
          <w:color w:val="000000" w:themeColor="text1"/>
          <w:sz w:val="22"/>
          <w:szCs w:val="22"/>
          <w:highlight w:val="none"/>
          <w:lang w:val="zh-CN"/>
          <w14:textFill>
            <w14:solidFill>
              <w14:schemeClr w14:val="tx1"/>
            </w14:solidFill>
          </w14:textFill>
        </w:rPr>
        <w:t>磋商响应文件中所需的各种证书、证件、证明资料如是复印件，须在复印件上加盖有效公章。</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lang w:val="zh-CN"/>
          <w14:textFill>
            <w14:solidFill>
              <w14:schemeClr w14:val="tx1"/>
            </w14:solidFill>
          </w14:textFill>
        </w:rPr>
        <w:t>磋商供应商的</w:t>
      </w:r>
      <w:r>
        <w:rPr>
          <w:rFonts w:hint="default" w:ascii="Times New Roman" w:hAnsi="Times New Roman" w:eastAsia="新宋体" w:cs="Times New Roman"/>
          <w:b/>
          <w:color w:val="000000" w:themeColor="text1"/>
          <w:sz w:val="22"/>
          <w:szCs w:val="22"/>
          <w:highlight w:val="none"/>
          <w14:textFill>
            <w14:solidFill>
              <w14:schemeClr w14:val="tx1"/>
            </w14:solidFill>
          </w14:textFill>
        </w:rPr>
        <w:t>磋商响应文件必须按照磋商文件要求制作</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4、报价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4.1</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报价</w:t>
      </w:r>
      <w:r>
        <w:rPr>
          <w:rFonts w:hint="default" w:ascii="Times New Roman" w:hAnsi="Times New Roman" w:eastAsia="新宋体" w:cs="Times New Roman"/>
          <w:b/>
          <w:color w:val="000000" w:themeColor="text1"/>
          <w:sz w:val="22"/>
          <w:szCs w:val="22"/>
          <w:highlight w:val="none"/>
          <w14:textFill>
            <w14:solidFill>
              <w14:schemeClr w14:val="tx1"/>
            </w14:solidFill>
          </w14:textFill>
        </w:rPr>
        <w:t>是指</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设备的供货、税金、包装、运输、保险、装卸、验收（含第三方验收）、第三方检定/校准费用、技术服务、售后服务、质保期保障、材料费等完成合同所需的一切本身和不可或缺的所有工作开支、政策性文件规定及合同包含的所有风险、责任等各项全部费用</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投标供应商应根据上述因素自行考虑含入投标报价。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4.2磋商供应商必须按附件中的报价一览表、分项报价表（均统一格式）内容填写价格，并由磋商供应商代表签署。</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4.3报价货</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币以人民币进行报价。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4.4采购人和采</w:t>
      </w:r>
      <w:r>
        <w:rPr>
          <w:rFonts w:hint="default" w:ascii="Times New Roman" w:hAnsi="Times New Roman" w:eastAsia="新宋体" w:cs="Times New Roman"/>
          <w:b/>
          <w:color w:val="000000" w:themeColor="text1"/>
          <w:sz w:val="22"/>
          <w:szCs w:val="22"/>
          <w:highlight w:val="none"/>
          <w14:textFill>
            <w14:solidFill>
              <w14:schemeClr w14:val="tx1"/>
            </w14:solidFill>
          </w14:textFill>
        </w:rPr>
        <w:t>购代理机构不接受任何选择报价，对任何服务只允许一个价格。</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4.5采购人和采购代理机构要求分类报价是为了方便评审，但在任何情况下不限制采购人以其认为最合适的条款、条件签订合同的权利。</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4.6磋商报价报出后，磋商供应商不得以任何理由予以变更。任何包含价格调整的要求，将被认为是非实质性响应磋商而予以否决。</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4.7最低报价不能作为成交的保证。</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5、磋商有效期</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5.1自磋商之日起</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 xml:space="preserve"> 120</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天内磋商应保持有效。</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5.2特殊情况下，在原磋商有效期截止前，采购人、采购代理机构可与磋商供应商协商延长磋商有效期，这种要求和答复均以书面形式进行。磋商供应商可拒绝接受延期要求。同意延长磋商有效期的磋商供应商不得修改磋商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6、磋商保证金</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无。</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7、磋商响应文件编制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7.1本项目通过“政府采购云平台（http://zfcg.czt.zj.gov.cn）”实行在线磋商响应（电子评审）。供应商应通过“政采云电子交易客户端”，并按照本磋商文件和“政府采购云平台”的要求编制并加密磋商响应文件。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7.2磋商供应商应当按照本章节 “磋商响应文件的构成”规定的内容及顺序在“政采云电子交易客户端”编制磋商响应文件。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7.3本文件《第三部分  附件》中有提供格式的，磋商供应商须参照格式进行编制（格式中要求提供相关证明材料的还需后附相关证明材料），并按格式要求在指定位置根据要求进行签章，否则视为未提供；本文件《第三部分  附件》未提供格式的，请各磋商供应商自行拟定格式，并加盖单位公章并由法定代表人或其授权代表签署（签字或盖章），否则视为未提供。</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7.4《磋商响应文件》内容不完整、编排混乱导致《磋商响应文件》被误读、漏读或者查找不到相关内容的，磋商供应商自行负责。</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7.5《磋商响应文件》因字迹潦草或表达不清所引起的后果由磋商供应商负责。</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7.6磋商供应商没有按照本章节 “磋商响应文件的构成”要求提供全部资料，或者没有仔细阅读磋商文件，或者没有对磋商文件在各方面的要求作出实质性响应是磋商供应商的风险，由此造成的一切后果由磋商供应商自行承担。</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8、磋商响应文件的签章</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8.1《磋商响应文件》的签章：见《前附表》；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8.2《磋商响应文件》应由磋商供应商法定代表人或其授权代表签字（或盖章），并加盖磋商供应商公章。</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8.3电子签章操作指南详见采购公告附件《供应商项目采购-电子招投标操作指南》。</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9、磋商响应文件的形式</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9.1磋商响应文件的形式：见《前附表》；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9.2“电子加密磋商响应文件”：“电子加密磋商响应文件”是指通过“政采云电子交易客户端”完成磋商响应文件编制后生成并加密的数据电文形式的磋商响应文件。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9.3“备份磋商响应文件”：“备份磋商响应文件”是指与“电子加密磋商响应文件”同时生成的数据电文形式的电子文件（备份标书），其他方式编制的“备份磋商响应文件”视为无效的“备份磋商响应文件”。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10、磋商响应文件的份数</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10.1磋商响应文件的份数：见《前附表》。</w:t>
      </w:r>
    </w:p>
    <w:p>
      <w:pPr>
        <w:spacing w:before="100" w:beforeAutospacing="1" w:after="100" w:afterAutospacing="1" w:line="460" w:lineRule="exact"/>
        <w:jc w:val="center"/>
        <w:outlineLvl w:val="1"/>
        <w:rPr>
          <w:rFonts w:hint="default" w:ascii="Times New Roman" w:hAnsi="Times New Roman" w:eastAsia="新宋体" w:cs="Times New Roman"/>
          <w:b/>
          <w:bCs/>
          <w:color w:val="000000" w:themeColor="text1"/>
          <w:sz w:val="32"/>
          <w:szCs w:val="32"/>
          <w:highlight w:val="none"/>
          <w14:textFill>
            <w14:solidFill>
              <w14:schemeClr w14:val="tx1"/>
            </w14:solidFill>
          </w14:textFill>
        </w:rPr>
      </w:pPr>
      <w:bookmarkStart w:id="26" w:name="_Toc16443"/>
      <w:bookmarkStart w:id="27" w:name="_Toc5206"/>
      <w:r>
        <w:rPr>
          <w:rFonts w:hint="default" w:ascii="Times New Roman" w:hAnsi="Times New Roman" w:eastAsia="新宋体" w:cs="Times New Roman"/>
          <w:b/>
          <w:bCs/>
          <w:color w:val="000000" w:themeColor="text1"/>
          <w:sz w:val="32"/>
          <w:szCs w:val="32"/>
          <w:highlight w:val="none"/>
          <w14:textFill>
            <w14:solidFill>
              <w14:schemeClr w14:val="tx1"/>
            </w14:solidFill>
          </w14:textFill>
        </w:rPr>
        <w:t>四、 磋商响应文件的递交</w:t>
      </w:r>
      <w:bookmarkEnd w:id="26"/>
      <w:bookmarkEnd w:id="27"/>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1、磋商响应文件的上传和递交</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1.1“磋商响应文件”的上传、递交：见《前附表》。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2、“电子加密磋商响应文件”解密和异常情况处理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2.1“电子加密磋商响应文件”解密：见《前附表》。</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3、磋商响应文件的补充、修改或撤回</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3.1供应商应当在磋商响应文件递交截止时间前完成磋商响应文件的上传、递交，并可以补充、修改或者撤回磋商响应文件。补充或者修改磋商响应文件的，应当先行撤回原文件，补充、修改后重新上传、递交。磋商响应文件递交截止时间前未完成上传、递交的，视为撤回磋商响应文件。磋商响应文件递交截止时间后递交的磋商响应文件，“政府采购云平台”将予以拒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3.2磋商响应文件递交截止时间后，磋商供应商不得撤回、修改《磋商响应文件》。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4、磋商响应文件的备选方案</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4.1磋商供应商不得递交任何的磋商备选（替代）方案，否则其磋商响应文件将作无效标处理。与“电子加密磋商响应文件”同时生成的“备份磋商响应文件”不是磋商备选（替代）方案。</w:t>
      </w:r>
    </w:p>
    <w:p>
      <w:pPr>
        <w:spacing w:before="100" w:beforeAutospacing="1" w:after="100" w:afterAutospacing="1" w:line="460" w:lineRule="exact"/>
        <w:jc w:val="center"/>
        <w:outlineLvl w:val="1"/>
        <w:rPr>
          <w:rFonts w:hint="default" w:ascii="Times New Roman" w:hAnsi="Times New Roman" w:eastAsia="新宋体" w:cs="Times New Roman"/>
          <w:b/>
          <w:bCs/>
          <w:color w:val="000000" w:themeColor="text1"/>
          <w:sz w:val="32"/>
          <w:szCs w:val="32"/>
          <w:highlight w:val="none"/>
          <w14:textFill>
            <w14:solidFill>
              <w14:schemeClr w14:val="tx1"/>
            </w14:solidFill>
          </w14:textFill>
        </w:rPr>
      </w:pPr>
      <w:bookmarkStart w:id="28" w:name="_Toc3989"/>
      <w:bookmarkStart w:id="29" w:name="_Toc24002"/>
      <w:r>
        <w:rPr>
          <w:rFonts w:hint="default" w:ascii="Times New Roman" w:hAnsi="Times New Roman" w:eastAsia="新宋体" w:cs="Times New Roman"/>
          <w:b/>
          <w:bCs/>
          <w:color w:val="000000" w:themeColor="text1"/>
          <w:sz w:val="32"/>
          <w:szCs w:val="32"/>
          <w:highlight w:val="none"/>
          <w14:textFill>
            <w14:solidFill>
              <w14:schemeClr w14:val="tx1"/>
            </w14:solidFill>
          </w14:textFill>
        </w:rPr>
        <w:t>五、 磋商和评审</w:t>
      </w:r>
      <w:bookmarkEnd w:id="28"/>
      <w:bookmarkEnd w:id="29"/>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1、磋商小组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采购人和采购代理机构组建磋商小组。磋商小组的成员在评审过程中必须严格遵守《政府采购法》等有关法律、法规的规定。</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2、评审过程的保密性</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开标后直至向成交供应商授予合同时止，凡与评审有关的资料均不得向磋商供应商及与评审无关人员透露。如果磋商供应商在评审过程中试图向采购人和采购代理机构施加影响，其磋商响应文件将被拒绝。</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none" w:color="000000"/>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3、开标形式</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none" w:color="000000"/>
          <w:lang w:eastAsia="zh-CN"/>
          <w14:textFill>
            <w14:solidFill>
              <w14:schemeClr w14:val="tx1"/>
            </w14:solidFill>
          </w14:textFill>
        </w:rPr>
        <w:t xml:space="preserve"> 采购</w:t>
      </w:r>
      <w:r>
        <w:rPr>
          <w:rFonts w:hint="default" w:ascii="Times New Roman" w:hAnsi="Times New Roman" w:eastAsia="新宋体" w:cs="Times New Roman"/>
          <w:b/>
          <w:color w:val="000000" w:themeColor="text1"/>
          <w:sz w:val="22"/>
          <w:szCs w:val="22"/>
          <w:highlight w:val="none"/>
          <w14:textFill>
            <w14:solidFill>
              <w14:schemeClr w14:val="tx1"/>
            </w14:solidFill>
          </w14:textFill>
        </w:rPr>
        <w:t>组织机构将按照磋商文件规定的时间通过“政府采购云平台”组织开标、开启磋商响应文件，所有供应商均应当准时</w:t>
      </w:r>
      <w:r>
        <w:rPr>
          <w:rFonts w:hint="default" w:ascii="Times New Roman" w:hAnsi="Times New Roman" w:eastAsia="新宋体" w:cs="Times New Roman"/>
          <w:b/>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在线</w:t>
      </w:r>
      <w:r>
        <w:rPr>
          <w:rFonts w:hint="default" w:ascii="Times New Roman" w:hAnsi="Times New Roman" w:eastAsia="新宋体" w:cs="Times New Roman"/>
          <w:b/>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参加。</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4、开标准备</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4.1开标的准备工作由采购组织机构负责落实；</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4.2</w:t>
      </w:r>
      <w:r>
        <w:rPr>
          <w:rFonts w:hint="default" w:ascii="Times New Roman" w:hAnsi="Times New Roman" w:eastAsia="新宋体" w:cs="Times New Roman"/>
          <w:b/>
          <w:color w:val="000000" w:themeColor="text1"/>
          <w:sz w:val="22"/>
          <w:szCs w:val="22"/>
          <w:highlight w:val="none"/>
          <w14:textFill>
            <w14:solidFill>
              <w14:schemeClr w14:val="tx1"/>
            </w14:solidFill>
          </w14:textFill>
        </w:rPr>
        <w:t>采购组织机构将按照磋商文件规定的时间通过“政府采购云平台”组织开标、开启磋商响应文件，所有供应商均应当准时</w:t>
      </w:r>
      <w:r>
        <w:rPr>
          <w:rFonts w:hint="default" w:ascii="Times New Roman" w:hAnsi="Times New Roman" w:eastAsia="新宋体" w:cs="Times New Roman"/>
          <w:b/>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在线</w:t>
      </w:r>
      <w:r>
        <w:rPr>
          <w:rFonts w:hint="default" w:ascii="Times New Roman" w:hAnsi="Times New Roman" w:eastAsia="新宋体" w:cs="Times New Roman"/>
          <w:b/>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参加。</w:t>
      </w:r>
      <w:r>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t>磋商供应商如不参加开标大会的，视同认可开标结果，事后不得对采购相关人员、开标过程和开标结果提出异议，同时磋商供应商因未在线参加开标而导致磋商响应文件无法按时解密等一切后果由供应商自己承担。</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5、开标流程</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t>5.1开标、评审</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1）向各磋商供应商发出电子加密磋商响应文件【开始解密】通知，由供应商按磋商文件规定的时间内自行进行磋商响应文件解密。磋商供应商在规定的时间内无法完成已递交的“电子加密磋商响应文件”解密的，如已按规 定递交了备份磋商响应文件的，将由采购组织机构按“政府采购云平台”操作规范将备份磋商响应文件上传至“政府采购云平台”，上传成功后，“电子加密磋商响应文件”自动失效；</w:t>
      </w: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供应商</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不足3家的，不得开标。</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（2）解密成功后，开启磋商供应商的《磋商响应文件》，由供应商对自己《磋商响应文件》相关内容进行签字确认（不予确认的应说明理由，否则视为无异议）。</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（3）进入资格审查</w:t>
      </w:r>
      <w:r>
        <w:rPr>
          <w:rFonts w:hint="default" w:ascii="Times New Roman" w:hAnsi="Times New Roman" w:eastAsia="新宋体" w:cs="Times New Roman"/>
          <w:bCs/>
          <w:color w:val="000000" w:themeColor="text1"/>
          <w:sz w:val="22"/>
          <w:szCs w:val="22"/>
          <w:highlight w:val="none"/>
          <w14:textFill>
            <w14:solidFill>
              <w14:schemeClr w14:val="tx1"/>
            </w14:solidFill>
          </w14:textFill>
        </w:rPr>
        <w:t>。</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t>备注：开标大会结束后，采购人或采购代理机构将对依法对磋商供应商的资格进行审查，资格审查结束后进入符合性审查和商务技术的评审工作，具体见本章节“磋商供应商资格审查”相关规定。</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（4）</w:t>
      </w:r>
      <w:r>
        <w:rPr>
          <w:rFonts w:hint="default" w:ascii="Times New Roman" w:hAnsi="Times New Roman" w:eastAsia="新宋体" w:cs="Times New Roman"/>
          <w:b/>
          <w:color w:val="000000" w:themeColor="text1"/>
          <w:sz w:val="22"/>
          <w:szCs w:val="22"/>
          <w:highlight w:val="none"/>
          <w14:textFill>
            <w14:solidFill>
              <w14:schemeClr w14:val="tx1"/>
            </w14:solidFill>
          </w14:textFill>
        </w:rPr>
        <w:t>竞争性磋商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1）磋商小组所有成员根据磋商文件规定的程序、评定成交标准等事项与实质性响应磋商文件要求的供应商进行磋商。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磋商小组将遵循公平、公正的原则，采用相同的程序和标准，如有必要，所有成员按顺序与单一供应商分别进行单独封闭式磋商，并给予所有参加磋商的供应商平等的磋商机会。磋商主要针对磋商供应商提供服务的价格、技术性能、质量水平和保证措施、服务实施方案、人员培训计划、履约能力、付款方式等方面进行磋商和综合分析考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3）在磋商过程中，磋商的任何一方都不得透露与磋商有关的其他供应商的技术资料、价格和其他信息。</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4）在磋商过程中，磋商小组可以根据磋商文件和响应情况实质性变动采购需求中的技术、服务要求以及合同草案条款，但不得变动磋商文件的其他内容。实质性变动的内容，须经采购人代表确认。</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5）对磋商文件作出的实质性变动是磋商文件的有效组成部分，磋商小组应及时以书面形式通知所有参加磋商的供应商。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6）磋商供应商在磋商过程中所作出的各种承诺都必须用书面形式</w:t>
      </w: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（或经电子签章的政采云平台上传文件，下同）</w:t>
      </w:r>
      <w:r>
        <w:rPr>
          <w:rFonts w:hint="default" w:ascii="Times New Roman" w:hAnsi="Times New Roman" w:eastAsia="新宋体" w:cs="Times New Roman"/>
          <w:color w:val="000000" w:themeColor="text1"/>
          <w:sz w:val="22"/>
          <w:szCs w:val="22"/>
          <w:highlight w:val="none"/>
          <w14:textFill>
            <w14:solidFill>
              <w14:schemeClr w14:val="tx1"/>
            </w14:solidFill>
          </w14:textFill>
        </w:rPr>
        <w:t>，并由磋商供应商代表签字。磋商轮次最多不超过3轮。</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（5）最后报价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1）磋商文件能够详细列明采购标的的技术、服务要求的，磋商结束后，磋商小组应当要求所有实质性响应的供应商在规定时间内提交最后报价。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磋商文件不能详细列明采购标的的技术、服务要求，需经磋商由供应商提供最终设计方案或解决方案的，磋商结束后，磋商小组应当按照少数服从多数的原则投票推荐供应商的设计方案或者解决方案，并要求其在规定时间内提交最后报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3）已提交磋商响应文件的供应商，在提交最后报价之前，可以根据磋商情况退出磋商。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4）原则上最后报价不得高于一次报价（磋商小组另有决议的除外）</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（6）综合评分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1）经磋商确定最终采购需求和提交最后报价的供应商后，由磋商小组采用综合评分法对提交最后报价的供应商的磋商响应文件和最后报价进行综合评分。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2）综合评分法，是指磋商响应文件满足磋商文件全部实质性要求且按评审因素的量化指标评审得分最高的供应商为成交候选供应商的评审方法。</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3）综合评分法评审标准中的分值设置应当与评审因素的量化指标相对应。磋商文件中没有规定的评审标准不得作为评审依据。</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4）评审时，磋商小组各成员应当独立对每个有效响应的文件进行评价、打分，然后汇总每个供应商每项评分因素的得分。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（7）宣布评分结果以及最终报价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宣布评分结果以及最终报价在政采云电子招投标开标及评审程序中进行。</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bookmarkStart w:id="30" w:name="_Toc24550037"/>
      <w:bookmarkStart w:id="31" w:name="_Toc33194393"/>
      <w:r>
        <w:rPr>
          <w:rFonts w:hint="default" w:ascii="Times New Roman" w:hAnsi="Times New Roman" w:eastAsia="新宋体" w:cs="Times New Roman"/>
          <w:color w:val="000000" w:themeColor="text1"/>
          <w:sz w:val="22"/>
          <w:szCs w:val="22"/>
          <w:highlight w:val="none"/>
          <w14:textFill>
            <w14:solidFill>
              <w14:schemeClr w14:val="tx1"/>
            </w14:solidFill>
          </w14:textFill>
        </w:rPr>
        <w:t>6、磋商供应商资格审查</w:t>
      </w:r>
      <w:bookmarkEnd w:id="30"/>
      <w:bookmarkEnd w:id="31"/>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（1）开标大会结束后，采购人或采购代理机构首先依法对各磋商供应商的资格进行审查，审查各磋商供应商的资格是否满足磋商文件的要求。</w:t>
      </w:r>
      <w:r>
        <w:rPr>
          <w:rFonts w:hint="default" w:ascii="Times New Roman" w:hAnsi="Times New Roman" w:eastAsia="新宋体" w:cs="Times New Roman"/>
          <w:color w:val="000000" w:themeColor="text1"/>
          <w:sz w:val="22"/>
          <w:szCs w:val="22"/>
          <w:highlight w:val="none"/>
          <w14:textFill>
            <w14:solidFill>
              <w14:schemeClr w14:val="tx1"/>
            </w14:solidFill>
          </w14:textFill>
        </w:rPr>
        <w:t>采购人或采购代理机构对磋商供应商所提交的资格证明材料仅负审核的责任。如发现磋商供应商所提交的资格证明材料不合法或与事实不符，采购人可取消其成交资格并追究磋商供应商的法律责任。</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（2）磋商供应商提交的资格证明材料无法证明其符合磋商文件规定的“磋商供应商资格要求”的，采购人或采购代理机构</w:t>
      </w:r>
      <w:r>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t>将对其作资格审查不通过处理（无效磋商），并不再将其磋商响应文件提交磋商小组进行后续评审。</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（3）</w:t>
      </w:r>
      <w:r>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t>单位负责人为同一人或者存在直接控股、管理关系的不同供应商参加同一合同项下的政府采购活动的，相关磋商供应商均作资格无效处理。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7、磋商小组按照磋商文件中规定的评审方法和标准，对磋商响应文件进行商务和技术评估，综合比较与评价。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color w:val="000000" w:themeColor="text1"/>
          <w:sz w:val="22"/>
          <w:szCs w:val="22"/>
          <w:highlight w:val="none"/>
          <w:u w:val="single"/>
          <w14:textFill>
            <w14:solidFill>
              <w14:schemeClr w14:val="tx1"/>
            </w14:solidFill>
          </w14:textFill>
        </w:rPr>
        <w:t>8、磋商供应商存在下列情况之一的，磋商无效：</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（1）磋商响应文件未按磋商文件要求签署、盖章的；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（2）不具备磋商文件中规定的资格要求的； </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（3）明显不符合磋商文件中主要技术规格、技术标准的；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（4）磋商响应文件内容不全或关键字迹模糊无法辨认的；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（5）磋商供应商代表没有法定代表人合法、有效委托的；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（6）报价超过磋商文件中规定的预算金额或者最高限价的；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（7）磋商响应文件存在一个或一个以上备选（替代）磋商方案的；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（8）仅提交“备份磋商响应文件”的；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（9）磋商响应文件含有采购人不能接受的附加条件的；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（10）法律、法规和磋商文件规定的其他无效情形。</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9、有下列情形之一的，视为磋商供应商串通磋商，其磋商无效</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（1）不同磋商供应商的磋商响应文件由同一单位或者个人编制；</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（2）不同磋商供应商委托同一单位或者个人办理磋商事宜；</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（3）不同磋商供应商的磋商响应文件载明的项目管理成员或者联系人员为同一人；</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（4）不同磋商供应商的磋商响应文件异常一致或者报价呈规律性差异；</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（5）不同磋商供应商的磋商响应文件相互混装。</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10、磋商响应文件报价出现前后不一致的，按照下列规定修正：</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（1）磋商响应文件中开标一览表（报价表）内容与磋商响应文件中相应内容不一致的，以开标一览表（报价表）为准；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（2）大写金额和小写金额不一致的，以大写金额为准；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（3）单价金额小数点或者百分比有明显错位的，以开标一览表的总价为准，并修改单价；</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（4）总价金额与按单价汇总金额不一致的，以单价金额计算结果为准。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同时出现两种以上不一致的，按照前款规定的顺序修正。修正后的报价按照本小节第12条第12.2款的规定经磋商供应商确认后产生约束力，磋商供应商不确认的，其磋商响应文件无效。</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11、磋商小组对需要共同认定的事项存在争议的，应当按照少数服从多数的原则作出结论。持不同意见的磋商小组成员应当在评审报告上签署不同意见及理由，否则视为同意评审报告。</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12、磋商响应文件的澄清</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12.1在评审期间，磋商小组可要求磋商供应商对于磋商响应文件中含义不明确、同类问题表述不一致或者有明显文字和计算错误的内容，磋商小组应当以书面形式（或通过“政府采购云平台”在线询标）要求磋商供应商在规定的时间内作出必要的澄清、说明或者补正。磋商供应商澄清、说明或补正时间为30分钟。</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12.2磋商供应商的澄清、说明或者补正应当采用书面形式（或通过“政府采购云平台”在线答复），并加盖公章，或者由法定代表人或其授权的代表签字。磋商供应商的澄清、说明或者补正不得超出磋商响应文件的范围或者改变磋商响应文件的实质性内容。</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拒不按要求对其磋商响应文件进行澄清，说明或补正的磋商供应商，磋商小组可以否决其磋商。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12.2</w:t>
      </w:r>
      <w:r>
        <w:rPr>
          <w:rFonts w:hint="default" w:ascii="Times New Roman" w:hAnsi="Times New Roman" w:eastAsia="新宋体" w:cs="Times New Roman"/>
          <w:b/>
          <w:color w:val="000000" w:themeColor="text1"/>
          <w:sz w:val="22"/>
          <w:szCs w:val="22"/>
          <w:highlight w:val="none"/>
          <w14:textFill>
            <w14:solidFill>
              <w14:schemeClr w14:val="tx1"/>
            </w14:solidFill>
          </w14:textFill>
        </w:rPr>
        <w:t>经澄清后，若偏差仍存在，且不可接受，磋商供应商则被认为是“没有实质性响应磋商文件要求”，其磋商响应文件将被拒绝。</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13、评审结果的修改</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13.1评审结果汇总完成后，除下列情形外，任何人不得修改评审结果：</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（1）分值汇总计算错误的；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（2）分项评分超出评分标准范围的；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（3）磋商小组成员对客观评审因素评分不一致的；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（4）经磋商小组认定评分畸高、畸低的。</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13.2书面评审报告签署前，经复核发现存在以上情形之一的，磋商小组将当场修改评审结果，并在</w:t>
      </w:r>
      <w:r>
        <w:rPr>
          <w:rFonts w:hint="default" w:ascii="Times New Roman" w:hAnsi="Times New Roman" w:eastAsia="新宋体" w:cs="Times New Roman"/>
          <w:b/>
          <w:color w:val="000000" w:themeColor="text1"/>
          <w:sz w:val="22"/>
          <w:szCs w:val="22"/>
          <w:highlight w:val="none"/>
          <w14:textFill>
            <w14:solidFill>
              <w14:schemeClr w14:val="tx1"/>
            </w14:solidFill>
          </w14:textFill>
        </w:rPr>
        <w:t>评审报告中记载。</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14</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确定成交候选人</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14.1由磋商小组确定成交候选人。</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14.2磋商小组依据法律、法规及磋商文件有关规定按评审后得分（即商务技术分与报价得分之和）由高到低顺序排序，得分前三名的磋商供应商确定为该项目的第一、第二和第三成交候选人（得分相同的，按报价由低到高顺序排列。得分且报价相同的并列。）向采购人推荐。</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15、确定成交供应商</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15</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采购人按照书面评审报告中推荐的成交候选供应商顺序确定成交供应商；也可以事先授权磋商小组按照推荐的成交候选供应商顺序直接确定成交供应商。成交候选人并列的，由磋商小组全体成员记名投票按少数服从多数的原则确定排名。</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15.2排名第一的成交候选供应商放弃成交；或因不可抗力提出不能履行合同；或未能在规定时间内与采购人签订合同的；或经质疑，采购组织机构审查确因排名第一的候选供应商在本次采购活动中存在违法违规行为或其他原因使质疑成立的，采购人可以直接确定排名第二的候选供应商为成交供应商，以此类推至第三名，或重新采购。</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16、起草、签署评审报告</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评审结束后，磋商小组将通过“政府采购云平台”起草评审报告，磋商小组成员应当在评审报告上签字，对自己的评审意见承担法律责任。对评审报告有异议的，应当在评审报告上签署不同意见，并说明理由，否则视为同意评审报告。</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17</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成交供应商确定后，采购人将在政府指定媒体公告成交结果，采购人向成交供应商发出成交通知书。</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18、</w:t>
      </w:r>
      <w:r>
        <w:rPr>
          <w:rFonts w:hint="default" w:ascii="Times New Roman" w:hAnsi="Times New Roman" w:eastAsia="新宋体" w:cs="Times New Roman"/>
          <w:b/>
          <w:color w:val="000000" w:themeColor="text1"/>
          <w:sz w:val="22"/>
          <w:szCs w:val="22"/>
          <w:highlight w:val="none"/>
          <w14:textFill>
            <w14:solidFill>
              <w14:schemeClr w14:val="tx1"/>
            </w14:solidFill>
          </w14:textFill>
        </w:rPr>
        <w:t>采购人对决标结果不做任何解释，也不保证最低价成交。</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val="en-US" w:eastAsia="zh-CN"/>
          <w14:textFill>
            <w14:solidFill>
              <w14:schemeClr w14:val="tx1"/>
            </w14:solidFill>
          </w14:textFill>
        </w:rPr>
        <w:t>19</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、其他未尽事宜遵循相关法律法规及规范性文件执行。</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lang w:val="en-US" w:eastAsia="zh-CN"/>
          <w14:textFill>
            <w14:solidFill>
              <w14:schemeClr w14:val="tx1"/>
            </w14:solidFill>
          </w14:textFill>
        </w:rPr>
        <w:t>20</w:t>
      </w:r>
      <w:r>
        <w:rPr>
          <w:rFonts w:hint="default" w:ascii="Times New Roman" w:hAnsi="Times New Roman" w:eastAsia="新宋体" w:cs="Times New Roman"/>
          <w:b/>
          <w:color w:val="000000" w:themeColor="text1"/>
          <w:sz w:val="22"/>
          <w:szCs w:val="22"/>
          <w:highlight w:val="none"/>
          <w14:textFill>
            <w14:solidFill>
              <w14:schemeClr w14:val="tx1"/>
            </w14:solidFill>
          </w14:textFill>
        </w:rPr>
        <w:t>、评审细则详见“评审原则及方法”。</w:t>
      </w:r>
    </w:p>
    <w:p>
      <w:pPr>
        <w:keepNext w:val="0"/>
        <w:keepLines w:val="0"/>
        <w:pageBreakBefore w:val="0"/>
        <w:widowControl w:val="0"/>
        <w:tabs>
          <w:tab w:val="left" w:pos="360"/>
        </w:tabs>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b/>
          <w:color w:val="000000" w:themeColor="text1"/>
          <w:kern w:val="0"/>
          <w:sz w:val="22"/>
          <w:szCs w:val="22"/>
          <w:highlight w:val="none"/>
          <w14:textFill>
            <w14:solidFill>
              <w14:schemeClr w14:val="tx1"/>
            </w14:solidFill>
          </w14:textFill>
        </w:rPr>
        <w:t>特别说明：如遇“政府采购云平台”电子化开标或评审程序调整的，按调整后程序执行。</w:t>
      </w:r>
    </w:p>
    <w:p>
      <w:pPr>
        <w:spacing w:before="100" w:beforeAutospacing="1" w:after="100" w:afterAutospacing="1" w:line="460" w:lineRule="exact"/>
        <w:jc w:val="center"/>
        <w:outlineLvl w:val="1"/>
        <w:rPr>
          <w:rFonts w:hint="default" w:ascii="Times New Roman" w:hAnsi="Times New Roman" w:eastAsia="新宋体" w:cs="Times New Roman"/>
          <w:b/>
          <w:bCs/>
          <w:color w:val="000000" w:themeColor="text1"/>
          <w:sz w:val="32"/>
          <w:szCs w:val="32"/>
          <w:highlight w:val="none"/>
          <w14:textFill>
            <w14:solidFill>
              <w14:schemeClr w14:val="tx1"/>
            </w14:solidFill>
          </w14:textFill>
        </w:rPr>
      </w:pPr>
      <w:bookmarkStart w:id="32" w:name="_Toc21179"/>
      <w:bookmarkStart w:id="33" w:name="_Toc27840"/>
      <w:r>
        <w:rPr>
          <w:rFonts w:hint="default" w:ascii="Times New Roman" w:hAnsi="Times New Roman" w:eastAsia="新宋体" w:cs="Times New Roman"/>
          <w:b/>
          <w:bCs/>
          <w:color w:val="000000" w:themeColor="text1"/>
          <w:sz w:val="32"/>
          <w:szCs w:val="32"/>
          <w:highlight w:val="none"/>
          <w14:textFill>
            <w14:solidFill>
              <w14:schemeClr w14:val="tx1"/>
            </w14:solidFill>
          </w14:textFill>
        </w:rPr>
        <w:t>六、 授予合同</w:t>
      </w:r>
      <w:bookmarkEnd w:id="32"/>
      <w:bookmarkEnd w:id="33"/>
    </w:p>
    <w:p>
      <w:pPr>
        <w:tabs>
          <w:tab w:val="left" w:pos="360"/>
        </w:tabs>
        <w:spacing w:line="460" w:lineRule="exact"/>
        <w:ind w:firstLine="442"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1、成交通知书</w:t>
      </w:r>
    </w:p>
    <w:p>
      <w:pPr>
        <w:tabs>
          <w:tab w:val="left" w:pos="360"/>
        </w:tabs>
        <w:spacing w:line="460" w:lineRule="exact"/>
        <w:ind w:firstLine="442"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1.1</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成交供应商确定后，采购人将向成交供应商发出成交通知书。 </w:t>
      </w:r>
    </w:p>
    <w:p>
      <w:pPr>
        <w:tabs>
          <w:tab w:val="left" w:pos="360"/>
        </w:tabs>
        <w:spacing w:line="460" w:lineRule="exact"/>
        <w:ind w:firstLine="442" w:firstLineChars="20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1.2</w:t>
      </w:r>
      <w:r>
        <w:rPr>
          <w:rFonts w:hint="default" w:ascii="Times New Roman" w:hAnsi="Times New Roman" w:eastAsia="新宋体" w:cs="Times New Roman"/>
          <w:color w:val="000000" w:themeColor="text1"/>
          <w:sz w:val="22"/>
          <w:szCs w:val="22"/>
          <w:highlight w:val="none"/>
          <w14:textFill>
            <w14:solidFill>
              <w14:schemeClr w14:val="tx1"/>
            </w14:solidFill>
          </w14:textFill>
        </w:rPr>
        <w:t>成交通知书是合同的一个组成部分,对采购人和成交供应商均具有同等法律效力。</w:t>
      </w:r>
    </w:p>
    <w:p>
      <w:pPr>
        <w:tabs>
          <w:tab w:val="left" w:pos="360"/>
        </w:tabs>
        <w:spacing w:line="460" w:lineRule="exact"/>
        <w:ind w:firstLine="440"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2、授标时更改采购货物数量的权力</w:t>
      </w:r>
    </w:p>
    <w:p>
      <w:pPr>
        <w:tabs>
          <w:tab w:val="left" w:pos="360"/>
        </w:tabs>
        <w:spacing w:line="460" w:lineRule="exact"/>
        <w:ind w:firstLine="440" w:firstLineChars="200"/>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2.1采购人在授予合同时有权对采购货物的数量和服务在一定幅度范围内予以增加或减少,但不得对单价和其他的条款和条件作任何改变。</w:t>
      </w:r>
    </w:p>
    <w:p>
      <w:pPr>
        <w:tabs>
          <w:tab w:val="left" w:pos="360"/>
        </w:tabs>
        <w:spacing w:line="460" w:lineRule="exact"/>
        <w:ind w:firstLine="440"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3、签订合同</w:t>
      </w:r>
    </w:p>
    <w:p>
      <w:pPr>
        <w:tabs>
          <w:tab w:val="left" w:pos="360"/>
        </w:tabs>
        <w:spacing w:line="460" w:lineRule="exact"/>
        <w:ind w:firstLine="440"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3.1成交供应商应按成交通知书规定的时间、地点与采购人签订合同。</w:t>
      </w:r>
    </w:p>
    <w:p>
      <w:pPr>
        <w:tabs>
          <w:tab w:val="left" w:pos="360"/>
        </w:tabs>
        <w:spacing w:line="460" w:lineRule="exact"/>
        <w:ind w:firstLine="442" w:firstLineChars="200"/>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3.2</w:t>
      </w:r>
      <w:r>
        <w:rPr>
          <w:rFonts w:hint="default" w:ascii="Times New Roman" w:hAnsi="Times New Roman" w:eastAsia="新宋体" w:cs="Times New Roman"/>
          <w:b/>
          <w:bCs/>
          <w:color w:val="000000" w:themeColor="text1"/>
          <w:spacing w:val="6"/>
          <w:sz w:val="22"/>
          <w:szCs w:val="22"/>
          <w:highlight w:val="none"/>
          <w14:textFill>
            <w14:solidFill>
              <w14:schemeClr w14:val="tx1"/>
            </w14:solidFill>
          </w14:textFill>
        </w:rPr>
        <w:t>在签订合同前，采购人有权在成交总价不变的前提下要求成交供应商对报价中的不平衡报价和缺漏项进行调整，如果成交供应商无合理理由拒绝调整，其中磋商资格将被取消，保证金将不予退还，且将导致其它进一步的赔偿和处罚。</w:t>
      </w:r>
    </w:p>
    <w:p>
      <w:pPr>
        <w:tabs>
          <w:tab w:val="left" w:pos="360"/>
        </w:tabs>
        <w:spacing w:line="460" w:lineRule="exact"/>
        <w:ind w:firstLine="440"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3.3磋商文件、成交供应商的磋商响应文件、磋商响应修改文件、评审过程中有关澄清文件及经磋商供应商和评委双方签字的询标纪要和成交通知书均作为合同附件。</w:t>
      </w:r>
    </w:p>
    <w:p>
      <w:pPr>
        <w:tabs>
          <w:tab w:val="left" w:pos="360"/>
        </w:tabs>
        <w:spacing w:line="460" w:lineRule="exact"/>
        <w:ind w:firstLine="440"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3.4拒签合同的违约责任</w:t>
      </w:r>
    </w:p>
    <w:p>
      <w:pPr>
        <w:tabs>
          <w:tab w:val="left" w:pos="360"/>
        </w:tabs>
        <w:spacing w:line="460" w:lineRule="exact"/>
        <w:ind w:firstLine="442" w:firstLineChars="200"/>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成交供应商接到成交通知书后，在规定时间内借故否认已经承诺的条件而拒签合同的，以违约处理。</w:t>
      </w:r>
    </w:p>
    <w:p>
      <w:pPr>
        <w:tabs>
          <w:tab w:val="left" w:pos="360"/>
        </w:tabs>
        <w:spacing w:line="460" w:lineRule="exact"/>
        <w:ind w:firstLine="442"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4、质疑与投诉</w:t>
      </w:r>
    </w:p>
    <w:p>
      <w:pPr>
        <w:tabs>
          <w:tab w:val="left" w:pos="360"/>
        </w:tabs>
        <w:spacing w:line="460" w:lineRule="exact"/>
        <w:ind w:firstLine="440"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4.1磋商供应商认为磋商文件、采购过程、成交和成交结果使自己的合法权益受到损害的，可以在知道或应知道其权益受到损害之日起七个工作日内以书面形式向采购人或采购代理机构提出质疑。</w:t>
      </w:r>
    </w:p>
    <w:p>
      <w:pPr>
        <w:tabs>
          <w:tab w:val="left" w:pos="360"/>
        </w:tabs>
        <w:spacing w:line="460" w:lineRule="exact"/>
        <w:ind w:firstLine="440"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4.2采购人或采购代理机构在收到磋商供应商的书面质疑后七个工作日内作出答复，但答复的内容不得涉及商业秘密。质疑供应商对采购人或采购代理机构的答复不满意，可以在答复期满后十五个工作日内向同级采购监督管理部门投诉。</w:t>
      </w:r>
    </w:p>
    <w:p>
      <w:pPr>
        <w:tabs>
          <w:tab w:val="left" w:pos="360"/>
        </w:tabs>
        <w:spacing w:line="460" w:lineRule="exact"/>
        <w:ind w:firstLine="440" w:firstLineChars="20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4.3投诉人投诉时，应提交投诉书，投诉书应当由本人并由法定代表人签字盖公章，投诉书应说明具体的投诉事项及事实依据。投诉人对投诉书的真实性负责，恶意投诉将承当相应的法律和民事责任。</w:t>
      </w:r>
    </w:p>
    <w:p>
      <w:pPr>
        <w:spacing w:line="460" w:lineRule="exact"/>
        <w:ind w:firstLine="539" w:firstLineChars="245"/>
        <w:rPr>
          <w:rFonts w:hint="default" w:ascii="Times New Roman" w:hAnsi="Times New Roman" w:eastAsia="新宋体" w:cs="Times New Roman"/>
          <w:color w:val="000000" w:themeColor="text1"/>
          <w:sz w:val="22"/>
          <w:highlight w:val="none"/>
          <w14:textFill>
            <w14:solidFill>
              <w14:schemeClr w14:val="tx1"/>
            </w14:solidFill>
          </w14:textFill>
        </w:rPr>
      </w:pPr>
    </w:p>
    <w:p>
      <w:pPr>
        <w:spacing w:line="460" w:lineRule="exact"/>
        <w:rPr>
          <w:rFonts w:hint="default" w:ascii="Times New Roman" w:hAnsi="Times New Roman" w:eastAsia="新宋体" w:cs="Times New Roman"/>
          <w:color w:val="000000" w:themeColor="text1"/>
          <w:sz w:val="22"/>
          <w:highlight w:val="none"/>
          <w14:textFill>
            <w14:solidFill>
              <w14:schemeClr w14:val="tx1"/>
            </w14:solidFill>
          </w14:textFill>
        </w:rPr>
      </w:pPr>
    </w:p>
    <w:p>
      <w:pPr>
        <w:jc w:val="center"/>
        <w:outlineLvl w:val="0"/>
        <w:rPr>
          <w:rStyle w:val="63"/>
          <w:rFonts w:hint="default" w:ascii="Times New Roman" w:hAnsi="Times New Roman" w:eastAsia="新宋体" w:cs="Times New Roman"/>
          <w:color w:val="000000" w:themeColor="text1"/>
          <w:szCs w:val="24"/>
          <w:highlight w:val="none"/>
          <w14:textFill>
            <w14:solidFill>
              <w14:schemeClr w14:val="tx1"/>
            </w14:solidFill>
          </w14:textFill>
        </w:rPr>
      </w:pPr>
      <w:bookmarkStart w:id="34" w:name="_Toc436213262"/>
      <w:r>
        <w:rPr>
          <w:rFonts w:hint="default" w:ascii="Times New Roman" w:hAnsi="Times New Roman" w:eastAsia="新宋体" w:cs="Times New Roman"/>
          <w:b/>
          <w:color w:val="000000" w:themeColor="text1"/>
          <w:sz w:val="28"/>
          <w:szCs w:val="28"/>
          <w:highlight w:val="none"/>
          <w14:textFill>
            <w14:solidFill>
              <w14:schemeClr w14:val="tx1"/>
            </w14:solidFill>
          </w14:textFill>
        </w:rPr>
        <w:br w:type="page"/>
      </w:r>
      <w:bookmarkStart w:id="35" w:name="_Toc19105"/>
      <w:bookmarkStart w:id="36" w:name="_Toc8420"/>
      <w:bookmarkStart w:id="37" w:name="_Toc18876"/>
      <w:r>
        <w:rPr>
          <w:rStyle w:val="63"/>
          <w:rFonts w:hint="default" w:ascii="Times New Roman" w:hAnsi="Times New Roman" w:eastAsia="新宋体" w:cs="Times New Roman"/>
          <w:color w:val="000000" w:themeColor="text1"/>
          <w:szCs w:val="24"/>
          <w:highlight w:val="none"/>
          <w14:textFill>
            <w14:solidFill>
              <w14:schemeClr w14:val="tx1"/>
            </w14:solidFill>
          </w14:textFill>
        </w:rPr>
        <w:t>第</w:t>
      </w:r>
      <w:r>
        <w:rPr>
          <w:rStyle w:val="63"/>
          <w:rFonts w:hint="default" w:ascii="Times New Roman" w:hAnsi="Times New Roman" w:eastAsia="新宋体" w:cs="Times New Roman"/>
          <w:color w:val="000000" w:themeColor="text1"/>
          <w:szCs w:val="24"/>
          <w:highlight w:val="none"/>
          <w:lang w:val="en-US"/>
          <w14:textFill>
            <w14:solidFill>
              <w14:schemeClr w14:val="tx1"/>
            </w14:solidFill>
          </w14:textFill>
        </w:rPr>
        <w:t>二</w:t>
      </w:r>
      <w:r>
        <w:rPr>
          <w:rStyle w:val="63"/>
          <w:rFonts w:hint="default" w:ascii="Times New Roman" w:hAnsi="Times New Roman" w:eastAsia="新宋体" w:cs="Times New Roman"/>
          <w:color w:val="000000" w:themeColor="text1"/>
          <w:szCs w:val="24"/>
          <w:highlight w:val="none"/>
          <w14:textFill>
            <w14:solidFill>
              <w14:schemeClr w14:val="tx1"/>
            </w14:solidFill>
          </w14:textFill>
        </w:rPr>
        <w:t>部分</w:t>
      </w:r>
      <w:bookmarkEnd w:id="34"/>
      <w:bookmarkEnd w:id="35"/>
      <w:bookmarkEnd w:id="36"/>
      <w:bookmarkStart w:id="38" w:name="_Toc436213264"/>
      <w:r>
        <w:rPr>
          <w:rStyle w:val="63"/>
          <w:rFonts w:hint="default" w:ascii="Times New Roman" w:hAnsi="Times New Roman" w:eastAsia="新宋体" w:cs="Times New Roman"/>
          <w:color w:val="000000" w:themeColor="text1"/>
          <w:szCs w:val="24"/>
          <w:highlight w:val="none"/>
          <w:lang w:val="en-US"/>
          <w14:textFill>
            <w14:solidFill>
              <w14:schemeClr w14:val="tx1"/>
            </w14:solidFill>
          </w14:textFill>
        </w:rPr>
        <w:t xml:space="preserve">   </w:t>
      </w:r>
      <w:r>
        <w:rPr>
          <w:rStyle w:val="63"/>
          <w:rFonts w:hint="default" w:ascii="Times New Roman" w:hAnsi="Times New Roman" w:eastAsia="新宋体" w:cs="Times New Roman"/>
          <w:color w:val="000000" w:themeColor="text1"/>
          <w:szCs w:val="24"/>
          <w:highlight w:val="none"/>
          <w14:textFill>
            <w14:solidFill>
              <w14:schemeClr w14:val="tx1"/>
            </w14:solidFill>
          </w14:textFill>
        </w:rPr>
        <w:t>温州大学设备采购合同</w:t>
      </w:r>
      <w:bookmarkEnd w:id="37"/>
    </w:p>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采购编号：</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none"/>
          <w:lang w:val="en-US" w:eastAsia="zh-CN"/>
          <w14:textFill>
            <w14:solidFill>
              <w14:schemeClr w14:val="tx1"/>
            </w14:solidFill>
          </w14:textFill>
        </w:rPr>
        <w:t xml:space="preserve">                                        合同编号：</w:t>
      </w:r>
    </w:p>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color w:val="000000" w:themeColor="text1"/>
          <w:sz w:val="22"/>
          <w:szCs w:val="22"/>
          <w:highlight w:val="none"/>
          <w:u w:val="single"/>
          <w:lang w:val="en-US"/>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买方：</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温州大学</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卖方</w:t>
      </w:r>
      <w:r>
        <w:rPr>
          <w:rFonts w:hint="default" w:ascii="Times New Roman" w:hAnsi="Times New Roman" w:eastAsia="新宋体" w:cs="Times New Roman"/>
          <w:color w:val="000000" w:themeColor="text1"/>
          <w:sz w:val="22"/>
          <w:szCs w:val="22"/>
          <w:highlight w:val="none"/>
          <w:u w:val="none"/>
          <w:lang w:val="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non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合同鉴证方：</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eastAsia="zh-CN"/>
          <w14:textFill>
            <w14:solidFill>
              <w14:schemeClr w14:val="tx1"/>
            </w14:solidFill>
          </w14:textFill>
        </w:rPr>
        <w:t>温州历程招标有限公司</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年</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月</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日在温州大学的</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采购中，买卖双方及采购方根据《中华人民共和国</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民</w:t>
      </w:r>
      <w:r>
        <w:rPr>
          <w:rFonts w:hint="default" w:ascii="Times New Roman" w:hAnsi="Times New Roman" w:eastAsia="新宋体" w:cs="Times New Roman"/>
          <w:color w:val="000000" w:themeColor="text1"/>
          <w:sz w:val="22"/>
          <w:szCs w:val="22"/>
          <w:highlight w:val="none"/>
          <w14:textFill>
            <w14:solidFill>
              <w14:schemeClr w14:val="tx1"/>
            </w14:solidFill>
          </w14:textFill>
        </w:rPr>
        <w:t>法</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典</w:t>
      </w:r>
      <w:r>
        <w:rPr>
          <w:rFonts w:hint="default" w:ascii="Times New Roman" w:hAnsi="Times New Roman" w:eastAsia="新宋体" w:cs="Times New Roman"/>
          <w:color w:val="000000" w:themeColor="text1"/>
          <w:sz w:val="22"/>
          <w:szCs w:val="22"/>
          <w:highlight w:val="none"/>
          <w14:textFill>
            <w14:solidFill>
              <w14:schemeClr w14:val="tx1"/>
            </w14:solidFill>
          </w14:textFill>
        </w:rPr>
        <w:t>》等法规和本合同的</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采购</w:t>
      </w:r>
      <w:r>
        <w:rPr>
          <w:rFonts w:hint="default" w:ascii="Times New Roman" w:hAnsi="Times New Roman" w:eastAsia="新宋体" w:cs="Times New Roman"/>
          <w:color w:val="000000" w:themeColor="text1"/>
          <w:sz w:val="22"/>
          <w:szCs w:val="22"/>
          <w:highlight w:val="none"/>
          <w14:textFill>
            <w14:solidFill>
              <w14:schemeClr w14:val="tx1"/>
            </w14:solidFill>
          </w14:textFill>
        </w:rPr>
        <w:t>文件、响应文件及其</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采购过程</w:t>
      </w:r>
      <w:r>
        <w:rPr>
          <w:rFonts w:hint="default" w:ascii="Times New Roman" w:hAnsi="Times New Roman" w:eastAsia="新宋体" w:cs="Times New Roman"/>
          <w:color w:val="000000" w:themeColor="text1"/>
          <w:sz w:val="22"/>
          <w:szCs w:val="22"/>
          <w:highlight w:val="none"/>
          <w14:textFill>
            <w14:solidFill>
              <w14:schemeClr w14:val="tx1"/>
            </w14:solidFill>
          </w14:textFill>
        </w:rPr>
        <w:t>中的承诺，经双方协商，同意签订本合同，共同遵守。</w:t>
      </w:r>
    </w:p>
    <w:p>
      <w:pPr>
        <w:keepNext w:val="0"/>
        <w:keepLines w:val="0"/>
        <w:pageBreakBefore w:val="0"/>
        <w:widowControl w:val="0"/>
        <w:numPr>
          <w:ilvl w:val="0"/>
          <w:numId w:val="0"/>
        </w:numPr>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采购内容及价格                  </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单位： </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元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656"/>
        <w:gridCol w:w="1230"/>
        <w:gridCol w:w="2290"/>
        <w:gridCol w:w="755"/>
        <w:gridCol w:w="1275"/>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16"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序号</w:t>
            </w:r>
          </w:p>
        </w:tc>
        <w:tc>
          <w:tcPr>
            <w:tcW w:w="1656"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采购</w:t>
            </w:r>
            <w:r>
              <w:rPr>
                <w:rFonts w:hint="default" w:ascii="Times New Roman" w:hAnsi="Times New Roman" w:eastAsia="新宋体" w:cs="Times New Roman"/>
                <w:color w:val="000000" w:themeColor="text1"/>
                <w:sz w:val="22"/>
                <w:szCs w:val="22"/>
                <w:highlight w:val="none"/>
                <w14:textFill>
                  <w14:solidFill>
                    <w14:schemeClr w14:val="tx1"/>
                  </w14:solidFill>
                </w14:textFill>
              </w:rPr>
              <w:t>名称</w:t>
            </w:r>
          </w:p>
        </w:tc>
        <w:tc>
          <w:tcPr>
            <w:tcW w:w="123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品牌</w:t>
            </w:r>
          </w:p>
        </w:tc>
        <w:tc>
          <w:tcPr>
            <w:tcW w:w="229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型号规格和主要配置</w:t>
            </w:r>
          </w:p>
        </w:tc>
        <w:tc>
          <w:tcPr>
            <w:tcW w:w="755"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数量</w:t>
            </w:r>
          </w:p>
        </w:tc>
        <w:tc>
          <w:tcPr>
            <w:tcW w:w="1275"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单价</w:t>
            </w:r>
          </w:p>
        </w:tc>
        <w:tc>
          <w:tcPr>
            <w:tcW w:w="1366"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6"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p>
        </w:tc>
        <w:tc>
          <w:tcPr>
            <w:tcW w:w="1656"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tc>
        <w:tc>
          <w:tcPr>
            <w:tcW w:w="123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tc>
        <w:tc>
          <w:tcPr>
            <w:tcW w:w="2290"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tc>
        <w:tc>
          <w:tcPr>
            <w:tcW w:w="755"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tc>
        <w:tc>
          <w:tcPr>
            <w:tcW w:w="1275"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tc>
        <w:tc>
          <w:tcPr>
            <w:tcW w:w="1366" w:type="dxa"/>
            <w:noWrap w:val="0"/>
            <w:vAlign w:val="center"/>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88" w:type="dxa"/>
            <w:gridSpan w:val="7"/>
            <w:noWrap w:val="0"/>
            <w:vAlign w:val="top"/>
          </w:tcPr>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合计：（大写）                                                  小写：¥ </w:t>
            </w:r>
          </w:p>
        </w:tc>
      </w:tr>
    </w:tbl>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2、本合同总价为</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货物</w:t>
      </w:r>
      <w:r>
        <w:rPr>
          <w:rFonts w:hint="default" w:ascii="Times New Roman" w:hAnsi="Times New Roman" w:eastAsia="新宋体" w:cs="Times New Roman"/>
          <w:color w:val="000000" w:themeColor="text1"/>
          <w:sz w:val="22"/>
          <w:szCs w:val="22"/>
          <w:highlight w:val="none"/>
          <w14:textFill>
            <w14:solidFill>
              <w14:schemeClr w14:val="tx1"/>
            </w14:solidFill>
          </w14:textFill>
        </w:rPr>
        <w:t>供货、运输、保险、装卸、安装调试及技术、验收（含第三方验收）、培训、售后服务、税费等的全部费用，即“交钥匙工程”，实行固定总价包干。除发生下列因素可调整合同价外，不得以任何其他理由调整任何费用。</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2.1买方</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因安装地点改变等原因</w:t>
      </w:r>
      <w:r>
        <w:rPr>
          <w:rFonts w:hint="default" w:ascii="Times New Roman" w:hAnsi="Times New Roman" w:eastAsia="新宋体" w:cs="Times New Roman"/>
          <w:color w:val="000000" w:themeColor="text1"/>
          <w:sz w:val="22"/>
          <w:szCs w:val="22"/>
          <w:highlight w:val="none"/>
          <w14:textFill>
            <w14:solidFill>
              <w14:schemeClr w14:val="tx1"/>
            </w14:solidFill>
          </w14:textFill>
        </w:rPr>
        <w:t>提出的</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货物数量</w:t>
      </w:r>
      <w:r>
        <w:rPr>
          <w:rFonts w:hint="default" w:ascii="Times New Roman" w:hAnsi="Times New Roman" w:eastAsia="新宋体" w:cs="Times New Roman"/>
          <w:color w:val="000000" w:themeColor="text1"/>
          <w:sz w:val="22"/>
          <w:szCs w:val="22"/>
          <w:highlight w:val="none"/>
          <w14:textFill>
            <w14:solidFill>
              <w14:schemeClr w14:val="tx1"/>
            </w14:solidFill>
          </w14:textFill>
        </w:rPr>
        <w:t>变更</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，经买卖双方同意，可以签订补充协议。</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2.2</w:t>
      </w:r>
      <w:r>
        <w:rPr>
          <w:rFonts w:hint="default" w:ascii="Times New Roman" w:hAnsi="Times New Roman" w:eastAsia="新宋体" w:cs="Times New Roman"/>
          <w:color w:val="000000" w:themeColor="text1"/>
          <w:sz w:val="22"/>
          <w:szCs w:val="22"/>
          <w:highlight w:val="none"/>
          <w14:textFill>
            <w14:solidFill>
              <w14:schemeClr w14:val="tx1"/>
            </w14:solidFill>
          </w14:textFill>
        </w:rPr>
        <w:t>卖方</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因成交产品型号停产</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生产厂家出具替代型号与停产证明，但不得更改该产品成交金额，</w:t>
      </w:r>
      <w:r>
        <w:rPr>
          <w:rFonts w:hint="default" w:ascii="Times New Roman" w:hAnsi="Times New Roman" w:eastAsia="新宋体" w:cs="Times New Roman"/>
          <w:color w:val="000000" w:themeColor="text1"/>
          <w:sz w:val="22"/>
          <w:szCs w:val="22"/>
          <w:highlight w:val="none"/>
          <w14:textFill>
            <w14:solidFill>
              <w14:schemeClr w14:val="tx1"/>
            </w14:solidFill>
          </w14:textFill>
        </w:rPr>
        <w:t>经买</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卖双</w:t>
      </w:r>
      <w:r>
        <w:rPr>
          <w:rFonts w:hint="default" w:ascii="Times New Roman" w:hAnsi="Times New Roman" w:eastAsia="新宋体" w:cs="Times New Roman"/>
          <w:color w:val="000000" w:themeColor="text1"/>
          <w:sz w:val="22"/>
          <w:szCs w:val="22"/>
          <w:highlight w:val="none"/>
          <w14:textFill>
            <w14:solidFill>
              <w14:schemeClr w14:val="tx1"/>
            </w14:solidFill>
          </w14:textFill>
        </w:rPr>
        <w:t>方同意</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可以签订补充协议</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2.3</w:t>
      </w:r>
      <w:r>
        <w:rPr>
          <w:rFonts w:hint="default" w:ascii="Times New Roman" w:hAnsi="Times New Roman" w:eastAsia="新宋体" w:cs="Times New Roman"/>
          <w:color w:val="000000" w:themeColor="text1"/>
          <w:sz w:val="22"/>
          <w:szCs w:val="22"/>
          <w:highlight w:val="none"/>
          <w14:textFill>
            <w14:solidFill>
              <w14:schemeClr w14:val="tx1"/>
            </w14:solidFill>
          </w14:textFill>
        </w:rPr>
        <w:t>属卖方投标漏项少算的设备及服务费用不得追补。</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3、设备、材料供应</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本合同范围所需的设备均由卖方提供。采购供应的材料、设备均须有合格证、质保书等相关技术资料。如发现不合格的设备材料，由卖方承担全部的经济损失和责任。</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4、产品包装</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4.1为了保证设备在长途运输和装卸过程中的安全，产品包装应符合国家或专业（部）标准规定。由于包装不善导致设备锈蚀、失缺或损坏，由卖方承担一切责任。</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4.2每一包装箱内必须附有装箱清单。</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5、唛头</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5.1卖方应在每件包装箱上，明显地标注下列标记：</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收货人； 2</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产品名称；  3</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合同号；4</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品目号和箱号； 5</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到达站或到货地点；6</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外形尺寸</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长宽高</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，以厘米计；7</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毛重、净重</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公斤</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5.2卖方应根据设备特点，在包装箱上标明“小心轻放”、“请勿倒置”、“防潮”等字样和吊装标记。</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6、本合同产品的免费保修期限为</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none"/>
          <w14:textFill>
            <w14:solidFill>
              <w14:schemeClr w14:val="tx1"/>
            </w14:solidFill>
          </w14:textFill>
        </w:rPr>
        <w:t xml:space="preserve">年 </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在产品质量保证期限内，卖方对由于产品设计、工艺、材料、配套件的缺陷而造成的任何产品质量问题或故障负责。</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7、产品资料</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档案资料，包括：设备的数量、型号、规格，设备生产厂家的产品检测证书，出厂检验报告，合格证书，产品说明书等有关资料。如发现不合格的设备材料，由卖方承担全部的经济损失的责任。设备开箱后的全部随机资料所有权归买方所有。开箱验收后由买方保管。</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8、交付使用时间：</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，交货地点：</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温州大学指定地点（联系人：    ，联系电话：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9、付款方式与结算</w:t>
      </w:r>
    </w:p>
    <w:p>
      <w:pPr>
        <w:keepNext w:val="0"/>
        <w:keepLines w:val="0"/>
        <w:pageBreakBefore w:val="0"/>
        <w:widowControl w:val="0"/>
        <w:tabs>
          <w:tab w:val="left" w:pos="360"/>
        </w:tabs>
        <w:kinsoku/>
        <w:wordWrap/>
        <w:overflowPunct/>
        <w:topLinePunct w:val="0"/>
        <w:autoSpaceDE/>
        <w:autoSpaceDN/>
        <w:bidi w:val="0"/>
        <w:spacing w:line="460" w:lineRule="exact"/>
        <w:ind w:firstLine="442" w:firstLineChars="200"/>
        <w:textAlignment w:val="auto"/>
        <w:outlineLvl w:val="9"/>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t>国产设备：</w:t>
      </w:r>
    </w:p>
    <w:p>
      <w:pPr>
        <w:keepNext w:val="0"/>
        <w:keepLines w:val="0"/>
        <w:pageBreakBefore w:val="0"/>
        <w:widowControl w:val="0"/>
        <w:tabs>
          <w:tab w:val="left" w:pos="360"/>
        </w:tabs>
        <w:kinsoku/>
        <w:wordWrap/>
        <w:overflowPunct/>
        <w:topLinePunct w:val="0"/>
        <w:autoSpaceDE/>
        <w:autoSpaceDN/>
        <w:bidi w:val="0"/>
        <w:spacing w:line="460" w:lineRule="exact"/>
        <w:ind w:firstLine="442" w:firstLineChars="200"/>
        <w:textAlignment w:val="auto"/>
        <w:outlineLvl w:val="9"/>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b/>
          <w:bCs/>
          <w:color w:val="000000" w:themeColor="text1"/>
          <w:sz w:val="22"/>
          <w:szCs w:val="22"/>
          <w:highlight w:val="none"/>
          <w:lang w:val="en-US" w:eastAsia="zh-CN"/>
          <w14:textFill>
            <w14:solidFill>
              <w14:schemeClr w14:val="tx1"/>
            </w14:solidFill>
          </w14:textFill>
        </w:rPr>
        <w:t>一</w:t>
      </w:r>
      <w: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t>）履约保证金支付（二选一）</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outlineLvl w:val="9"/>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合同签订后，</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乙方</w:t>
      </w:r>
      <w:r>
        <w:rPr>
          <w:rFonts w:hint="default" w:ascii="Times New Roman" w:hAnsi="Times New Roman" w:eastAsia="新宋体" w:cs="Times New Roman"/>
          <w:color w:val="000000" w:themeColor="text1"/>
          <w:sz w:val="22"/>
          <w:szCs w:val="22"/>
          <w:highlight w:val="none"/>
          <w14:textFill>
            <w14:solidFill>
              <w14:schemeClr w14:val="tx1"/>
            </w14:solidFill>
          </w14:textFill>
        </w:rPr>
        <w:t>5个工作日内支付合同金额的</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%作为履约保证金，履约保证金自项目验收合格之日起无质量问题</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，甲方</w:t>
      </w:r>
      <w:r>
        <w:rPr>
          <w:rFonts w:hint="default" w:ascii="Times New Roman" w:hAnsi="Times New Roman" w:eastAsia="新宋体" w:cs="Times New Roman"/>
          <w:color w:val="000000" w:themeColor="text1"/>
          <w:sz w:val="22"/>
          <w:szCs w:val="22"/>
          <w:highlight w:val="none"/>
          <w14:textFill>
            <w14:solidFill>
              <w14:schemeClr w14:val="tx1"/>
            </w14:solidFill>
          </w14:textFill>
        </w:rPr>
        <w:t>按程序在7个工作日内无息退还。</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outlineLvl w:val="9"/>
        <w:rPr>
          <w:rFonts w:hint="default" w:ascii="Times New Roman" w:hAnsi="Times New Roman" w:eastAsia="新宋体" w:cs="Times New Roman"/>
          <w:color w:val="000000" w:themeColor="text1"/>
          <w:sz w:val="22"/>
          <w:szCs w:val="22"/>
          <w:highlight w:val="none"/>
          <w:lang w:val="zh-CN"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2、合同签订后，乙方5个工作日内提交合同金额1%的保函作为履约保证金，保函有效期不少于自项目验收合格之日，无质量问题甲方按程序退还保函。</w:t>
      </w:r>
    </w:p>
    <w:p>
      <w:pPr>
        <w:keepNext w:val="0"/>
        <w:keepLines w:val="0"/>
        <w:pageBreakBefore w:val="0"/>
        <w:widowControl w:val="0"/>
        <w:tabs>
          <w:tab w:val="left" w:pos="360"/>
        </w:tabs>
        <w:kinsoku/>
        <w:wordWrap/>
        <w:overflowPunct/>
        <w:topLinePunct w:val="0"/>
        <w:autoSpaceDE/>
        <w:autoSpaceDN/>
        <w:bidi w:val="0"/>
        <w:spacing w:line="460" w:lineRule="exact"/>
        <w:ind w:firstLine="442" w:firstLineChars="200"/>
        <w:textAlignment w:val="auto"/>
        <w:outlineLvl w:val="9"/>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b/>
          <w:bCs/>
          <w:color w:val="000000" w:themeColor="text1"/>
          <w:sz w:val="22"/>
          <w:szCs w:val="22"/>
          <w:highlight w:val="none"/>
          <w:lang w:val="en-US" w:eastAsia="zh-CN"/>
          <w14:textFill>
            <w14:solidFill>
              <w14:schemeClr w14:val="tx1"/>
            </w14:solidFill>
          </w14:textFill>
        </w:rPr>
        <w:t>二</w:t>
      </w:r>
      <w: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t>）合同金额结算及支付方式：（二选一）</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firstLine="440" w:firstLineChars="200"/>
        <w:textAlignment w:val="auto"/>
        <w:outlineLvl w:val="9"/>
        <w:rPr>
          <w:rFonts w:hint="default" w:ascii="Times New Roman" w:hAnsi="Times New Roman" w:eastAsia="新宋体" w:cs="Times New Roman"/>
          <w:color w:val="000000" w:themeColor="text1"/>
          <w:sz w:val="22"/>
          <w:szCs w:val="22"/>
          <w:highlight w:val="none"/>
          <w:lang w:val="zh-CN"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1、合同签订后，乙方向甲方提交合同金额40%的保函后15日内，甲方向乙方支付合同总额40%的预付款；</w:t>
      </w:r>
      <w:r>
        <w:rPr>
          <w:rFonts w:hint="default" w:ascii="Times New Roman" w:hAnsi="Times New Roman" w:eastAsia="新宋体" w:cs="Times New Roman"/>
          <w:color w:val="000000" w:themeColor="text1"/>
          <w:sz w:val="22"/>
          <w:szCs w:val="22"/>
          <w:highlight w:val="none"/>
          <w:lang w:val="zh-CN" w:eastAsia="zh-CN"/>
          <w14:textFill>
            <w14:solidFill>
              <w14:schemeClr w14:val="tx1"/>
            </w14:solidFill>
          </w14:textFill>
        </w:rPr>
        <w:t>乙方完成全部供货及安装、调试、培训并出具全额增值税发票，甲方验收合格、入库后15个工作日内，甲方支付剩余</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60%的</w:t>
      </w:r>
      <w:r>
        <w:rPr>
          <w:rFonts w:hint="default" w:ascii="Times New Roman" w:hAnsi="Times New Roman" w:eastAsia="新宋体" w:cs="Times New Roman"/>
          <w:color w:val="000000" w:themeColor="text1"/>
          <w:sz w:val="22"/>
          <w:szCs w:val="22"/>
          <w:highlight w:val="none"/>
          <w:lang w:val="zh-CN" w:eastAsia="zh-CN"/>
          <w14:textFill>
            <w14:solidFill>
              <w14:schemeClr w14:val="tx1"/>
            </w14:solidFill>
          </w14:textFill>
        </w:rPr>
        <w:t>合同款并退还保函。</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outlineLvl w:val="9"/>
        <w:rPr>
          <w:rFonts w:hint="default" w:ascii="Times New Roman" w:hAnsi="Times New Roman" w:eastAsia="新宋体" w:cs="Times New Roman"/>
          <w:color w:val="000000" w:themeColor="text1"/>
          <w:sz w:val="22"/>
          <w:szCs w:val="22"/>
          <w:highlight w:val="none"/>
          <w:lang w:val="zh-CN"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w:t>
      </w:r>
      <w:r>
        <w:rPr>
          <w:rFonts w:hint="default" w:ascii="Times New Roman" w:hAnsi="Times New Roman" w:eastAsia="新宋体" w:cs="Times New Roman"/>
          <w:color w:val="000000" w:themeColor="text1"/>
          <w:sz w:val="22"/>
          <w:szCs w:val="22"/>
          <w:highlight w:val="none"/>
          <w14:textFill>
            <w14:solidFill>
              <w14:schemeClr w14:val="tx1"/>
            </w14:solidFill>
          </w14:textFill>
        </w:rPr>
        <w:t>在签订合同时，</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乙方</w:t>
      </w:r>
      <w:r>
        <w:rPr>
          <w:rFonts w:hint="default" w:ascii="Times New Roman" w:hAnsi="Times New Roman" w:eastAsia="新宋体" w:cs="Times New Roman"/>
          <w:color w:val="000000" w:themeColor="text1"/>
          <w:sz w:val="22"/>
          <w:szCs w:val="22"/>
          <w:highlight w:val="none"/>
          <w14:textFill>
            <w14:solidFill>
              <w14:schemeClr w14:val="tx1"/>
            </w14:solidFill>
          </w14:textFill>
        </w:rPr>
        <w:t>明确表示无需预付款的，可不提供预付款保函，合同款项在安装验收合格后支付，</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甲方</w:t>
      </w:r>
      <w:r>
        <w:rPr>
          <w:rFonts w:hint="default" w:ascii="Times New Roman" w:hAnsi="Times New Roman" w:eastAsia="新宋体" w:cs="Times New Roman"/>
          <w:color w:val="000000" w:themeColor="text1"/>
          <w:sz w:val="22"/>
          <w:szCs w:val="22"/>
          <w:highlight w:val="none"/>
          <w14:textFill>
            <w14:solidFill>
              <w14:schemeClr w14:val="tx1"/>
            </w14:solidFill>
          </w14:textFill>
        </w:rPr>
        <w:t>自收到发票后7个工作日内将货款支付给</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乙方</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keepNext w:val="0"/>
        <w:keepLines w:val="0"/>
        <w:pageBreakBefore w:val="0"/>
        <w:widowControl w:val="0"/>
        <w:tabs>
          <w:tab w:val="left" w:pos="360"/>
        </w:tabs>
        <w:kinsoku/>
        <w:wordWrap/>
        <w:overflowPunct/>
        <w:topLinePunct w:val="0"/>
        <w:autoSpaceDE/>
        <w:autoSpaceDN/>
        <w:bidi w:val="0"/>
        <w:spacing w:line="460" w:lineRule="exact"/>
        <w:ind w:firstLine="442" w:firstLineChars="200"/>
        <w:textAlignment w:val="auto"/>
        <w:outlineLvl w:val="9"/>
        <w:rPr>
          <w:rFonts w:hint="default" w:ascii="Times New Roman" w:hAnsi="Times New Roman" w:eastAsia="新宋体" w:cs="Times New Roman"/>
          <w:b/>
          <w:bCs/>
          <w:color w:val="000000" w:themeColor="text1"/>
          <w:sz w:val="22"/>
          <w:szCs w:val="22"/>
          <w:highlight w:val="none"/>
          <w:lang w:val="zh-CN" w:eastAsia="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val="zh-CN" w:eastAsia="zh-CN"/>
          <w14:textFill>
            <w14:solidFill>
              <w14:schemeClr w14:val="tx1"/>
            </w14:solidFill>
          </w14:textFill>
        </w:rPr>
        <w:t>进口设备：</w:t>
      </w:r>
    </w:p>
    <w:p>
      <w:pPr>
        <w:keepNext w:val="0"/>
        <w:keepLines w:val="0"/>
        <w:pageBreakBefore w:val="0"/>
        <w:widowControl w:val="0"/>
        <w:tabs>
          <w:tab w:val="left" w:pos="360"/>
        </w:tabs>
        <w:kinsoku/>
        <w:wordWrap/>
        <w:overflowPunct/>
        <w:topLinePunct w:val="0"/>
        <w:autoSpaceDE/>
        <w:autoSpaceDN/>
        <w:bidi w:val="0"/>
        <w:spacing w:line="460" w:lineRule="exact"/>
        <w:ind w:firstLine="442" w:firstLineChars="200"/>
        <w:textAlignment w:val="auto"/>
        <w:outlineLvl w:val="9"/>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t>（一）履约保证金支付（二选一）</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outlineLvl w:val="9"/>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1、合同签订后，乙方5个工作日内支付合同金额的1%作为履约保证金，履约保证金自项目验收合格之日起无质量问题，甲方按程序在7个工作日内无息退还。</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outlineLvl w:val="9"/>
        <w:rPr>
          <w:rFonts w:hint="default" w:ascii="Times New Roman" w:hAnsi="Times New Roman" w:eastAsia="新宋体" w:cs="Times New Roman"/>
          <w:color w:val="000000" w:themeColor="text1"/>
          <w:sz w:val="22"/>
          <w:szCs w:val="22"/>
          <w:highlight w:val="none"/>
          <w:lang w:val="zh-CN"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2、合同签订后，乙方5个工作日内提交合同金额1%的保函作为履约保证金，保函有效期不少于自项目验收合格之日，无质量问题甲方按程序退还保函。</w:t>
      </w:r>
    </w:p>
    <w:p>
      <w:pPr>
        <w:keepNext w:val="0"/>
        <w:keepLines w:val="0"/>
        <w:pageBreakBefore w:val="0"/>
        <w:widowControl w:val="0"/>
        <w:tabs>
          <w:tab w:val="left" w:pos="360"/>
        </w:tabs>
        <w:kinsoku/>
        <w:wordWrap/>
        <w:overflowPunct/>
        <w:topLinePunct w:val="0"/>
        <w:autoSpaceDE/>
        <w:autoSpaceDN/>
        <w:bidi w:val="0"/>
        <w:spacing w:line="460" w:lineRule="exact"/>
        <w:ind w:firstLine="442" w:firstLineChars="200"/>
        <w:textAlignment w:val="auto"/>
        <w:outlineLvl w:val="9"/>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eastAsia="zh-CN"/>
          <w14:textFill>
            <w14:solidFill>
              <w14:schemeClr w14:val="tx1"/>
            </w14:solidFill>
          </w14:textFill>
        </w:rPr>
        <w:t>（二）合同金额结算及支付方式：（三选一）</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firstLine="440" w:firstLineChars="200"/>
        <w:textAlignment w:val="auto"/>
        <w:outlineLvl w:val="9"/>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合同签订后，甲方按合同金额的30%预付给外贸代理公司办理100%的即期不可撤销信用证（L/C），合同金额的55%凭提单预付给外贸代理公司，乙方完成全部供货及安装、调试、培训并通过买方验收、入库后，甲方在15个工作日内支付合同金额的15%。</w:t>
      </w:r>
    </w:p>
    <w:p>
      <w:pPr>
        <w:keepNext w:val="0"/>
        <w:keepLines w:val="0"/>
        <w:pageBreakBefore w:val="0"/>
        <w:widowControl w:val="0"/>
        <w:suppressLineNumbers w:val="0"/>
        <w:kinsoku/>
        <w:wordWrap/>
        <w:overflowPunct/>
        <w:topLinePunct w:val="0"/>
        <w:autoSpaceDE/>
        <w:autoSpaceDN/>
        <w:bidi w:val="0"/>
        <w:spacing w:before="0" w:beforeAutospacing="0" w:after="0" w:afterAutospacing="0" w:line="460" w:lineRule="exact"/>
        <w:ind w:left="0" w:right="0" w:firstLine="440" w:firstLineChars="200"/>
        <w:textAlignment w:val="auto"/>
        <w:outlineLvl w:val="9"/>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2、合同签订后，甲方按合同金额的85%凭提单预付给外贸代理公司，乙方完成全部供货及安装、调试、培训并通过买方验收、入库后，甲方在15个工作日内支付合同金额的15%。</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outlineLvl w:val="9"/>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在签订合同时，</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乙方</w:t>
      </w:r>
      <w:r>
        <w:rPr>
          <w:rFonts w:hint="default" w:ascii="Times New Roman" w:hAnsi="Times New Roman" w:eastAsia="新宋体" w:cs="Times New Roman"/>
          <w:color w:val="000000" w:themeColor="text1"/>
          <w:sz w:val="22"/>
          <w:szCs w:val="22"/>
          <w:highlight w:val="none"/>
          <w14:textFill>
            <w14:solidFill>
              <w14:schemeClr w14:val="tx1"/>
            </w14:solidFill>
          </w14:textFill>
        </w:rPr>
        <w:t>明确表示无需预付款的，可不提供预付款保函，合同款项在安装验收合格后支付，</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甲方</w:t>
      </w:r>
      <w:r>
        <w:rPr>
          <w:rFonts w:hint="default" w:ascii="Times New Roman" w:hAnsi="Times New Roman" w:eastAsia="新宋体" w:cs="Times New Roman"/>
          <w:color w:val="000000" w:themeColor="text1"/>
          <w:sz w:val="22"/>
          <w:szCs w:val="22"/>
          <w:highlight w:val="none"/>
          <w14:textFill>
            <w14:solidFill>
              <w14:schemeClr w14:val="tx1"/>
            </w14:solidFill>
          </w14:textFill>
        </w:rPr>
        <w:t>自收到发票后7个工作日内将货款支付给</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乙方</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10、违约责任</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10.1设备质量责任</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在设备质量保证期内，凡设备在开箱检验、安装调试、设备试运行过程中发现的设备质量问题，由卖方负责处理，实行包修、包换、包退、直至产品符合质量要求。卖方承担修理、调换、退货发生的一切费用和买方的直接经济损失。</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2）接到买方通知后，温州及附近地区4小时内，外地24小时内派人赴现场处理设备质量问题。</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3）由于买方保管不善或使用不当造成设备短缺、故障或损坏，由买方负责。但卖方保证及时给予补齐和修复。</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10.2违约赔偿</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除不可抗力外，如卖方发生不能按期交货或提供服务，买方发生中途退货等情况，应及时以书面形式通知对方。双方应本着友好的态度进行协商，妥善解决。</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如协商无效，按下列规定处以罚金。</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逾期交货</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卖方逾期交货，应向买方偿付违约金，每逾一周违约罚款按合同总价的0.8%计收，直至交货为止。（一周按7天计算，不足一周按一周计算）。</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2）卖方不能交货或买方中途退货</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卖方不能交货，履约保证金将被没收</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并</w:t>
      </w:r>
      <w:r>
        <w:rPr>
          <w:rFonts w:hint="default" w:ascii="Times New Roman" w:hAnsi="Times New Roman" w:eastAsia="新宋体" w:cs="Times New Roman"/>
          <w:color w:val="000000" w:themeColor="text1"/>
          <w:sz w:val="22"/>
          <w:szCs w:val="22"/>
          <w:highlight w:val="none"/>
          <w14:textFill>
            <w14:solidFill>
              <w14:schemeClr w14:val="tx1"/>
            </w14:solidFill>
          </w14:textFill>
        </w:rPr>
        <w:t>向买方偿付违约金。违约金按合同总价的10-30%计算。</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买方中途退货，</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退还履约保证金并</w:t>
      </w:r>
      <w:r>
        <w:rPr>
          <w:rFonts w:hint="default" w:ascii="Times New Roman" w:hAnsi="Times New Roman" w:eastAsia="新宋体" w:cs="Times New Roman"/>
          <w:color w:val="000000" w:themeColor="text1"/>
          <w:sz w:val="22"/>
          <w:szCs w:val="22"/>
          <w:highlight w:val="none"/>
          <w14:textFill>
            <w14:solidFill>
              <w14:schemeClr w14:val="tx1"/>
            </w14:solidFill>
          </w14:textFill>
        </w:rPr>
        <w:t>向卖方偿付违约金。违约金的计算方法与卖方违约相同。</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3）逾期交货的违约赔偿最高限额为合同总价的8%，如违约金达到最高限额时卖方仍不能交货，买方可考虑终止合同并按卖方不能交货的违约条款执行。</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4）经双方协商同意延期交货和经双方友好协商同意退货且无需罚款者不在此例。</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、转让和分包</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.1未经买方事先书面同意，卖方不得部分转让或分包或全部转让其应履行的合同义务。</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w:t>
      </w:r>
      <w:r>
        <w:rPr>
          <w:rFonts w:hint="default" w:ascii="Times New Roman" w:hAnsi="Times New Roman" w:eastAsia="新宋体" w:cs="Times New Roman"/>
          <w:color w:val="000000" w:themeColor="text1"/>
          <w:sz w:val="22"/>
          <w:szCs w:val="22"/>
          <w:highlight w:val="none"/>
          <w14:textFill>
            <w14:solidFill>
              <w14:schemeClr w14:val="tx1"/>
            </w14:solidFill>
          </w14:textFill>
        </w:rPr>
        <w:t>、争端的解决</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w:t>
      </w:r>
      <w:r>
        <w:rPr>
          <w:rFonts w:hint="default" w:ascii="Times New Roman" w:hAnsi="Times New Roman" w:eastAsia="新宋体" w:cs="Times New Roman"/>
          <w:color w:val="000000" w:themeColor="text1"/>
          <w:sz w:val="22"/>
          <w:szCs w:val="22"/>
          <w:highlight w:val="none"/>
          <w14:textFill>
            <w14:solidFill>
              <w14:schemeClr w14:val="tx1"/>
            </w14:solidFill>
          </w14:textFill>
        </w:rPr>
        <w:t>.1合同实施或与合同有关的一切争端，买卖双方首先应通过友好协商解决，如果协商仍得不到解决，任何一方可向温州市瓯海区人民法院申请诉讼。</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、约定事项：</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.1本合同一式伍份，买方两份、卖方两份、合同鉴证方一份。</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.2合同经买卖双方签字盖章后生效。</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.3如需修改或补充合同内容，经协商，双方应签署书面修改或补充协议，该协议将作为本合同的一个组成部分。</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.4</w:t>
      </w:r>
      <w:r>
        <w:rPr>
          <w:rFonts w:hint="default" w:ascii="Times New Roman" w:hAnsi="Times New Roman" w:eastAsia="新宋体" w:cs="Times New Roman"/>
          <w:b/>
          <w:color w:val="000000" w:themeColor="text1"/>
          <w:sz w:val="22"/>
          <w:szCs w:val="22"/>
          <w:highlight w:val="none"/>
          <w14:textFill>
            <w14:solidFill>
              <w14:schemeClr w14:val="tx1"/>
            </w14:solidFill>
          </w14:textFill>
        </w:rPr>
        <w:t>本合同未尽事宜及对合同内容如有异议，以卖方响应文件和在招标现场承诺为准，</w:t>
      </w:r>
      <w:r>
        <w:rPr>
          <w:rFonts w:hint="default" w:ascii="Times New Roman" w:hAnsi="Times New Roman" w:eastAsia="新宋体" w:cs="Times New Roman"/>
          <w:color w:val="000000" w:themeColor="text1"/>
          <w:sz w:val="22"/>
          <w:szCs w:val="22"/>
          <w:highlight w:val="none"/>
          <w14:textFill>
            <w14:solidFill>
              <w14:schemeClr w14:val="tx1"/>
            </w14:solidFill>
          </w14:textFill>
        </w:rPr>
        <w:t>如遇国家法律、法规及政策另有规定的，从其规定。</w:t>
      </w:r>
    </w:p>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买方（盖章）： 温州大学                             卖方（盖章）：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法人代表：赵敏                                     法人代表：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委托代理人（签字）：                                委托代理人（签字）：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联系电话：0577-86596002                            联系电话：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地    址：温州高教园区（瓯海区茶山镇）             地 址：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纳税人名称：温州大学                               纳税人名称：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纳税人识别号：12330300792065186A                   纳税人识别号：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开户行：工行马鞍池支行                             开户行：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账号：1203206009201055368                          账号： </w:t>
      </w:r>
    </w:p>
    <w:p>
      <w:pPr>
        <w:keepNext w:val="0"/>
        <w:keepLines w:val="0"/>
        <w:pageBreakBefore w:val="0"/>
        <w:widowControl w:val="0"/>
        <w:kinsoku/>
        <w:wordWrap/>
        <w:overflowPunct/>
        <w:topLinePunct w:val="0"/>
        <w:autoSpaceDE/>
        <w:autoSpaceDN/>
        <w:bidi w:val="0"/>
        <w:spacing w:line="460" w:lineRule="exact"/>
        <w:ind w:left="27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合同鉴证方（盖章）： </w:t>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法定代表人或主要负责人（签字）：</w:t>
      </w:r>
      <w:r>
        <w:rPr>
          <w:rFonts w:hint="default" w:ascii="Times New Roman" w:hAnsi="Times New Roman" w:eastAsia="新宋体" w:cs="Times New Roman"/>
          <w:color w:val="000000" w:themeColor="text1"/>
          <w:sz w:val="22"/>
          <w:szCs w:val="22"/>
          <w:highlight w:val="none"/>
          <w14:textFill>
            <w14:solidFill>
              <w14:schemeClr w14:val="tx1"/>
            </w14:solidFill>
          </w14:textFill>
        </w:rPr>
        <w:tab/>
      </w:r>
    </w:p>
    <w:p>
      <w:pPr>
        <w:keepNext w:val="0"/>
        <w:keepLines w:val="0"/>
        <w:pageBreakBefore w:val="0"/>
        <w:widowControl w:val="0"/>
        <w:kinsoku/>
        <w:wordWrap/>
        <w:overflowPunct/>
        <w:topLinePunct w:val="0"/>
        <w:autoSpaceDE/>
        <w:autoSpaceDN/>
        <w:bidi w:val="0"/>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合同签订日期：      年    月    日</w:t>
      </w: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4"/>
        <w:keepNext w:val="0"/>
        <w:keepLines w:val="0"/>
        <w:pageBreakBefore w:val="0"/>
        <w:widowControl w:val="0"/>
        <w:kinsoku/>
        <w:wordWrap/>
        <w:overflowPunct/>
        <w:topLinePunct w:val="0"/>
        <w:autoSpaceDE/>
        <w:autoSpaceDN/>
        <w:bidi w:val="0"/>
        <w:spacing w:line="460" w:lineRule="exact"/>
        <w:ind w:right="-336"/>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spacing w:line="460" w:lineRule="exact"/>
        <w:ind w:left="270"/>
        <w:jc w:val="center"/>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附件</w:t>
      </w:r>
    </w:p>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 xml:space="preserve">  供货清单：                                              金额单位：人民币（元）</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00"/>
        <w:gridCol w:w="1801"/>
        <w:gridCol w:w="736"/>
        <w:gridCol w:w="1545"/>
        <w:gridCol w:w="1768"/>
        <w:gridCol w:w="712"/>
        <w:gridCol w:w="1263"/>
        <w:gridCol w:w="123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500" w:type="dxa"/>
            <w:shd w:val="clear" w:color="auto" w:fill="FFFFFF"/>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序号</w:t>
            </w:r>
          </w:p>
        </w:tc>
        <w:tc>
          <w:tcPr>
            <w:tcW w:w="1801" w:type="dxa"/>
            <w:shd w:val="clear" w:color="auto" w:fill="FFFFFF"/>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货物名称</w:t>
            </w:r>
          </w:p>
        </w:tc>
        <w:tc>
          <w:tcPr>
            <w:tcW w:w="736" w:type="dxa"/>
            <w:shd w:val="clear" w:color="auto" w:fill="FFFFFF"/>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产地</w:t>
            </w:r>
          </w:p>
        </w:tc>
        <w:tc>
          <w:tcPr>
            <w:tcW w:w="1545" w:type="dxa"/>
            <w:shd w:val="clear" w:color="auto" w:fill="FFFFFF"/>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品牌</w:t>
            </w:r>
          </w:p>
        </w:tc>
        <w:tc>
          <w:tcPr>
            <w:tcW w:w="1768" w:type="dxa"/>
            <w:shd w:val="clear" w:color="auto" w:fill="FFFFFF"/>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规格型号</w:t>
            </w:r>
          </w:p>
        </w:tc>
        <w:tc>
          <w:tcPr>
            <w:tcW w:w="712" w:type="dxa"/>
            <w:shd w:val="clear" w:color="auto" w:fill="FFFFFF"/>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数量</w:t>
            </w:r>
          </w:p>
        </w:tc>
        <w:tc>
          <w:tcPr>
            <w:tcW w:w="1263" w:type="dxa"/>
            <w:shd w:val="clear" w:color="auto" w:fill="FFFFFF"/>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单价</w:t>
            </w:r>
          </w:p>
        </w:tc>
        <w:tc>
          <w:tcPr>
            <w:tcW w:w="1231" w:type="dxa"/>
            <w:shd w:val="clear" w:color="auto" w:fill="FFFFFF"/>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金额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500"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1</w:t>
            </w:r>
          </w:p>
        </w:tc>
        <w:tc>
          <w:tcPr>
            <w:tcW w:w="1801"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736"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545"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768"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712"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263"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231"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500"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2</w:t>
            </w:r>
          </w:p>
        </w:tc>
        <w:tc>
          <w:tcPr>
            <w:tcW w:w="1801"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73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545"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768"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712"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263"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231"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500"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3</w:t>
            </w:r>
          </w:p>
        </w:tc>
        <w:tc>
          <w:tcPr>
            <w:tcW w:w="1801"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73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545"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768"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712"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263"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231"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500"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4</w:t>
            </w:r>
          </w:p>
        </w:tc>
        <w:tc>
          <w:tcPr>
            <w:tcW w:w="1801"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736" w:type="dxa"/>
            <w:noWrap w:val="0"/>
            <w:vAlign w:val="center"/>
          </w:tcPr>
          <w:p>
            <w:pPr>
              <w:keepNext w:val="0"/>
              <w:keepLines w:val="0"/>
              <w:pageBreakBefore w:val="0"/>
              <w:widowControl w:val="0"/>
              <w:suppressLineNumbers w:val="0"/>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545"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768"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712"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263"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c>
          <w:tcPr>
            <w:tcW w:w="1231" w:type="dxa"/>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center"/>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556" w:type="dxa"/>
            <w:gridSpan w:val="8"/>
            <w:noWrap w:val="0"/>
            <w:vAlign w:val="center"/>
          </w:tcPr>
          <w:p>
            <w:pPr>
              <w:keepNext w:val="0"/>
              <w:keepLines w:val="0"/>
              <w:pageBreakBefore w:val="0"/>
              <w:widowControl w:val="0"/>
              <w:suppressLineNumbers w:val="0"/>
              <w:tabs>
                <w:tab w:val="left" w:pos="1418"/>
              </w:tabs>
              <w:kinsoku/>
              <w:wordWrap/>
              <w:overflowPunct/>
              <w:topLinePunct w:val="0"/>
              <w:autoSpaceDE/>
              <w:autoSpaceDN/>
              <w:bidi w:val="0"/>
              <w:snapToGrid w:val="0"/>
              <w:spacing w:before="0" w:beforeAutospacing="0" w:after="0" w:afterAutospacing="0" w:line="460" w:lineRule="exact"/>
              <w:ind w:left="0" w:right="0"/>
              <w:jc w:val="both"/>
              <w:textAlignment w:val="auto"/>
              <w:rPr>
                <w:rFonts w:hint="default" w:ascii="Times New Roman" w:hAnsi="Times New Roman" w:eastAsia="新宋体" w:cs="Times New Roman"/>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 xml:space="preserve">合计：（大写）                                  </w:t>
            </w:r>
            <w:r>
              <w:rPr>
                <w:rFonts w:hint="default" w:ascii="Times New Roman" w:hAnsi="Times New Roman" w:eastAsia="新宋体" w:cs="Times New Roman"/>
                <w:bCs/>
                <w:color w:val="000000" w:themeColor="text1"/>
                <w:sz w:val="22"/>
                <w:szCs w:val="22"/>
                <w:highlight w:val="none"/>
                <w:lang w:val="en-US" w:eastAsia="zh-CN"/>
                <w14:textFill>
                  <w14:solidFill>
                    <w14:schemeClr w14:val="tx1"/>
                  </w14:solidFill>
                </w14:textFill>
              </w:rPr>
              <w:t xml:space="preserve"> </w:t>
            </w:r>
            <w:r>
              <w:rPr>
                <w:rFonts w:hint="default" w:ascii="Times New Roman" w:hAnsi="Times New Roman" w:eastAsia="新宋体" w:cs="Times New Roman"/>
                <w:bCs/>
                <w:color w:val="000000" w:themeColor="text1"/>
                <w:sz w:val="22"/>
                <w:szCs w:val="22"/>
                <w:highlight w:val="none"/>
                <w14:textFill>
                  <w14:solidFill>
                    <w14:schemeClr w14:val="tx1"/>
                  </w14:solidFill>
                </w14:textFill>
              </w:rPr>
              <w:t>小写：¥</w:t>
            </w:r>
          </w:p>
        </w:tc>
      </w:tr>
    </w:tbl>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b/>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 xml:space="preserve">  </w:t>
      </w:r>
      <w:r>
        <w:rPr>
          <w:rFonts w:hint="default" w:ascii="Times New Roman" w:hAnsi="Times New Roman" w:eastAsia="新宋体" w:cs="Times New Roman"/>
          <w:b/>
          <w:color w:val="000000" w:themeColor="text1"/>
          <w:sz w:val="22"/>
          <w:szCs w:val="22"/>
          <w:highlight w:val="none"/>
          <w:lang w:eastAsia="zh-CN"/>
          <w14:textFill>
            <w14:solidFill>
              <w14:schemeClr w14:val="tx1"/>
            </w14:solidFill>
          </w14:textFill>
        </w:rPr>
        <w:t>技术参数：</w:t>
      </w:r>
    </w:p>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460" w:lineRule="exact"/>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460" w:lineRule="exact"/>
        <w:ind w:firstLine="5060" w:firstLineChars="2300"/>
        <w:jc w:val="both"/>
        <w:textAlignment w:val="auto"/>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val="0"/>
          <w:bCs/>
          <w:color w:val="000000" w:themeColor="text1"/>
          <w:sz w:val="22"/>
          <w:szCs w:val="22"/>
          <w:highlight w:val="none"/>
          <w:lang w:eastAsia="zh-CN"/>
          <w14:textFill>
            <w14:solidFill>
              <w14:schemeClr w14:val="tx1"/>
            </w14:solidFill>
          </w14:textFill>
        </w:rPr>
        <w:t>买方申请</w:t>
      </w:r>
      <w: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t>人签字：</w:t>
      </w:r>
      <w:r>
        <w:rPr>
          <w:rFonts w:hint="default" w:ascii="Times New Roman" w:hAnsi="Times New Roman" w:eastAsia="新宋体" w:cs="Times New Roman"/>
          <w:b w:val="0"/>
          <w:bCs/>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b w:val="0"/>
          <w:bCs/>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b w:val="0"/>
          <w:bCs/>
          <w:color w:val="000000" w:themeColor="text1"/>
          <w:sz w:val="22"/>
          <w:szCs w:val="2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460" w:lineRule="exact"/>
        <w:ind w:firstLine="5060" w:firstLineChars="2300"/>
        <w:jc w:val="both"/>
        <w:textAlignment w:val="auto"/>
        <w:rPr>
          <w:rFonts w:hint="default" w:ascii="Times New Roman" w:hAnsi="Times New Roman" w:eastAsia="新宋体" w:cs="Times New Roman"/>
          <w:b w:val="0"/>
          <w:bCs/>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b w:val="0"/>
          <w:bCs/>
          <w:color w:val="000000" w:themeColor="text1"/>
          <w:sz w:val="22"/>
          <w:szCs w:val="22"/>
          <w:highlight w:val="none"/>
          <w:lang w:eastAsia="zh-CN"/>
          <w14:textFill>
            <w14:solidFill>
              <w14:schemeClr w14:val="tx1"/>
            </w14:solidFill>
          </w14:textFill>
        </w:rPr>
        <w:t>联系电话：</w:t>
      </w:r>
      <w:r>
        <w:rPr>
          <w:rFonts w:hint="default" w:ascii="Times New Roman" w:hAnsi="Times New Roman" w:eastAsia="新宋体" w:cs="Times New Roman"/>
          <w:b w:val="0"/>
          <w:bCs/>
          <w:color w:val="000000" w:themeColor="text1"/>
          <w:sz w:val="22"/>
          <w:szCs w:val="22"/>
          <w:highlight w:val="none"/>
          <w:u w:val="single"/>
          <w:lang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spacing w:line="460" w:lineRule="exact"/>
        <w:ind w:firstLine="5060" w:firstLineChars="2300"/>
        <w:jc w:val="both"/>
        <w:textAlignment w:val="auto"/>
        <w:rPr>
          <w:rFonts w:hint="default" w:ascii="Times New Roman" w:hAnsi="Times New Roman" w:eastAsia="新宋体" w:cs="Times New Roman"/>
          <w:b w:val="0"/>
          <w:bCs/>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b w:val="0"/>
          <w:bCs/>
          <w:color w:val="000000" w:themeColor="text1"/>
          <w:sz w:val="22"/>
          <w:szCs w:val="22"/>
          <w:highlight w:val="none"/>
          <w:lang w:eastAsia="zh-CN"/>
          <w14:textFill>
            <w14:solidFill>
              <w14:schemeClr w14:val="tx1"/>
            </w14:solidFill>
          </w14:textFill>
        </w:rPr>
        <w:t>确认时间：</w:t>
      </w:r>
      <w:r>
        <w:rPr>
          <w:rFonts w:hint="default" w:ascii="Times New Roman" w:hAnsi="Times New Roman" w:eastAsia="新宋体" w:cs="Times New Roman"/>
          <w:b w:val="0"/>
          <w:bCs/>
          <w:color w:val="000000" w:themeColor="text1"/>
          <w:sz w:val="22"/>
          <w:szCs w:val="22"/>
          <w:highlight w:val="none"/>
          <w:u w:val="single"/>
          <w:lang w:eastAsia="zh-CN"/>
          <w14:textFill>
            <w14:solidFill>
              <w14:schemeClr w14:val="tx1"/>
            </w14:solidFill>
          </w14:textFill>
        </w:rPr>
        <w:t xml:space="preserve"> </w:t>
      </w:r>
      <w:r>
        <w:rPr>
          <w:rFonts w:hint="default" w:ascii="Times New Roman" w:hAnsi="Times New Roman" w:eastAsia="新宋体" w:cs="Times New Roman"/>
          <w:b w:val="0"/>
          <w:bCs/>
          <w:color w:val="000000" w:themeColor="text1"/>
          <w:sz w:val="22"/>
          <w:szCs w:val="22"/>
          <w:highlight w:val="none"/>
          <w:u w:val="single"/>
          <w:lang w:val="en-US" w:eastAsia="zh-CN"/>
          <w14:textFill>
            <w14:solidFill>
              <w14:schemeClr w14:val="tx1"/>
            </w14:solidFill>
          </w14:textFill>
        </w:rPr>
        <w:t xml:space="preserve">                  </w:t>
      </w:r>
    </w:p>
    <w:p>
      <w:pPr>
        <w:widowControl/>
        <w:snapToGrid w:val="0"/>
        <w:spacing w:line="500" w:lineRule="atLeast"/>
        <w:jc w:val="left"/>
        <w:rPr>
          <w:rFonts w:hint="default" w:ascii="Times New Roman" w:hAnsi="Times New Roman" w:eastAsia="新宋体" w:cs="Times New Roman"/>
          <w:b/>
          <w:color w:val="000000" w:themeColor="text1"/>
          <w:sz w:val="24"/>
          <w:highlight w:val="none"/>
          <w:u w:val="single"/>
          <w14:textFill>
            <w14:solidFill>
              <w14:schemeClr w14:val="tx1"/>
            </w14:solidFill>
          </w14:textFill>
        </w:rPr>
      </w:pPr>
    </w:p>
    <w:p>
      <w:pPr>
        <w:widowControl/>
        <w:snapToGrid w:val="0"/>
        <w:spacing w:line="500" w:lineRule="atLeast"/>
        <w:jc w:val="left"/>
        <w:rPr>
          <w:rFonts w:hint="default" w:ascii="Times New Roman" w:hAnsi="Times New Roman" w:eastAsia="新宋体" w:cs="Times New Roman"/>
          <w:b/>
          <w:color w:val="000000" w:themeColor="text1"/>
          <w:sz w:val="24"/>
          <w:highlight w:val="none"/>
          <w:u w:val="single"/>
          <w14:textFill>
            <w14:solidFill>
              <w14:schemeClr w14:val="tx1"/>
            </w14:solidFill>
          </w14:textFill>
        </w:rPr>
      </w:pPr>
    </w:p>
    <w:p>
      <w:pPr>
        <w:widowControl/>
        <w:snapToGrid w:val="0"/>
        <w:spacing w:line="500" w:lineRule="atLeast"/>
        <w:jc w:val="left"/>
        <w:rPr>
          <w:rFonts w:hint="default" w:ascii="Times New Roman" w:hAnsi="Times New Roman" w:eastAsia="新宋体" w:cs="Times New Roman"/>
          <w:b/>
          <w:color w:val="000000" w:themeColor="text1"/>
          <w:sz w:val="24"/>
          <w:highlight w:val="none"/>
          <w:u w:val="single"/>
          <w14:textFill>
            <w14:solidFill>
              <w14:schemeClr w14:val="tx1"/>
            </w14:solidFill>
          </w14:textFill>
        </w:rPr>
      </w:pPr>
    </w:p>
    <w:p>
      <w:pPr>
        <w:rPr>
          <w:rStyle w:val="63"/>
          <w:rFonts w:hint="default" w:ascii="Times New Roman" w:hAnsi="Times New Roman" w:eastAsia="新宋体" w:cs="Times New Roman"/>
          <w:color w:val="000000" w:themeColor="text1"/>
          <w:szCs w:val="24"/>
          <w:highlight w:val="none"/>
          <w14:textFill>
            <w14:solidFill>
              <w14:schemeClr w14:val="tx1"/>
            </w14:solidFill>
          </w14:textFill>
        </w:rPr>
      </w:pPr>
      <w:bookmarkStart w:id="39" w:name="_Toc23999"/>
      <w:bookmarkStart w:id="40" w:name="_Toc19564"/>
    </w:p>
    <w:p>
      <w:pPr>
        <w:rPr>
          <w:rStyle w:val="63"/>
          <w:rFonts w:hint="default" w:ascii="Times New Roman" w:hAnsi="Times New Roman" w:eastAsia="新宋体" w:cs="Times New Roman"/>
          <w:color w:val="000000" w:themeColor="text1"/>
          <w:szCs w:val="24"/>
          <w:highlight w:val="none"/>
          <w14:textFill>
            <w14:solidFill>
              <w14:schemeClr w14:val="tx1"/>
            </w14:solidFill>
          </w14:textFill>
        </w:rPr>
      </w:pPr>
      <w:r>
        <w:rPr>
          <w:rStyle w:val="63"/>
          <w:rFonts w:hint="default" w:ascii="Times New Roman" w:hAnsi="Times New Roman" w:eastAsia="新宋体" w:cs="Times New Roman"/>
          <w:color w:val="000000" w:themeColor="text1"/>
          <w:szCs w:val="24"/>
          <w:highlight w:val="none"/>
          <w14:textFill>
            <w14:solidFill>
              <w14:schemeClr w14:val="tx1"/>
            </w14:solidFill>
          </w14:textFill>
        </w:rPr>
        <w:br w:type="page"/>
      </w:r>
    </w:p>
    <w:p>
      <w:pPr>
        <w:pStyle w:val="4"/>
        <w:numPr>
          <w:ilvl w:val="0"/>
          <w:numId w:val="0"/>
        </w:numPr>
        <w:bidi w:val="0"/>
        <w:ind w:leftChars="0"/>
        <w:jc w:val="center"/>
        <w:rPr>
          <w:rStyle w:val="63"/>
          <w:rFonts w:hint="default" w:ascii="Times New Roman" w:hAnsi="Times New Roman" w:eastAsia="新宋体" w:cs="Times New Roman"/>
          <w:b/>
          <w:color w:val="000000" w:themeColor="text1"/>
          <w:szCs w:val="24"/>
          <w:highlight w:val="none"/>
          <w14:textFill>
            <w14:solidFill>
              <w14:schemeClr w14:val="tx1"/>
            </w14:solidFill>
          </w14:textFill>
        </w:rPr>
      </w:pPr>
      <w:bookmarkStart w:id="41" w:name="_Toc29123"/>
      <w:r>
        <w:rPr>
          <w:rStyle w:val="63"/>
          <w:rFonts w:hint="default" w:ascii="Times New Roman" w:hAnsi="Times New Roman" w:eastAsia="新宋体" w:cs="Times New Roman"/>
          <w:b/>
          <w:color w:val="000000" w:themeColor="text1"/>
          <w:szCs w:val="24"/>
          <w:highlight w:val="none"/>
          <w14:textFill>
            <w14:solidFill>
              <w14:schemeClr w14:val="tx1"/>
            </w14:solidFill>
          </w14:textFill>
        </w:rPr>
        <w:t>第</w:t>
      </w:r>
      <w:r>
        <w:rPr>
          <w:rStyle w:val="63"/>
          <w:rFonts w:hint="default" w:ascii="Times New Roman" w:hAnsi="Times New Roman" w:eastAsia="新宋体" w:cs="Times New Roman"/>
          <w:b/>
          <w:color w:val="000000" w:themeColor="text1"/>
          <w:szCs w:val="24"/>
          <w:highlight w:val="none"/>
          <w:lang w:val="en-US" w:eastAsia="zh-CN"/>
          <w14:textFill>
            <w14:solidFill>
              <w14:schemeClr w14:val="tx1"/>
            </w14:solidFill>
          </w14:textFill>
        </w:rPr>
        <w:t>三</w:t>
      </w:r>
      <w:r>
        <w:rPr>
          <w:rStyle w:val="63"/>
          <w:rFonts w:hint="default" w:ascii="Times New Roman" w:hAnsi="Times New Roman" w:eastAsia="新宋体" w:cs="Times New Roman"/>
          <w:b/>
          <w:color w:val="000000" w:themeColor="text1"/>
          <w:szCs w:val="24"/>
          <w:highlight w:val="none"/>
          <w14:textFill>
            <w14:solidFill>
              <w14:schemeClr w14:val="tx1"/>
            </w14:solidFill>
          </w14:textFill>
        </w:rPr>
        <w:t>部分</w:t>
      </w:r>
      <w:r>
        <w:rPr>
          <w:rStyle w:val="63"/>
          <w:rFonts w:hint="default" w:ascii="Times New Roman" w:hAnsi="Times New Roman" w:eastAsia="新宋体" w:cs="Times New Roman"/>
          <w:b/>
          <w:color w:val="000000" w:themeColor="text1"/>
          <w:szCs w:val="24"/>
          <w:highlight w:val="none"/>
          <w:lang w:val="en-US"/>
          <w14:textFill>
            <w14:solidFill>
              <w14:schemeClr w14:val="tx1"/>
            </w14:solidFill>
          </w14:textFill>
        </w:rPr>
        <w:t xml:space="preserve">   </w:t>
      </w:r>
      <w:r>
        <w:rPr>
          <w:rStyle w:val="63"/>
          <w:rFonts w:hint="default" w:ascii="Times New Roman" w:hAnsi="Times New Roman" w:eastAsia="新宋体" w:cs="Times New Roman"/>
          <w:b/>
          <w:color w:val="000000" w:themeColor="text1"/>
          <w:szCs w:val="24"/>
          <w:highlight w:val="none"/>
          <w14:textFill>
            <w14:solidFill>
              <w14:schemeClr w14:val="tx1"/>
            </w14:solidFill>
          </w14:textFill>
        </w:rPr>
        <w:t>附件</w:t>
      </w:r>
      <w:bookmarkEnd w:id="38"/>
      <w:bookmarkEnd w:id="39"/>
      <w:bookmarkEnd w:id="40"/>
      <w:bookmarkEnd w:id="41"/>
    </w:p>
    <w:p>
      <w:pPr>
        <w:pStyle w:val="22"/>
        <w:keepNext w:val="0"/>
        <w:keepLines w:val="0"/>
        <w:pageBreakBefore w:val="0"/>
        <w:widowControl w:val="0"/>
        <w:kinsoku/>
        <w:wordWrap/>
        <w:overflowPunct/>
        <w:topLinePunct w:val="0"/>
        <w:autoSpaceDE/>
        <w:autoSpaceDN/>
        <w:bidi w:val="0"/>
        <w:adjustRightInd/>
        <w:snapToGrid/>
        <w:spacing w:line="460" w:lineRule="exact"/>
        <w:ind w:left="433" w:hanging="433" w:hangingChars="196"/>
        <w:textAlignment w:val="auto"/>
        <w:outlineLvl w:val="1"/>
        <w:rPr>
          <w:rFonts w:hint="default" w:ascii="Times New Roman" w:hAnsi="Times New Roman" w:eastAsia="新宋体" w:cs="Times New Roman"/>
          <w:b/>
          <w:color w:val="000000" w:themeColor="text1"/>
          <w:sz w:val="22"/>
          <w:highlight w:val="none"/>
          <w14:textFill>
            <w14:solidFill>
              <w14:schemeClr w14:val="tx1"/>
            </w14:solidFill>
          </w14:textFill>
        </w:rPr>
      </w:pPr>
      <w:bookmarkStart w:id="42" w:name="_Toc10092"/>
      <w:bookmarkStart w:id="43" w:name="_Toc5867"/>
      <w:r>
        <w:rPr>
          <w:rFonts w:hint="default" w:ascii="Times New Roman" w:hAnsi="Times New Roman" w:eastAsia="新宋体" w:cs="Times New Roman"/>
          <w:b/>
          <w:color w:val="000000" w:themeColor="text1"/>
          <w:sz w:val="22"/>
          <w:highlight w:val="none"/>
          <w14:textFill>
            <w14:solidFill>
              <w14:schemeClr w14:val="tx1"/>
            </w14:solidFill>
          </w14:textFill>
        </w:rPr>
        <w:t>附件一</w:t>
      </w:r>
      <w:bookmarkEnd w:id="42"/>
      <w:bookmarkEnd w:id="43"/>
    </w:p>
    <w:p>
      <w:pPr>
        <w:pStyle w:val="5"/>
        <w:keepNext w:val="0"/>
        <w:keepLines w:val="0"/>
        <w:pageBreakBefore w:val="0"/>
        <w:numPr>
          <w:ilvl w:val="2"/>
          <w:numId w:val="0"/>
        </w:numPr>
        <w:tabs>
          <w:tab w:val="left" w:pos="774"/>
          <w:tab w:val="clear" w:pos="1530"/>
        </w:tabs>
        <w:kinsoku/>
        <w:wordWrap/>
        <w:overflowPunct/>
        <w:topLinePunct w:val="0"/>
        <w:autoSpaceDE w:val="0"/>
        <w:autoSpaceDN w:val="0"/>
        <w:bidi w:val="0"/>
        <w:spacing w:before="240" w:line="460" w:lineRule="exact"/>
        <w:jc w:val="center"/>
        <w:rPr>
          <w:rFonts w:hint="default" w:ascii="Times New Roman" w:hAnsi="Times New Roman" w:eastAsia="新宋体" w:cs="Times New Roman"/>
          <w:bCs/>
          <w:color w:val="000000" w:themeColor="text1"/>
          <w:szCs w:val="28"/>
          <w:highlight w:val="none"/>
          <w14:textFill>
            <w14:solidFill>
              <w14:schemeClr w14:val="tx1"/>
            </w14:solidFill>
          </w14:textFill>
        </w:rPr>
      </w:pPr>
      <w:bookmarkStart w:id="44" w:name="_Toc21449"/>
      <w:bookmarkStart w:id="45" w:name="_Toc32036"/>
      <w:r>
        <w:rPr>
          <w:rFonts w:hint="default" w:ascii="Times New Roman" w:hAnsi="Times New Roman" w:eastAsia="新宋体" w:cs="Times New Roman"/>
          <w:bCs/>
          <w:color w:val="000000" w:themeColor="text1"/>
          <w:szCs w:val="28"/>
          <w:highlight w:val="none"/>
          <w14:textFill>
            <w14:solidFill>
              <w14:schemeClr w14:val="tx1"/>
            </w14:solidFill>
          </w14:textFill>
        </w:rPr>
        <w:t>报价文件</w:t>
      </w:r>
      <w:bookmarkEnd w:id="44"/>
      <w:bookmarkEnd w:id="45"/>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Cs/>
          <w:color w:val="000000" w:themeColor="text1"/>
          <w:szCs w:val="28"/>
          <w:highlight w:val="none"/>
          <w:lang w:val="zh-CN"/>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1、</w:t>
      </w:r>
      <w:r>
        <w:rPr>
          <w:rFonts w:hint="default" w:ascii="Times New Roman" w:hAnsi="Times New Roman" w:eastAsia="新宋体" w:cs="Times New Roman"/>
          <w:b/>
          <w:bCs/>
          <w:color w:val="000000" w:themeColor="text1"/>
          <w:sz w:val="28"/>
          <w:szCs w:val="28"/>
          <w:highlight w:val="none"/>
          <w:lang w:val="zh-CN"/>
          <w14:textFill>
            <w14:solidFill>
              <w14:schemeClr w14:val="tx1"/>
            </w14:solidFill>
          </w14:textFill>
        </w:rPr>
        <w:t>磋商响应函</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致：</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温州大学</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根据贵方为</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项目（项目编号：</w:t>
      </w:r>
      <w:r>
        <w:rPr>
          <w:rFonts w:hint="default" w:ascii="Times New Roman" w:hAnsi="Times New Roman" w:eastAsia="新宋体" w:cs="Times New Roman"/>
          <w:b w:val="0"/>
          <w:bCs/>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）的磋商邀请，我方</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（磋商供应商名称）作为磋商供应商正式授权</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（授权代表全名，职务）代表我方处理有关本磋商的一切事宜。为此：</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1、我方同意在磋商供应商编制和提交磋商响应文件须知规定的开标日期起遵守本磋商响应文件中的承诺且在磋商有效期满之前均具有约束力。</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2、我方承诺已经具备《中华人民共和国政府采购法》中规定的参加政府采购活动的供应商应当具备的条件：</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(1)具有独立承担民事责任的能力；</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(2)遵守国家法律、行政法规，具有良好的信誉和商业道德；</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(3)具有履行合同的能力和良好的履行合同记录；</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(4)良好的资金、财务状况；</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(5)提供的产品和服务符合中国政府规定的相应标准和环保标准；</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(6)没有违反政府采购法规、政策的记录；</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(7)没有发生重大经济纠纷和走私犯罪记录。</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3、提供编制和提交磋商响应文件须知规定的全部磋商响应文件，包括资格文件、报价文件、商务技术文件。具体内容为：</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(1)资格文件</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(2)报价文件；</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商务技术文件</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(4)编制和提交磋商响应文件须知要求磋商供应商提交的全部文件；</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(5)按磋商文件要求提供和交付的货物和服务的报价详见开标一览表；</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(6)保证忠实地执行双方所签订的合同，并承担合同规定的责任和义务；</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(7)保证遵守磋商文件中的其他有关规定。</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4、磋商有效期内不撤销磋商响应文件，如成交，有效期将延至合同终止日为止。</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5、我方完全理解贵方不一定要接受最低价。</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6、如成交，按磋商文件规定与采购人签订合同。如拒绝签订合同，承诺按本项目预算金额的2%对采购人进行赔偿；赔偿金额不足以弥补采购人损失的，承诺继续承担超过部分的损失。</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7、如成交，按磋商文件规定的采购代理服务费标准，在领取成交通知书时向采购代理机构支付采购代理服务费。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8、我方愿意向贵方提供任何与该项磋商有关的数据、情况和服务资料。若贵方需要，我方愿意提供我方作出的一切承诺的证明材料。</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9、我方已详细审核全部磋商文件，包括磋商文件修改书（如有的话）、参考资料及有关附件，确认无误。我方完全理解并接受磋商文件的各项规定和要求，对磋商文件的合理性、合法性不再有异议。</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(1)提供虚假材料谋取成交、成交的；</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(2)采取不正当手段诋毁、排挤其他供应商的；</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(3)与采购人、其它供应商或者采购代理机构恶意串通的；</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(4)向采购人、采购代理机构行贿或者提供其他不正当利益的；</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(5)拒绝有关部门监督检查或提供虚假情况的。</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供应商有前款第(1)至(4)项情形之一的，成交、成交无效。</w:t>
      </w:r>
    </w:p>
    <w:p>
      <w:pPr>
        <w:keepNext w:val="0"/>
        <w:keepLines w:val="0"/>
        <w:pageBreakBefore w:val="0"/>
        <w:widowControl w:val="0"/>
        <w:kinsoku/>
        <w:wordWrap/>
        <w:overflowPunct/>
        <w:topLinePunct w:val="0"/>
        <w:autoSpaceDE/>
        <w:autoSpaceDN/>
        <w:bidi w:val="0"/>
        <w:adjustRightInd/>
        <w:snapToGrid/>
        <w:spacing w:line="460" w:lineRule="exact"/>
        <w:ind w:firstLine="539" w:firstLineChars="245"/>
        <w:textAlignment w:val="auto"/>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法定（授权）代表人（签字）</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ab/>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磋商供应商盖 章：</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ab/>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联系电话：</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传真：</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联系地址：</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ab/>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邮政编码：</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电子邮件：</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日</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期</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年</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月</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460" w:lineRule="exact"/>
        <w:ind w:firstLine="435"/>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sectPr>
          <w:footerReference r:id="rId9" w:type="first"/>
          <w:footerReference r:id="rId8" w:type="default"/>
          <w:pgSz w:w="11907" w:h="16840"/>
          <w:pgMar w:top="1134" w:right="1134" w:bottom="1134" w:left="1134" w:header="851" w:footer="992" w:gutter="0"/>
          <w:pgBorders w:offsetFrom="page">
            <w:top w:val="none" w:sz="0" w:space="0"/>
            <w:left w:val="none" w:sz="0" w:space="0"/>
            <w:bottom w:val="none" w:sz="0" w:space="0"/>
            <w:right w:val="none" w:sz="0" w:space="0"/>
          </w:pgBorders>
          <w:pgNumType w:fmt="decimal" w:start="2"/>
          <w:cols w:space="720" w:num="1"/>
          <w:docGrid w:linePitch="312" w:charSpace="0"/>
        </w:sectPr>
      </w:pPr>
      <w:r>
        <w:rPr>
          <w:rFonts w:hint="default" w:ascii="Times New Roman" w:hAnsi="Times New Roman" w:eastAsia="新宋体" w:cs="Times New Roman"/>
          <w:b/>
          <w:bCs/>
          <w:color w:val="000000" w:themeColor="text1"/>
          <w:kern w:val="0"/>
          <w:sz w:val="22"/>
          <w:szCs w:val="22"/>
          <w:highlight w:val="none"/>
          <w:lang w:val="zh-CN"/>
          <w14:textFill>
            <w14:solidFill>
              <w14:schemeClr w14:val="tx1"/>
            </w14:solidFill>
          </w14:textFill>
        </w:rPr>
        <w:t>注：未按照本磋商响应函要求填报的将被视为非实质性响应，从而可能导致该磋商响应文件被拒绝。</w:t>
      </w: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2、报价一览表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 xml:space="preserve">项目名称： </w:t>
      </w:r>
      <w:r>
        <w:rPr>
          <w:rFonts w:hint="default" w:ascii="Times New Roman" w:hAnsi="Times New Roman" w:eastAsia="新宋体" w:cs="Times New Roman"/>
          <w:b/>
          <w:color w:val="000000" w:themeColor="text1"/>
          <w:sz w:val="22"/>
          <w:szCs w:val="22"/>
          <w:highlight w:val="none"/>
          <w14:textFill>
            <w14:solidFill>
              <w14:schemeClr w14:val="tx1"/>
            </w14:solidFill>
          </w14:textFill>
        </w:rPr>
        <w:t xml:space="preserve">                                                  </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项目编号</w:t>
      </w:r>
      <w:r>
        <w:rPr>
          <w:rFonts w:hint="default" w:ascii="Times New Roman" w:hAnsi="Times New Roman" w:eastAsia="新宋体" w:cs="Times New Roman"/>
          <w:bCs/>
          <w:color w:val="000000" w:themeColor="text1"/>
          <w:sz w:val="22"/>
          <w:szCs w:val="22"/>
          <w:highlight w:val="none"/>
          <w14:textFill>
            <w14:solidFill>
              <w14:schemeClr w14:val="tx1"/>
            </w14:solidFill>
          </w14:textFill>
        </w:rPr>
        <w:t>：</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681"/>
        <w:gridCol w:w="5828"/>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序号</w:t>
            </w:r>
          </w:p>
        </w:tc>
        <w:tc>
          <w:tcPr>
            <w:tcW w:w="168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项目名称</w:t>
            </w:r>
          </w:p>
        </w:tc>
        <w:tc>
          <w:tcPr>
            <w:tcW w:w="58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422" w:leftChars="-201" w:right="0" w:firstLine="968" w:firstLineChars="44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报价</w:t>
            </w:r>
          </w:p>
        </w:tc>
        <w:tc>
          <w:tcPr>
            <w:tcW w:w="12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974"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w:t>
            </w:r>
          </w:p>
        </w:tc>
        <w:tc>
          <w:tcPr>
            <w:tcW w:w="1681"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p>
        </w:tc>
        <w:tc>
          <w:tcPr>
            <w:tcW w:w="58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大写：</w:t>
            </w:r>
          </w:p>
        </w:tc>
        <w:tc>
          <w:tcPr>
            <w:tcW w:w="128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trPr>
        <w:tc>
          <w:tcPr>
            <w:tcW w:w="974"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p>
        </w:tc>
        <w:tc>
          <w:tcPr>
            <w:tcW w:w="1681"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p>
        </w:tc>
        <w:tc>
          <w:tcPr>
            <w:tcW w:w="5828"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小写：</w:t>
            </w:r>
          </w:p>
        </w:tc>
        <w:tc>
          <w:tcPr>
            <w:tcW w:w="128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41" w:firstLineChars="245"/>
        <w:textAlignment w:val="auto"/>
        <w:rPr>
          <w:rFonts w:hint="default" w:ascii="Times New Roman" w:hAnsi="Times New Roman" w:eastAsia="新宋体" w:cs="Times New Roman"/>
          <w:b/>
          <w:color w:val="000000" w:themeColor="text1"/>
          <w:sz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 xml:space="preserve">说明  </w:t>
      </w:r>
      <w:r>
        <w:rPr>
          <w:rFonts w:hint="default" w:ascii="Times New Roman" w:hAnsi="Times New Roman" w:eastAsia="新宋体" w:cs="Times New Roman"/>
          <w:b/>
          <w:color w:val="000000" w:themeColor="text1"/>
          <w:sz w:val="22"/>
          <w:highlight w:val="none"/>
          <w14:textFill>
            <w14:solidFill>
              <w14:schemeClr w14:val="tx1"/>
            </w14:solidFill>
          </w14:textFill>
        </w:rPr>
        <w:t>1、此栏报价应与附件一中“3、分项报价表”中的总计价相一致。</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color w:val="000000" w:themeColor="text1"/>
          <w:sz w:val="22"/>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 xml:space="preserve">           2、不提供此表格将被视为没有实质性响应磋商文件</w:t>
      </w:r>
    </w:p>
    <w:p>
      <w:pPr>
        <w:keepNext w:val="0"/>
        <w:keepLines w:val="0"/>
        <w:pageBreakBefore w:val="0"/>
        <w:widowControl w:val="0"/>
        <w:kinsoku/>
        <w:wordWrap/>
        <w:overflowPunct/>
        <w:topLinePunct w:val="0"/>
        <w:autoSpaceDE/>
        <w:autoSpaceDN/>
        <w:bidi w:val="0"/>
        <w:adjustRightInd/>
        <w:snapToGrid/>
        <w:spacing w:line="460" w:lineRule="exact"/>
        <w:ind w:left="532" w:leftChars="-171" w:hanging="891" w:hangingChars="405"/>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pStyle w:val="8"/>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8"/>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8"/>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2"/>
        <w:keepNext w:val="0"/>
        <w:keepLines w:val="0"/>
        <w:pageBreakBefore w:val="0"/>
        <w:kinsoku/>
        <w:wordWrap/>
        <w:overflowPunct/>
        <w:topLinePunct w:val="0"/>
        <w:bidi w:val="0"/>
        <w:spacing w:line="460" w:lineRule="exact"/>
        <w:ind w:left="562" w:hanging="562"/>
        <w:jc w:val="center"/>
        <w:outlineLvl w:val="3"/>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br w:type="page"/>
      </w:r>
      <w:r>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t>3、分项报价表</w:t>
      </w:r>
    </w:p>
    <w:p>
      <w:pPr>
        <w:keepNext w:val="0"/>
        <w:keepLines w:val="0"/>
        <w:pageBreakBefore w:val="0"/>
        <w:kinsoku/>
        <w:wordWrap/>
        <w:overflowPunct/>
        <w:topLinePunct w:val="0"/>
        <w:bidi w:val="0"/>
        <w:spacing w:line="460" w:lineRule="exact"/>
        <w:rPr>
          <w:rFonts w:hint="default" w:ascii="Times New Roman" w:hAnsi="Times New Roman" w:eastAsia="新宋体" w:cs="Times New Roman"/>
          <w:bCs/>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bCs/>
          <w:color w:val="000000" w:themeColor="text1"/>
          <w:sz w:val="22"/>
          <w:szCs w:val="22"/>
          <w:highlight w:val="none"/>
          <w14:textFill>
            <w14:solidFill>
              <w14:schemeClr w14:val="tx1"/>
            </w14:solidFill>
          </w14:textFill>
        </w:rPr>
        <w:t>项目名称：                                         项目编号：</w:t>
      </w:r>
      <w:r>
        <w:rPr>
          <w:rFonts w:hint="default" w:ascii="Times New Roman" w:hAnsi="Times New Roman" w:eastAsia="新宋体" w:cs="Times New Roman"/>
          <w:bCs/>
          <w:color w:val="000000" w:themeColor="text1"/>
          <w:sz w:val="22"/>
          <w:szCs w:val="22"/>
          <w:highlight w:val="none"/>
          <w:lang w:val="en-US" w:eastAsia="zh-CN"/>
          <w14:textFill>
            <w14:solidFill>
              <w14:schemeClr w14:val="tx1"/>
            </w14:solidFill>
          </w14:textFill>
        </w:rPr>
        <w:t xml:space="preserve">             （人民币元）</w:t>
      </w:r>
    </w:p>
    <w:tbl>
      <w:tblPr>
        <w:tblStyle w:val="50"/>
        <w:tblW w:w="0" w:type="auto"/>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605"/>
        <w:gridCol w:w="1477"/>
        <w:gridCol w:w="1570"/>
        <w:gridCol w:w="708"/>
        <w:gridCol w:w="708"/>
        <w:gridCol w:w="1143"/>
        <w:gridCol w:w="1000"/>
        <w:gridCol w:w="1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5"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项目</w:t>
            </w:r>
          </w:p>
        </w:tc>
        <w:tc>
          <w:tcPr>
            <w:tcW w:w="1605"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货物名称</w:t>
            </w: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品牌型号规格、产地</w:t>
            </w: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制造厂商名称</w:t>
            </w: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单位</w:t>
            </w: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数量</w:t>
            </w: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出厂单价</w:t>
            </w:r>
          </w:p>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（含税）</w:t>
            </w: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总价</w:t>
            </w:r>
          </w:p>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（含税）</w:t>
            </w: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免费</w:t>
            </w:r>
          </w:p>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1</w:t>
            </w:r>
          </w:p>
        </w:tc>
        <w:tc>
          <w:tcPr>
            <w:tcW w:w="16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2</w:t>
            </w:r>
          </w:p>
        </w:tc>
        <w:tc>
          <w:tcPr>
            <w:tcW w:w="16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3</w:t>
            </w:r>
          </w:p>
        </w:tc>
        <w:tc>
          <w:tcPr>
            <w:tcW w:w="16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4</w:t>
            </w:r>
          </w:p>
        </w:tc>
        <w:tc>
          <w:tcPr>
            <w:tcW w:w="16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5</w:t>
            </w:r>
          </w:p>
        </w:tc>
        <w:tc>
          <w:tcPr>
            <w:tcW w:w="16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6</w:t>
            </w:r>
          </w:p>
        </w:tc>
        <w:tc>
          <w:tcPr>
            <w:tcW w:w="16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p>
        </w:tc>
        <w:tc>
          <w:tcPr>
            <w:tcW w:w="16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kern w:val="0"/>
                <w:szCs w:val="21"/>
                <w:highlight w:val="none"/>
                <w14:textFill>
                  <w14:solidFill>
                    <w14:schemeClr w14:val="tx1"/>
                  </w14:solidFill>
                </w14:textFill>
              </w:rPr>
            </w:pP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szCs w:val="21"/>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p>
        </w:tc>
        <w:tc>
          <w:tcPr>
            <w:tcW w:w="1605" w:type="dxa"/>
            <w:noWrap w:val="0"/>
            <w:vAlign w:val="center"/>
          </w:tcPr>
          <w:p>
            <w:pPr>
              <w:keepNext w:val="0"/>
              <w:keepLines w:val="0"/>
              <w:pageBreakBefore w:val="0"/>
              <w:widowControl/>
              <w:suppressLineNumbers w:val="0"/>
              <w:kinsoku/>
              <w:wordWrap/>
              <w:overflowPunct/>
              <w:topLinePunct w:val="0"/>
              <w:bidi w:val="0"/>
              <w:spacing w:before="0" w:beforeAutospacing="0" w:after="0" w:afterAutospacing="0" w:line="460" w:lineRule="exact"/>
              <w:ind w:left="0" w:right="0"/>
              <w:textAlignment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w:t>
            </w:r>
          </w:p>
        </w:tc>
        <w:tc>
          <w:tcPr>
            <w:tcW w:w="1477"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7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08"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43"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000"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59" w:type="dxa"/>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运杂及保险费（含卸货）</w:t>
            </w:r>
          </w:p>
        </w:tc>
        <w:tc>
          <w:tcPr>
            <w:tcW w:w="6288" w:type="dxa"/>
            <w:gridSpan w:val="6"/>
            <w:noWrap w:val="0"/>
            <w:vAlign w:val="top"/>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安装调试费（包括设备的测试、调试等费用）</w:t>
            </w:r>
          </w:p>
        </w:tc>
        <w:tc>
          <w:tcPr>
            <w:tcW w:w="6288" w:type="dxa"/>
            <w:gridSpan w:val="6"/>
            <w:noWrap w:val="0"/>
            <w:vAlign w:val="top"/>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培训费、技术服务费、售后服务费等</w:t>
            </w:r>
          </w:p>
        </w:tc>
        <w:tc>
          <w:tcPr>
            <w:tcW w:w="6288" w:type="dxa"/>
            <w:gridSpan w:val="6"/>
            <w:noWrap w:val="0"/>
            <w:vAlign w:val="top"/>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第三方检定/校准费用</w:t>
            </w:r>
          </w:p>
        </w:tc>
        <w:tc>
          <w:tcPr>
            <w:tcW w:w="6288" w:type="dxa"/>
            <w:gridSpan w:val="6"/>
            <w:noWrap w:val="0"/>
            <w:vAlign w:val="top"/>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税金</w:t>
            </w:r>
          </w:p>
        </w:tc>
        <w:tc>
          <w:tcPr>
            <w:tcW w:w="6288" w:type="dxa"/>
            <w:gridSpan w:val="6"/>
            <w:noWrap w:val="0"/>
            <w:vAlign w:val="top"/>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707" w:type="dxa"/>
            <w:gridSpan w:val="3"/>
            <w:noWrap w:val="0"/>
            <w:vAlign w:val="center"/>
          </w:tcPr>
          <w:p>
            <w:pPr>
              <w:keepNext w:val="0"/>
              <w:keepLines w:val="0"/>
              <w:pageBreakBefore w:val="0"/>
              <w:suppressLineNumbers w:val="0"/>
              <w:kinsoku/>
              <w:wordWrap/>
              <w:overflowPunct/>
              <w:topLinePunct w:val="0"/>
              <w:bidi w:val="0"/>
              <w:spacing w:before="0" w:beforeAutospacing="0" w:after="0" w:afterAutospacing="0" w:line="460" w:lineRule="exact"/>
              <w:ind w:left="0" w:right="-11"/>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总计价</w:t>
            </w:r>
          </w:p>
        </w:tc>
        <w:tc>
          <w:tcPr>
            <w:tcW w:w="6288" w:type="dxa"/>
            <w:gridSpan w:val="6"/>
            <w:noWrap w:val="0"/>
            <w:vAlign w:val="top"/>
          </w:tcPr>
          <w:p>
            <w:pPr>
              <w:keepNext w:val="0"/>
              <w:keepLines w:val="0"/>
              <w:pageBreakBefore w:val="0"/>
              <w:suppressLineNumbers w:val="0"/>
              <w:kinsoku/>
              <w:wordWrap/>
              <w:overflowPunct/>
              <w:topLinePunct w:val="0"/>
              <w:bidi w:val="0"/>
              <w:spacing w:before="0" w:beforeAutospacing="0" w:after="0" w:afterAutospacing="0" w:line="46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bl>
    <w:p>
      <w:pPr>
        <w:keepNext w:val="0"/>
        <w:keepLines w:val="0"/>
        <w:pageBreakBefore w:val="0"/>
        <w:tabs>
          <w:tab w:val="left" w:pos="360"/>
        </w:tabs>
        <w:kinsoku/>
        <w:wordWrap/>
        <w:overflowPunct/>
        <w:topLinePunct w:val="0"/>
        <w:bidi w:val="0"/>
        <w:spacing w:line="460" w:lineRule="exact"/>
        <w:rPr>
          <w:rFonts w:hint="default" w:ascii="Times New Roman" w:hAnsi="Times New Roman" w:eastAsia="新宋体" w:cs="Times New Roman"/>
          <w:b/>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说明：</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1、此表总计价应与附件一中“2、报价一览表”中报价相一致。</w:t>
      </w:r>
    </w:p>
    <w:p>
      <w:pPr>
        <w:keepNext w:val="0"/>
        <w:keepLines w:val="0"/>
        <w:pageBreakBefore w:val="0"/>
        <w:kinsoku/>
        <w:wordWrap/>
        <w:overflowPunct/>
        <w:topLinePunct w:val="0"/>
        <w:bidi w:val="0"/>
        <w:spacing w:line="460" w:lineRule="exact"/>
        <w:ind w:firstLine="663" w:firstLineChars="300"/>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2、不提供详细分项报价将视为没有实质性响应磋商文件。</w:t>
      </w:r>
    </w:p>
    <w:p>
      <w:pPr>
        <w:keepNext w:val="0"/>
        <w:keepLines w:val="0"/>
        <w:pageBreakBefore w:val="0"/>
        <w:kinsoku/>
        <w:wordWrap/>
        <w:overflowPunct/>
        <w:topLinePunct w:val="0"/>
        <w:bidi w:val="0"/>
        <w:spacing w:line="460" w:lineRule="exact"/>
        <w:ind w:firstLine="663" w:firstLineChars="300"/>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3、如果免费请在该项内容栏内注明“免”，如果含在产品价格中则填“含”，如无此项内容则填“无”，不留空白。</w:t>
      </w:r>
    </w:p>
    <w:p>
      <w:pPr>
        <w:keepNext w:val="0"/>
        <w:keepLines w:val="0"/>
        <w:pageBreakBefore w:val="0"/>
        <w:tabs>
          <w:tab w:val="left" w:pos="360"/>
        </w:tabs>
        <w:kinsoku/>
        <w:wordWrap/>
        <w:overflowPunct/>
        <w:topLinePunct w:val="0"/>
        <w:bidi w:val="0"/>
        <w:spacing w:line="460" w:lineRule="exact"/>
        <w:ind w:firstLine="773" w:firstLineChars="350"/>
        <w:rPr>
          <w:rFonts w:hint="default" w:ascii="Times New Roman" w:hAnsi="Times New Roman" w:eastAsia="新宋体" w:cs="Times New Roman"/>
          <w:b/>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br w:type="page"/>
      </w:r>
    </w:p>
    <w:p>
      <w:pPr>
        <w:keepNext w:val="0"/>
        <w:keepLines w:val="0"/>
        <w:pageBreakBefore w:val="0"/>
        <w:kinsoku/>
        <w:wordWrap/>
        <w:overflowPunct/>
        <w:topLinePunct w:val="0"/>
        <w:bidi w:val="0"/>
        <w:spacing w:line="460" w:lineRule="exact"/>
        <w:outlineLvl w:val="3"/>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t>4、监狱企业的相关证明材料</w:t>
      </w:r>
    </w:p>
    <w:p>
      <w:pPr>
        <w:keepNext w:val="0"/>
        <w:keepLines w:val="0"/>
        <w:pageBreakBefore w:val="0"/>
        <w:kinsoku/>
        <w:wordWrap/>
        <w:overflowPunct/>
        <w:topLinePunct w:val="0"/>
        <w:bidi w:val="0"/>
        <w:spacing w:line="460" w:lineRule="exact"/>
        <w:ind w:firstLine="466" w:firstLineChars="200"/>
        <w:rPr>
          <w:rFonts w:hint="default" w:ascii="Times New Roman" w:hAnsi="Times New Roman" w:eastAsia="新宋体" w:cs="Times New Roman"/>
          <w:b/>
          <w:bCs/>
          <w:color w:val="000000" w:themeColor="text1"/>
          <w:sz w:val="22"/>
          <w:szCs w:val="22"/>
          <w:highlight w:val="none"/>
          <w:u w:val="single"/>
          <w:lang w:val="zh-CN"/>
          <w14:textFill>
            <w14:solidFill>
              <w14:schemeClr w14:val="tx1"/>
            </w14:solidFill>
          </w14:textFill>
        </w:rPr>
      </w:pPr>
      <w:r>
        <w:rPr>
          <w:rFonts w:hint="default" w:ascii="Times New Roman" w:hAnsi="Times New Roman" w:eastAsia="新宋体" w:cs="Times New Roman"/>
          <w:b/>
          <w:color w:val="000000" w:themeColor="text1"/>
          <w:spacing w:val="6"/>
          <w:sz w:val="22"/>
          <w:szCs w:val="22"/>
          <w:highlight w:val="none"/>
          <w14:textFill>
            <w14:solidFill>
              <w14:schemeClr w14:val="tx1"/>
            </w14:solidFill>
          </w14:textFill>
        </w:rPr>
        <w:t>需提供相关证明材料，</w:t>
      </w:r>
      <w:r>
        <w:rPr>
          <w:rFonts w:hint="default" w:ascii="Times New Roman" w:hAnsi="Times New Roman" w:eastAsia="新宋体" w:cs="Times New Roman"/>
          <w:b/>
          <w:bCs/>
          <w:color w:val="000000" w:themeColor="text1"/>
          <w:sz w:val="22"/>
          <w:szCs w:val="22"/>
          <w:highlight w:val="none"/>
          <w:u w:val="single"/>
          <w:lang w:val="zh-CN"/>
          <w14:textFill>
            <w14:solidFill>
              <w14:schemeClr w14:val="tx1"/>
            </w14:solidFill>
          </w14:textFill>
        </w:rPr>
        <w:t>未提供证明材料或不能清楚辨析</w:t>
      </w: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是监狱企业的按非监狱企业处理，所提供的证明材料应为最新的最近的</w:t>
      </w:r>
      <w:r>
        <w:rPr>
          <w:rFonts w:hint="default" w:ascii="Times New Roman" w:hAnsi="Times New Roman" w:eastAsia="新宋体" w:cs="Times New Roman"/>
          <w:b/>
          <w:bCs/>
          <w:color w:val="000000" w:themeColor="text1"/>
          <w:sz w:val="22"/>
          <w:szCs w:val="22"/>
          <w:highlight w:val="none"/>
          <w:u w:val="single"/>
          <w:lang w:val="zh-CN"/>
          <w14:textFill>
            <w14:solidFill>
              <w14:schemeClr w14:val="tx1"/>
            </w14:solidFill>
          </w14:textFill>
        </w:rPr>
        <w:t>。</w:t>
      </w:r>
    </w:p>
    <w:p>
      <w:pPr>
        <w:keepNext w:val="0"/>
        <w:keepLines w:val="0"/>
        <w:pageBreakBefore w:val="0"/>
        <w:kinsoku/>
        <w:wordWrap/>
        <w:overflowPunct/>
        <w:topLinePunct w:val="0"/>
        <w:bidi w:val="0"/>
        <w:adjustRightInd w:val="0"/>
        <w:snapToGrid w:val="0"/>
        <w:spacing w:line="460" w:lineRule="exact"/>
        <w:jc w:val="center"/>
        <w:rPr>
          <w:rFonts w:hint="default" w:ascii="Times New Roman" w:hAnsi="Times New Roman" w:eastAsia="新宋体" w:cs="Times New Roman"/>
          <w:b/>
          <w:color w:val="000000" w:themeColor="text1"/>
          <w:spacing w:val="6"/>
          <w:sz w:val="22"/>
          <w:szCs w:val="22"/>
          <w:highlight w:val="none"/>
          <w14:textFill>
            <w14:solidFill>
              <w14:schemeClr w14:val="tx1"/>
            </w14:solidFill>
          </w14:textFill>
        </w:rPr>
      </w:pPr>
    </w:p>
    <w:p>
      <w:pPr>
        <w:keepNext w:val="0"/>
        <w:keepLines w:val="0"/>
        <w:pageBreakBefore w:val="0"/>
        <w:kinsoku/>
        <w:wordWrap/>
        <w:overflowPunct/>
        <w:topLinePunct w:val="0"/>
        <w:bidi w:val="0"/>
        <w:adjustRightInd w:val="0"/>
        <w:snapToGrid w:val="0"/>
        <w:spacing w:line="460" w:lineRule="exact"/>
        <w:jc w:val="center"/>
        <w:rPr>
          <w:rFonts w:hint="default" w:ascii="Times New Roman" w:hAnsi="Times New Roman" w:eastAsia="新宋体" w:cs="Times New Roman"/>
          <w:b/>
          <w:color w:val="000000" w:themeColor="text1"/>
          <w:spacing w:val="6"/>
          <w:sz w:val="22"/>
          <w:szCs w:val="22"/>
          <w:highlight w:val="none"/>
          <w14:textFill>
            <w14:solidFill>
              <w14:schemeClr w14:val="tx1"/>
            </w14:solidFill>
          </w14:textFill>
        </w:rPr>
      </w:pPr>
    </w:p>
    <w:p>
      <w:pPr>
        <w:keepNext w:val="0"/>
        <w:keepLines w:val="0"/>
        <w:pageBreakBefore w:val="0"/>
        <w:kinsoku/>
        <w:wordWrap/>
        <w:overflowPunct/>
        <w:topLinePunct w:val="0"/>
        <w:bidi w:val="0"/>
        <w:adjustRightInd w:val="0"/>
        <w:snapToGrid w:val="0"/>
        <w:spacing w:line="460" w:lineRule="exact"/>
        <w:jc w:val="center"/>
        <w:rPr>
          <w:rFonts w:hint="default" w:ascii="Times New Roman" w:hAnsi="Times New Roman" w:eastAsia="新宋体" w:cs="Times New Roman"/>
          <w:b/>
          <w:color w:val="000000" w:themeColor="text1"/>
          <w:spacing w:val="6"/>
          <w:sz w:val="22"/>
          <w:szCs w:val="22"/>
          <w:highlight w:val="none"/>
          <w14:textFill>
            <w14:solidFill>
              <w14:schemeClr w14:val="tx1"/>
            </w14:solidFill>
          </w14:textFill>
        </w:rPr>
      </w:pPr>
    </w:p>
    <w:p>
      <w:pPr>
        <w:keepNext w:val="0"/>
        <w:keepLines w:val="0"/>
        <w:pageBreakBefore w:val="0"/>
        <w:kinsoku/>
        <w:wordWrap/>
        <w:overflowPunct/>
        <w:topLinePunct w:val="0"/>
        <w:bidi w:val="0"/>
        <w:adjustRightInd w:val="0"/>
        <w:snapToGrid w:val="0"/>
        <w:spacing w:line="460" w:lineRule="exact"/>
        <w:jc w:val="cente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b/>
          <w:color w:val="000000" w:themeColor="text1"/>
          <w:spacing w:val="6"/>
          <w:sz w:val="22"/>
          <w:szCs w:val="22"/>
          <w:highlight w:val="none"/>
          <w14:textFill>
            <w14:solidFill>
              <w14:schemeClr w14:val="tx1"/>
            </w14:solidFill>
          </w14:textFill>
        </w:rPr>
        <w:t>监狱企业声明函</w:t>
      </w:r>
    </w:p>
    <w:p>
      <w:pPr>
        <w:keepNext w:val="0"/>
        <w:keepLines w:val="0"/>
        <w:pageBreakBefore w:val="0"/>
        <w:kinsoku/>
        <w:wordWrap/>
        <w:overflowPunct/>
        <w:topLinePunct w:val="0"/>
        <w:bidi w:val="0"/>
        <w:snapToGrid w:val="0"/>
        <w:spacing w:line="460" w:lineRule="exact"/>
        <w:ind w:firstLine="464" w:firstLineChars="200"/>
        <w:jc w:val="cente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【非监狱企业不用提供】</w:t>
      </w:r>
    </w:p>
    <w:p>
      <w:pPr>
        <w:keepNext w:val="0"/>
        <w:keepLines w:val="0"/>
        <w:pageBreakBefore w:val="0"/>
        <w:kinsoku/>
        <w:wordWrap/>
        <w:overflowPunct/>
        <w:topLinePunct w:val="0"/>
        <w:bidi w:val="0"/>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 xml:space="preserve">本企业郑重声明，根据《关于政府采购支持监狱企业发展有关问题的通知》（财库[2014]68号）的规定，本企业为监狱企业。 </w:t>
      </w:r>
    </w:p>
    <w:p>
      <w:pPr>
        <w:keepNext w:val="0"/>
        <w:keepLines w:val="0"/>
        <w:pageBreakBefore w:val="0"/>
        <w:kinsoku/>
        <w:wordWrap/>
        <w:overflowPunct/>
        <w:topLinePunct w:val="0"/>
        <w:bidi w:val="0"/>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根据上述标准，我企业属于监狱企业的理由为：</w:t>
      </w:r>
      <w:r>
        <w:rPr>
          <w:rFonts w:hint="default" w:ascii="Times New Roman" w:hAnsi="Times New Roman" w:eastAsia="新宋体" w:cs="Times New Roman"/>
          <w:color w:val="000000" w:themeColor="text1"/>
          <w:spacing w:val="6"/>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 xml:space="preserve">。 </w:t>
      </w:r>
    </w:p>
    <w:p>
      <w:pPr>
        <w:keepNext w:val="0"/>
        <w:keepLines w:val="0"/>
        <w:pageBreakBefore w:val="0"/>
        <w:kinsoku/>
        <w:wordWrap/>
        <w:overflowPunct/>
        <w:topLinePunct w:val="0"/>
        <w:bidi w:val="0"/>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本企业为参加（项目名称</w:t>
      </w:r>
      <w:r>
        <w:rPr>
          <w:rFonts w:hint="default" w:ascii="Times New Roman" w:hAnsi="Times New Roman" w:eastAsia="新宋体" w:cs="Times New Roman"/>
          <w:color w:val="000000" w:themeColor="text1"/>
          <w:spacing w:val="6"/>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）（项目编号</w:t>
      </w:r>
      <w:r>
        <w:rPr>
          <w:rFonts w:hint="default" w:ascii="Times New Roman" w:hAnsi="Times New Roman" w:eastAsia="新宋体" w:cs="Times New Roman"/>
          <w:color w:val="000000" w:themeColor="text1"/>
          <w:spacing w:val="6"/>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 xml:space="preserve">）采购活动并承担本工程。 </w:t>
      </w:r>
    </w:p>
    <w:p>
      <w:pPr>
        <w:keepNext w:val="0"/>
        <w:keepLines w:val="0"/>
        <w:pageBreakBefore w:val="0"/>
        <w:kinsoku/>
        <w:wordWrap/>
        <w:overflowPunct/>
        <w:topLinePunct w:val="0"/>
        <w:bidi w:val="0"/>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 xml:space="preserve">本企业对上述声明的真实性负责。如有虚假，将依法承担相应责任。  </w:t>
      </w:r>
    </w:p>
    <w:p>
      <w:pPr>
        <w:keepNext w:val="0"/>
        <w:keepLines w:val="0"/>
        <w:pageBreakBefore w:val="0"/>
        <w:kinsoku/>
        <w:wordWrap/>
        <w:overflowPunct/>
        <w:topLinePunct w:val="0"/>
        <w:bidi w:val="0"/>
        <w:adjustRightInd w:val="0"/>
        <w:snapToGrid w:val="0"/>
        <w:spacing w:line="460" w:lineRule="exact"/>
        <w:ind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磋商供应商全称（盖章）：</w:t>
      </w:r>
      <w:r>
        <w:rPr>
          <w:rFonts w:hint="default" w:ascii="Times New Roman" w:hAnsi="Times New Roman" w:eastAsia="新宋体" w:cs="Times New Roman"/>
          <w:color w:val="000000" w:themeColor="text1"/>
          <w:kern w:val="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 xml:space="preserve">                   </w:t>
      </w:r>
    </w:p>
    <w:p>
      <w:pPr>
        <w:keepNext w:val="0"/>
        <w:keepLines w:val="0"/>
        <w:pageBreakBefore w:val="0"/>
        <w:kinsoku/>
        <w:wordWrap/>
        <w:overflowPunct/>
        <w:topLinePunct w:val="0"/>
        <w:bidi w:val="0"/>
        <w:adjustRightInd w:val="0"/>
        <w:snapToGrid w:val="0"/>
        <w:spacing w:line="460" w:lineRule="exact"/>
        <w:ind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 xml:space="preserve">日期：    年    月   日 </w:t>
      </w:r>
    </w:p>
    <w:p>
      <w:pPr>
        <w:keepNext w:val="0"/>
        <w:keepLines w:val="0"/>
        <w:pageBreakBefore w:val="0"/>
        <w:kinsoku/>
        <w:wordWrap/>
        <w:overflowPunct/>
        <w:topLinePunct w:val="0"/>
        <w:bidi w:val="0"/>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 xml:space="preserve">监狱企业参加政府采购活动时，应当提供由省级以上监狱管理局、戒毒管理局（含新疆生产建设兵团）出具的属于监狱企业的证明文件。 </w:t>
      </w:r>
    </w:p>
    <w:p>
      <w:pPr>
        <w:keepNext w:val="0"/>
        <w:keepLines w:val="0"/>
        <w:pageBreakBefore w:val="0"/>
        <w:kinsoku/>
        <w:wordWrap/>
        <w:overflowPunct/>
        <w:topLinePunct w:val="0"/>
        <w:bidi w:val="0"/>
        <w:adjustRightInd w:val="0"/>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2"/>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highlight w:val="none"/>
          <w14:textFill>
            <w14:solidFill>
              <w14:schemeClr w14:val="tx1"/>
            </w14:solidFill>
          </w14:textFill>
        </w:rPr>
      </w:pPr>
    </w:p>
    <w:p>
      <w:pPr>
        <w:pStyle w:val="22"/>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highlight w:val="none"/>
          <w14:textFill>
            <w14:solidFill>
              <w14:schemeClr w14:val="tx1"/>
            </w14:solidFill>
          </w14:textFill>
        </w:rPr>
      </w:pPr>
    </w:p>
    <w:p>
      <w:pPr>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br w:type="page"/>
      </w:r>
    </w:p>
    <w:p>
      <w:pPr>
        <w:keepNext w:val="0"/>
        <w:keepLines w:val="0"/>
        <w:pageBreakBefore w:val="0"/>
        <w:kinsoku/>
        <w:wordWrap/>
        <w:overflowPunct/>
        <w:topLinePunct w:val="0"/>
        <w:bidi w:val="0"/>
        <w:spacing w:line="460" w:lineRule="exact"/>
        <w:outlineLvl w:val="3"/>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t>5、中小企业的相关证明材料</w:t>
      </w:r>
    </w:p>
    <w:p>
      <w:pPr>
        <w:keepNext w:val="0"/>
        <w:keepLines w:val="0"/>
        <w:pageBreakBefore w:val="0"/>
        <w:kinsoku/>
        <w:wordWrap/>
        <w:overflowPunct/>
        <w:topLinePunct w:val="0"/>
        <w:bidi w:val="0"/>
        <w:snapToGrid w:val="0"/>
        <w:spacing w:line="460" w:lineRule="exact"/>
        <w:jc w:val="cente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【非</w:t>
      </w:r>
      <w:r>
        <w:rPr>
          <w:rFonts w:hint="default" w:ascii="Times New Roman" w:hAnsi="Times New Roman" w:eastAsia="新宋体" w:cs="Times New Roman"/>
          <w:color w:val="000000" w:themeColor="text1"/>
          <w:spacing w:val="6"/>
          <w:sz w:val="22"/>
          <w:szCs w:val="22"/>
          <w:highlight w:val="none"/>
          <w:lang w:val="zh-CN"/>
          <w14:textFill>
            <w14:solidFill>
              <w14:schemeClr w14:val="tx1"/>
            </w14:solidFill>
          </w14:textFill>
        </w:rPr>
        <w:t>小型、微型</w:t>
      </w: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企业不用提供】</w:t>
      </w:r>
    </w:p>
    <w:p>
      <w:pPr>
        <w:keepNext w:val="0"/>
        <w:keepLines w:val="0"/>
        <w:pageBreakBefore w:val="0"/>
        <w:kinsoku/>
        <w:wordWrap/>
        <w:overflowPunct/>
        <w:topLinePunct w:val="0"/>
        <w:bidi w:val="0"/>
        <w:spacing w:line="460" w:lineRule="exact"/>
        <w:ind w:firstLine="440" w:firstLineChars="200"/>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根据《政府采购促进中小企业发展管理办法》（财库〔2020〕46号）、《财政部关于进一步加大政府采购支持中小企业力度的通知》（财库〔2022〕19号）、《浙江省财政厅关于进一步加大政府采购支持中小企业力度助力扎实稳住经济的通知》（浙财采监〔2022〕8号）有关规定，对小型或微型企业参加</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磋商</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且</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设备</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为小型或微型企业生产的，</w:t>
      </w:r>
      <w:r>
        <w:rPr>
          <w:rFonts w:hint="default" w:ascii="Times New Roman" w:hAnsi="Times New Roman" w:eastAsia="新宋体" w:cs="Times New Roman"/>
          <w:b w:val="0"/>
          <w:bCs w:val="0"/>
          <w:color w:val="000000" w:themeColor="text1"/>
          <w:sz w:val="22"/>
          <w:szCs w:val="22"/>
          <w:highlight w:val="none"/>
          <w:u w:val="none"/>
          <w:lang w:val="zh-CN"/>
          <w14:textFill>
            <w14:solidFill>
              <w14:schemeClr w14:val="tx1"/>
            </w14:solidFill>
          </w14:textFill>
        </w:rPr>
        <w:t>价格给予</w:t>
      </w:r>
      <w:r>
        <w:rPr>
          <w:rFonts w:hint="eastAsia" w:ascii="Times New Roman" w:hAnsi="Times New Roman" w:eastAsia="新宋体" w:cs="Times New Roman"/>
          <w:b/>
          <w:bCs/>
          <w:color w:val="000000" w:themeColor="text1"/>
          <w:sz w:val="22"/>
          <w:szCs w:val="22"/>
          <w:highlight w:val="none"/>
          <w:u w:val="none"/>
          <w:lang w:val="en-US" w:eastAsia="zh-CN"/>
          <w14:textFill>
            <w14:solidFill>
              <w14:schemeClr w14:val="tx1"/>
            </w14:solidFill>
          </w14:textFill>
        </w:rPr>
        <w:t>20%</w:t>
      </w:r>
      <w:r>
        <w:rPr>
          <w:rFonts w:hint="default" w:ascii="Times New Roman" w:hAnsi="Times New Roman" w:eastAsia="新宋体" w:cs="Times New Roman"/>
          <w:b w:val="0"/>
          <w:bCs w:val="0"/>
          <w:color w:val="000000" w:themeColor="text1"/>
          <w:sz w:val="22"/>
          <w:szCs w:val="22"/>
          <w:highlight w:val="none"/>
          <w:u w:val="none"/>
          <w:lang w:val="zh-CN"/>
          <w14:textFill>
            <w14:solidFill>
              <w14:schemeClr w14:val="tx1"/>
            </w14:solidFill>
          </w14:textFill>
        </w:rPr>
        <w:t>的扣除</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，用扣除后的价格参与价格评分。</w:t>
      </w:r>
    </w:p>
    <w:p>
      <w:pPr>
        <w:keepNext w:val="0"/>
        <w:keepLines w:val="0"/>
        <w:pageBreakBefore w:val="0"/>
        <w:kinsoku/>
        <w:wordWrap/>
        <w:overflowPunct/>
        <w:topLinePunct w:val="0"/>
        <w:bidi w:val="0"/>
        <w:spacing w:line="460" w:lineRule="exact"/>
        <w:ind w:firstLine="539" w:firstLineChars="245"/>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w:t>
      </w:r>
      <w:r>
        <w:rPr>
          <w:rFonts w:hint="default" w:ascii="Times New Roman" w:hAnsi="Times New Roman" w:eastAsia="新宋体" w:cs="Times New Roman"/>
          <w:b/>
          <w:bCs/>
          <w:color w:val="000000" w:themeColor="text1"/>
          <w:spacing w:val="20"/>
          <w:sz w:val="22"/>
          <w:szCs w:val="22"/>
          <w:highlight w:val="none"/>
          <w14:textFill>
            <w14:solidFill>
              <w14:schemeClr w14:val="tx1"/>
            </w14:solidFill>
          </w14:textFill>
        </w:rPr>
        <w:t>中小企业声明函（货物）</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w:t>
      </w:r>
    </w:p>
    <w:p>
      <w:pPr>
        <w:keepNext w:val="0"/>
        <w:keepLines w:val="0"/>
        <w:pageBreakBefore w:val="0"/>
        <w:kinsoku/>
        <w:wordWrap/>
        <w:overflowPunct/>
        <w:topLinePunct w:val="0"/>
        <w:bidi w:val="0"/>
        <w:snapToGrid w:val="0"/>
        <w:spacing w:line="460" w:lineRule="exact"/>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【不属于中小企业单位的无需填写、递交】</w:t>
      </w:r>
    </w:p>
    <w:p>
      <w:pPr>
        <w:keepNext w:val="0"/>
        <w:keepLines w:val="0"/>
        <w:pageBreakBefore w:val="0"/>
        <w:kinsoku/>
        <w:wordWrap/>
        <w:overflowPunct/>
        <w:topLinePunct w:val="0"/>
        <w:bidi w:val="0"/>
        <w:spacing w:line="460" w:lineRule="exact"/>
        <w:ind w:firstLine="637" w:firstLineChars="245"/>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本公司（联合体）郑重声明，根据《政府采购促进中小企业发展管理办法》（财库﹝2020﹞46 号）的规定，本公司（联合体）参加</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（单位名称）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的</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（项目名称）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采购活动，提供的货物全部由符合政策要求的中小企业制造。相关企业（含联合体中的中小企业、签订分包意向协议的中小企业）的具体情况如下：</w:t>
      </w:r>
    </w:p>
    <w:p>
      <w:pPr>
        <w:keepNext w:val="0"/>
        <w:keepLines w:val="0"/>
        <w:pageBreakBefore w:val="0"/>
        <w:kinsoku/>
        <w:wordWrap/>
        <w:overflowPunct/>
        <w:topLinePunct w:val="0"/>
        <w:bidi w:val="0"/>
        <w:spacing w:line="460" w:lineRule="exact"/>
        <w:ind w:firstLine="539" w:firstLineChars="245"/>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u w:val="single"/>
          <w:lang w:val="zh-CN"/>
          <w14:textFill>
            <w14:solidFill>
              <w14:schemeClr w14:val="tx1"/>
            </w14:solidFill>
          </w14:textFill>
        </w:rPr>
        <w:t>（标的名称）</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 xml:space="preserve"> ，属于</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行业；制造商为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（企业名称），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从业人员</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人，营业收入为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万元，资产总额为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万元，属于</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（中型企业、小型企业、微型企业）</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w:t>
      </w:r>
    </w:p>
    <w:p>
      <w:pPr>
        <w:keepNext w:val="0"/>
        <w:keepLines w:val="0"/>
        <w:pageBreakBefore w:val="0"/>
        <w:kinsoku/>
        <w:wordWrap/>
        <w:overflowPunct/>
        <w:topLinePunct w:val="0"/>
        <w:bidi w:val="0"/>
        <w:spacing w:line="460" w:lineRule="exact"/>
        <w:ind w:firstLine="520" w:firstLineChars="200"/>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2.</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（标的名称）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 xml:space="preserve"> ，属于</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（采购文件中明确的所属行业）</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行业；制造商为（企业名称），从业人员</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人，营业收入为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万元，资产总额为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万元，属于（中型企业、小型企业、微型企业）；</w:t>
      </w:r>
    </w:p>
    <w:p>
      <w:pPr>
        <w:keepNext w:val="0"/>
        <w:keepLines w:val="0"/>
        <w:pageBreakBefore w:val="0"/>
        <w:kinsoku/>
        <w:wordWrap/>
        <w:overflowPunct/>
        <w:topLinePunct w:val="0"/>
        <w:bidi w:val="0"/>
        <w:spacing w:line="460" w:lineRule="exact"/>
        <w:ind w:firstLine="520" w:firstLineChars="200"/>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w:t>
      </w:r>
    </w:p>
    <w:p>
      <w:pPr>
        <w:keepNext w:val="0"/>
        <w:keepLines w:val="0"/>
        <w:pageBreakBefore w:val="0"/>
        <w:kinsoku/>
        <w:wordWrap/>
        <w:overflowPunct/>
        <w:topLinePunct w:val="0"/>
        <w:bidi w:val="0"/>
        <w:spacing w:line="460" w:lineRule="exact"/>
        <w:ind w:firstLine="520" w:firstLineChars="200"/>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以上企业，不属于大企业的分支机构，不存在控股股东为大企业的情形，也不存在与大企业的负责人为同一人的情形。</w:t>
      </w:r>
    </w:p>
    <w:p>
      <w:pPr>
        <w:keepNext w:val="0"/>
        <w:keepLines w:val="0"/>
        <w:pageBreakBefore w:val="0"/>
        <w:kinsoku/>
        <w:wordWrap/>
        <w:overflowPunct/>
        <w:topLinePunct w:val="0"/>
        <w:bidi w:val="0"/>
        <w:spacing w:line="460" w:lineRule="exact"/>
        <w:ind w:firstLine="520" w:firstLineChars="200"/>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本企业对上述声明内容的真实性负责。如有虚假，将依法承担相应责任。</w:t>
      </w: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p>
    <w:p>
      <w:pPr>
        <w:pStyle w:val="8"/>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ind w:firstLine="5720" w:firstLineChars="2200"/>
        <w:jc w:val="both"/>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企业名称（盖章）：</w:t>
      </w:r>
    </w:p>
    <w:p>
      <w:pPr>
        <w:keepNext w:val="0"/>
        <w:keepLines w:val="0"/>
        <w:pageBreakBefore w:val="0"/>
        <w:kinsoku/>
        <w:wordWrap/>
        <w:overflowPunct/>
        <w:topLinePunct w:val="0"/>
        <w:bidi w:val="0"/>
        <w:spacing w:line="460" w:lineRule="exact"/>
        <w:ind w:firstLine="5720" w:firstLineChars="2200"/>
        <w:jc w:val="both"/>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日 期：</w:t>
      </w:r>
    </w:p>
    <w:p>
      <w:pPr>
        <w:pStyle w:val="8"/>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p>
    <w:p>
      <w:pPr>
        <w:keepNext w:val="0"/>
        <w:keepLines w:val="0"/>
        <w:pageBreakBefore w:val="0"/>
        <w:kinsoku/>
        <w:wordWrap/>
        <w:overflowPunct/>
        <w:topLinePunct w:val="0"/>
        <w:bidi w:val="0"/>
        <w:spacing w:line="460" w:lineRule="exact"/>
        <w:jc w:val="center"/>
        <w:rPr>
          <w:rFonts w:hint="default" w:ascii="Times New Roman" w:hAnsi="Times New Roman" w:eastAsia="新宋体" w:cs="Times New Roman"/>
          <w:color w:val="000000" w:themeColor="text1"/>
          <w:sz w:val="24"/>
          <w:highlight w:val="none"/>
          <w14:textFill>
            <w14:solidFill>
              <w14:schemeClr w14:val="tx1"/>
            </w14:solidFill>
          </w14:textFill>
        </w:rPr>
      </w:pPr>
      <w:r>
        <w:rPr>
          <w:rFonts w:hint="default" w:ascii="Times New Roman" w:hAnsi="Times New Roman" w:eastAsia="新宋体" w:cs="Times New Roman"/>
          <w:b/>
          <w:bCs/>
          <w:color w:val="000000" w:themeColor="text1"/>
          <w:sz w:val="24"/>
          <w:highlight w:val="none"/>
          <w14:textFill>
            <w14:solidFill>
              <w14:schemeClr w14:val="tx1"/>
            </w14:solidFill>
          </w14:textFill>
        </w:rPr>
        <w:br w:type="page"/>
      </w:r>
      <w:r>
        <w:rPr>
          <w:rFonts w:hint="default" w:ascii="Times New Roman" w:hAnsi="Times New Roman" w:eastAsia="新宋体" w:cs="Times New Roman"/>
          <w:b/>
          <w:bCs/>
          <w:color w:val="000000" w:themeColor="text1"/>
          <w:sz w:val="24"/>
          <w:highlight w:val="none"/>
          <w14:textFill>
            <w14:solidFill>
              <w14:schemeClr w14:val="tx1"/>
            </w14:solidFill>
          </w14:textFill>
        </w:rPr>
        <w:t>《中小企业声明函（工程、服务）》</w:t>
      </w:r>
    </w:p>
    <w:p>
      <w:pPr>
        <w:keepNext w:val="0"/>
        <w:keepLines w:val="0"/>
        <w:pageBreakBefore w:val="0"/>
        <w:kinsoku/>
        <w:wordWrap/>
        <w:overflowPunct/>
        <w:topLinePunct w:val="0"/>
        <w:bidi w:val="0"/>
        <w:snapToGrid w:val="0"/>
        <w:spacing w:line="460" w:lineRule="exact"/>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【不属于中小企业单位的无需填写、递交】</w:t>
      </w:r>
    </w:p>
    <w:p>
      <w:pPr>
        <w:keepNext w:val="0"/>
        <w:keepLines w:val="0"/>
        <w:pageBreakBefore w:val="0"/>
        <w:kinsoku/>
        <w:wordWrap/>
        <w:overflowPunct/>
        <w:topLinePunct w:val="0"/>
        <w:bidi w:val="0"/>
        <w:spacing w:line="460" w:lineRule="exact"/>
        <w:ind w:firstLine="637" w:firstLineChars="245"/>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本公司（联合体）郑重声明，根据《政府采购促进中小企业发展管理办法》（财库﹝2020﹞46 号）的规定，本公司（联合体）参加</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（单位名称）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的</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（项目名称）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keepNext w:val="0"/>
        <w:keepLines w:val="0"/>
        <w:pageBreakBefore w:val="0"/>
        <w:kinsoku/>
        <w:wordWrap/>
        <w:overflowPunct/>
        <w:topLinePunct w:val="0"/>
        <w:bidi w:val="0"/>
        <w:spacing w:line="460" w:lineRule="exact"/>
        <w:ind w:firstLine="637" w:firstLineChars="245"/>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1.</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（标的名称）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，属于</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行业； 承建（承接）企业为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（企业名称）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，从业人员</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人，营业收入为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万元，资产总额为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万元，属于</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（中型企业、 小型企业、微型企业）</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 xml:space="preserve">； </w:t>
      </w:r>
    </w:p>
    <w:p>
      <w:pPr>
        <w:keepNext w:val="0"/>
        <w:keepLines w:val="0"/>
        <w:pageBreakBefore w:val="0"/>
        <w:kinsoku/>
        <w:wordWrap/>
        <w:overflowPunct/>
        <w:topLinePunct w:val="0"/>
        <w:bidi w:val="0"/>
        <w:spacing w:line="460" w:lineRule="exact"/>
        <w:ind w:firstLine="637" w:firstLineChars="245"/>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2.</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（标的名称）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，属于</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行业；承建（承接）企业为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（企业名称）</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，从业人员</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人，营业收入为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万元，资产总额为</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万元，属于</w:t>
      </w:r>
      <w:r>
        <w:rPr>
          <w:rFonts w:hint="default" w:ascii="Times New Roman" w:hAnsi="Times New Roman" w:eastAsia="新宋体" w:cs="Times New Roman"/>
          <w:color w:val="000000" w:themeColor="text1"/>
          <w:spacing w:val="20"/>
          <w:sz w:val="22"/>
          <w:szCs w:val="22"/>
          <w:highlight w:val="none"/>
          <w:u w:val="single"/>
          <w14:textFill>
            <w14:solidFill>
              <w14:schemeClr w14:val="tx1"/>
            </w14:solidFill>
          </w14:textFill>
        </w:rPr>
        <w:t>（中型企业、 小型企业、微型企业）</w:t>
      </w: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w:t>
      </w:r>
    </w:p>
    <w:p>
      <w:pPr>
        <w:keepNext w:val="0"/>
        <w:keepLines w:val="0"/>
        <w:pageBreakBefore w:val="0"/>
        <w:kinsoku/>
        <w:wordWrap/>
        <w:overflowPunct/>
        <w:topLinePunct w:val="0"/>
        <w:bidi w:val="0"/>
        <w:spacing w:line="460" w:lineRule="exact"/>
        <w:ind w:firstLine="639" w:firstLineChars="245"/>
        <w:rPr>
          <w:rFonts w:hint="default" w:ascii="Times New Roman" w:hAnsi="Times New Roman" w:eastAsia="新宋体" w:cs="Times New Roman"/>
          <w:b/>
          <w:bCs/>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pacing w:val="20"/>
          <w:sz w:val="22"/>
          <w:szCs w:val="22"/>
          <w:highlight w:val="none"/>
          <w14:textFill>
            <w14:solidFill>
              <w14:schemeClr w14:val="tx1"/>
            </w14:solidFill>
          </w14:textFill>
        </w:rPr>
        <w:t>……</w:t>
      </w:r>
    </w:p>
    <w:p>
      <w:pPr>
        <w:keepNext w:val="0"/>
        <w:keepLines w:val="0"/>
        <w:pageBreakBefore w:val="0"/>
        <w:kinsoku/>
        <w:wordWrap/>
        <w:overflowPunct/>
        <w:topLinePunct w:val="0"/>
        <w:bidi w:val="0"/>
        <w:spacing w:line="460" w:lineRule="exact"/>
        <w:ind w:firstLine="637" w:firstLineChars="245"/>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 xml:space="preserve">以上企业，不属于大企业的分支机构，不存在控股股东为大企业的情形，也不存在与大企业的负责人为同一人的情形。本企业对上述声明内容的真实性负责。如有虚假，将依法承担相应责任。 </w:t>
      </w:r>
    </w:p>
    <w:p>
      <w:pPr>
        <w:keepNext w:val="0"/>
        <w:keepLines w:val="0"/>
        <w:pageBreakBefore w:val="0"/>
        <w:kinsoku/>
        <w:wordWrap/>
        <w:overflowPunct/>
        <w:topLinePunct w:val="0"/>
        <w:bidi w:val="0"/>
        <w:spacing w:line="460" w:lineRule="exact"/>
        <w:ind w:firstLine="5720" w:firstLineChars="2200"/>
        <w:jc w:val="both"/>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企业名称（盖章）：</w:t>
      </w:r>
    </w:p>
    <w:p>
      <w:pPr>
        <w:keepNext w:val="0"/>
        <w:keepLines w:val="0"/>
        <w:pageBreakBefore w:val="0"/>
        <w:kinsoku/>
        <w:wordWrap/>
        <w:overflowPunct/>
        <w:topLinePunct w:val="0"/>
        <w:bidi w:val="0"/>
        <w:spacing w:line="460" w:lineRule="exact"/>
        <w:ind w:firstLine="5720" w:firstLineChars="2200"/>
        <w:jc w:val="both"/>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t>日 期：</w:t>
      </w:r>
    </w:p>
    <w:p>
      <w:pPr>
        <w:keepNext w:val="0"/>
        <w:keepLines w:val="0"/>
        <w:pageBreakBefore w:val="0"/>
        <w:kinsoku/>
        <w:wordWrap/>
        <w:overflowPunct/>
        <w:topLinePunct w:val="0"/>
        <w:bidi w:val="0"/>
        <w:spacing w:line="460" w:lineRule="exact"/>
        <w:ind w:firstLine="4400" w:firstLineChars="2000"/>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spacing w:line="380" w:lineRule="exact"/>
        <w:ind w:firstLine="8580" w:firstLineChars="3900"/>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32"/>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32"/>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32"/>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32"/>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32"/>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32"/>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32"/>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32"/>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br w:type="page"/>
      </w:r>
    </w:p>
    <w:p>
      <w:pPr>
        <w:spacing w:line="420" w:lineRule="exact"/>
        <w:outlineLvl w:val="3"/>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pPr>
      <w:r>
        <w:rPr>
          <w:rFonts w:hint="default" w:ascii="Times New Roman" w:hAnsi="Times New Roman" w:eastAsia="新宋体" w:cs="Times New Roman"/>
          <w:b/>
          <w:bCs/>
          <w:color w:val="000000" w:themeColor="text1"/>
          <w:kern w:val="2"/>
          <w:sz w:val="28"/>
          <w:szCs w:val="28"/>
          <w:highlight w:val="none"/>
          <w:lang w:val="en-US" w:eastAsia="zh-CN" w:bidi="ar-SA"/>
          <w14:textFill>
            <w14:solidFill>
              <w14:schemeClr w14:val="tx1"/>
            </w14:solidFill>
          </w14:textFill>
        </w:rPr>
        <w:t>6、残疾人福利性单位的相关证明材料</w:t>
      </w:r>
    </w:p>
    <w:p>
      <w:pPr>
        <w:spacing w:line="460" w:lineRule="exact"/>
        <w:ind w:firstLine="466" w:firstLineChars="200"/>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r>
        <w:rPr>
          <w:rFonts w:hint="default" w:ascii="Times New Roman" w:hAnsi="Times New Roman" w:eastAsia="新宋体" w:cs="Times New Roman"/>
          <w:b/>
          <w:color w:val="000000" w:themeColor="text1"/>
          <w:spacing w:val="6"/>
          <w:sz w:val="22"/>
          <w:szCs w:val="22"/>
          <w:highlight w:val="none"/>
          <w14:textFill>
            <w14:solidFill>
              <w14:schemeClr w14:val="tx1"/>
            </w14:solidFill>
          </w14:textFill>
        </w:rPr>
        <w:t>需提供相关证明材料，</w:t>
      </w:r>
      <w:r>
        <w:rPr>
          <w:rFonts w:hint="default" w:ascii="Times New Roman" w:hAnsi="Times New Roman" w:eastAsia="新宋体" w:cs="Times New Roman"/>
          <w:b/>
          <w:bCs/>
          <w:color w:val="000000" w:themeColor="text1"/>
          <w:sz w:val="22"/>
          <w:szCs w:val="22"/>
          <w:highlight w:val="none"/>
          <w:u w:val="single"/>
          <w:lang w:val="zh-CN"/>
          <w14:textFill>
            <w14:solidFill>
              <w14:schemeClr w14:val="tx1"/>
            </w14:solidFill>
          </w14:textFill>
        </w:rPr>
        <w:t>未提供证明材料或不能清楚辨析</w:t>
      </w:r>
      <w:r>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t>是残疾人福利性单位的按非残疾人福利性单位处理，所提供的证明材料应为最新的最近的</w:t>
      </w:r>
      <w:r>
        <w:rPr>
          <w:rFonts w:hint="default" w:ascii="Times New Roman" w:hAnsi="Times New Roman" w:eastAsia="新宋体" w:cs="Times New Roman"/>
          <w:b/>
          <w:bCs/>
          <w:color w:val="000000" w:themeColor="text1"/>
          <w:sz w:val="22"/>
          <w:szCs w:val="22"/>
          <w:highlight w:val="none"/>
          <w:u w:val="single"/>
          <w:lang w:val="zh-CN"/>
          <w14:textFill>
            <w14:solidFill>
              <w14:schemeClr w14:val="tx1"/>
            </w14:solidFill>
          </w14:textFill>
        </w:rPr>
        <w:t>。</w:t>
      </w:r>
    </w:p>
    <w:p>
      <w:pPr>
        <w:spacing w:line="460" w:lineRule="exact"/>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p>
    <w:p>
      <w:pPr>
        <w:spacing w:line="460" w:lineRule="exact"/>
        <w:rPr>
          <w:rFonts w:hint="default" w:ascii="Times New Roman" w:hAnsi="Times New Roman" w:eastAsia="新宋体" w:cs="Times New Roman"/>
          <w:color w:val="000000" w:themeColor="text1"/>
          <w:spacing w:val="20"/>
          <w:sz w:val="22"/>
          <w:szCs w:val="22"/>
          <w:highlight w:val="none"/>
          <w14:textFill>
            <w14:solidFill>
              <w14:schemeClr w14:val="tx1"/>
            </w14:solidFill>
          </w14:textFill>
        </w:rPr>
      </w:pPr>
    </w:p>
    <w:p>
      <w:pPr>
        <w:spacing w:line="460" w:lineRule="exact"/>
        <w:jc w:val="cente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b/>
          <w:color w:val="000000" w:themeColor="text1"/>
          <w:spacing w:val="6"/>
          <w:sz w:val="22"/>
          <w:szCs w:val="22"/>
          <w:highlight w:val="none"/>
          <w14:textFill>
            <w14:solidFill>
              <w14:schemeClr w14:val="tx1"/>
            </w14:solidFill>
          </w14:textFill>
        </w:rPr>
        <w:t>残疾人福利性单位声明函</w:t>
      </w:r>
    </w:p>
    <w:p>
      <w:pPr>
        <w:widowControl/>
        <w:adjustRightInd w:val="0"/>
        <w:snapToGrid w:val="0"/>
        <w:spacing w:line="460" w:lineRule="exact"/>
        <w:jc w:val="cente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【不属于残疾人福利性单位的无需填写、递交】</w:t>
      </w:r>
    </w:p>
    <w:p>
      <w:pPr>
        <w:snapToGrid w:val="0"/>
        <w:spacing w:line="460" w:lineRule="exact"/>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本单位郑重声明，根据《财政部民政部中国残疾人联合会关于促进残疾人就业政府采购政策的通知》（财库</w:t>
      </w:r>
      <w:r>
        <w:rPr>
          <w:rFonts w:hint="default" w:ascii="Times New Roman" w:hAnsi="Times New Roman" w:eastAsia="新宋体" w:cs="Times New Roman"/>
          <w:color w:val="000000" w:themeColor="text1"/>
          <w:sz w:val="22"/>
          <w:szCs w:val="22"/>
          <w:highlight w:val="none"/>
          <w14:textFill>
            <w14:solidFill>
              <w14:schemeClr w14:val="tx1"/>
            </w14:solidFill>
          </w14:textFill>
        </w:rPr>
        <w:t>〔2017〕141</w:t>
      </w: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号）的规定，本单位为符合条件的残疾人福利性单位，且本单位参加</w:t>
      </w:r>
      <w:r>
        <w:rPr>
          <w:rFonts w:hint="default" w:ascii="Times New Roman" w:hAnsi="Times New Roman" w:eastAsia="新宋体" w:cs="Times New Roman"/>
          <w:color w:val="000000" w:themeColor="text1"/>
          <w:spacing w:val="6"/>
          <w:sz w:val="22"/>
          <w:szCs w:val="22"/>
          <w:highlight w:val="none"/>
          <w:u w:val="single"/>
          <w14:textFill>
            <w14:solidFill>
              <w14:schemeClr w14:val="tx1"/>
            </w14:solidFill>
          </w14:textFill>
        </w:rPr>
        <w:t>（采购人名称）</w:t>
      </w: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单位的</w:t>
      </w:r>
      <w:r>
        <w:rPr>
          <w:rFonts w:hint="default" w:ascii="Times New Roman" w:hAnsi="Times New Roman" w:eastAsia="新宋体" w:cs="Times New Roman"/>
          <w:color w:val="000000" w:themeColor="text1"/>
          <w:spacing w:val="6"/>
          <w:sz w:val="22"/>
          <w:szCs w:val="22"/>
          <w:highlight w:val="none"/>
          <w:u w:val="single"/>
          <w14:textFill>
            <w14:solidFill>
              <w14:schemeClr w14:val="tx1"/>
            </w14:solidFill>
          </w14:textFill>
        </w:rPr>
        <w:t>（项目名称）</w:t>
      </w: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r>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t>本单位对上述声明的真实性负责。如有虚假，将依法承担相应责任。</w:t>
      </w:r>
    </w:p>
    <w:p>
      <w:pPr>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p>
    <w:p>
      <w:pPr>
        <w:snapToGrid w:val="0"/>
        <w:spacing w:line="460" w:lineRule="exact"/>
        <w:ind w:firstLine="464" w:firstLineChars="200"/>
        <w:rPr>
          <w:rFonts w:hint="default" w:ascii="Times New Roman" w:hAnsi="Times New Roman" w:eastAsia="新宋体" w:cs="Times New Roman"/>
          <w:color w:val="000000" w:themeColor="text1"/>
          <w:spacing w:val="6"/>
          <w:sz w:val="22"/>
          <w:szCs w:val="22"/>
          <w:highlight w:val="none"/>
          <w14:textFill>
            <w14:solidFill>
              <w14:schemeClr w14:val="tx1"/>
            </w14:solidFill>
          </w14:textFill>
        </w:rPr>
      </w:pPr>
    </w:p>
    <w:p>
      <w:pPr>
        <w:adjustRightInd w:val="0"/>
        <w:snapToGrid w:val="0"/>
        <w:spacing w:line="460" w:lineRule="exact"/>
        <w:ind w:firstLine="440" w:firstLineChars="200"/>
        <w:rPr>
          <w:rFonts w:hint="default" w:ascii="Times New Roman" w:hAnsi="Times New Roman" w:eastAsia="新宋体" w:cs="Times New Roman"/>
          <w:color w:val="000000" w:themeColor="text1"/>
          <w:kern w:val="0"/>
          <w:sz w:val="22"/>
          <w:szCs w:val="22"/>
          <w:highlight w:val="none"/>
          <w:u w:val="singl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磋商供应商全称（盖章）：</w:t>
      </w:r>
      <w:r>
        <w:rPr>
          <w:rFonts w:hint="default" w:ascii="Times New Roman" w:hAnsi="Times New Roman" w:eastAsia="新宋体" w:cs="Times New Roman"/>
          <w:color w:val="000000" w:themeColor="text1"/>
          <w:kern w:val="0"/>
          <w:sz w:val="22"/>
          <w:szCs w:val="22"/>
          <w:highlight w:val="none"/>
          <w:u w:val="single"/>
          <w14:textFill>
            <w14:solidFill>
              <w14:schemeClr w14:val="tx1"/>
            </w14:solidFill>
          </w14:textFill>
        </w:rPr>
        <w:t xml:space="preserve">                    </w:t>
      </w:r>
    </w:p>
    <w:p>
      <w:pPr>
        <w:adjustRightInd w:val="0"/>
        <w:snapToGrid w:val="0"/>
        <w:spacing w:line="460" w:lineRule="exact"/>
        <w:ind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日期：    年   月  日</w:t>
      </w:r>
    </w:p>
    <w:p>
      <w:pPr>
        <w:pStyle w:val="22"/>
        <w:ind w:left="440" w:hanging="44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pStyle w:val="22"/>
        <w:ind w:left="440" w:hanging="44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pStyle w:val="22"/>
        <w:ind w:left="440" w:hanging="44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pStyle w:val="22"/>
        <w:ind w:left="440" w:hanging="44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pStyle w:val="22"/>
        <w:ind w:left="440" w:hanging="44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rPr>
          <w:rFonts w:hint="default" w:ascii="Times New Roman" w:hAnsi="Times New Roman" w:eastAsia="新宋体" w:cs="Times New Roman"/>
          <w:b/>
          <w:color w:val="000000" w:themeColor="text1"/>
          <w:sz w:val="22"/>
          <w:szCs w:val="22"/>
          <w:highlight w:val="none"/>
          <w14:textFill>
            <w14:solidFill>
              <w14:schemeClr w14:val="tx1"/>
            </w14:solidFill>
          </w14:textFill>
        </w:rPr>
      </w:pPr>
      <w:bookmarkStart w:id="46" w:name="_Toc9104"/>
      <w:r>
        <w:rPr>
          <w:rFonts w:hint="default" w:ascii="Times New Roman" w:hAnsi="Times New Roman" w:eastAsia="新宋体" w:cs="Times New Roman"/>
          <w:b/>
          <w:color w:val="000000" w:themeColor="text1"/>
          <w:sz w:val="22"/>
          <w:szCs w:val="22"/>
          <w:highlight w:val="none"/>
          <w14:textFill>
            <w14:solidFill>
              <w14:schemeClr w14:val="tx1"/>
            </w14:solidFill>
          </w14:textFill>
        </w:rPr>
        <w:br w:type="page"/>
      </w:r>
    </w:p>
    <w:p>
      <w:pPr>
        <w:pStyle w:val="22"/>
        <w:keepNext w:val="0"/>
        <w:keepLines w:val="0"/>
        <w:pageBreakBefore w:val="0"/>
        <w:widowControl w:val="0"/>
        <w:kinsoku/>
        <w:wordWrap/>
        <w:overflowPunct/>
        <w:topLinePunct w:val="0"/>
        <w:autoSpaceDE/>
        <w:autoSpaceDN/>
        <w:bidi w:val="0"/>
        <w:adjustRightInd/>
        <w:snapToGrid/>
        <w:spacing w:line="460" w:lineRule="exact"/>
        <w:ind w:left="433" w:hanging="433" w:hangingChars="196"/>
        <w:textAlignment w:val="auto"/>
        <w:outlineLvl w:val="1"/>
        <w:rPr>
          <w:rFonts w:hint="default" w:ascii="Times New Roman" w:hAnsi="Times New Roman" w:eastAsia="新宋体" w:cs="Times New Roman"/>
          <w:b/>
          <w:color w:val="000000" w:themeColor="text1"/>
          <w:sz w:val="22"/>
          <w:highlight w:val="none"/>
          <w14:textFill>
            <w14:solidFill>
              <w14:schemeClr w14:val="tx1"/>
            </w14:solidFill>
          </w14:textFill>
        </w:rPr>
      </w:pPr>
      <w:bookmarkStart w:id="47" w:name="_Toc22548"/>
      <w:r>
        <w:rPr>
          <w:rFonts w:hint="default" w:ascii="Times New Roman" w:hAnsi="Times New Roman" w:eastAsia="新宋体" w:cs="Times New Roman"/>
          <w:b/>
          <w:color w:val="000000" w:themeColor="text1"/>
          <w:sz w:val="22"/>
          <w:highlight w:val="none"/>
          <w14:textFill>
            <w14:solidFill>
              <w14:schemeClr w14:val="tx1"/>
            </w14:solidFill>
          </w14:textFill>
        </w:rPr>
        <w:t>附件二</w:t>
      </w:r>
      <w:bookmarkEnd w:id="46"/>
      <w:bookmarkEnd w:id="47"/>
    </w:p>
    <w:p>
      <w:pPr>
        <w:spacing w:line="460" w:lineRule="exact"/>
        <w:jc w:val="center"/>
        <w:outlineLvl w:val="2"/>
        <w:rPr>
          <w:rFonts w:hint="default" w:ascii="Times New Roman" w:hAnsi="Times New Roman" w:eastAsia="新宋体" w:cs="Times New Roman"/>
          <w:color w:val="000000" w:themeColor="text1"/>
          <w:sz w:val="28"/>
          <w:szCs w:val="28"/>
          <w:highlight w:val="none"/>
          <w14:textFill>
            <w14:solidFill>
              <w14:schemeClr w14:val="tx1"/>
            </w14:solidFill>
          </w14:textFill>
        </w:rPr>
      </w:pPr>
      <w:bookmarkStart w:id="48" w:name="_Toc12906"/>
      <w:bookmarkStart w:id="49" w:name="_Toc25922"/>
      <w:r>
        <w:rPr>
          <w:rFonts w:hint="default" w:ascii="Times New Roman" w:hAnsi="Times New Roman" w:eastAsia="新宋体" w:cs="Times New Roman"/>
          <w:b/>
          <w:bCs/>
          <w:color w:val="000000" w:themeColor="text1"/>
          <w:sz w:val="28"/>
          <w:szCs w:val="28"/>
          <w:highlight w:val="none"/>
          <w14:textFill>
            <w14:solidFill>
              <w14:schemeClr w14:val="tx1"/>
            </w14:solidFill>
          </w14:textFill>
        </w:rPr>
        <w:t>资格证明文件</w:t>
      </w:r>
      <w:bookmarkEnd w:id="48"/>
      <w:bookmarkEnd w:id="49"/>
      <w:r>
        <w:rPr>
          <w:rFonts w:hint="default" w:ascii="Times New Roman" w:hAnsi="Times New Roman" w:eastAsia="新宋体" w:cs="Times New Roman"/>
          <w:color w:val="000000" w:themeColor="text1"/>
          <w:sz w:val="28"/>
          <w:szCs w:val="28"/>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1、有效营业执照（复印件盖单位公章）</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3"/>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2、最近一年财务报表(复印件，新成立的公司提供情况说明)；</w:t>
      </w: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3、具有履行合同所必需的场地、设备和专业技术能力的承诺函；</w:t>
      </w:r>
    </w:p>
    <w:p>
      <w:pPr>
        <w:widowControl/>
        <w:snapToGrid w:val="0"/>
        <w:spacing w:line="460" w:lineRule="exact"/>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温州大学</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 xml:space="preserve"> 、温州历程招标有限公司：</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我方</w:t>
      </w:r>
      <w:r>
        <w:rPr>
          <w:rFonts w:hint="default" w:ascii="Times New Roman" w:hAnsi="Times New Roman" w:eastAsia="新宋体" w:cs="Times New Roman"/>
          <w:color w:val="000000" w:themeColor="text1"/>
          <w:kern w:val="0"/>
          <w:sz w:val="22"/>
          <w:szCs w:val="22"/>
          <w:highlight w:val="none"/>
          <w:u w:val="single"/>
          <w14:textFill>
            <w14:solidFill>
              <w14:schemeClr w14:val="tx1"/>
            </w14:solidFill>
          </w14:textFill>
        </w:rPr>
        <w:t xml:space="preserve"> （供应商）</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承诺具有履行合同所必需的场地、设备和专业技术能力。如有虚假，采购人可取消我方任何资格（磋商/成交/签订合同），我方对此无任何异议。</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特此承诺！</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供应商名称（盖章） ：</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法定代表人或其授权代表（签字或盖章）：</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pStyle w:val="22"/>
        <w:spacing w:line="460" w:lineRule="exact"/>
        <w:ind w:left="479" w:leftChars="228" w:firstLine="5280" w:firstLineChars="24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日期：     年  月  日</w:t>
      </w:r>
    </w:p>
    <w:p>
      <w:pPr>
        <w:pStyle w:val="22"/>
        <w:spacing w:line="460" w:lineRule="exact"/>
        <w:ind w:left="0" w:firstLine="0" w:firstLineChars="0"/>
        <w:rPr>
          <w:rFonts w:hint="default" w:ascii="Times New Roman" w:hAnsi="Times New Roman" w:eastAsia="新宋体" w:cs="Times New Roman"/>
          <w:color w:val="000000" w:themeColor="text1"/>
          <w:kern w:val="0"/>
          <w:highlight w:val="none"/>
          <w14:textFill>
            <w14:solidFill>
              <w14:schemeClr w14:val="tx1"/>
            </w14:solidFill>
          </w14:textFill>
        </w:rPr>
      </w:pPr>
    </w:p>
    <w:p>
      <w:pPr>
        <w:pStyle w:val="22"/>
        <w:spacing w:line="460" w:lineRule="exact"/>
        <w:ind w:left="0" w:firstLine="0" w:firstLineChars="0"/>
        <w:rPr>
          <w:rFonts w:hint="default" w:ascii="Times New Roman" w:hAnsi="Times New Roman" w:eastAsia="新宋体" w:cs="Times New Roman"/>
          <w:color w:val="000000" w:themeColor="text1"/>
          <w:kern w:val="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4、依法缴纳税收和社会保障资金的承诺函；</w:t>
      </w:r>
    </w:p>
    <w:p>
      <w:pPr>
        <w:widowControl/>
        <w:snapToGrid w:val="0"/>
        <w:spacing w:line="460" w:lineRule="exact"/>
        <w:jc w:val="left"/>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温州大学 、温州历程招标有限公司：</w:t>
      </w:r>
    </w:p>
    <w:p>
      <w:pPr>
        <w:spacing w:line="460" w:lineRule="exact"/>
        <w:ind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我公司郑重声明，我公司严格依法缴纳税收和社会保障资金，本文件中所提供的相关材料均真实有效，不存在虚假、造假行为。如有违反，愿承担一切责任。</w:t>
      </w:r>
    </w:p>
    <w:p>
      <w:pPr>
        <w:spacing w:line="460" w:lineRule="exact"/>
        <w:ind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spacing w:line="460" w:lineRule="exact"/>
        <w:ind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特此承诺！</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供应商名称（盖章） ：</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法定代表人或其授权代表（签字或盖章）：</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pStyle w:val="22"/>
        <w:spacing w:line="460" w:lineRule="exact"/>
        <w:ind w:left="-420" w:leftChars="-200" w:firstLine="6160" w:firstLineChars="28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日期：     年  月  日</w:t>
      </w:r>
    </w:p>
    <w:p>
      <w:pPr>
        <w:pStyle w:val="22"/>
        <w:spacing w:line="460" w:lineRule="exact"/>
        <w:ind w:left="0" w:firstLine="0" w:firstLineChars="0"/>
        <w:rPr>
          <w:rFonts w:hint="default" w:ascii="Times New Roman" w:hAnsi="Times New Roman" w:eastAsia="新宋体" w:cs="Times New Roman"/>
          <w:color w:val="000000" w:themeColor="text1"/>
          <w:kern w:val="0"/>
          <w:highlight w:val="none"/>
          <w14:textFill>
            <w14:solidFill>
              <w14:schemeClr w14:val="tx1"/>
            </w14:solidFill>
          </w14:textFill>
        </w:rPr>
      </w:pPr>
    </w:p>
    <w:p>
      <w:pPr>
        <w:pStyle w:val="22"/>
        <w:spacing w:line="460" w:lineRule="exact"/>
        <w:ind w:left="0" w:firstLine="0" w:firstLineChars="0"/>
        <w:rPr>
          <w:rFonts w:hint="default" w:ascii="Times New Roman" w:hAnsi="Times New Roman" w:eastAsia="新宋体" w:cs="Times New Roman"/>
          <w:color w:val="000000" w:themeColor="text1"/>
          <w:kern w:val="0"/>
          <w:highlight w:val="none"/>
          <w14:textFill>
            <w14:solidFill>
              <w14:schemeClr w14:val="tx1"/>
            </w14:solidFill>
          </w14:textFill>
        </w:rPr>
      </w:pPr>
    </w:p>
    <w:p>
      <w:pPr>
        <w:pStyle w:val="22"/>
        <w:spacing w:line="460" w:lineRule="exact"/>
        <w:ind w:left="0" w:firstLine="0" w:firstLineChars="0"/>
        <w:rPr>
          <w:rFonts w:hint="default" w:ascii="Times New Roman" w:hAnsi="Times New Roman" w:eastAsia="新宋体" w:cs="Times New Roman"/>
          <w:color w:val="000000" w:themeColor="text1"/>
          <w:kern w:val="0"/>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5、参加政府采购活动前3年内在经营活动中没有重大违法记录的声明函；</w:t>
      </w:r>
    </w:p>
    <w:p>
      <w:pPr>
        <w:widowControl/>
        <w:snapToGrid w:val="0"/>
        <w:spacing w:line="460" w:lineRule="exact"/>
        <w:jc w:val="left"/>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温州大学 、温州历程招标有限公司：</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我方</w:t>
      </w:r>
      <w:r>
        <w:rPr>
          <w:rFonts w:hint="default" w:ascii="Times New Roman" w:hAnsi="Times New Roman" w:eastAsia="新宋体" w:cs="Times New Roman"/>
          <w:color w:val="000000" w:themeColor="text1"/>
          <w:kern w:val="0"/>
          <w:sz w:val="22"/>
          <w:szCs w:val="22"/>
          <w:highlight w:val="none"/>
          <w:u w:val="single"/>
          <w14:textFill>
            <w14:solidFill>
              <w14:schemeClr w14:val="tx1"/>
            </w14:solidFill>
          </w14:textFill>
        </w:rPr>
        <w:t xml:space="preserve"> （供应商）</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磋商/成交/签订合同），我方对此无任何异议。</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特此承诺！</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供应商名称（盖章） ：</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法定代表人或其授权代表（签字或盖章）：</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pStyle w:val="22"/>
        <w:spacing w:line="460" w:lineRule="exact"/>
        <w:ind w:left="514" w:leftChars="245" w:firstLine="5720" w:firstLineChars="2600"/>
        <w:rPr>
          <w:rFonts w:hint="default" w:ascii="Times New Roman" w:hAnsi="Times New Roman" w:eastAsia="新宋体" w:cs="Times New Roman"/>
          <w:color w:val="000000" w:themeColor="text1"/>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日期：     年  月  日</w:t>
      </w:r>
    </w:p>
    <w:p>
      <w:pPr>
        <w:spacing w:line="460" w:lineRule="exact"/>
        <w:ind w:left="514" w:left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pacing w:line="460" w:lineRule="exact"/>
        <w:ind w:left="514" w:left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pStyle w:val="22"/>
        <w:ind w:left="0" w:firstLine="0" w:firstLineChars="0"/>
        <w:rPr>
          <w:rFonts w:hint="default" w:ascii="Times New Roman" w:hAnsi="Times New Roman" w:eastAsia="新宋体"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6、单位负责人为同一人或者存在直接控股、管理关系的不同供应商，不得参加同一合同项下的政府采购活动承诺函；</w:t>
      </w:r>
    </w:p>
    <w:p>
      <w:pPr>
        <w:widowControl/>
        <w:snapToGrid w:val="0"/>
        <w:spacing w:line="460" w:lineRule="exact"/>
        <w:jc w:val="left"/>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温州大学 、温州历程招标有限公司：</w:t>
      </w:r>
    </w:p>
    <w:p>
      <w:pPr>
        <w:spacing w:line="460" w:lineRule="exact"/>
        <w:ind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我方郑重承诺，我方此次参加</w:t>
      </w: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项目名称</w:t>
      </w: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的磋商，与参加本次项目同一合同项下政府采购活动的其他供应商不存在单位负责人为同一人或者直接控股、管理关系。如有虚假或隐瞒，愿意承担一切后果。</w:t>
      </w:r>
    </w:p>
    <w:p>
      <w:pPr>
        <w:widowControl/>
        <w:snapToGrid w:val="0"/>
        <w:spacing w:line="460" w:lineRule="exact"/>
        <w:jc w:val="left"/>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pP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特此承诺！</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供应商名称（盖章） ：</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法定代表人或其授权代表（签字或盖章）：</w:t>
      </w:r>
    </w:p>
    <w:p>
      <w:pPr>
        <w:widowControl/>
        <w:adjustRightInd w:val="0"/>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pStyle w:val="22"/>
        <w:spacing w:line="460" w:lineRule="exact"/>
        <w:ind w:left="514" w:leftChars="245" w:firstLine="5720" w:firstLineChars="2600"/>
        <w:rPr>
          <w:rFonts w:hint="default" w:ascii="Times New Roman" w:hAnsi="Times New Roman" w:eastAsia="新宋体" w:cs="Times New Roman"/>
          <w:color w:val="000000" w:themeColor="text1"/>
          <w:kern w:val="0"/>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日期：     年  月  日</w:t>
      </w:r>
    </w:p>
    <w:p>
      <w:pPr>
        <w:pStyle w:val="22"/>
        <w:spacing w:line="460" w:lineRule="exact"/>
        <w:ind w:left="0" w:firstLine="0" w:firstLineChars="0"/>
        <w:rPr>
          <w:rFonts w:hint="default" w:ascii="Times New Roman" w:hAnsi="Times New Roman" w:eastAsia="新宋体" w:cs="Times New Roman"/>
          <w:color w:val="000000" w:themeColor="text1"/>
          <w:kern w:val="0"/>
          <w:highlight w:val="none"/>
          <w14:textFill>
            <w14:solidFill>
              <w14:schemeClr w14:val="tx1"/>
            </w14:solidFill>
          </w14:textFill>
        </w:rPr>
      </w:pPr>
    </w:p>
    <w:p>
      <w:pPr>
        <w:pStyle w:val="22"/>
        <w:spacing w:line="460" w:lineRule="exact"/>
        <w:ind w:left="0" w:firstLine="0" w:firstLineChars="0"/>
        <w:rPr>
          <w:rFonts w:hint="default" w:ascii="Times New Roman" w:hAnsi="Times New Roman" w:eastAsia="新宋体" w:cs="Times New Roman"/>
          <w:color w:val="000000" w:themeColor="text1"/>
          <w:kern w:val="0"/>
          <w:highlight w:val="none"/>
          <w14:textFill>
            <w14:solidFill>
              <w14:schemeClr w14:val="tx1"/>
            </w14:solidFill>
          </w14:textFill>
        </w:rPr>
      </w:pPr>
    </w:p>
    <w:p>
      <w:pPr>
        <w:spacing w:line="400" w:lineRule="exact"/>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4"/>
          <w:highlight w:val="none"/>
          <w14:textFill>
            <w14:solidFill>
              <w14:schemeClr w14:val="tx1"/>
            </w14:solidFill>
          </w14:textFill>
        </w:rPr>
        <w:br w:type="page"/>
      </w: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7、磋商供应商不属于公益一类事业单位承诺函；</w:t>
      </w:r>
    </w:p>
    <w:p>
      <w:pPr>
        <w:widowControl/>
        <w:snapToGrid w:val="0"/>
        <w:spacing w:line="460" w:lineRule="exact"/>
        <w:jc w:val="left"/>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温州大学 、温州历程招标有限公司：</w:t>
      </w:r>
    </w:p>
    <w:p>
      <w:pPr>
        <w:spacing w:line="460" w:lineRule="exact"/>
        <w:ind w:firstLine="440" w:firstLineChars="200"/>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我方郑重承诺，我单位不属于公益一类事业单位，</w:t>
      </w:r>
      <w:r>
        <w:rPr>
          <w:rFonts w:hint="default" w:ascii="Times New Roman" w:hAnsi="Times New Roman" w:eastAsia="新宋体" w:cs="Times New Roman"/>
          <w:color w:val="000000" w:themeColor="text1"/>
          <w:spacing w:val="-6"/>
          <w:kern w:val="0"/>
          <w:sz w:val="22"/>
          <w:szCs w:val="22"/>
          <w:highlight w:val="none"/>
          <w14:textFill>
            <w14:solidFill>
              <w14:schemeClr w14:val="tx1"/>
            </w14:solidFill>
          </w14:textFill>
        </w:rPr>
        <w:t>可承接</w:t>
      </w:r>
      <w:r>
        <w:rPr>
          <w:rFonts w:hint="default" w:ascii="Times New Roman" w:hAnsi="Times New Roman" w:eastAsia="新宋体" w:cs="Times New Roman"/>
          <w:color w:val="000000" w:themeColor="text1"/>
          <w:spacing w:val="-6"/>
          <w:kern w:val="0"/>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项目名称</w:t>
      </w:r>
      <w:r>
        <w:rPr>
          <w:rFonts w:hint="default" w:ascii="Times New Roman" w:hAnsi="Times New Roman" w:eastAsia="新宋体" w:cs="Times New Roman"/>
          <w:color w:val="000000" w:themeColor="text1"/>
          <w:spacing w:val="-6"/>
          <w:kern w:val="0"/>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项目的相关服务内容。如有虚假或隐瞒，愿意承担一切后果。</w:t>
      </w:r>
    </w:p>
    <w:p>
      <w:pPr>
        <w:widowControl/>
        <w:snapToGrid w:val="0"/>
        <w:spacing w:line="460" w:lineRule="exact"/>
        <w:jc w:val="left"/>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pP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特此承诺！</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供应商名称（盖章） ：</w:t>
      </w:r>
    </w:p>
    <w:p>
      <w:pPr>
        <w:widowControl/>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法定代表人或其授权代表（签字或盖章）：</w:t>
      </w:r>
    </w:p>
    <w:p>
      <w:pPr>
        <w:widowControl/>
        <w:adjustRightInd w:val="0"/>
        <w:snapToGrid w:val="0"/>
        <w:spacing w:line="460" w:lineRule="exact"/>
        <w:ind w:firstLine="440" w:firstLineChars="200"/>
        <w:jc w:val="left"/>
        <w:rPr>
          <w:rFonts w:hint="default" w:ascii="Times New Roman" w:hAnsi="Times New Roman" w:eastAsia="新宋体" w:cs="Times New Roman"/>
          <w:color w:val="000000" w:themeColor="text1"/>
          <w:kern w:val="0"/>
          <w:sz w:val="22"/>
          <w:szCs w:val="22"/>
          <w:highlight w:val="none"/>
          <w14:textFill>
            <w14:solidFill>
              <w14:schemeClr w14:val="tx1"/>
            </w14:solidFill>
          </w14:textFill>
        </w:rPr>
      </w:pPr>
    </w:p>
    <w:p>
      <w:pPr>
        <w:widowControl/>
        <w:adjustRightInd w:val="0"/>
        <w:snapToGrid w:val="0"/>
        <w:spacing w:line="460" w:lineRule="exact"/>
        <w:ind w:firstLine="6160" w:firstLineChars="2800"/>
        <w:jc w:val="left"/>
        <w:rPr>
          <w:rFonts w:hint="default" w:ascii="Times New Roman" w:hAnsi="Times New Roman" w:eastAsia="新宋体" w:cs="Times New Roman"/>
          <w:color w:val="000000" w:themeColor="text1"/>
          <w:kern w:val="0"/>
          <w:sz w:val="24"/>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日期：     年  月  日</w:t>
      </w:r>
    </w:p>
    <w:p>
      <w:pPr>
        <w:pStyle w:val="22"/>
        <w:spacing w:line="460" w:lineRule="exact"/>
        <w:ind w:left="514" w:leftChars="245" w:firstLine="0" w:firstLineChars="0"/>
        <w:rPr>
          <w:rFonts w:hint="default" w:ascii="Times New Roman" w:hAnsi="Times New Roman" w:eastAsia="新宋体" w:cs="Times New Roman"/>
          <w:color w:val="000000" w:themeColor="text1"/>
          <w:highlight w:val="none"/>
          <w14:textFill>
            <w14:solidFill>
              <w14:schemeClr w14:val="tx1"/>
            </w14:solidFill>
          </w14:textFill>
        </w:rPr>
      </w:pPr>
    </w:p>
    <w:p>
      <w:pPr>
        <w:pStyle w:val="22"/>
        <w:spacing w:line="460" w:lineRule="exact"/>
        <w:ind w:left="514" w:leftChars="245" w:firstLine="0" w:firstLineChars="0"/>
        <w:rPr>
          <w:rFonts w:hint="default" w:ascii="Times New Roman" w:hAnsi="Times New Roman" w:eastAsia="新宋体" w:cs="Times New Roman"/>
          <w:color w:val="000000" w:themeColor="text1"/>
          <w:highlight w:val="none"/>
          <w14:textFill>
            <w14:solidFill>
              <w14:schemeClr w14:val="tx1"/>
            </w14:solidFill>
          </w14:textFill>
        </w:rPr>
      </w:pPr>
    </w:p>
    <w:p>
      <w:pPr>
        <w:pStyle w:val="22"/>
        <w:spacing w:line="460" w:lineRule="exact"/>
        <w:ind w:left="514" w:leftChars="245" w:firstLine="0" w:firstLineChars="0"/>
        <w:rPr>
          <w:rFonts w:hint="default" w:ascii="Times New Roman" w:hAnsi="Times New Roman" w:eastAsia="新宋体" w:cs="Times New Roman"/>
          <w:color w:val="000000" w:themeColor="text1"/>
          <w:highlight w:val="none"/>
          <w14:textFill>
            <w14:solidFill>
              <w14:schemeClr w14:val="tx1"/>
            </w14:solidFill>
          </w14:textFill>
        </w:rPr>
      </w:pPr>
    </w:p>
    <w:p>
      <w:pPr>
        <w:pStyle w:val="22"/>
        <w:spacing w:line="460" w:lineRule="exact"/>
        <w:ind w:left="514" w:leftChars="245" w:firstLine="0" w:firstLineChars="0"/>
        <w:rPr>
          <w:rFonts w:hint="default" w:ascii="Times New Roman" w:hAnsi="Times New Roman" w:eastAsia="新宋体" w:cs="Times New Roman"/>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8、磋商供应商信用查询：</w:t>
      </w:r>
    </w:p>
    <w:p>
      <w:pPr>
        <w:tabs>
          <w:tab w:val="left" w:pos="360"/>
        </w:tabs>
        <w:spacing w:line="460" w:lineRule="exact"/>
        <w:ind w:firstLine="440" w:firstLineChars="20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1、磋商供应商信用信息查询的查询渠道：“信用中国”(www.creditchina.gov.cn)；“中国政府采购网”（http://www.ccgp.gov.cn/）；</w:t>
      </w:r>
    </w:p>
    <w:p>
      <w:pPr>
        <w:tabs>
          <w:tab w:val="left" w:pos="360"/>
        </w:tabs>
        <w:spacing w:line="460" w:lineRule="exact"/>
        <w:ind w:firstLine="440" w:firstLineChars="20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2、磋商供应商信用信息查询截止时点：竞争性磋商公告发布之日至磋商响应文件递交截止时间前。</w:t>
      </w:r>
    </w:p>
    <w:p>
      <w:pPr>
        <w:tabs>
          <w:tab w:val="left" w:pos="360"/>
        </w:tabs>
        <w:spacing w:line="460" w:lineRule="exact"/>
        <w:ind w:firstLine="440" w:firstLineChars="20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3、磋商供应商信用信息查询记录和证据留存的具体方式：网页截图；</w:t>
      </w:r>
    </w:p>
    <w:p>
      <w:pPr>
        <w:tabs>
          <w:tab w:val="left" w:pos="360"/>
        </w:tabs>
        <w:spacing w:line="460" w:lineRule="exact"/>
        <w:ind w:firstLine="442" w:firstLineChars="200"/>
        <w:rPr>
          <w:rFonts w:hint="default" w:ascii="Times New Roman" w:hAnsi="Times New Roman" w:eastAsia="新宋体" w:cs="Times New Roman"/>
          <w:b/>
          <w:bCs/>
          <w:color w:val="000000" w:themeColor="text1"/>
          <w:sz w:val="22"/>
          <w:szCs w:val="22"/>
          <w:highlight w:val="none"/>
          <w:u w:val="single"/>
          <w14:textFill>
            <w14:solidFill>
              <w14:schemeClr w14:val="tx1"/>
            </w14:solidFill>
          </w14:textFill>
        </w:rPr>
      </w:pPr>
      <w:r>
        <w:rPr>
          <w:rFonts w:hint="default" w:ascii="Times New Roman" w:hAnsi="Times New Roman" w:eastAsia="新宋体" w:cs="Times New Roman"/>
          <w:b/>
          <w:bCs/>
          <w:color w:val="000000" w:themeColor="text1"/>
          <w:sz w:val="22"/>
          <w:highlight w:val="none"/>
          <w:u w:val="single"/>
          <w14:textFill>
            <w14:solidFill>
              <w14:schemeClr w14:val="tx1"/>
            </w14:solidFill>
          </w14:textFill>
        </w:rPr>
        <w:t>4、信用信息的使用规则：对列入失信被执行人、重大税收违法案件当事人名单、政府采购严重违法失信行为记录名单及其他不符合《中华人民共和国政府采购法》第二十二条规定条件的供应商，其磋商响应文件做无效处理。</w:t>
      </w:r>
    </w:p>
    <w:p>
      <w:pPr>
        <w:spacing w:line="460" w:lineRule="exact"/>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pacing w:line="460" w:lineRule="exact"/>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pacing w:line="460" w:lineRule="exact"/>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pacing w:line="460" w:lineRule="exact"/>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pacing w:line="460" w:lineRule="exact"/>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pacing w:line="460" w:lineRule="exact"/>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pacing w:line="460" w:lineRule="exact"/>
        <w:jc w:val="center"/>
        <w:outlineLvl w:val="3"/>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br w:type="page"/>
      </w: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9、政府采购活动现场确认声明书</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温州历程招标有限公司：</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本人经由</w:t>
      </w:r>
      <w:r>
        <w:rPr>
          <w:rFonts w:hint="default" w:ascii="Times New Roman" w:hAnsi="Times New Roman" w:eastAsia="新宋体" w:cs="Times New Roman"/>
          <w:color w:val="000000" w:themeColor="text1"/>
          <w:kern w:val="0"/>
          <w:sz w:val="22"/>
          <w:szCs w:val="22"/>
          <w:highlight w:val="none"/>
          <w:u w:val="single"/>
          <w:lang w:bidi="ar"/>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（供应商名称）负责人</w:t>
      </w:r>
      <w:r>
        <w:rPr>
          <w:rFonts w:hint="default" w:ascii="Times New Roman" w:hAnsi="Times New Roman" w:eastAsia="新宋体" w:cs="Times New Roman"/>
          <w:color w:val="000000" w:themeColor="text1"/>
          <w:kern w:val="0"/>
          <w:sz w:val="22"/>
          <w:szCs w:val="22"/>
          <w:highlight w:val="none"/>
          <w:u w:val="single"/>
          <w:lang w:bidi="ar"/>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（姓名）合法授权</w:t>
      </w: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项目名称</w:t>
      </w:r>
      <w:r>
        <w:rPr>
          <w:rFonts w:hint="default" w:ascii="Times New Roman" w:hAnsi="Times New Roman" w:eastAsia="新宋体" w:cs="Times New Roman"/>
          <w:color w:val="000000" w:themeColor="text1"/>
          <w:kern w:val="0"/>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u w:val="single"/>
          <w:lang w:bidi="ar"/>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（编号：</w:t>
      </w:r>
      <w:r>
        <w:rPr>
          <w:rFonts w:hint="default" w:ascii="Times New Roman" w:hAnsi="Times New Roman" w:eastAsia="新宋体" w:cs="Times New Roman"/>
          <w:color w:val="000000" w:themeColor="text1"/>
          <w:kern w:val="0"/>
          <w:sz w:val="22"/>
          <w:szCs w:val="22"/>
          <w:highlight w:val="none"/>
          <w:u w:val="single"/>
          <w:lang w:bidi="ar"/>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）政府采购活动，经与本单位法人代表（负责人）联系确认，现就有关公平竞争事项郑重声明如下：</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eastAsia="zh-CN" w:bidi="ar"/>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lang w:val="en-US" w:eastAsia="zh-CN" w:bidi="ar"/>
          <w14:textFill>
            <w14:solidFill>
              <w14:schemeClr w14:val="tx1"/>
            </w14:solidFill>
          </w14:textFill>
        </w:rPr>
        <w:t>一</w:t>
      </w:r>
      <w:r>
        <w:rPr>
          <w:rFonts w:hint="default" w:ascii="Times New Roman" w:hAnsi="Times New Roman" w:eastAsia="新宋体" w:cs="Times New Roman"/>
          <w:color w:val="000000" w:themeColor="text1"/>
          <w:kern w:val="0"/>
          <w:sz w:val="22"/>
          <w:szCs w:val="22"/>
          <w:highlight w:val="none"/>
          <w:lang w:eastAsia="zh-CN" w:bidi="ar"/>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本单位与采购人之间 □不存在利害关系 □存在下列利害关系：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 xml:space="preserve">A.投资关系    </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 xml:space="preserve">B.行政隶属关系    </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 xml:space="preserve">C.业务指导关系  </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D.其他可能影响采购公正的利害关系</w:t>
      </w:r>
      <w:r>
        <w:rPr>
          <w:rStyle w:val="122"/>
          <w:rFonts w:hint="default" w:ascii="Times New Roman" w:hAnsi="Times New Roman" w:eastAsia="新宋体" w:cs="Times New Roman"/>
          <w:color w:val="000000" w:themeColor="text1"/>
          <w:sz w:val="22"/>
          <w:szCs w:val="22"/>
          <w:highlight w:val="none"/>
          <w:u w:val="single"/>
          <w:lang w:bidi="ar"/>
          <w14:textFill>
            <w14:solidFill>
              <w14:schemeClr w14:val="tx1"/>
            </w14:solidFill>
          </w14:textFill>
        </w:rPr>
        <w:t xml:space="preserve">（如有，请如实说明）                 </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eastAsia="zh-CN" w:bidi="ar"/>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lang w:val="en-US" w:eastAsia="zh-CN" w:bidi="ar"/>
          <w14:textFill>
            <w14:solidFill>
              <w14:schemeClr w14:val="tx1"/>
            </w14:solidFill>
          </w14:textFill>
        </w:rPr>
        <w:t>二</w:t>
      </w:r>
      <w:r>
        <w:rPr>
          <w:rFonts w:hint="default" w:ascii="Times New Roman" w:hAnsi="Times New Roman" w:eastAsia="新宋体" w:cs="Times New Roman"/>
          <w:color w:val="000000" w:themeColor="text1"/>
          <w:kern w:val="0"/>
          <w:sz w:val="22"/>
          <w:szCs w:val="22"/>
          <w:highlight w:val="none"/>
          <w:lang w:eastAsia="zh-CN" w:bidi="ar"/>
          <w14:textFill>
            <w14:solidFill>
              <w14:schemeClr w14:val="tx1"/>
            </w14:solidFill>
          </w14:textFill>
        </w:rPr>
        <w:t>）</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 xml:space="preserve">现已清楚知道参加本项目采购活动的其他所有供应商名称，本单位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 xml:space="preserve">□与其他所有供应商之间均不存在利害关系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□与</w:t>
      </w:r>
      <w:r>
        <w:rPr>
          <w:rFonts w:hint="default" w:ascii="Times New Roman" w:hAnsi="Times New Roman" w:eastAsia="新宋体" w:cs="Times New Roman"/>
          <w:color w:val="000000" w:themeColor="text1"/>
          <w:kern w:val="0"/>
          <w:sz w:val="22"/>
          <w:szCs w:val="22"/>
          <w:highlight w:val="none"/>
          <w:u w:val="single"/>
          <w:lang w:bidi="ar"/>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供应商名称）之间存在下列利害关系</w:t>
      </w:r>
      <w:r>
        <w:rPr>
          <w:rFonts w:hint="default" w:ascii="Times New Roman" w:hAnsi="Times New Roman" w:eastAsia="新宋体" w:cs="Times New Roman"/>
          <w:color w:val="000000" w:themeColor="text1"/>
          <w:kern w:val="0"/>
          <w:sz w:val="22"/>
          <w:szCs w:val="22"/>
          <w:highlight w:val="none"/>
          <w:u w:val="single"/>
          <w:lang w:bidi="ar"/>
          <w14:textFill>
            <w14:solidFill>
              <w14:schemeClr w14:val="tx1"/>
            </w14:solidFill>
          </w14:textFill>
        </w:rPr>
        <w:t xml:space="preserve">          </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A.法定代表人或负责人或实际控制人是同一人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B.法定代表人或负责人或实际控制人是夫妻关系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C.法定代表人或负责人或实际控制人是直系血亲关系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D.法定代表人或负责人或实际控制人存在三代以内旁系血亲关系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E.法定代表人或负责人或实际控制人存在近姻亲关系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F.法定代表人或负责人或实际控制人存在股份控制或实际控制关系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G.存在共同直接或间接投资设立子公司、联营企业和合营企业情况</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H.存在分级代理或代销关系、同一生产制造商关系、管理关系、重要业务（占主营业务收入50%以上）或重要财务往来关系（如融资）等其他实质性控制关系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I.其他利害关系情况</w:t>
      </w:r>
      <w:r>
        <w:rPr>
          <w:rFonts w:hint="default" w:ascii="Times New Roman" w:hAnsi="Times New Roman" w:eastAsia="新宋体" w:cs="Times New Roman"/>
          <w:color w:val="000000" w:themeColor="text1"/>
          <w:kern w:val="0"/>
          <w:sz w:val="22"/>
          <w:szCs w:val="22"/>
          <w:highlight w:val="none"/>
          <w:u w:val="single"/>
          <w:lang w:bidi="ar"/>
          <w14:textFill>
            <w14:solidFill>
              <w14:schemeClr w14:val="tx1"/>
            </w14:solidFill>
          </w14:textFill>
        </w:rPr>
        <w:t xml:space="preserve">                              。</w:t>
      </w:r>
    </w:p>
    <w:p>
      <w:pPr>
        <w:pStyle w:val="22"/>
        <w:keepNext w:val="0"/>
        <w:keepLines w:val="0"/>
        <w:pageBreakBefore w:val="0"/>
        <w:widowControl w:val="0"/>
        <w:kinsoku/>
        <w:wordWrap/>
        <w:overflowPunct/>
        <w:topLinePunct w:val="0"/>
        <w:autoSpaceDE/>
        <w:autoSpaceDN/>
        <w:bidi w:val="0"/>
        <w:adjustRightInd/>
        <w:snapToGrid/>
        <w:spacing w:line="460" w:lineRule="exact"/>
        <w:ind w:left="437" w:leftChars="208" w:firstLine="0" w:firstLineChars="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（三）现已清楚知道并严格遵守政府采购法律法规和现场纪律</w:t>
      </w:r>
    </w:p>
    <w:p>
      <w:pPr>
        <w:pStyle w:val="22"/>
        <w:keepNext w:val="0"/>
        <w:keepLines w:val="0"/>
        <w:pageBreakBefore w:val="0"/>
        <w:widowControl w:val="0"/>
        <w:kinsoku/>
        <w:wordWrap/>
        <w:overflowPunct/>
        <w:topLinePunct w:val="0"/>
        <w:autoSpaceDE/>
        <w:autoSpaceDN/>
        <w:bidi w:val="0"/>
        <w:adjustRightInd/>
        <w:snapToGrid/>
        <w:spacing w:line="460" w:lineRule="exact"/>
        <w:ind w:left="17" w:leftChars="8" w:firstLine="418" w:firstLineChars="190"/>
        <w:textAlignment w:val="auto"/>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（四）我发现</w:t>
      </w:r>
      <w:r>
        <w:rPr>
          <w:rStyle w:val="122"/>
          <w:rFonts w:hint="default" w:ascii="Times New Roman" w:hAnsi="Times New Roman" w:eastAsia="新宋体" w:cs="Times New Roman"/>
          <w:b w:val="0"/>
          <w:bCs/>
          <w:color w:val="000000" w:themeColor="text1"/>
          <w:sz w:val="22"/>
          <w:szCs w:val="22"/>
          <w:highlight w:val="none"/>
          <w:u w:val="single"/>
          <w:lang w:bidi="ar"/>
          <w14:textFill>
            <w14:solidFill>
              <w14:schemeClr w14:val="tx1"/>
            </w14:solidFill>
          </w14:textFill>
        </w:rPr>
        <w:t xml:space="preserve">          </w:t>
      </w:r>
      <w:r>
        <w:rPr>
          <w:rStyle w:val="122"/>
          <w:rFonts w:hint="default" w:ascii="Times New Roman" w:hAnsi="Times New Roman" w:eastAsia="新宋体" w:cs="Times New Roman"/>
          <w:b w:val="0"/>
          <w:bCs/>
          <w:color w:val="000000" w:themeColor="text1"/>
          <w:sz w:val="22"/>
          <w:szCs w:val="22"/>
          <w:highlight w:val="none"/>
          <w:u w:val="single"/>
          <w:lang w:val="en-US" w:eastAsia="zh-CN" w:bidi="ar"/>
          <w14:textFill>
            <w14:solidFill>
              <w14:schemeClr w14:val="tx1"/>
            </w14:solidFill>
          </w14:textFill>
        </w:rPr>
        <w:t xml:space="preserve"> </w:t>
      </w:r>
      <w:r>
        <w:rPr>
          <w:rStyle w:val="122"/>
          <w:rFonts w:hint="default" w:ascii="Times New Roman" w:hAnsi="Times New Roman" w:eastAsia="新宋体" w:cs="Times New Roman"/>
          <w:b w:val="0"/>
          <w:bCs/>
          <w:color w:val="000000" w:themeColor="text1"/>
          <w:sz w:val="22"/>
          <w:szCs w:val="22"/>
          <w:highlight w:val="none"/>
          <w:u w:val="single"/>
          <w:lang w:bidi="ar"/>
          <w14:textFill>
            <w14:solidFill>
              <w14:schemeClr w14:val="tx1"/>
            </w14:solidFill>
          </w14:textFill>
        </w:rPr>
        <w:t xml:space="preserve">     </w:t>
      </w:r>
      <w:r>
        <w:rPr>
          <w:rStyle w:val="122"/>
          <w:rFonts w:hint="default" w:ascii="Times New Roman" w:hAnsi="Times New Roman" w:eastAsia="新宋体" w:cs="Times New Roman"/>
          <w:b w:val="0"/>
          <w:bCs/>
          <w:color w:val="000000" w:themeColor="text1"/>
          <w:sz w:val="22"/>
          <w:szCs w:val="22"/>
          <w:highlight w:val="none"/>
          <w:lang w:bidi="ar"/>
          <w14:textFill>
            <w14:solidFill>
              <w14:schemeClr w14:val="tx1"/>
            </w14:solidFill>
          </w14:textFill>
        </w:rPr>
        <w:t>与</w:t>
      </w:r>
      <w:r>
        <w:rPr>
          <w:rStyle w:val="122"/>
          <w:rFonts w:hint="default" w:ascii="Times New Roman" w:hAnsi="Times New Roman" w:eastAsia="新宋体" w:cs="Times New Roman"/>
          <w:b w:val="0"/>
          <w:bCs/>
          <w:color w:val="000000" w:themeColor="text1"/>
          <w:sz w:val="22"/>
          <w:szCs w:val="22"/>
          <w:highlight w:val="none"/>
          <w:u w:val="single"/>
          <w:lang w:bidi="ar"/>
          <w14:textFill>
            <w14:solidFill>
              <w14:schemeClr w14:val="tx1"/>
            </w14:solidFill>
          </w14:textFill>
        </w:rPr>
        <w:t xml:space="preserve">      </w:t>
      </w:r>
      <w:r>
        <w:rPr>
          <w:rStyle w:val="122"/>
          <w:rFonts w:hint="default" w:ascii="Times New Roman" w:hAnsi="Times New Roman" w:eastAsia="新宋体" w:cs="Times New Roman"/>
          <w:b w:val="0"/>
          <w:bCs/>
          <w:color w:val="000000" w:themeColor="text1"/>
          <w:sz w:val="22"/>
          <w:szCs w:val="22"/>
          <w:highlight w:val="none"/>
          <w:u w:val="single"/>
          <w:lang w:val="en-US" w:eastAsia="zh-CN" w:bidi="ar"/>
          <w14:textFill>
            <w14:solidFill>
              <w14:schemeClr w14:val="tx1"/>
            </w14:solidFill>
          </w14:textFill>
        </w:rPr>
        <w:t xml:space="preserve"> </w:t>
      </w:r>
      <w:r>
        <w:rPr>
          <w:rStyle w:val="122"/>
          <w:rFonts w:hint="default" w:ascii="Times New Roman" w:hAnsi="Times New Roman" w:eastAsia="新宋体" w:cs="Times New Roman"/>
          <w:b w:val="0"/>
          <w:bCs/>
          <w:color w:val="000000" w:themeColor="text1"/>
          <w:sz w:val="22"/>
          <w:szCs w:val="22"/>
          <w:highlight w:val="none"/>
          <w:u w:val="single"/>
          <w:lang w:bidi="ar"/>
          <w14:textFill>
            <w14:solidFill>
              <w14:schemeClr w14:val="tx1"/>
            </w14:solidFill>
          </w14:textFill>
        </w:rPr>
        <w:t xml:space="preserve">         </w:t>
      </w:r>
      <w:r>
        <w:rPr>
          <w:rStyle w:val="122"/>
          <w:rFonts w:hint="default" w:ascii="Times New Roman" w:hAnsi="Times New Roman" w:eastAsia="新宋体" w:cs="Times New Roman"/>
          <w:b w:val="0"/>
          <w:bCs/>
          <w:color w:val="000000" w:themeColor="text1"/>
          <w:sz w:val="22"/>
          <w:szCs w:val="22"/>
          <w:highlight w:val="none"/>
          <w:lang w:bidi="ar"/>
          <w14:textFill>
            <w14:solidFill>
              <w14:schemeClr w14:val="tx1"/>
            </w14:solidFill>
          </w14:textFill>
        </w:rPr>
        <w:t>（供应商名称）</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之间存在或可能存在上述第二条第</w:t>
      </w:r>
      <w:r>
        <w:rPr>
          <w:rStyle w:val="122"/>
          <w:rFonts w:hint="default" w:ascii="Times New Roman" w:hAnsi="Times New Roman" w:eastAsia="新宋体" w:cs="Times New Roman"/>
          <w:b w:val="0"/>
          <w:bCs/>
          <w:color w:val="000000" w:themeColor="text1"/>
          <w:sz w:val="22"/>
          <w:szCs w:val="22"/>
          <w:highlight w:val="none"/>
          <w:u w:val="single"/>
          <w:lang w:bidi="ar"/>
          <w14:textFill>
            <w14:solidFill>
              <w14:schemeClr w14:val="tx1"/>
            </w14:solidFill>
          </w14:textFill>
        </w:rPr>
        <w:t xml:space="preserve">        </w:t>
      </w:r>
      <w:r>
        <w:rPr>
          <w:rFonts w:hint="default" w:ascii="Times New Roman" w:hAnsi="Times New Roman" w:eastAsia="新宋体" w:cs="Times New Roman"/>
          <w:b w:val="0"/>
          <w:bCs/>
          <w:color w:val="000000" w:themeColor="text1"/>
          <w:kern w:val="0"/>
          <w:sz w:val="22"/>
          <w:szCs w:val="22"/>
          <w:highlight w:val="none"/>
          <w:lang w:bidi="ar"/>
          <w14:textFill>
            <w14:solidFill>
              <w14:schemeClr w14:val="tx1"/>
            </w14:solidFill>
          </w14:textFill>
        </w:rPr>
        <w:t>项</w:t>
      </w:r>
      <w:r>
        <w:rPr>
          <w:rFonts w:hint="default" w:ascii="Times New Roman" w:hAnsi="Times New Roman" w:eastAsia="新宋体" w:cs="Times New Roman"/>
          <w:color w:val="000000" w:themeColor="text1"/>
          <w:kern w:val="0"/>
          <w:sz w:val="22"/>
          <w:szCs w:val="22"/>
          <w:highlight w:val="none"/>
          <w:lang w:bidi="ar"/>
          <w14:textFill>
            <w14:solidFill>
              <w14:schemeClr w14:val="tx1"/>
            </w14:solidFill>
          </w14:textFill>
        </w:rPr>
        <w:t>利害关系。</w:t>
      </w:r>
    </w:p>
    <w:p>
      <w:pPr>
        <w:pStyle w:val="22"/>
        <w:keepNext w:val="0"/>
        <w:keepLines w:val="0"/>
        <w:pageBreakBefore w:val="0"/>
        <w:widowControl w:val="0"/>
        <w:kinsoku/>
        <w:wordWrap/>
        <w:overflowPunct/>
        <w:topLinePunct w:val="0"/>
        <w:autoSpaceDE/>
        <w:autoSpaceDN/>
        <w:bidi w:val="0"/>
        <w:adjustRightInd/>
        <w:snapToGrid/>
        <w:spacing w:line="460" w:lineRule="exact"/>
        <w:ind w:left="0" w:firstLine="0" w:firstLineChars="0"/>
        <w:textAlignment w:val="auto"/>
        <w:rPr>
          <w:rFonts w:hint="default" w:ascii="Times New Roman" w:hAnsi="Times New Roman" w:eastAsia="新宋体" w:cs="Times New Roman"/>
          <w:b/>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b/>
          <w:color w:val="000000" w:themeColor="text1"/>
          <w:kern w:val="0"/>
          <w:sz w:val="22"/>
          <w:szCs w:val="22"/>
          <w:highlight w:val="none"/>
          <w:lang w:bidi="ar"/>
          <w14:textFill>
            <w14:solidFill>
              <w14:schemeClr w14:val="tx1"/>
            </w14:solidFill>
          </w14:textFill>
        </w:rPr>
        <w:t>供应商代表签名:</w:t>
      </w:r>
    </w:p>
    <w:p>
      <w:pPr>
        <w:pStyle w:val="22"/>
        <w:spacing w:line="460" w:lineRule="exact"/>
        <w:ind w:left="0" w:firstLine="0" w:firstLineChars="0"/>
        <w:jc w:val="right"/>
        <w:rPr>
          <w:rFonts w:hint="default" w:ascii="Times New Roman" w:hAnsi="Times New Roman" w:eastAsia="新宋体" w:cs="Times New Roman"/>
          <w:b/>
          <w:color w:val="000000" w:themeColor="text1"/>
          <w:kern w:val="0"/>
          <w:sz w:val="22"/>
          <w:szCs w:val="22"/>
          <w:highlight w:val="none"/>
          <w:lang w:bidi="ar"/>
          <w14:textFill>
            <w14:solidFill>
              <w14:schemeClr w14:val="tx1"/>
            </w14:solidFill>
          </w14:textFill>
        </w:rPr>
      </w:pPr>
    </w:p>
    <w:p>
      <w:pPr>
        <w:pStyle w:val="22"/>
        <w:spacing w:line="460" w:lineRule="exact"/>
        <w:ind w:left="0" w:firstLine="0" w:firstLineChars="0"/>
        <w:jc w:val="right"/>
        <w:rPr>
          <w:rFonts w:hint="default" w:ascii="Times New Roman" w:hAnsi="Times New Roman" w:eastAsia="新宋体" w:cs="Times New Roman"/>
          <w:b/>
          <w:color w:val="000000" w:themeColor="text1"/>
          <w:kern w:val="0"/>
          <w:sz w:val="22"/>
          <w:szCs w:val="22"/>
          <w:highlight w:val="none"/>
          <w:lang w:bidi="ar"/>
          <w14:textFill>
            <w14:solidFill>
              <w14:schemeClr w14:val="tx1"/>
            </w14:solidFill>
          </w14:textFill>
        </w:rPr>
      </w:pPr>
    </w:p>
    <w:p>
      <w:pPr>
        <w:pStyle w:val="32"/>
        <w:ind w:left="0" w:leftChars="0" w:firstLine="0" w:firstLineChars="0"/>
        <w:jc w:val="right"/>
        <w:rPr>
          <w:rFonts w:hint="default" w:ascii="Times New Roman" w:hAnsi="Times New Roman" w:eastAsia="新宋体" w:cs="Times New Roman"/>
          <w:b/>
          <w:color w:val="000000" w:themeColor="text1"/>
          <w:kern w:val="0"/>
          <w:sz w:val="22"/>
          <w:szCs w:val="22"/>
          <w:highlight w:val="none"/>
          <w:lang w:bidi="ar"/>
          <w14:textFill>
            <w14:solidFill>
              <w14:schemeClr w14:val="tx1"/>
            </w14:solidFill>
          </w14:textFill>
        </w:rPr>
      </w:pPr>
      <w:r>
        <w:rPr>
          <w:rFonts w:hint="default" w:ascii="Times New Roman" w:hAnsi="Times New Roman" w:eastAsia="新宋体" w:cs="Times New Roman"/>
          <w:b/>
          <w:color w:val="000000" w:themeColor="text1"/>
          <w:kern w:val="0"/>
          <w:sz w:val="22"/>
          <w:szCs w:val="22"/>
          <w:highlight w:val="none"/>
          <w:lang w:bidi="ar"/>
          <w14:textFill>
            <w14:solidFill>
              <w14:schemeClr w14:val="tx1"/>
            </w14:solidFill>
          </w14:textFill>
        </w:rPr>
        <w:t>日期</w:t>
      </w:r>
      <w:r>
        <w:rPr>
          <w:rFonts w:hint="default" w:ascii="Times New Roman" w:hAnsi="Times New Roman" w:eastAsia="新宋体" w:cs="Times New Roman"/>
          <w:b/>
          <w:color w:val="000000" w:themeColor="text1"/>
          <w:kern w:val="0"/>
          <w:sz w:val="22"/>
          <w:szCs w:val="22"/>
          <w:highlight w:val="none"/>
          <w:lang w:eastAsia="zh-CN" w:bidi="ar"/>
          <w14:textFill>
            <w14:solidFill>
              <w14:schemeClr w14:val="tx1"/>
            </w14:solidFill>
          </w14:textFill>
        </w:rPr>
        <w:t>：2022</w:t>
      </w:r>
      <w:r>
        <w:rPr>
          <w:rFonts w:hint="default" w:ascii="Times New Roman" w:hAnsi="Times New Roman" w:eastAsia="新宋体" w:cs="Times New Roman"/>
          <w:b/>
          <w:color w:val="000000" w:themeColor="text1"/>
          <w:kern w:val="0"/>
          <w:sz w:val="22"/>
          <w:szCs w:val="22"/>
          <w:highlight w:val="none"/>
          <w:lang w:bidi="ar"/>
          <w14:textFill>
            <w14:solidFill>
              <w14:schemeClr w14:val="tx1"/>
            </w14:solidFill>
          </w14:textFill>
        </w:rPr>
        <w:t>年    月    日</w:t>
      </w:r>
    </w:p>
    <w:p>
      <w:pPr>
        <w:pStyle w:val="32"/>
        <w:ind w:left="0" w:leftChars="0" w:firstLine="0" w:firstLineChars="0"/>
        <w:jc w:val="right"/>
        <w:rPr>
          <w:rFonts w:hint="default" w:ascii="Times New Roman" w:hAnsi="Times New Roman" w:eastAsia="新宋体" w:cs="Times New Roman"/>
          <w:b/>
          <w:color w:val="000000" w:themeColor="text1"/>
          <w:kern w:val="0"/>
          <w:sz w:val="22"/>
          <w:szCs w:val="22"/>
          <w:highlight w:val="none"/>
          <w:lang w:bidi="ar"/>
          <w14:textFill>
            <w14:solidFill>
              <w14:schemeClr w14:val="tx1"/>
            </w14:solidFill>
          </w14:textFill>
        </w:rPr>
      </w:pPr>
    </w:p>
    <w:p>
      <w:pPr>
        <w:pStyle w:val="22"/>
        <w:keepNext w:val="0"/>
        <w:keepLines w:val="0"/>
        <w:pageBreakBefore w:val="0"/>
        <w:widowControl w:val="0"/>
        <w:kinsoku/>
        <w:wordWrap/>
        <w:overflowPunct/>
        <w:topLinePunct w:val="0"/>
        <w:autoSpaceDE/>
        <w:autoSpaceDN/>
        <w:bidi w:val="0"/>
        <w:adjustRightInd/>
        <w:snapToGrid/>
        <w:spacing w:line="460" w:lineRule="exact"/>
        <w:ind w:left="433" w:hanging="433" w:hangingChars="196"/>
        <w:textAlignment w:val="auto"/>
        <w:outlineLvl w:val="1"/>
        <w:rPr>
          <w:rFonts w:hint="default" w:ascii="Times New Roman" w:hAnsi="Times New Roman" w:eastAsia="新宋体" w:cs="Times New Roman"/>
          <w:b/>
          <w:color w:val="000000" w:themeColor="text1"/>
          <w:sz w:val="22"/>
          <w:highlight w:val="none"/>
          <w14:textFill>
            <w14:solidFill>
              <w14:schemeClr w14:val="tx1"/>
            </w14:solidFill>
          </w14:textFill>
        </w:rPr>
      </w:pPr>
      <w:bookmarkStart w:id="50" w:name="_Toc9128"/>
      <w:bookmarkStart w:id="51" w:name="_Toc139"/>
      <w:r>
        <w:rPr>
          <w:rFonts w:hint="default" w:ascii="Times New Roman" w:hAnsi="Times New Roman" w:eastAsia="新宋体" w:cs="Times New Roman"/>
          <w:b/>
          <w:color w:val="000000" w:themeColor="text1"/>
          <w:sz w:val="22"/>
          <w:highlight w:val="none"/>
          <w14:textFill>
            <w14:solidFill>
              <w14:schemeClr w14:val="tx1"/>
            </w14:solidFill>
          </w14:textFill>
        </w:rPr>
        <w:t>附件三</w:t>
      </w:r>
      <w:bookmarkEnd w:id="50"/>
      <w:bookmarkEnd w:id="51"/>
    </w:p>
    <w:p>
      <w:pPr>
        <w:spacing w:line="380" w:lineRule="exact"/>
        <w:jc w:val="center"/>
        <w:outlineLvl w:val="2"/>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bookmarkStart w:id="52" w:name="_Toc18969"/>
      <w:bookmarkStart w:id="53" w:name="_Toc29509"/>
      <w:r>
        <w:rPr>
          <w:rFonts w:hint="default" w:ascii="Times New Roman" w:hAnsi="Times New Roman" w:eastAsia="新宋体" w:cs="Times New Roman"/>
          <w:b/>
          <w:bCs/>
          <w:color w:val="000000" w:themeColor="text1"/>
          <w:sz w:val="28"/>
          <w:szCs w:val="28"/>
          <w:highlight w:val="none"/>
          <w14:textFill>
            <w14:solidFill>
              <w14:schemeClr w14:val="tx1"/>
            </w14:solidFill>
          </w14:textFill>
        </w:rPr>
        <w:t>商务技术文件</w:t>
      </w:r>
      <w:bookmarkEnd w:id="52"/>
      <w:bookmarkEnd w:id="53"/>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1、法定代表人授权书</w:t>
      </w:r>
    </w:p>
    <w:p>
      <w:pPr>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温州大学</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spacing w:line="460" w:lineRule="exact"/>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pPr>
    </w:p>
    <w:p>
      <w:pPr>
        <w:spacing w:line="460" w:lineRule="exact"/>
        <w:ind w:firstLine="550" w:firstLineChars="25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（磋商供应商全称）法定代表人</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授权</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（全权代表姓名）为全权代表，参加贵处组织的（项目名称</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、编号</w:t>
      </w:r>
      <w:r>
        <w:rPr>
          <w:rFonts w:hint="default" w:ascii="Times New Roman" w:hAnsi="Times New Roman" w:eastAsia="新宋体" w:cs="Times New Roman"/>
          <w:color w:val="000000" w:themeColor="text1"/>
          <w:sz w:val="22"/>
          <w:szCs w:val="22"/>
          <w:highlight w:val="none"/>
          <w:u w:val="single"/>
          <w14:textFill>
            <w14:solidFill>
              <w14:schemeClr w14:val="tx1"/>
            </w14:solidFill>
          </w14:textFill>
        </w:rPr>
        <w:t xml:space="preserve">           </w:t>
      </w:r>
      <w:r>
        <w:rPr>
          <w:rFonts w:hint="default" w:ascii="Times New Roman" w:hAnsi="Times New Roman" w:eastAsia="新宋体" w:cs="Times New Roman"/>
          <w:color w:val="000000" w:themeColor="text1"/>
          <w:sz w:val="22"/>
          <w:szCs w:val="22"/>
          <w:highlight w:val="none"/>
          <w14:textFill>
            <w14:solidFill>
              <w14:schemeClr w14:val="tx1"/>
            </w14:solidFill>
          </w14:textFill>
        </w:rPr>
        <w:t>）的磋商活动，全权代表我方处理磋商活动中的一切事宜。</w:t>
      </w:r>
    </w:p>
    <w:p>
      <w:pPr>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spacing w:line="460" w:lineRule="exact"/>
        <w:ind w:firstLine="4518" w:firstLineChars="2054"/>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法定代表人</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签字或盖章</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spacing w:line="460" w:lineRule="exact"/>
        <w:ind w:firstLine="4518" w:firstLineChars="2054"/>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磋商供应商全称（公章）：</w:t>
      </w:r>
    </w:p>
    <w:p>
      <w:pPr>
        <w:spacing w:line="460" w:lineRule="exact"/>
        <w:ind w:firstLine="4518" w:firstLineChars="2054"/>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日   期：  </w:t>
      </w:r>
    </w:p>
    <w:p>
      <w:pPr>
        <w:spacing w:line="38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spacing w:line="460" w:lineRule="exact"/>
        <w:ind w:firstLine="541" w:firstLine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附：</w:t>
      </w:r>
    </w:p>
    <w:p>
      <w:pPr>
        <w:spacing w:line="460" w:lineRule="exact"/>
        <w:ind w:firstLine="539" w:firstLine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授权代表姓名：                               </w:t>
      </w:r>
    </w:p>
    <w:p>
      <w:pPr>
        <w:spacing w:line="460" w:lineRule="exact"/>
        <w:ind w:firstLine="539" w:firstLine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职务：</w:t>
      </w:r>
    </w:p>
    <w:p>
      <w:pPr>
        <w:spacing w:line="460" w:lineRule="exact"/>
        <w:ind w:firstLine="539" w:firstLine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详细通讯地址：</w:t>
      </w:r>
    </w:p>
    <w:p>
      <w:pPr>
        <w:spacing w:line="460" w:lineRule="exact"/>
        <w:ind w:firstLine="539" w:firstLine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电话：</w:t>
      </w:r>
    </w:p>
    <w:p>
      <w:pPr>
        <w:spacing w:line="460" w:lineRule="exact"/>
        <w:ind w:firstLine="539" w:firstLine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传真：</w:t>
      </w:r>
    </w:p>
    <w:p>
      <w:pPr>
        <w:spacing w:line="460" w:lineRule="exact"/>
        <w:ind w:firstLine="539" w:firstLineChars="245"/>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邮政编码:</w:t>
      </w:r>
    </w:p>
    <w:p>
      <w:pPr>
        <w:pStyle w:val="8"/>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8"/>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8"/>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8"/>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color w:val="000000" w:themeColor="text1"/>
          <w:highlight w:val="none"/>
          <w14:textFill>
            <w14:solidFill>
              <w14:schemeClr w14:val="tx1"/>
            </w14:solidFill>
          </w14:textFill>
        </w:rPr>
      </w:pPr>
    </w:p>
    <w:p>
      <w:pPr>
        <w:pStyle w:val="8"/>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2"/>
        <w:ind w:left="440" w:hanging="440"/>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2"/>
        <w:ind w:left="440" w:hanging="440"/>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22"/>
        <w:ind w:left="440" w:hanging="440"/>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8"/>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pStyle w:val="8"/>
        <w:ind w:firstLine="0"/>
        <w:rPr>
          <w:rFonts w:hint="default" w:ascii="Times New Roman" w:hAnsi="Times New Roman" w:eastAsia="新宋体" w:cs="Times New Roman"/>
          <w:color w:val="000000" w:themeColor="text1"/>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320675</wp:posOffset>
                </wp:positionV>
                <wp:extent cx="6254115" cy="3004185"/>
                <wp:effectExtent l="5080" t="4445" r="8255" b="20320"/>
                <wp:wrapNone/>
                <wp:docPr id="6" name="文本框 6"/>
                <wp:cNvGraphicFramePr/>
                <a:graphic xmlns:a="http://schemas.openxmlformats.org/drawingml/2006/main">
                  <a:graphicData uri="http://schemas.microsoft.com/office/word/2010/wordprocessingShape">
                    <wps:wsp>
                      <wps:cNvSpPr txBox="1"/>
                      <wps:spPr>
                        <a:xfrm>
                          <a:off x="0" y="0"/>
                          <a:ext cx="6254115" cy="30041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新宋体" w:hAnsi="新宋体" w:eastAsia="新宋体"/>
                                <w:sz w:val="22"/>
                                <w:szCs w:val="22"/>
                              </w:rPr>
                              <w:t xml:space="preserve">  法定代表人身份证（正反面）：</w:t>
                            </w:r>
                          </w:p>
                        </w:txbxContent>
                      </wps:txbx>
                      <wps:bodyPr upright="1"/>
                    </wps:wsp>
                  </a:graphicData>
                </a:graphic>
              </wp:anchor>
            </w:drawing>
          </mc:Choice>
          <mc:Fallback>
            <w:pict>
              <v:shape id="_x0000_s1026" o:spid="_x0000_s1026" o:spt="202" type="#_x0000_t202" style="position:absolute;left:0pt;margin-left:8.95pt;margin-top:25.25pt;height:236.55pt;width:492.45pt;z-index:251659264;mso-width-relative:page;mso-height-relative:page;" fillcolor="#FFFFFF" filled="t" stroked="t" coordsize="21600,21600" o:gfxdata="UEsDBAoAAAAAAIdO4kAAAAAAAAAAAAAAAAAEAAAAZHJzL1BLAwQUAAAACACHTuJAl9wjaNgAAAAK&#10;AQAADwAAAGRycy9kb3ducmV2LnhtbE2PwU7DMBBE70j8g7VIXBC1m9K0DXF6QALBrRQEVzfeJhH2&#10;OsRuWv6e7QmOszOafVOuT96JEYfYBdIwnSgQSHWwHTUa3t8eb5cgYjJkjQuEGn4wwrq6vChNYcOR&#10;XnHcpkZwCcXCaGhT6gspY92iN3ESeiT29mHwJrEcGmkHc+Ry72SmVC696Yg/tKbHhxbrr+3Ba1je&#10;PY+f8WW2+ajzvVulm8X49D1ofX01VfcgEp7SXxjO+IwOFTPtwoFsFI71YsVJDXM1B3H2lcp4y44v&#10;2SwHWZXy/4TqF1BLAwQUAAAACACHTuJAVlSWsQsCAAA3BAAADgAAAGRycy9lMm9Eb2MueG1srVPN&#10;jtMwEL4j8Q6W7zRp2VZL1HQlKOWCAGnhAVzbSSz5Tx63SV8A3oATF+48V59jx063+wOHHsjBGY8/&#10;fzPzzXh5MxhN9jKAcram00lJibTcCWXbmn77unl1TQlEZgXTzsqaHiTQm9XLF8veV3LmOqeFDARJ&#10;LFS9r2kXo6+KAngnDYOJ89LiYeOCYRG3oS1EYD2yG13MynJR9C4IHxyXAOhdj4f0xBguIXRNo7hc&#10;O74z0saRNUjNIpYEnfJAVznbppE8fm4akJHommKlMa8YBO1tWovVklVtYL5T/JQCuySFZzUZpiwG&#10;PVOtWWRkF9RfVEbx4MA1ccKdKcZCsiJYxbR8ps1tx7zMtaDU4M+iw/+j5Z/2XwJRoqYLSiwz2PDj&#10;zx/HX3+Ov7+TRZKn91Ah6tYjLg5v3YBDc+8HdKaqhyaY9Md6CJ6juIezuHKIhKNzMZtfTadzSjie&#10;vS7Lq+n1PPEUD9d9gPhBOkOSUdOA3cuisv1HiCP0HpKigdNKbJTWeRPa7TsdyJ5hpzf5O7E/gWlL&#10;+pq+mc9SIgzHt8GxQdN4lABsm+M9uQGPicv8/Ys4JbZm0I0JZIYEY5VRUYZsdZKJ91aQePAos8XX&#10;RVMyRgpKtMTHmKyMjEzpS5ConbYoYerR2ItkxWE7IE0yt04csG87H1TboaS5cxmO85S1P81+GtjH&#10;+0z68N5X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fcI2jYAAAACgEAAA8AAAAAAAAAAQAgAAAA&#10;IgAAAGRycy9kb3ducmV2LnhtbFBLAQIUABQAAAAIAIdO4kBWVJaxCwIAADcEAAAOAAAAAAAAAAEA&#10;IAAAACcBAABkcnMvZTJvRG9jLnhtbFBLBQYAAAAABgAGAFkBAACkBQAAAAA=&#10;">
                <v:fill on="t" focussize="0,0"/>
                <v:stroke color="#000000" joinstyle="miter"/>
                <v:imagedata o:title=""/>
                <o:lock v:ext="edit" aspectratio="f"/>
                <v:textbox>
                  <w:txbxContent>
                    <w:p>
                      <w:r>
                        <w:rPr>
                          <w:rFonts w:hint="eastAsia" w:ascii="新宋体" w:hAnsi="新宋体" w:eastAsia="新宋体"/>
                          <w:sz w:val="22"/>
                          <w:szCs w:val="22"/>
                        </w:rPr>
                        <w:t xml:space="preserve">  法定代表人身份证（正反面）：</w:t>
                      </w:r>
                    </w:p>
                  </w:txbxContent>
                </v:textbox>
              </v:shape>
            </w:pict>
          </mc:Fallback>
        </mc:AlternateContent>
      </w: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-53975</wp:posOffset>
                </wp:positionV>
                <wp:extent cx="6303645" cy="3875405"/>
                <wp:effectExtent l="4445" t="5080" r="16510" b="5715"/>
                <wp:wrapNone/>
                <wp:docPr id="7" name="文本框 7"/>
                <wp:cNvGraphicFramePr/>
                <a:graphic xmlns:a="http://schemas.openxmlformats.org/drawingml/2006/main">
                  <a:graphicData uri="http://schemas.microsoft.com/office/word/2010/wordprocessingShape">
                    <wps:wsp>
                      <wps:cNvSpPr txBox="1"/>
                      <wps:spPr>
                        <a:xfrm>
                          <a:off x="0" y="0"/>
                          <a:ext cx="6303645" cy="387540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ascii="新宋体" w:hAnsi="新宋体" w:eastAsia="新宋体"/>
                                <w:sz w:val="22"/>
                                <w:szCs w:val="22"/>
                              </w:rPr>
                              <w:t xml:space="preserve">  授权代表身份证（正反面）：</w:t>
                            </w:r>
                          </w:p>
                        </w:txbxContent>
                      </wps:txbx>
                      <wps:bodyPr upright="1"/>
                    </wps:wsp>
                  </a:graphicData>
                </a:graphic>
              </wp:anchor>
            </w:drawing>
          </mc:Choice>
          <mc:Fallback>
            <w:pict>
              <v:shape id="_x0000_s1026" o:spid="_x0000_s1026" o:spt="202" type="#_x0000_t202" style="position:absolute;left:0pt;margin-left:6.95pt;margin-top:-4.25pt;height:305.15pt;width:496.35pt;z-index:251660288;mso-width-relative:page;mso-height-relative:page;" fillcolor="#FFFFFF" filled="t" stroked="t" coordsize="21600,21600" o:gfxdata="UEsDBAoAAAAAAIdO4kAAAAAAAAAAAAAAAAAEAAAAZHJzL1BLAwQUAAAACACHTuJAmGqLXdgAAAAK&#10;AQAADwAAAGRycy9kb3ducmV2LnhtbE2PwU7DMBBE70j8g7VIXFBrh0JIQ5wekEBwKwXB1Y23SYS9&#10;DrGblr9ne4LjaEYzb6rV0Tsx4Rj7QBqyuQKB1ATbU6vh/e1xVoCIyZA1LhBq+MEIq/r8rDKlDQd6&#10;xWmTWsElFEujoUtpKKWMTYfexHkYkNjbhdGbxHJspR3Ngcu9k9dK5dKbnnihMwM+dNh8bfZeQ3Hz&#10;PH3Gl8X6o8l3bpmu7qan71Hry4tM3YNIeEx/YTjhMzrUzLQNe7JRONaLJSc1zIpbECef13IQWw25&#10;ygqQdSX/X6h/AVBLAwQUAAAACACHTuJAN9r75wwCAAA3BAAADgAAAGRycy9lMm9Eb2MueG1srVNL&#10;jhMxEN0jcQfLe9I9ySQZWumMBCFsECANHMCx3d2W/JPLSToXgBuwYsOec+UclN2ZzAcWWdALd7n8&#10;/KrqVXlx2xtNdjKAcramV6OSEmm5E8q2Nf36Zf3qhhKIzAqmnZU1PUigt8uXLxZ7X8mx65wWMhAk&#10;sVDtfU27GH1VFMA7aRiMnJcWDxsXDIu4DW0hAtsju9HFuCxnxd4F4YPjEgC9q+GQnhjDJYSuaRSX&#10;K8e3Rto4sAapWcSSoFMe6DJn2zSSx09NAzISXVOsNOYVg6C9SWuxXLCqDcx3ip9SYJek8Kwmw5TF&#10;oGeqFYuMbIP6i8ooHhy4Jo64M8VQSFYEq7gqn2lz1zEvcy0oNfiz6PD/aPnH3edAlKjpnBLLDDb8&#10;+OP78efv469vZJ7k2XuoEHXnERf7N67Hobn3AzpT1X0TTPpjPQTPUdzDWVzZR8LROZuUk9n1lBKO&#10;Z5Ob+fS6nCae4uG6DxDfS2dIMmoasHtZVLb7AHGA3kNSNHBaibXSOm9Cu3mrA9kx7PQ6fyf2JzBt&#10;yb6mr6fjlAjD8W1wbNA0HiUA2+Z4T27AY+Iyf/8iTomtGHRDApkhwVhlVJQhW51k4p0VJB48ymzx&#10;ddGUjJGCEi3xMSYrIyNT+hIkaqctSph6NPQiWbHf9EiTzI0TB+zb1gfVdihp7lyG4zxl7U+znwb2&#10;8T6TPrz35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Yaotd2AAAAAoBAAAPAAAAAAAAAAEAIAAA&#10;ACIAAABkcnMvZG93bnJldi54bWxQSwECFAAUAAAACACHTuJAN9r75wwCAAA3BAAADgAAAAAAAAAB&#10;ACAAAAAnAQAAZHJzL2Uyb0RvYy54bWxQSwUGAAAAAAYABgBZAQAApQUAAAAA&#10;">
                <v:fill on="t" focussize="0,0"/>
                <v:stroke color="#000000" joinstyle="miter"/>
                <v:imagedata o:title=""/>
                <o:lock v:ext="edit" aspectratio="f"/>
                <v:textbox>
                  <w:txbxContent>
                    <w:p>
                      <w:r>
                        <w:rPr>
                          <w:rFonts w:hint="eastAsia" w:ascii="新宋体" w:hAnsi="新宋体" w:eastAsia="新宋体"/>
                          <w:sz w:val="22"/>
                          <w:szCs w:val="22"/>
                        </w:rPr>
                        <w:t xml:space="preserve">  授权代表身份证（正反面）：</w:t>
                      </w:r>
                    </w:p>
                  </w:txbxContent>
                </v:textbox>
              </v:shape>
            </w:pict>
          </mc:Fallback>
        </mc:AlternateContent>
      </w: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p>
    <w:p>
      <w:pPr>
        <w:spacing w:line="460" w:lineRule="exact"/>
        <w:jc w:val="center"/>
        <w:rPr>
          <w:rFonts w:hint="default" w:ascii="Times New Roman" w:hAnsi="Times New Roman" w:eastAsia="新宋体" w:cs="Times New Roman"/>
          <w:b/>
          <w:bCs/>
          <w:color w:val="000000" w:themeColor="text1"/>
          <w:sz w:val="28"/>
          <w:szCs w:val="28"/>
          <w:highlight w:val="none"/>
          <w14:textFill>
            <w14:solidFill>
              <w14:schemeClr w14:val="tx1"/>
            </w14:solidFill>
          </w14:textFill>
        </w:rPr>
        <w:sectPr>
          <w:headerReference r:id="rId10" w:type="first"/>
          <w:footerReference r:id="rId11" w:type="default"/>
          <w:pgSz w:w="11907" w:h="16840"/>
          <w:pgMar w:top="1134" w:right="1134" w:bottom="1134" w:left="1134"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2、磋商供应商情况表</w:t>
      </w:r>
    </w:p>
    <w:p>
      <w:pPr>
        <w:spacing w:line="48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项目名称：                                             项目编号：</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115"/>
        <w:gridCol w:w="1689"/>
        <w:gridCol w:w="728"/>
        <w:gridCol w:w="387"/>
        <w:gridCol w:w="1100"/>
        <w:gridCol w:w="1488"/>
        <w:gridCol w:w="1488"/>
        <w:gridCol w:w="1502"/>
        <w:gridCol w:w="1488"/>
        <w:gridCol w:w="1115"/>
        <w:gridCol w:w="355"/>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单位名称（盖章）</w:t>
            </w:r>
          </w:p>
        </w:tc>
        <w:tc>
          <w:tcPr>
            <w:tcW w:w="2804"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15"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电 话</w:t>
            </w:r>
          </w:p>
        </w:tc>
        <w:tc>
          <w:tcPr>
            <w:tcW w:w="2588"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88"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主管部门</w:t>
            </w:r>
          </w:p>
        </w:tc>
        <w:tc>
          <w:tcPr>
            <w:tcW w:w="1502"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88"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企业负责人</w:t>
            </w:r>
          </w:p>
        </w:tc>
        <w:tc>
          <w:tcPr>
            <w:tcW w:w="1115"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61"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27"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地    址</w:t>
            </w:r>
          </w:p>
        </w:tc>
        <w:tc>
          <w:tcPr>
            <w:tcW w:w="2804"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15"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传 真</w:t>
            </w:r>
          </w:p>
        </w:tc>
        <w:tc>
          <w:tcPr>
            <w:tcW w:w="2588"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88"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企业性质</w:t>
            </w:r>
          </w:p>
        </w:tc>
        <w:tc>
          <w:tcPr>
            <w:tcW w:w="1502"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88"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授权代表</w:t>
            </w:r>
          </w:p>
        </w:tc>
        <w:tc>
          <w:tcPr>
            <w:tcW w:w="1115" w:type="dxa"/>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61"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1227"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单位简介</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及机构</w:t>
            </w:r>
          </w:p>
        </w:tc>
        <w:tc>
          <w:tcPr>
            <w:tcW w:w="6507" w:type="dxa"/>
            <w:gridSpan w:val="6"/>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88"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单位优势</w:t>
            </w:r>
          </w:p>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及特长</w:t>
            </w:r>
          </w:p>
        </w:tc>
        <w:tc>
          <w:tcPr>
            <w:tcW w:w="5566" w:type="dxa"/>
            <w:gridSpan w:val="5"/>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227" w:type="dxa"/>
            <w:vMerge w:val="restart"/>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单位概况</w:t>
            </w:r>
          </w:p>
        </w:tc>
        <w:tc>
          <w:tcPr>
            <w:tcW w:w="1115" w:type="dxa"/>
            <w:vMerge w:val="restart"/>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职工总数</w:t>
            </w:r>
          </w:p>
        </w:tc>
        <w:tc>
          <w:tcPr>
            <w:tcW w:w="1689" w:type="dxa"/>
            <w:vMerge w:val="restart"/>
            <w:noWrap w:val="0"/>
            <w:vAlign w:val="top"/>
          </w:tcPr>
          <w:p>
            <w:pPr>
              <w:keepNext w:val="0"/>
              <w:keepLines w:val="0"/>
              <w:suppressLineNumbers w:val="0"/>
              <w:spacing w:before="0" w:beforeAutospacing="0" w:after="0" w:afterAutospacing="0" w:line="480" w:lineRule="exact"/>
              <w:ind w:left="0" w:right="0" w:firstLine="1540" w:firstLineChars="70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3" w:type="dxa"/>
            <w:gridSpan w:val="4"/>
            <w:vMerge w:val="restart"/>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各人员构成情况</w:t>
            </w:r>
          </w:p>
        </w:tc>
        <w:tc>
          <w:tcPr>
            <w:tcW w:w="1488" w:type="dxa"/>
            <w:vMerge w:val="restart"/>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上一年主要  经济指标</w:t>
            </w:r>
          </w:p>
        </w:tc>
        <w:tc>
          <w:tcPr>
            <w:tcW w:w="150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指标名称</w:t>
            </w:r>
          </w:p>
        </w:tc>
        <w:tc>
          <w:tcPr>
            <w:tcW w:w="1488" w:type="dxa"/>
            <w:tcBorders>
              <w:tr2bl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70" w:type="dxa"/>
            <w:gridSpan w:val="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实际完成</w:t>
            </w:r>
          </w:p>
        </w:tc>
        <w:tc>
          <w:tcPr>
            <w:tcW w:w="1106" w:type="dxa"/>
            <w:tcBorders>
              <w:tr2bl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227"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15"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89"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3" w:type="dxa"/>
            <w:gridSpan w:val="4"/>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88"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0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总产值</w:t>
            </w:r>
          </w:p>
        </w:tc>
        <w:tc>
          <w:tcPr>
            <w:tcW w:w="1488" w:type="dxa"/>
            <w:noWrap w:val="0"/>
            <w:vAlign w:val="center"/>
          </w:tcPr>
          <w:p>
            <w:pPr>
              <w:keepNext w:val="0"/>
              <w:keepLines w:val="0"/>
              <w:suppressLineNumbers w:val="0"/>
              <w:spacing w:before="0" w:beforeAutospacing="0" w:after="0" w:afterAutospacing="0" w:line="480" w:lineRule="exact"/>
              <w:ind w:left="0" w:right="0" w:firstLine="660" w:firstLineChars="30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万元</w:t>
            </w:r>
          </w:p>
        </w:tc>
        <w:tc>
          <w:tcPr>
            <w:tcW w:w="1470" w:type="dxa"/>
            <w:gridSpan w:val="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总产值</w:t>
            </w:r>
          </w:p>
        </w:tc>
        <w:tc>
          <w:tcPr>
            <w:tcW w:w="1106"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227"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15" w:type="dxa"/>
            <w:vMerge w:val="restart"/>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流动资金</w:t>
            </w:r>
          </w:p>
        </w:tc>
        <w:tc>
          <w:tcPr>
            <w:tcW w:w="1689" w:type="dxa"/>
            <w:vMerge w:val="restart"/>
            <w:noWrap w:val="0"/>
            <w:vAlign w:val="top"/>
          </w:tcPr>
          <w:p>
            <w:pPr>
              <w:keepNext w:val="0"/>
              <w:keepLines w:val="0"/>
              <w:suppressLineNumbers w:val="0"/>
              <w:spacing w:before="0" w:beforeAutospacing="0" w:after="0" w:afterAutospacing="0" w:line="480" w:lineRule="exact"/>
              <w:ind w:left="0" w:right="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w:t>
            </w:r>
          </w:p>
          <w:p>
            <w:pPr>
              <w:keepNext w:val="0"/>
              <w:keepLines w:val="0"/>
              <w:suppressLineNumbers w:val="0"/>
              <w:spacing w:before="0" w:beforeAutospacing="0" w:after="0" w:afterAutospacing="0" w:line="480" w:lineRule="exact"/>
              <w:ind w:left="0" w:right="0" w:firstLine="660" w:firstLineChars="30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万元 </w:t>
            </w:r>
          </w:p>
        </w:tc>
        <w:tc>
          <w:tcPr>
            <w:tcW w:w="728" w:type="dxa"/>
            <w:vMerge w:val="restart"/>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资金来源</w:t>
            </w:r>
          </w:p>
        </w:tc>
        <w:tc>
          <w:tcPr>
            <w:tcW w:w="1487" w:type="dxa"/>
            <w:gridSpan w:val="2"/>
            <w:noWrap w:val="0"/>
            <w:vAlign w:val="center"/>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自有资金</w:t>
            </w:r>
          </w:p>
        </w:tc>
        <w:tc>
          <w:tcPr>
            <w:tcW w:w="1488" w:type="dxa"/>
            <w:noWrap w:val="0"/>
            <w:vAlign w:val="center"/>
          </w:tcPr>
          <w:p>
            <w:pPr>
              <w:keepNext w:val="0"/>
              <w:keepLines w:val="0"/>
              <w:suppressLineNumbers w:val="0"/>
              <w:spacing w:before="0" w:beforeAutospacing="0" w:after="0" w:afterAutospacing="0" w:line="480" w:lineRule="exact"/>
              <w:ind w:left="0" w:right="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万元</w:t>
            </w:r>
          </w:p>
        </w:tc>
        <w:tc>
          <w:tcPr>
            <w:tcW w:w="1488"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02"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实现利润</w:t>
            </w:r>
          </w:p>
        </w:tc>
        <w:tc>
          <w:tcPr>
            <w:tcW w:w="1488" w:type="dxa"/>
            <w:noWrap w:val="0"/>
            <w:vAlign w:val="center"/>
          </w:tcPr>
          <w:p>
            <w:pPr>
              <w:keepNext w:val="0"/>
              <w:keepLines w:val="0"/>
              <w:suppressLineNumbers w:val="0"/>
              <w:spacing w:before="0" w:beforeAutospacing="0" w:after="0" w:afterAutospacing="0" w:line="480" w:lineRule="exact"/>
              <w:ind w:left="0" w:right="0" w:firstLine="660" w:firstLineChars="30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万元</w:t>
            </w:r>
          </w:p>
        </w:tc>
        <w:tc>
          <w:tcPr>
            <w:tcW w:w="1470" w:type="dxa"/>
            <w:gridSpan w:val="2"/>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实现利润</w:t>
            </w:r>
          </w:p>
        </w:tc>
        <w:tc>
          <w:tcPr>
            <w:tcW w:w="1106" w:type="dxa"/>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trPr>
        <w:tc>
          <w:tcPr>
            <w:tcW w:w="1227" w:type="dxa"/>
            <w:vMerge w:val="continue"/>
            <w:tcBorders>
              <w:bottom w:val="single" w:color="auto" w:sz="4" w:space="0"/>
            </w:tcBorders>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15" w:type="dxa"/>
            <w:vMerge w:val="continue"/>
            <w:tcBorders>
              <w:bottom w:val="single" w:color="auto" w:sz="4" w:space="0"/>
            </w:tcBorders>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89" w:type="dxa"/>
            <w:vMerge w:val="continue"/>
            <w:tcBorders>
              <w:bottom w:val="single" w:color="auto" w:sz="4" w:space="0"/>
            </w:tcBorders>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28" w:type="dxa"/>
            <w:vMerge w:val="continue"/>
            <w:tcBorders>
              <w:bottom w:val="single" w:color="auto" w:sz="4" w:space="0"/>
            </w:tcBorders>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87" w:type="dxa"/>
            <w:gridSpan w:val="2"/>
            <w:tcBorders>
              <w:bottom w:val="single" w:color="auto" w:sz="4" w:space="0"/>
            </w:tcBorders>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银行贷款</w:t>
            </w:r>
          </w:p>
        </w:tc>
        <w:tc>
          <w:tcPr>
            <w:tcW w:w="1488" w:type="dxa"/>
            <w:tcBorders>
              <w:bottom w:val="single" w:color="auto" w:sz="4" w:space="0"/>
            </w:tcBorders>
            <w:noWrap w:val="0"/>
            <w:vAlign w:val="top"/>
          </w:tcPr>
          <w:p>
            <w:pPr>
              <w:keepNext w:val="0"/>
              <w:keepLines w:val="0"/>
              <w:suppressLineNumbers w:val="0"/>
              <w:spacing w:before="0" w:beforeAutospacing="0" w:after="0" w:afterAutospacing="0" w:line="480" w:lineRule="exact"/>
              <w:ind w:left="0" w:right="0" w:firstLine="220" w:firstLineChars="10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万元</w:t>
            </w:r>
          </w:p>
        </w:tc>
        <w:tc>
          <w:tcPr>
            <w:tcW w:w="1488" w:type="dxa"/>
            <w:vMerge w:val="continue"/>
            <w:tcBorders>
              <w:bottom w:val="single" w:color="auto" w:sz="4" w:space="0"/>
            </w:tcBorders>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02" w:type="dxa"/>
            <w:vMerge w:val="restart"/>
            <w:tcBorders>
              <w:bottom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主要业绩</w:t>
            </w:r>
          </w:p>
        </w:tc>
        <w:tc>
          <w:tcPr>
            <w:tcW w:w="4064" w:type="dxa"/>
            <w:gridSpan w:val="4"/>
            <w:vMerge w:val="restart"/>
            <w:tcBorders>
              <w:bottom w:val="single" w:color="auto" w:sz="4" w:space="0"/>
            </w:tcBorders>
            <w:noWrap w:val="0"/>
            <w:vAlign w:val="center"/>
          </w:tcPr>
          <w:p>
            <w:pPr>
              <w:keepNext w:val="0"/>
              <w:keepLines w:val="0"/>
              <w:suppressLineNumbers w:val="0"/>
              <w:spacing w:before="0" w:beforeAutospacing="0" w:after="0" w:afterAutospacing="0" w:line="48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1227"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15" w:type="dxa"/>
            <w:vMerge w:val="restart"/>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固定资产</w:t>
            </w:r>
          </w:p>
        </w:tc>
        <w:tc>
          <w:tcPr>
            <w:tcW w:w="1689" w:type="dxa"/>
            <w:vMerge w:val="restart"/>
            <w:noWrap w:val="0"/>
            <w:vAlign w:val="top"/>
          </w:tcPr>
          <w:p>
            <w:pPr>
              <w:keepNext w:val="0"/>
              <w:keepLines w:val="0"/>
              <w:suppressLineNumbers w:val="0"/>
              <w:spacing w:before="0" w:beforeAutospacing="0" w:after="0" w:afterAutospacing="0" w:line="480" w:lineRule="exact"/>
              <w:ind w:left="0" w:right="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原值   万元</w:t>
            </w:r>
          </w:p>
          <w:p>
            <w:pPr>
              <w:keepNext w:val="0"/>
              <w:keepLines w:val="0"/>
              <w:suppressLineNumbers w:val="0"/>
              <w:spacing w:before="0" w:beforeAutospacing="0" w:after="0" w:afterAutospacing="0" w:line="480" w:lineRule="exact"/>
              <w:ind w:left="0" w:right="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净值   万元</w:t>
            </w:r>
          </w:p>
        </w:tc>
        <w:tc>
          <w:tcPr>
            <w:tcW w:w="728" w:type="dxa"/>
            <w:vMerge w:val="restart"/>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资金性质</w:t>
            </w:r>
          </w:p>
        </w:tc>
        <w:tc>
          <w:tcPr>
            <w:tcW w:w="1487"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生产性</w:t>
            </w:r>
          </w:p>
        </w:tc>
        <w:tc>
          <w:tcPr>
            <w:tcW w:w="1488" w:type="dxa"/>
            <w:noWrap w:val="0"/>
            <w:vAlign w:val="top"/>
          </w:tcPr>
          <w:p>
            <w:pPr>
              <w:keepNext w:val="0"/>
              <w:keepLines w:val="0"/>
              <w:suppressLineNumbers w:val="0"/>
              <w:spacing w:before="0" w:beforeAutospacing="0" w:after="0" w:afterAutospacing="0" w:line="480" w:lineRule="exact"/>
              <w:ind w:left="220" w:right="0" w:hanging="220" w:hangingChars="10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万元</w:t>
            </w:r>
          </w:p>
        </w:tc>
        <w:tc>
          <w:tcPr>
            <w:tcW w:w="1488"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02"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4064" w:type="dxa"/>
            <w:gridSpan w:val="4"/>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1227"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115"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89"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28"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87" w:type="dxa"/>
            <w:gridSpan w:val="2"/>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非生产性</w:t>
            </w:r>
          </w:p>
        </w:tc>
        <w:tc>
          <w:tcPr>
            <w:tcW w:w="1488" w:type="dxa"/>
            <w:noWrap w:val="0"/>
            <w:vAlign w:val="top"/>
          </w:tcPr>
          <w:p>
            <w:pPr>
              <w:keepNext w:val="0"/>
              <w:keepLines w:val="0"/>
              <w:suppressLineNumbers w:val="0"/>
              <w:spacing w:before="0" w:beforeAutospacing="0" w:after="0" w:afterAutospacing="0" w:line="480" w:lineRule="exact"/>
              <w:ind w:left="220" w:right="0" w:hanging="220" w:hangingChars="100"/>
              <w:jc w:val="right"/>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万元</w:t>
            </w:r>
          </w:p>
        </w:tc>
        <w:tc>
          <w:tcPr>
            <w:tcW w:w="1488"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02" w:type="dxa"/>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4064" w:type="dxa"/>
            <w:gridSpan w:val="4"/>
            <w:vMerge w:val="continue"/>
            <w:noWrap w:val="0"/>
            <w:vAlign w:val="top"/>
          </w:tcPr>
          <w:p>
            <w:pPr>
              <w:keepNext w:val="0"/>
              <w:keepLines w:val="0"/>
              <w:suppressLineNumbers w:val="0"/>
              <w:spacing w:before="0" w:beforeAutospacing="0" w:after="0" w:afterAutospacing="0" w:line="48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bl>
    <w:p>
      <w:pPr>
        <w:spacing w:line="460" w:lineRule="exact"/>
        <w:ind w:firstLine="541" w:firstLineChars="24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p>
      <w:pPr>
        <w:spacing w:line="460" w:lineRule="exact"/>
        <w:rPr>
          <w:rFonts w:hint="default" w:ascii="Times New Roman" w:hAnsi="Times New Roman" w:eastAsia="新宋体" w:cs="Times New Roman"/>
          <w:color w:val="000000" w:themeColor="text1"/>
          <w:sz w:val="22"/>
          <w:szCs w:val="22"/>
          <w:highlight w:val="none"/>
          <w14:textFill>
            <w14:solidFill>
              <w14:schemeClr w14:val="tx1"/>
            </w14:solidFill>
          </w14:textFill>
        </w:rPr>
        <w:sectPr>
          <w:pgSz w:w="16840" w:h="11907" w:orient="landscape"/>
          <w:pgMar w:top="1134" w:right="1134" w:bottom="1134" w:left="1134" w:header="851" w:footer="992" w:gutter="0"/>
          <w:pgBorders w:offsetFrom="page">
            <w:top w:val="none" w:sz="0" w:space="0"/>
            <w:left w:val="none" w:sz="0" w:space="0"/>
            <w:bottom w:val="none" w:sz="0" w:space="0"/>
            <w:right w:val="none" w:sz="0" w:space="0"/>
          </w:pgBorders>
          <w:pgNumType w:fmt="decimal"/>
          <w:cols w:space="720" w:num="1"/>
          <w:titlePg/>
          <w:docGrid w:linePitch="312" w:charSpace="0"/>
        </w:sect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3、偏离表</w:t>
      </w:r>
    </w:p>
    <w:p>
      <w:pPr>
        <w:spacing w:line="560" w:lineRule="exact"/>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（设备技术规格及配置应对于招标文件中“设备技术规格及配置”要求，逐项自行编制偏离情况）</w:t>
      </w:r>
    </w:p>
    <w:p>
      <w:pPr>
        <w:spacing w:line="560" w:lineRule="exact"/>
        <w:ind w:firstLine="433" w:firstLineChars="196"/>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项目名称：                                          项目编号：</w:t>
      </w:r>
    </w:p>
    <w:tbl>
      <w:tblPr>
        <w:tblStyle w:val="50"/>
        <w:tblW w:w="0" w:type="auto"/>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3"/>
        <w:gridCol w:w="1844"/>
        <w:gridCol w:w="2115"/>
        <w:gridCol w:w="2053"/>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159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序号</w:t>
            </w:r>
          </w:p>
        </w:tc>
        <w:tc>
          <w:tcPr>
            <w:tcW w:w="1844"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磋商文件</w:t>
            </w:r>
          </w:p>
          <w:p>
            <w:pPr>
              <w:keepNext w:val="0"/>
              <w:keepLines w:val="0"/>
              <w:suppressLineNumbers w:val="0"/>
              <w:spacing w:before="0" w:beforeAutospacing="0" w:after="0" w:afterAutospacing="0"/>
              <w:ind w:left="0" w:right="0"/>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条目</w:t>
            </w:r>
          </w:p>
        </w:tc>
        <w:tc>
          <w:tcPr>
            <w:tcW w:w="2115"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磋商文件</w:t>
            </w:r>
          </w:p>
          <w:p>
            <w:pPr>
              <w:keepNext w:val="0"/>
              <w:keepLines w:val="0"/>
              <w:suppressLineNumbers w:val="0"/>
              <w:spacing w:before="0" w:beforeAutospacing="0" w:after="0" w:afterAutospacing="0"/>
              <w:ind w:left="0" w:right="0"/>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规格要求</w:t>
            </w:r>
          </w:p>
        </w:tc>
        <w:tc>
          <w:tcPr>
            <w:tcW w:w="2053"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磋商响应文件</w:t>
            </w:r>
          </w:p>
          <w:p>
            <w:pPr>
              <w:keepNext w:val="0"/>
              <w:keepLines w:val="0"/>
              <w:suppressLineNumbers w:val="0"/>
              <w:spacing w:before="0" w:beforeAutospacing="0" w:after="0" w:afterAutospacing="0"/>
              <w:ind w:left="0" w:right="0"/>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对应规格</w:t>
            </w:r>
          </w:p>
        </w:tc>
        <w:tc>
          <w:tcPr>
            <w:tcW w:w="1697" w:type="dxa"/>
            <w:shd w:val="clear" w:color="auto" w:fill="FFFFFF"/>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593" w:type="dxa"/>
            <w:noWrap w:val="0"/>
            <w:vAlign w:val="center"/>
          </w:tcPr>
          <w:p>
            <w:pPr>
              <w:keepNext w:val="0"/>
              <w:keepLines w:val="0"/>
              <w:suppressLineNumbers w:val="0"/>
              <w:spacing w:before="0" w:beforeAutospacing="0" w:after="0" w:afterAutospacing="0"/>
              <w:ind w:left="0" w:right="0" w:firstLine="220" w:firstLineChars="10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firstLine="220" w:firstLineChars="10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159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84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11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205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697"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bl>
    <w:p>
      <w:pPr>
        <w:pStyle w:val="28"/>
        <w:spacing w:line="400" w:lineRule="atLeast"/>
        <w:ind w:left="537" w:hanging="537" w:hangingChars="243"/>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 xml:space="preserve"> 注：如有偏离，必须在偏离表中进行详细对比说明并注明正偏离（负偏离），如不说明偏离情况，视为完全响应磋商文件要求无偏离。</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lang w:val="zh-CN"/>
          <w14:textFill>
            <w14:solidFill>
              <w14:schemeClr w14:val="tx1"/>
            </w14:solidFill>
          </w14:textFill>
        </w:rPr>
      </w:pPr>
      <w:r>
        <w:rPr>
          <w:rFonts w:hint="default" w:ascii="Times New Roman" w:hAnsi="Times New Roman" w:eastAsia="新宋体" w:cs="Times New Roman"/>
          <w:b/>
          <w:bCs/>
          <w:color w:val="000000" w:themeColor="text1"/>
          <w:sz w:val="28"/>
          <w:szCs w:val="28"/>
          <w:highlight w:val="none"/>
          <w:lang w:val="en-US" w:eastAsia="zh-CN"/>
          <w14:textFill>
            <w14:solidFill>
              <w14:schemeClr w14:val="tx1"/>
            </w14:solidFill>
          </w14:textFill>
        </w:rPr>
        <w:t>4</w:t>
      </w: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w:t>
      </w:r>
      <w:r>
        <w:rPr>
          <w:rFonts w:hint="default" w:ascii="Times New Roman" w:hAnsi="Times New Roman" w:eastAsia="新宋体" w:cs="Times New Roman"/>
          <w:b/>
          <w:bCs/>
          <w:color w:val="000000" w:themeColor="text1"/>
          <w:sz w:val="28"/>
          <w:szCs w:val="28"/>
          <w:highlight w:val="none"/>
          <w:lang w:val="zh-CN"/>
          <w14:textFill>
            <w14:solidFill>
              <w14:schemeClr w14:val="tx1"/>
            </w14:solidFill>
          </w14:textFill>
        </w:rPr>
        <w:t>备品、易损件、备件、专用工具清单</w:t>
      </w:r>
    </w:p>
    <w:p>
      <w:pPr>
        <w:spacing w:line="400" w:lineRule="exact"/>
        <w:ind w:left="139" w:leftChars="66" w:firstLine="166" w:firstLineChars="75"/>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项目名称：                                                  项目编号：</w:t>
      </w:r>
    </w:p>
    <w:tbl>
      <w:tblPr>
        <w:tblStyle w:val="50"/>
        <w:tblW w:w="9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
        <w:gridCol w:w="1240"/>
        <w:gridCol w:w="1404"/>
        <w:gridCol w:w="796"/>
        <w:gridCol w:w="3704"/>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56" w:type="dxa"/>
            <w:shd w:val="clear" w:color="auto" w:fill="FFFFFF"/>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序号</w:t>
            </w:r>
          </w:p>
        </w:tc>
        <w:tc>
          <w:tcPr>
            <w:tcW w:w="1240" w:type="dxa"/>
            <w:shd w:val="clear" w:color="auto" w:fill="FFFFFF"/>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名  称</w:t>
            </w:r>
          </w:p>
        </w:tc>
        <w:tc>
          <w:tcPr>
            <w:tcW w:w="1404" w:type="dxa"/>
            <w:shd w:val="clear" w:color="auto" w:fill="FFFFFF"/>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规格型号</w:t>
            </w:r>
          </w:p>
        </w:tc>
        <w:tc>
          <w:tcPr>
            <w:tcW w:w="796" w:type="dxa"/>
            <w:shd w:val="clear" w:color="auto" w:fill="FFFFFF"/>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数量</w:t>
            </w:r>
          </w:p>
        </w:tc>
        <w:tc>
          <w:tcPr>
            <w:tcW w:w="3704" w:type="dxa"/>
            <w:shd w:val="clear" w:color="auto" w:fill="FFFFFF"/>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原产地/制造商</w:t>
            </w:r>
          </w:p>
        </w:tc>
        <w:tc>
          <w:tcPr>
            <w:tcW w:w="1568" w:type="dxa"/>
            <w:shd w:val="clear" w:color="auto" w:fill="FFFFFF"/>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6" w:type="dxa"/>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240"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4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796"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3704"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c>
          <w:tcPr>
            <w:tcW w:w="1568" w:type="dxa"/>
          </w:tcPr>
          <w:p>
            <w:pPr>
              <w:keepNext w:val="0"/>
              <w:keepLines w:val="0"/>
              <w:suppressLineNumbers w:val="0"/>
              <w:spacing w:before="0" w:beforeAutospacing="0" w:after="0" w:afterAutospacing="0" w:line="400" w:lineRule="exact"/>
              <w:ind w:left="0" w:right="0"/>
              <w:rPr>
                <w:rFonts w:hint="default" w:ascii="Times New Roman" w:hAnsi="Times New Roman" w:eastAsia="新宋体" w:cs="Times New Roman"/>
                <w:color w:val="000000" w:themeColor="text1"/>
                <w:sz w:val="22"/>
                <w:szCs w:val="22"/>
                <w:highlight w:val="none"/>
                <w14:textFill>
                  <w14:solidFill>
                    <w14:schemeClr w14:val="tx1"/>
                  </w14:solidFill>
                </w14:textFill>
              </w:rPr>
            </w:pPr>
          </w:p>
        </w:tc>
      </w:tr>
    </w:tbl>
    <w:p>
      <w:pPr>
        <w:tabs>
          <w:tab w:val="left" w:pos="360"/>
        </w:tabs>
        <w:spacing w:line="460" w:lineRule="exact"/>
        <w:ind w:firstLine="552" w:firstLineChars="25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说明：  1、此表仅提供了表格形式，</w:t>
      </w:r>
      <w:r>
        <w:rPr>
          <w:rFonts w:hint="eastAsia" w:ascii="Times New Roman" w:hAnsi="Times New Roman" w:eastAsia="新宋体" w:cs="Times New Roman"/>
          <w:b/>
          <w:color w:val="000000" w:themeColor="text1"/>
          <w:sz w:val="22"/>
          <w:szCs w:val="22"/>
          <w:highlight w:val="none"/>
          <w:lang w:val="en-US" w:eastAsia="zh-CN"/>
          <w14:textFill>
            <w14:solidFill>
              <w14:schemeClr w14:val="tx1"/>
            </w14:solidFill>
          </w14:textFill>
        </w:rPr>
        <w:t>供应商</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可按此表格复制。</w:t>
      </w:r>
    </w:p>
    <w:p>
      <w:pPr>
        <w:tabs>
          <w:tab w:val="left" w:pos="360"/>
        </w:tabs>
        <w:spacing w:line="460" w:lineRule="exact"/>
        <w:ind w:firstLine="1436" w:firstLineChars="650"/>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2、如果无此内容，投标时需说明。</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pStyle w:val="32"/>
        <w:ind w:left="0" w:leftChars="0" w:firstLine="0" w:firstLineChars="0"/>
        <w:rPr>
          <w:rFonts w:hint="default" w:ascii="Times New Roman" w:hAnsi="Times New Roman" w:eastAsia="新宋体" w:cs="Times New Roman"/>
          <w:color w:val="000000" w:themeColor="text1"/>
          <w:sz w:val="22"/>
          <w:szCs w:val="22"/>
          <w:highlight w:val="none"/>
          <w14:textFill>
            <w14:solidFill>
              <w14:schemeClr w14:val="tx1"/>
            </w14:solidFill>
          </w14:textFill>
        </w:rPr>
      </w:pPr>
    </w:p>
    <w:p>
      <w:pPr>
        <w:rPr>
          <w:rFonts w:hint="eastAsia" w:ascii="Times New Roman" w:hAnsi="Times New Roman" w:eastAsia="新宋体" w:cs="Times New Roman"/>
          <w:b/>
          <w:bCs/>
          <w:color w:val="000000" w:themeColor="text1"/>
          <w:sz w:val="24"/>
          <w:szCs w:val="24"/>
          <w:highlight w:val="none"/>
          <w:lang w:val="en-US" w:eastAsia="zh-CN"/>
          <w14:textFill>
            <w14:solidFill>
              <w14:schemeClr w14:val="tx1"/>
            </w14:solidFill>
          </w14:textFill>
        </w:rPr>
      </w:pPr>
      <w:r>
        <w:rPr>
          <w:rFonts w:hint="eastAsia" w:ascii="Times New Roman" w:hAnsi="Times New Roman" w:eastAsia="新宋体" w:cs="Times New Roman"/>
          <w:b/>
          <w:bCs/>
          <w:color w:val="000000" w:themeColor="text1"/>
          <w:sz w:val="24"/>
          <w:szCs w:val="24"/>
          <w:highlight w:val="none"/>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lang w:val="zh-CN"/>
          <w14:textFill>
            <w14:solidFill>
              <w14:schemeClr w14:val="tx1"/>
            </w14:solidFill>
          </w14:textFill>
        </w:rPr>
      </w:pPr>
      <w:r>
        <w:rPr>
          <w:rFonts w:hint="eastAsia" w:ascii="Times New Roman" w:hAnsi="Times New Roman" w:eastAsia="新宋体" w:cs="Times New Roman"/>
          <w:b/>
          <w:bCs/>
          <w:color w:val="000000" w:themeColor="text1"/>
          <w:sz w:val="28"/>
          <w:szCs w:val="28"/>
          <w:highlight w:val="none"/>
          <w:lang w:val="en-US" w:eastAsia="zh-CN"/>
          <w14:textFill>
            <w14:solidFill>
              <w14:schemeClr w14:val="tx1"/>
            </w14:solidFill>
          </w14:textFill>
        </w:rPr>
        <w:t>5、</w:t>
      </w:r>
      <w:r>
        <w:rPr>
          <w:rFonts w:hint="default" w:ascii="Times New Roman" w:hAnsi="Times New Roman" w:eastAsia="新宋体" w:cs="Times New Roman"/>
          <w:b/>
          <w:bCs/>
          <w:color w:val="000000" w:themeColor="text1"/>
          <w:sz w:val="28"/>
          <w:szCs w:val="28"/>
          <w:highlight w:val="none"/>
          <w:lang w:val="zh-CN" w:eastAsia="zh-CN"/>
          <w14:textFill>
            <w14:solidFill>
              <w14:schemeClr w14:val="tx1"/>
            </w14:solidFill>
          </w14:textFill>
        </w:rPr>
        <w:t>设备</w:t>
      </w:r>
      <w:r>
        <w:rPr>
          <w:rFonts w:hint="default" w:ascii="Times New Roman" w:hAnsi="Times New Roman" w:eastAsia="新宋体" w:cs="Times New Roman"/>
          <w:b/>
          <w:bCs/>
          <w:color w:val="000000" w:themeColor="text1"/>
          <w:sz w:val="28"/>
          <w:szCs w:val="28"/>
          <w:highlight w:val="none"/>
          <w:lang w:val="zh-CN"/>
          <w14:textFill>
            <w14:solidFill>
              <w14:schemeClr w14:val="tx1"/>
            </w14:solidFill>
          </w14:textFill>
        </w:rPr>
        <w:t>配套的合理性</w:t>
      </w:r>
    </w:p>
    <w:p>
      <w:pPr>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hint="default" w:ascii="Times New Roman" w:hAnsi="Times New Roman" w:eastAsia="新宋体" w:cs="Times New Roman"/>
          <w:color w:val="000000" w:themeColor="text1"/>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项目名称：                                   项目编号：</w:t>
      </w:r>
      <w:r>
        <w:rPr>
          <w:rFonts w:hint="default" w:ascii="Times New Roman" w:hAnsi="Times New Roman" w:eastAsia="新宋体" w:cs="Times New Roman"/>
          <w:color w:val="000000" w:themeColor="text1"/>
          <w:highlight w:val="none"/>
          <w14:textFill>
            <w14:solidFill>
              <w14:schemeClr w14:val="tx1"/>
            </w14:solidFill>
          </w14:textFill>
        </w:rPr>
        <w:t xml:space="preserve"> </w:t>
      </w:r>
    </w:p>
    <w:tbl>
      <w:tblPr>
        <w:tblStyle w:val="50"/>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293"/>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0" w:right="0"/>
              <w:rPr>
                <w:rFonts w:hint="default" w:ascii="Times New Roman" w:hAnsi="Times New Roman" w:eastAsia="新宋体" w:cs="Times New Roman"/>
                <w:color w:val="000000" w:themeColor="text1"/>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eastAsia" w:ascii="Times New Roman" w:hAnsi="Times New Roman" w:eastAsia="新宋体" w:cs="Times New Roman"/>
          <w:b/>
          <w:bCs/>
          <w:color w:val="000000" w:themeColor="text1"/>
          <w:sz w:val="28"/>
          <w:szCs w:val="28"/>
          <w:highlight w:val="none"/>
          <w:lang w:val="en-US" w:eastAsia="zh-CN"/>
          <w14:textFill>
            <w14:solidFill>
              <w14:schemeClr w14:val="tx1"/>
            </w14:solidFill>
          </w14:textFill>
        </w:rPr>
        <w:t>6、</w:t>
      </w:r>
      <w:r>
        <w:rPr>
          <w:rFonts w:hint="default" w:ascii="Times New Roman" w:hAnsi="Times New Roman" w:eastAsia="新宋体" w:cs="Times New Roman"/>
          <w:b/>
          <w:bCs/>
          <w:color w:val="000000" w:themeColor="text1"/>
          <w:sz w:val="28"/>
          <w:szCs w:val="28"/>
          <w:highlight w:val="none"/>
          <w:lang w:val="en-US" w:eastAsia="zh-CN"/>
          <w14:textFill>
            <w14:solidFill>
              <w14:schemeClr w14:val="tx1"/>
            </w14:solidFill>
          </w14:textFill>
        </w:rPr>
        <w:t>设备</w:t>
      </w:r>
      <w:r>
        <w:rPr>
          <w:rFonts w:hint="default" w:ascii="Times New Roman" w:hAnsi="Times New Roman" w:eastAsia="新宋体" w:cs="Times New Roman"/>
          <w:b/>
          <w:bCs/>
          <w:color w:val="000000" w:themeColor="text1"/>
          <w:sz w:val="28"/>
          <w:szCs w:val="28"/>
          <w:highlight w:val="none"/>
          <w14:textFill>
            <w14:solidFill>
              <w14:schemeClr w14:val="tx1"/>
            </w14:solidFill>
          </w14:textFill>
        </w:rPr>
        <w:t>运行成本</w:t>
      </w:r>
    </w:p>
    <w:p>
      <w:pPr>
        <w:pStyle w:val="8"/>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Times New Roman" w:hAnsi="Times New Roman" w:eastAsia="新宋体" w:cs="Times New Roman"/>
          <w:b/>
          <w:color w:val="000000" w:themeColor="text1"/>
          <w:kern w:val="2"/>
          <w:sz w:val="22"/>
          <w:highlight w:val="none"/>
          <w14:textFill>
            <w14:solidFill>
              <w14:schemeClr w14:val="tx1"/>
            </w14:solidFill>
          </w14:textFill>
        </w:rPr>
      </w:pPr>
      <w:r>
        <w:rPr>
          <w:rFonts w:hint="default" w:ascii="Times New Roman" w:hAnsi="Times New Roman" w:eastAsia="新宋体" w:cs="Times New Roman"/>
          <w:b/>
          <w:color w:val="000000" w:themeColor="text1"/>
          <w:kern w:val="2"/>
          <w:sz w:val="22"/>
          <w:highlight w:val="none"/>
          <w14:textFill>
            <w14:solidFill>
              <w14:schemeClr w14:val="tx1"/>
            </w14:solidFill>
          </w14:textFill>
        </w:rPr>
        <w:t>项目名称：                                   项目编号：</w:t>
      </w:r>
    </w:p>
    <w:tbl>
      <w:tblPr>
        <w:tblStyle w:val="50"/>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293"/>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14:textFill>
            <w14:solidFill>
              <w14:schemeClr w14:val="tx1"/>
            </w14:solidFill>
          </w14:textFill>
        </w:rPr>
      </w:pPr>
      <w:r>
        <w:rPr>
          <w:rFonts w:hint="eastAsia" w:ascii="Times New Roman" w:hAnsi="Times New Roman" w:eastAsia="新宋体" w:cs="Times New Roman"/>
          <w:b/>
          <w:bCs/>
          <w:color w:val="000000" w:themeColor="text1"/>
          <w:sz w:val="28"/>
          <w:szCs w:val="28"/>
          <w:highlight w:val="none"/>
          <w:lang w:val="en-US" w:eastAsia="zh-CN"/>
          <w14:textFill>
            <w14:solidFill>
              <w14:schemeClr w14:val="tx1"/>
            </w14:solidFill>
          </w14:textFill>
        </w:rPr>
        <w:t>7、</w:t>
      </w:r>
      <w:r>
        <w:rPr>
          <w:rFonts w:hint="default" w:ascii="Times New Roman" w:hAnsi="Times New Roman" w:eastAsia="新宋体" w:cs="Times New Roman"/>
          <w:b/>
          <w:bCs/>
          <w:color w:val="000000" w:themeColor="text1"/>
          <w:sz w:val="28"/>
          <w:szCs w:val="28"/>
          <w:highlight w:val="none"/>
          <w:lang w:val="en-US" w:eastAsia="zh-CN"/>
          <w14:textFill>
            <w14:solidFill>
              <w14:schemeClr w14:val="tx1"/>
            </w14:solidFill>
          </w14:textFill>
        </w:rPr>
        <w:t>设备维修成本</w:t>
      </w:r>
    </w:p>
    <w:p>
      <w:pPr>
        <w:pStyle w:val="8"/>
        <w:keepLines w:val="0"/>
        <w:pageBreakBefore w:val="0"/>
        <w:widowControl w:val="0"/>
        <w:kinsoku/>
        <w:wordWrap/>
        <w:overflowPunct/>
        <w:topLinePunct w:val="0"/>
        <w:autoSpaceDE/>
        <w:autoSpaceDN/>
        <w:bidi w:val="0"/>
        <w:adjustRightInd/>
        <w:snapToGrid/>
        <w:spacing w:line="460" w:lineRule="exact"/>
        <w:ind w:firstLine="0" w:firstLineChars="0"/>
        <w:textAlignment w:val="auto"/>
        <w:rPr>
          <w:rFonts w:hint="default" w:ascii="Times New Roman" w:hAnsi="Times New Roman" w:eastAsia="新宋体" w:cs="Times New Roman"/>
          <w:b/>
          <w:color w:val="000000" w:themeColor="text1"/>
          <w:kern w:val="2"/>
          <w:sz w:val="22"/>
          <w:highlight w:val="none"/>
          <w14:textFill>
            <w14:solidFill>
              <w14:schemeClr w14:val="tx1"/>
            </w14:solidFill>
          </w14:textFill>
        </w:rPr>
      </w:pPr>
      <w:r>
        <w:rPr>
          <w:rFonts w:hint="default" w:ascii="Times New Roman" w:hAnsi="Times New Roman" w:eastAsia="新宋体" w:cs="Times New Roman"/>
          <w:b/>
          <w:color w:val="000000" w:themeColor="text1"/>
          <w:kern w:val="2"/>
          <w:sz w:val="22"/>
          <w:highlight w:val="none"/>
          <w14:textFill>
            <w14:solidFill>
              <w14:schemeClr w14:val="tx1"/>
            </w14:solidFill>
          </w14:textFill>
        </w:rPr>
        <w:t>项目名称：                                   项目编号：</w:t>
      </w:r>
    </w:p>
    <w:tbl>
      <w:tblPr>
        <w:tblStyle w:val="50"/>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293"/>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lang w:val="en-US" w:eastAsia="zh-CN"/>
          <w14:textFill>
            <w14:solidFill>
              <w14:schemeClr w14:val="tx1"/>
            </w14:solidFill>
          </w14:textFill>
        </w:rPr>
      </w:pPr>
      <w:r>
        <w:rPr>
          <w:rFonts w:hint="eastAsia" w:ascii="Times New Roman" w:hAnsi="Times New Roman" w:eastAsia="新宋体" w:cs="Times New Roman"/>
          <w:b/>
          <w:bCs/>
          <w:color w:val="000000" w:themeColor="text1"/>
          <w:sz w:val="28"/>
          <w:szCs w:val="28"/>
          <w:highlight w:val="none"/>
          <w:lang w:val="en-US" w:eastAsia="zh-CN"/>
          <w14:textFill>
            <w14:solidFill>
              <w14:schemeClr w14:val="tx1"/>
            </w14:solidFill>
          </w14:textFill>
        </w:rPr>
        <w:t>8、业绩</w:t>
      </w:r>
    </w:p>
    <w:p>
      <w:pPr>
        <w:keepNext w:val="0"/>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hint="default" w:ascii="Times New Roman" w:hAnsi="Times New Roman" w:eastAsia="新宋体" w:cs="Times New Roman"/>
          <w:b/>
          <w:color w:val="000000" w:themeColor="text1"/>
          <w:sz w:val="22"/>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项目名称：                                   项目编号：</w:t>
      </w:r>
      <w:r>
        <w:rPr>
          <w:rFonts w:hint="default" w:ascii="Times New Roman" w:hAnsi="Times New Roman" w:eastAsia="新宋体" w:cs="Times New Roman"/>
          <w:color w:val="000000" w:themeColor="text1"/>
          <w:highlight w:val="none"/>
          <w14:textFill>
            <w14:solidFill>
              <w14:schemeClr w14:val="tx1"/>
            </w14:solidFill>
          </w14:textFill>
        </w:rPr>
        <w:t xml:space="preserve"> </w:t>
      </w:r>
      <w:r>
        <w:rPr>
          <w:rFonts w:hint="default" w:ascii="Times New Roman" w:hAnsi="Times New Roman" w:eastAsia="新宋体" w:cs="Times New Roman"/>
          <w:b/>
          <w:color w:val="000000" w:themeColor="text1"/>
          <w:sz w:val="22"/>
          <w:highlight w:val="none"/>
          <w14:textFill>
            <w14:solidFill>
              <w14:schemeClr w14:val="tx1"/>
            </w14:solidFill>
          </w14:textFill>
        </w:rPr>
        <w:t xml:space="preserve">   </w:t>
      </w:r>
    </w:p>
    <w:tbl>
      <w:tblPr>
        <w:tblStyle w:val="50"/>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520"/>
        <w:gridCol w:w="2310"/>
        <w:gridCol w:w="1271"/>
        <w:gridCol w:w="159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序号</w:t>
            </w:r>
          </w:p>
        </w:tc>
        <w:tc>
          <w:tcPr>
            <w:tcW w:w="2520"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用户名称</w:t>
            </w:r>
          </w:p>
        </w:tc>
        <w:tc>
          <w:tcPr>
            <w:tcW w:w="2310"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项目名称</w:t>
            </w:r>
          </w:p>
        </w:tc>
        <w:tc>
          <w:tcPr>
            <w:tcW w:w="1271"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合同金额</w:t>
            </w:r>
          </w:p>
        </w:tc>
        <w:tc>
          <w:tcPr>
            <w:tcW w:w="1596"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联系方式</w:t>
            </w:r>
          </w:p>
        </w:tc>
        <w:tc>
          <w:tcPr>
            <w:tcW w:w="1128" w:type="dxa"/>
            <w:vAlign w:val="center"/>
          </w:tcPr>
          <w:p>
            <w:pPr>
              <w:keepNext w:val="0"/>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52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2310"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271"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596"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c>
          <w:tcPr>
            <w:tcW w:w="1128" w:type="dxa"/>
            <w:vAlign w:val="center"/>
          </w:tcPr>
          <w:p>
            <w:pPr>
              <w:keepNext w:val="0"/>
              <w:keepLines w:val="0"/>
              <w:suppressLineNumbers w:val="0"/>
              <w:spacing w:before="0" w:beforeAutospacing="0" w:after="0" w:afterAutospacing="0" w:line="380" w:lineRule="exact"/>
              <w:ind w:left="442" w:right="0" w:hanging="442"/>
              <w:jc w:val="center"/>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bidi w:val="0"/>
        <w:rPr>
          <w:rFonts w:hint="default"/>
          <w:color w:val="000000" w:themeColor="text1"/>
          <w:highlight w:val="none"/>
          <w14:textFill>
            <w14:solidFill>
              <w14:schemeClr w14:val="tx1"/>
            </w14:solidFill>
          </w14:textFill>
        </w:rPr>
      </w:pPr>
    </w:p>
    <w:p>
      <w:pPr>
        <w:bidi w:val="0"/>
        <w:rPr>
          <w:rFonts w:hint="default"/>
          <w:color w:val="000000" w:themeColor="text1"/>
          <w:highlight w:val="none"/>
          <w14:textFill>
            <w14:solidFill>
              <w14:schemeClr w14:val="tx1"/>
            </w14:solidFill>
          </w14:textFill>
        </w:rPr>
      </w:pPr>
    </w:p>
    <w:p>
      <w:pPr>
        <w:bidi w:val="0"/>
        <w:rPr>
          <w:rFonts w:hint="default"/>
          <w:color w:val="000000" w:themeColor="text1"/>
          <w:highlight w:val="none"/>
          <w14:textFill>
            <w14:solidFill>
              <w14:schemeClr w14:val="tx1"/>
            </w14:solidFill>
          </w14:textFill>
        </w:rPr>
      </w:pPr>
    </w:p>
    <w:p>
      <w:pPr>
        <w:bidi w:val="0"/>
        <w:rPr>
          <w:rFonts w:hint="default"/>
          <w:color w:val="000000" w:themeColor="text1"/>
          <w:highlight w:val="none"/>
          <w14:textFill>
            <w14:solidFill>
              <w14:schemeClr w14:val="tx1"/>
            </w14:solidFill>
          </w14:textFill>
        </w:rPr>
      </w:pPr>
    </w:p>
    <w:p>
      <w:pPr>
        <w:bidi w:val="0"/>
        <w:rPr>
          <w:rFonts w:hint="default"/>
          <w:color w:val="000000" w:themeColor="text1"/>
          <w:highlight w:val="none"/>
          <w14:textFill>
            <w14:solidFill>
              <w14:schemeClr w14:val="tx1"/>
            </w14:solidFill>
          </w14:textFill>
        </w:rPr>
      </w:pPr>
    </w:p>
    <w:p>
      <w:pPr>
        <w:bidi w:val="0"/>
        <w:rPr>
          <w:rFonts w:hint="default"/>
          <w:color w:val="000000" w:themeColor="text1"/>
          <w:highlight w:val="none"/>
          <w14:textFill>
            <w14:solidFill>
              <w14:schemeClr w14:val="tx1"/>
            </w14:solidFill>
          </w14:textFill>
        </w:rPr>
      </w:pPr>
    </w:p>
    <w:p>
      <w:pPr>
        <w:bidi w:val="0"/>
        <w:rPr>
          <w:rFonts w:hint="default"/>
          <w:color w:val="000000" w:themeColor="text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lang w:val="zh-CN"/>
          <w14:textFill>
            <w14:solidFill>
              <w14:schemeClr w14:val="tx1"/>
            </w14:solidFill>
          </w14:textFill>
        </w:rPr>
      </w:pPr>
      <w:r>
        <w:rPr>
          <w:rFonts w:hint="eastAsia" w:ascii="Times New Roman" w:hAnsi="Times New Roman" w:eastAsia="新宋体" w:cs="Times New Roman"/>
          <w:b/>
          <w:bCs/>
          <w:color w:val="000000" w:themeColor="text1"/>
          <w:sz w:val="28"/>
          <w:szCs w:val="28"/>
          <w:highlight w:val="none"/>
          <w:lang w:val="en-US" w:eastAsia="zh-CN"/>
          <w14:textFill>
            <w14:solidFill>
              <w14:schemeClr w14:val="tx1"/>
            </w14:solidFill>
          </w14:textFill>
        </w:rPr>
        <w:t>9、制造商或代理商售后服务维修能力</w:t>
      </w:r>
    </w:p>
    <w:p>
      <w:pPr>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hint="default" w:ascii="Times New Roman" w:hAnsi="Times New Roman" w:eastAsia="新宋体" w:cs="Times New Roman"/>
          <w:color w:val="000000" w:themeColor="text1"/>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项目名称：                                   项目编号：</w:t>
      </w:r>
      <w:r>
        <w:rPr>
          <w:rFonts w:hint="default" w:ascii="Times New Roman" w:hAnsi="Times New Roman" w:eastAsia="新宋体" w:cs="Times New Roman"/>
          <w:color w:val="000000" w:themeColor="text1"/>
          <w:highlight w:val="none"/>
          <w14:textFill>
            <w14:solidFill>
              <w14:schemeClr w14:val="tx1"/>
            </w14:solidFill>
          </w14:textFill>
        </w:rPr>
        <w:t xml:space="preserve"> </w:t>
      </w:r>
    </w:p>
    <w:tbl>
      <w:tblPr>
        <w:tblStyle w:val="50"/>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293"/>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0" w:right="0"/>
              <w:rPr>
                <w:rFonts w:hint="default" w:ascii="Times New Roman" w:hAnsi="Times New Roman" w:eastAsia="新宋体" w:cs="Times New Roman"/>
                <w:color w:val="000000" w:themeColor="text1"/>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bidi w:val="0"/>
        <w:rPr>
          <w:rFonts w:hint="eastAsia"/>
          <w:color w:val="000000" w:themeColor="text1"/>
          <w:highlight w:val="none"/>
          <w:lang w:eastAsia="zh-CN"/>
          <w14:textFill>
            <w14:solidFill>
              <w14:schemeClr w14:val="tx1"/>
            </w14:solidFill>
          </w14:textFill>
        </w:rPr>
      </w:pPr>
    </w:p>
    <w:p>
      <w:pPr>
        <w:bidi w:val="0"/>
        <w:rPr>
          <w:rFonts w:hint="eastAsia"/>
          <w:color w:val="000000" w:themeColor="text1"/>
          <w:highlight w:val="none"/>
          <w:lang w:eastAsia="zh-CN"/>
          <w14:textFill>
            <w14:solidFill>
              <w14:schemeClr w14:val="tx1"/>
            </w14:solidFill>
          </w14:textFill>
        </w:rPr>
      </w:pPr>
    </w:p>
    <w:p>
      <w:pPr>
        <w:bidi w:val="0"/>
        <w:rPr>
          <w:rFonts w:hint="eastAsia"/>
          <w:color w:val="000000" w:themeColor="text1"/>
          <w:highlight w:val="none"/>
          <w:lang w:eastAsia="zh-CN"/>
          <w14:textFill>
            <w14:solidFill>
              <w14:schemeClr w14:val="tx1"/>
            </w14:solidFill>
          </w14:textFill>
        </w:rPr>
      </w:pPr>
    </w:p>
    <w:p>
      <w:pPr>
        <w:bidi w:val="0"/>
        <w:rPr>
          <w:rFonts w:hint="eastAsia"/>
          <w:color w:val="000000" w:themeColor="text1"/>
          <w:highlight w:val="none"/>
          <w:lang w:eastAsia="zh-CN"/>
          <w14:textFill>
            <w14:solidFill>
              <w14:schemeClr w14:val="tx1"/>
            </w14:solidFill>
          </w14:textFill>
        </w:rPr>
      </w:pPr>
    </w:p>
    <w:p>
      <w:pPr>
        <w:bidi w:val="0"/>
        <w:rPr>
          <w:rFonts w:hint="eastAsia"/>
          <w:color w:val="000000" w:themeColor="text1"/>
          <w:highlight w:val="none"/>
          <w:lang w:eastAsia="zh-CN"/>
          <w14:textFill>
            <w14:solidFill>
              <w14:schemeClr w14:val="tx1"/>
            </w14:solidFill>
          </w14:textFill>
        </w:rPr>
      </w:pPr>
    </w:p>
    <w:p>
      <w:pPr>
        <w:bidi w:val="0"/>
        <w:rPr>
          <w:rFonts w:hint="eastAsia"/>
          <w:color w:val="000000" w:themeColor="text1"/>
          <w:highlight w:val="none"/>
          <w:lang w:eastAsia="zh-CN"/>
          <w14:textFill>
            <w14:solidFill>
              <w14:schemeClr w14:val="tx1"/>
            </w14:solidFill>
          </w14:textFill>
        </w:rPr>
      </w:pPr>
    </w:p>
    <w:p>
      <w:pPr>
        <w:bidi w:val="0"/>
        <w:rPr>
          <w:rFonts w:hint="eastAsia"/>
          <w:color w:val="000000" w:themeColor="text1"/>
          <w:highlight w:val="none"/>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3"/>
        <w:rPr>
          <w:rFonts w:hint="default" w:ascii="Times New Roman" w:hAnsi="Times New Roman" w:eastAsia="新宋体" w:cs="Times New Roman"/>
          <w:b/>
          <w:bCs/>
          <w:color w:val="000000" w:themeColor="text1"/>
          <w:sz w:val="28"/>
          <w:szCs w:val="28"/>
          <w:highlight w:val="none"/>
          <w:lang w:val="zh-CN" w:eastAsia="zh-CN"/>
          <w14:textFill>
            <w14:solidFill>
              <w14:schemeClr w14:val="tx1"/>
            </w14:solidFill>
          </w14:textFill>
        </w:rPr>
      </w:pPr>
      <w:r>
        <w:rPr>
          <w:rFonts w:hint="eastAsia" w:ascii="Times New Roman" w:hAnsi="Times New Roman" w:eastAsia="新宋体" w:cs="Times New Roman"/>
          <w:b/>
          <w:bCs/>
          <w:color w:val="000000" w:themeColor="text1"/>
          <w:sz w:val="28"/>
          <w:szCs w:val="28"/>
          <w:highlight w:val="none"/>
          <w:lang w:val="en-US" w:eastAsia="zh-CN"/>
          <w14:textFill>
            <w14:solidFill>
              <w14:schemeClr w14:val="tx1"/>
            </w14:solidFill>
          </w14:textFill>
        </w:rPr>
        <w:t>10、培训与技术支持</w:t>
      </w:r>
    </w:p>
    <w:p>
      <w:pPr>
        <w:keepLines w:val="0"/>
        <w:pageBreakBefore w:val="0"/>
        <w:widowControl w:val="0"/>
        <w:kinsoku/>
        <w:wordWrap/>
        <w:overflowPunct/>
        <w:topLinePunct w:val="0"/>
        <w:autoSpaceDE w:val="0"/>
        <w:autoSpaceDN w:val="0"/>
        <w:bidi w:val="0"/>
        <w:adjustRightInd/>
        <w:snapToGrid/>
        <w:spacing w:line="460" w:lineRule="exact"/>
        <w:ind w:right="893"/>
        <w:textAlignment w:val="bottom"/>
        <w:rPr>
          <w:rFonts w:hint="default" w:ascii="Times New Roman" w:hAnsi="Times New Roman" w:eastAsia="新宋体" w:cs="Times New Roman"/>
          <w:color w:val="000000" w:themeColor="text1"/>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项目名称：                                   项目编号：</w:t>
      </w:r>
      <w:r>
        <w:rPr>
          <w:rFonts w:hint="default" w:ascii="Times New Roman" w:hAnsi="Times New Roman" w:eastAsia="新宋体" w:cs="Times New Roman"/>
          <w:color w:val="000000" w:themeColor="text1"/>
          <w:highlight w:val="none"/>
          <w14:textFill>
            <w14:solidFill>
              <w14:schemeClr w14:val="tx1"/>
            </w14:solidFill>
          </w14:textFill>
        </w:rPr>
        <w:t xml:space="preserve"> </w:t>
      </w:r>
    </w:p>
    <w:tbl>
      <w:tblPr>
        <w:tblStyle w:val="50"/>
        <w:tblW w:w="96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9" w:hRule="atLeast"/>
          <w:jc w:val="center"/>
        </w:trPr>
        <w:tc>
          <w:tcPr>
            <w:tcW w:w="9685" w:type="dxa"/>
            <w:tcBorders>
              <w:bottom w:val="single" w:color="auto" w:sz="4" w:space="0"/>
            </w:tcBorders>
            <w:vAlign w:val="center"/>
          </w:tcPr>
          <w:p>
            <w:pPr>
              <w:pStyle w:val="293"/>
              <w:keepLines w:val="0"/>
              <w:pageBreakBefore w:val="0"/>
              <w:widowControl w:val="0"/>
              <w:suppressLineNumbers w:val="0"/>
              <w:kinsoku/>
              <w:wordWrap/>
              <w:overflowPunct/>
              <w:topLinePunct w:val="0"/>
              <w:bidi w:val="0"/>
              <w:adjustRightInd/>
              <w:snapToGrid/>
              <w:spacing w:before="0" w:beforeAutospacing="0" w:after="0" w:afterAutospacing="0" w:line="460" w:lineRule="exact"/>
              <w:ind w:left="0" w:right="0"/>
              <w:rPr>
                <w:rFonts w:hint="default" w:ascii="Times New Roman" w:hAnsi="Times New Roman" w:eastAsia="新宋体" w:cs="Times New Roman"/>
                <w:color w:val="000000" w:themeColor="text1"/>
                <w:highlight w:val="none"/>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磋商供应商全称（盖章）：</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磋商供应商代表（签字）：</w:t>
      </w:r>
    </w:p>
    <w:p>
      <w:pPr>
        <w:keepNext w:val="0"/>
        <w:keepLines w:val="0"/>
        <w:pageBreakBefore w:val="0"/>
        <w:widowControl w:val="0"/>
        <w:kinsoku/>
        <w:wordWrap/>
        <w:overflowPunct/>
        <w:topLinePunct w:val="0"/>
        <w:autoSpaceDE/>
        <w:autoSpaceDN/>
        <w:bidi w:val="0"/>
        <w:adjustRightInd/>
        <w:snapToGrid/>
        <w:spacing w:line="460" w:lineRule="exact"/>
        <w:ind w:firstLine="5500" w:firstLineChars="25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日   期：</w:t>
      </w:r>
    </w:p>
    <w:p>
      <w:pPr>
        <w:bidi w:val="0"/>
        <w:rPr>
          <w:rFonts w:hint="default"/>
          <w:color w:val="000000" w:themeColor="text1"/>
          <w:highlight w:val="none"/>
          <w14:textFill>
            <w14:solidFill>
              <w14:schemeClr w14:val="tx1"/>
            </w14:solidFill>
          </w14:textFill>
        </w:rPr>
      </w:pPr>
    </w:p>
    <w:p>
      <w:pPr>
        <w:bidi w:val="0"/>
        <w:rPr>
          <w:rFonts w:hint="default"/>
          <w:color w:val="000000" w:themeColor="text1"/>
          <w:highlight w:val="none"/>
          <w14:textFill>
            <w14:solidFill>
              <w14:schemeClr w14:val="tx1"/>
            </w14:solidFill>
          </w14:textFill>
        </w:rPr>
      </w:pPr>
    </w:p>
    <w:p>
      <w:pP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br w:type="page"/>
      </w:r>
    </w:p>
    <w:p>
      <w:pPr>
        <w:pStyle w:val="4"/>
        <w:numPr>
          <w:ilvl w:val="0"/>
          <w:numId w:val="0"/>
        </w:numPr>
        <w:bidi w:val="0"/>
        <w:ind w:leftChars="0"/>
        <w:jc w:val="center"/>
        <w:rPr>
          <w:rStyle w:val="63"/>
          <w:rFonts w:hint="default" w:ascii="Times New Roman" w:hAnsi="Times New Roman" w:eastAsia="新宋体" w:cs="Times New Roman"/>
          <w:b/>
          <w:color w:val="000000" w:themeColor="text1"/>
          <w:szCs w:val="24"/>
          <w:highlight w:val="none"/>
          <w14:textFill>
            <w14:solidFill>
              <w14:schemeClr w14:val="tx1"/>
            </w14:solidFill>
          </w14:textFill>
        </w:rPr>
      </w:pPr>
      <w:bookmarkStart w:id="84" w:name="_GoBack"/>
      <w:bookmarkEnd w:id="84"/>
      <w:bookmarkStart w:id="54" w:name="_Toc436213293"/>
      <w:bookmarkStart w:id="55" w:name="_Toc26523"/>
      <w:bookmarkStart w:id="56" w:name="_Toc27450"/>
      <w:bookmarkStart w:id="57" w:name="_Toc14199"/>
      <w:r>
        <w:rPr>
          <w:rStyle w:val="63"/>
          <w:rFonts w:hint="default" w:ascii="Times New Roman" w:hAnsi="Times New Roman" w:eastAsia="新宋体" w:cs="Times New Roman"/>
          <w:b/>
          <w:color w:val="000000" w:themeColor="text1"/>
          <w:szCs w:val="24"/>
          <w:highlight w:val="none"/>
          <w14:textFill>
            <w14:solidFill>
              <w14:schemeClr w14:val="tx1"/>
            </w14:solidFill>
          </w14:textFill>
        </w:rPr>
        <w:t>第</w:t>
      </w:r>
      <w:r>
        <w:rPr>
          <w:rStyle w:val="63"/>
          <w:rFonts w:hint="default" w:ascii="Times New Roman" w:hAnsi="Times New Roman" w:eastAsia="新宋体" w:cs="Times New Roman"/>
          <w:b/>
          <w:color w:val="000000" w:themeColor="text1"/>
          <w:szCs w:val="24"/>
          <w:highlight w:val="none"/>
          <w:lang w:val="en-US" w:eastAsia="zh-CN"/>
          <w14:textFill>
            <w14:solidFill>
              <w14:schemeClr w14:val="tx1"/>
            </w14:solidFill>
          </w14:textFill>
        </w:rPr>
        <w:t>四</w:t>
      </w:r>
      <w:r>
        <w:rPr>
          <w:rStyle w:val="63"/>
          <w:rFonts w:hint="default" w:ascii="Times New Roman" w:hAnsi="Times New Roman" w:eastAsia="新宋体" w:cs="Times New Roman"/>
          <w:b/>
          <w:color w:val="000000" w:themeColor="text1"/>
          <w:szCs w:val="24"/>
          <w:highlight w:val="none"/>
          <w14:textFill>
            <w14:solidFill>
              <w14:schemeClr w14:val="tx1"/>
            </w14:solidFill>
          </w14:textFill>
        </w:rPr>
        <w:t>部分</w:t>
      </w:r>
      <w:bookmarkEnd w:id="54"/>
      <w:bookmarkEnd w:id="55"/>
      <w:bookmarkEnd w:id="56"/>
      <w:bookmarkStart w:id="58" w:name="_Toc221356895"/>
      <w:bookmarkStart w:id="59" w:name="_Toc221356958"/>
      <w:r>
        <w:rPr>
          <w:rStyle w:val="63"/>
          <w:rFonts w:hint="default" w:ascii="Times New Roman" w:hAnsi="Times New Roman" w:eastAsia="新宋体" w:cs="Times New Roman"/>
          <w:b/>
          <w:color w:val="000000" w:themeColor="text1"/>
          <w:szCs w:val="24"/>
          <w:highlight w:val="none"/>
          <w:lang w:val="en-US" w:eastAsia="zh-CN"/>
          <w14:textFill>
            <w14:solidFill>
              <w14:schemeClr w14:val="tx1"/>
            </w14:solidFill>
          </w14:textFill>
        </w:rPr>
        <w:t xml:space="preserve">   </w:t>
      </w:r>
      <w:r>
        <w:rPr>
          <w:rStyle w:val="63"/>
          <w:rFonts w:hint="default" w:ascii="Times New Roman" w:hAnsi="Times New Roman" w:eastAsia="新宋体" w:cs="Times New Roman"/>
          <w:b/>
          <w:color w:val="000000" w:themeColor="text1"/>
          <w:szCs w:val="24"/>
          <w:highlight w:val="none"/>
          <w14:textFill>
            <w14:solidFill>
              <w14:schemeClr w14:val="tx1"/>
            </w14:solidFill>
          </w14:textFill>
        </w:rPr>
        <w:t>项目技术规范和服务要求</w:t>
      </w:r>
      <w:bookmarkEnd w:id="57"/>
    </w:p>
    <w:bookmarkEnd w:id="58"/>
    <w:bookmarkEnd w:id="59"/>
    <w:p>
      <w:pPr>
        <w:spacing w:line="460" w:lineRule="exact"/>
        <w:ind w:firstLine="442" w:firstLineChars="200"/>
        <w:rPr>
          <w:rFonts w:ascii="Times New Roman" w:hAnsi="Times New Roman" w:eastAsia="新宋体" w:cs="Times New Roman"/>
          <w:b/>
          <w:color w:val="000000" w:themeColor="text1"/>
          <w:sz w:val="22"/>
          <w:highlight w:val="none"/>
          <w14:textFill>
            <w14:solidFill>
              <w14:schemeClr w14:val="tx1"/>
            </w14:solidFill>
          </w14:textFill>
        </w:rPr>
      </w:pPr>
      <w:bookmarkStart w:id="60" w:name="_Toc24881"/>
      <w:bookmarkStart w:id="61" w:name="_Toc436213294"/>
      <w:r>
        <w:rPr>
          <w:rFonts w:ascii="Times New Roman" w:hAnsi="Times New Roman" w:eastAsia="新宋体" w:cs="Times New Roman"/>
          <w:b/>
          <w:color w:val="000000" w:themeColor="text1"/>
          <w:sz w:val="22"/>
          <w:highlight w:val="none"/>
          <w14:textFill>
            <w14:solidFill>
              <w14:schemeClr w14:val="tx1"/>
            </w14:solidFill>
          </w14:textFill>
        </w:rPr>
        <w:t>本次财政预算为人民币贰佰万元整（¥2000000.00元）, 如磋商供应商报价超过财政预算按无效标处理。</w:t>
      </w:r>
    </w:p>
    <w:p>
      <w:pPr>
        <w:spacing w:line="460" w:lineRule="exact"/>
        <w:ind w:firstLine="442" w:firstLineChars="200"/>
        <w:rPr>
          <w:rFonts w:ascii="Times New Roman" w:hAnsi="Times New Roman" w:eastAsia="新宋体" w:cs="Times New Roman"/>
          <w:b/>
          <w:color w:val="000000" w:themeColor="text1"/>
          <w:sz w:val="22"/>
          <w:highlight w:val="none"/>
          <w14:textFill>
            <w14:solidFill>
              <w14:schemeClr w14:val="tx1"/>
            </w14:solidFill>
          </w14:textFill>
        </w:rPr>
      </w:pPr>
      <w:bookmarkStart w:id="62" w:name="_Toc17145"/>
      <w:bookmarkStart w:id="63" w:name="_Toc14512"/>
      <w:r>
        <w:rPr>
          <w:rFonts w:ascii="Times New Roman" w:hAnsi="Times New Roman" w:eastAsia="新宋体" w:cs="Times New Roman"/>
          <w:b/>
          <w:color w:val="000000" w:themeColor="text1"/>
          <w:sz w:val="22"/>
          <w:highlight w:val="none"/>
          <w14:textFill>
            <w14:solidFill>
              <w14:schemeClr w14:val="tx1"/>
            </w14:solidFill>
          </w14:textFill>
        </w:rPr>
        <w:t>一、</w:t>
      </w:r>
      <w:r>
        <w:rPr>
          <w:rFonts w:ascii="Times New Roman" w:hAnsi="Times New Roman" w:eastAsia="新宋体" w:cs="Times New Roman"/>
          <w:b/>
          <w:color w:val="000000" w:themeColor="text1"/>
          <w:sz w:val="22"/>
          <w:highlight w:val="none"/>
          <w:lang w:val="zh-CN"/>
          <w14:textFill>
            <w14:solidFill>
              <w14:schemeClr w14:val="tx1"/>
            </w14:solidFill>
          </w14:textFill>
        </w:rPr>
        <w:t>总体要求</w:t>
      </w:r>
      <w:bookmarkEnd w:id="62"/>
      <w:bookmarkEnd w:id="63"/>
    </w:p>
    <w:p>
      <w:pPr>
        <w:spacing w:line="460" w:lineRule="exact"/>
        <w:ind w:firstLine="442" w:firstLineChars="200"/>
        <w:rPr>
          <w:rFonts w:ascii="Times New Roman" w:hAnsi="Times New Roman" w:eastAsia="新宋体" w:cs="Times New Roman"/>
          <w:b/>
          <w:color w:val="000000" w:themeColor="text1"/>
          <w:sz w:val="22"/>
          <w:highlight w:val="none"/>
          <w14:textFill>
            <w14:solidFill>
              <w14:schemeClr w14:val="tx1"/>
            </w14:solidFill>
          </w14:textFill>
        </w:rPr>
      </w:pPr>
      <w:r>
        <w:rPr>
          <w:rFonts w:ascii="Times New Roman" w:hAnsi="Times New Roman" w:eastAsia="新宋体" w:cs="Times New Roman"/>
          <w:b/>
          <w:color w:val="000000" w:themeColor="text1"/>
          <w:sz w:val="22"/>
          <w:highlight w:val="none"/>
          <w14:textFill>
            <w14:solidFill>
              <w14:schemeClr w14:val="tx1"/>
            </w14:solidFill>
          </w14:textFill>
        </w:rPr>
        <w:t>1、磋商供应商应提供所投所有货物及其附件的设计、采购、制造、检测、试验、至最终目的地的运输和保险、现场仓储以及安装、验收、技术服务及培训、相关文件的提交、质保期维护等所有服务，在磋商响应文件相应的部分明确。</w:t>
      </w:r>
    </w:p>
    <w:p>
      <w:pPr>
        <w:spacing w:line="460" w:lineRule="exact"/>
        <w:ind w:firstLine="440" w:firstLineChars="200"/>
        <w:rPr>
          <w:rFonts w:ascii="Times New Roman" w:hAnsi="Times New Roman" w:eastAsia="新宋体" w:cs="Times New Roman"/>
          <w:bCs/>
          <w:color w:val="000000" w:themeColor="text1"/>
          <w:sz w:val="22"/>
          <w:highlight w:val="none"/>
          <w14:textFill>
            <w14:solidFill>
              <w14:schemeClr w14:val="tx1"/>
            </w14:solidFill>
          </w14:textFill>
        </w:rPr>
      </w:pPr>
      <w:r>
        <w:rPr>
          <w:rFonts w:ascii="Times New Roman" w:hAnsi="Times New Roman" w:eastAsia="新宋体" w:cs="Times New Roman"/>
          <w:bCs/>
          <w:color w:val="000000" w:themeColor="text1"/>
          <w:sz w:val="22"/>
          <w:highlight w:val="none"/>
          <w14:textFill>
            <w14:solidFill>
              <w14:schemeClr w14:val="tx1"/>
            </w14:solidFill>
          </w14:textFill>
        </w:rPr>
        <w:t>2、本技术规范要求提出的是基本技术要求，并未对所有技术细节作出规定，磋商供应商应提供符合本技术要求和国家标准、行业标准的优质产品。</w:t>
      </w:r>
    </w:p>
    <w:p>
      <w:pPr>
        <w:spacing w:line="460" w:lineRule="exact"/>
        <w:ind w:firstLine="440" w:firstLineChars="200"/>
        <w:rPr>
          <w:rFonts w:ascii="Times New Roman" w:hAnsi="Times New Roman" w:eastAsia="新宋体" w:cs="Times New Roman"/>
          <w:bCs/>
          <w:color w:val="000000" w:themeColor="text1"/>
          <w:sz w:val="22"/>
          <w:highlight w:val="none"/>
          <w14:textFill>
            <w14:solidFill>
              <w14:schemeClr w14:val="tx1"/>
            </w14:solidFill>
          </w14:textFill>
        </w:rPr>
      </w:pPr>
      <w:r>
        <w:rPr>
          <w:rFonts w:ascii="Times New Roman" w:hAnsi="Times New Roman" w:eastAsia="新宋体" w:cs="Times New Roman"/>
          <w:bCs/>
          <w:color w:val="000000" w:themeColor="text1"/>
          <w:sz w:val="22"/>
          <w:highlight w:val="none"/>
          <w14:textFill>
            <w14:solidFill>
              <w14:schemeClr w14:val="tx1"/>
            </w14:solidFill>
          </w14:textFill>
        </w:rPr>
        <w:t>3、磋商供应商所投产品与本技术要求不一致时，磋商供应商应在磋商响应文件中予以说明，并由磋商小组鉴定磋商供应商产品能否达到要求。如磋商供应商没有在磋商响应文件中提出异议，则视为磋商供应商提供的产品完全按照本磋商文件要求。</w:t>
      </w:r>
    </w:p>
    <w:p>
      <w:pPr>
        <w:spacing w:line="460" w:lineRule="exact"/>
        <w:ind w:firstLine="440" w:firstLineChars="200"/>
        <w:rPr>
          <w:rFonts w:ascii="Times New Roman" w:hAnsi="Times New Roman" w:eastAsia="新宋体" w:cs="Times New Roman"/>
          <w:bCs/>
          <w:color w:val="000000" w:themeColor="text1"/>
          <w:sz w:val="22"/>
          <w:highlight w:val="none"/>
          <w14:textFill>
            <w14:solidFill>
              <w14:schemeClr w14:val="tx1"/>
            </w14:solidFill>
          </w14:textFill>
        </w:rPr>
      </w:pPr>
      <w:r>
        <w:rPr>
          <w:rFonts w:ascii="Times New Roman" w:hAnsi="Times New Roman" w:eastAsia="新宋体" w:cs="Times New Roman"/>
          <w:bCs/>
          <w:color w:val="000000" w:themeColor="text1"/>
          <w:sz w:val="22"/>
          <w:highlight w:val="none"/>
          <w14:textFill>
            <w14:solidFill>
              <w14:schemeClr w14:val="tx1"/>
            </w14:solidFill>
          </w14:textFill>
        </w:rPr>
        <w:t>4、技术要求及标准的执行</w:t>
      </w:r>
    </w:p>
    <w:p>
      <w:pPr>
        <w:spacing w:line="460" w:lineRule="exact"/>
        <w:ind w:firstLine="440" w:firstLineChars="200"/>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bCs/>
          <w:color w:val="000000" w:themeColor="text1"/>
          <w:sz w:val="22"/>
          <w:highlight w:val="none"/>
          <w14:textFill>
            <w14:solidFill>
              <w14:schemeClr w14:val="tx1"/>
            </w14:solidFill>
          </w14:textFill>
        </w:rPr>
        <w:t>磋商供应商提供的产品磋商时明所执行的质量标准，若同一标准已颁发新标准，则按最新标准执行。若同一产品同时有几个标准（国际标准、国家标准、行业标准、企业标准等），则按最高层次的标准执行。</w:t>
      </w:r>
    </w:p>
    <w:p>
      <w:pPr>
        <w:spacing w:line="460" w:lineRule="exact"/>
        <w:ind w:firstLine="442" w:firstLineChars="200"/>
        <w:rPr>
          <w:rFonts w:ascii="Times New Roman" w:hAnsi="Times New Roman" w:eastAsia="新宋体" w:cs="Times New Roman"/>
          <w:b/>
          <w:color w:val="000000" w:themeColor="text1"/>
          <w:sz w:val="22"/>
          <w:highlight w:val="none"/>
          <w14:textFill>
            <w14:solidFill>
              <w14:schemeClr w14:val="tx1"/>
            </w14:solidFill>
          </w14:textFill>
        </w:rPr>
      </w:pPr>
      <w:bookmarkStart w:id="64" w:name="_Toc80692006"/>
      <w:bookmarkStart w:id="65" w:name="_Toc80692141"/>
      <w:bookmarkStart w:id="66" w:name="_Toc80692336"/>
      <w:r>
        <w:rPr>
          <w:rFonts w:ascii="Times New Roman" w:hAnsi="Times New Roman" w:eastAsia="新宋体" w:cs="Times New Roman"/>
          <w:b/>
          <w:color w:val="000000" w:themeColor="text1"/>
          <w:sz w:val="22"/>
          <w:highlight w:val="none"/>
          <w14:textFill>
            <w14:solidFill>
              <w14:schemeClr w14:val="tx1"/>
            </w14:solidFill>
          </w14:textFill>
        </w:rPr>
        <w:t>二、采购清单及技术要求</w:t>
      </w:r>
      <w:bookmarkEnd w:id="64"/>
      <w:bookmarkEnd w:id="65"/>
      <w:bookmarkEnd w:id="66"/>
    </w:p>
    <w:p>
      <w:pPr>
        <w:spacing w:line="460" w:lineRule="exact"/>
        <w:ind w:firstLine="440" w:firstLineChars="200"/>
        <w:rPr>
          <w:rFonts w:ascii="Times New Roman" w:hAnsi="Times New Roman" w:eastAsia="新宋体" w:cs="Times New Roman"/>
          <w:bCs/>
          <w:color w:val="000000" w:themeColor="text1"/>
          <w:sz w:val="22"/>
          <w:highlight w:val="none"/>
          <w14:textFill>
            <w14:solidFill>
              <w14:schemeClr w14:val="tx1"/>
            </w14:solidFill>
          </w14:textFill>
        </w:rPr>
      </w:pPr>
      <w:r>
        <w:rPr>
          <w:rFonts w:ascii="Times New Roman" w:hAnsi="Times New Roman" w:eastAsia="新宋体" w:cs="Times New Roman"/>
          <w:bCs/>
          <w:color w:val="000000" w:themeColor="text1"/>
          <w:sz w:val="22"/>
          <w:highlight w:val="none"/>
          <w14:textFill>
            <w14:solidFill>
              <w14:schemeClr w14:val="tx1"/>
            </w14:solidFill>
          </w14:textFill>
        </w:rPr>
        <w:t>（一）本次采购的核心产品为</w:t>
      </w:r>
      <w:r>
        <w:rPr>
          <w:rFonts w:ascii="Times New Roman" w:hAnsi="Times New Roman" w:eastAsia="新宋体" w:cs="Times New Roman"/>
          <w:bCs/>
          <w:color w:val="000000" w:themeColor="text1"/>
          <w:sz w:val="22"/>
          <w:highlight w:val="none"/>
          <w:u w:val="single"/>
          <w14:textFill>
            <w14:solidFill>
              <w14:schemeClr w14:val="tx1"/>
            </w14:solidFill>
          </w14:textFill>
        </w:rPr>
        <w:t xml:space="preserve"> </w:t>
      </w:r>
      <w:r>
        <w:rPr>
          <w:rFonts w:hint="eastAsia" w:eastAsia="新宋体" w:cs="Times New Roman"/>
          <w:bCs/>
          <w:color w:val="000000" w:themeColor="text1"/>
          <w:sz w:val="22"/>
          <w:highlight w:val="none"/>
          <w:u w:val="single"/>
          <w14:textFill>
            <w14:solidFill>
              <w14:schemeClr w14:val="tx1"/>
            </w14:solidFill>
          </w14:textFill>
        </w:rPr>
        <w:t>单晶X射线衍射仪</w:t>
      </w:r>
      <w:r>
        <w:rPr>
          <w:rFonts w:ascii="Times New Roman" w:hAnsi="Times New Roman" w:eastAsia="新宋体" w:cs="Times New Roman"/>
          <w:bCs/>
          <w:color w:val="000000" w:themeColor="text1"/>
          <w:sz w:val="22"/>
          <w:highlight w:val="none"/>
          <w:u w:val="single"/>
          <w14:textFill>
            <w14:solidFill>
              <w14:schemeClr w14:val="tx1"/>
            </w14:solidFill>
          </w14:textFill>
        </w:rPr>
        <w:t xml:space="preserve"> </w:t>
      </w:r>
      <w:r>
        <w:rPr>
          <w:rFonts w:ascii="Times New Roman" w:hAnsi="Times New Roman" w:eastAsia="新宋体" w:cs="Times New Roman"/>
          <w:bCs/>
          <w:color w:val="000000" w:themeColor="text1"/>
          <w:sz w:val="22"/>
          <w:highlight w:val="none"/>
          <w14:textFill>
            <w14:solidFill>
              <w14:schemeClr w14:val="tx1"/>
            </w14:solidFill>
          </w14:textFill>
        </w:rPr>
        <w:t>，提供相同品牌产品（或同品牌核心产品）且通过资格审查、符合性审查的不同供应商参加同一合同项下投标的，按一家供应商计算，评审后得分最高的同品牌（或同品牌核心产品）供应商获得成交人推荐资格。</w:t>
      </w:r>
    </w:p>
    <w:p>
      <w:pPr>
        <w:tabs>
          <w:tab w:val="left" w:pos="360"/>
        </w:tabs>
        <w:spacing w:line="460" w:lineRule="exact"/>
        <w:ind w:firstLine="440" w:firstLineChars="200"/>
        <w:rPr>
          <w:rFonts w:ascii="Times New Roman" w:hAnsi="Times New Roman" w:eastAsia="新宋体" w:cs="Times New Roman"/>
          <w:b/>
          <w:bCs/>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（二）技术参数要求：</w:t>
      </w:r>
    </w:p>
    <w:tbl>
      <w:tblPr>
        <w:tblStyle w:val="50"/>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8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6" w:type="dxa"/>
            <w:vAlign w:val="center"/>
          </w:tcPr>
          <w:p>
            <w:pPr>
              <w:keepNext w:val="0"/>
              <w:keepLines w:val="0"/>
              <w:widowControl/>
              <w:suppressLineNumbers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kern w:val="0"/>
                <w:sz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highlight w:val="none"/>
                <w14:textFill>
                  <w14:solidFill>
                    <w14:schemeClr w14:val="tx1"/>
                  </w14:solidFill>
                </w14:textFill>
              </w:rPr>
              <w:t>序号</w:t>
            </w:r>
          </w:p>
        </w:tc>
        <w:tc>
          <w:tcPr>
            <w:tcW w:w="8614" w:type="dxa"/>
            <w:vAlign w:val="center"/>
          </w:tcPr>
          <w:p>
            <w:pPr>
              <w:keepNext w:val="0"/>
              <w:keepLines w:val="0"/>
              <w:widowControl/>
              <w:suppressLineNumbers w:val="0"/>
              <w:spacing w:before="0" w:beforeAutospacing="0" w:after="0" w:afterAutospacing="0" w:line="460" w:lineRule="exact"/>
              <w:ind w:left="0" w:right="0"/>
              <w:jc w:val="center"/>
              <w:textAlignment w:val="center"/>
              <w:rPr>
                <w:rFonts w:hint="default" w:ascii="Times New Roman" w:hAnsi="Times New Roman" w:eastAsia="新宋体" w:cs="Times New Roman"/>
                <w:color w:val="000000" w:themeColor="text1"/>
                <w:kern w:val="0"/>
                <w:sz w:val="22"/>
                <w:highlight w:val="none"/>
                <w14:textFill>
                  <w14:solidFill>
                    <w14:schemeClr w14:val="tx1"/>
                  </w14:solidFill>
                </w14:textFill>
              </w:rPr>
            </w:pPr>
            <w:r>
              <w:rPr>
                <w:rFonts w:hint="default" w:ascii="Times New Roman" w:hAnsi="Times New Roman" w:eastAsia="新宋体" w:cs="Times New Roman"/>
                <w:color w:val="000000" w:themeColor="text1"/>
                <w:kern w:val="0"/>
                <w:sz w:val="22"/>
                <w:highlight w:val="none"/>
                <w14:textFill>
                  <w14:solidFill>
                    <w14:schemeClr w14:val="tx1"/>
                  </w14:solidFill>
                </w14:textFill>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w:t>
            </w:r>
          </w:p>
        </w:tc>
        <w:tc>
          <w:tcPr>
            <w:tcW w:w="8614" w:type="dxa"/>
            <w:vAlign w:val="center"/>
          </w:tcPr>
          <w:p>
            <w:pPr>
              <w:keepNext w:val="0"/>
              <w:keepLines w:val="0"/>
              <w:widowControl/>
              <w:suppressLineNumbers w:val="0"/>
              <w:snapToGrid w:val="0"/>
              <w:spacing w:before="0" w:beforeAutospacing="0" w:after="0" w:afterAutospacing="0" w:line="460" w:lineRule="exact"/>
              <w:ind w:left="19" w:right="0" w:hanging="19"/>
              <w:rPr>
                <w:rFonts w:hint="default" w:ascii="Times New Roman" w:hAnsi="Times New Roman" w:eastAsia="新宋体" w:cs="Times New Roman"/>
                <w:b/>
                <w:color w:val="000000" w:themeColor="text1"/>
                <w:sz w:val="22"/>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工作条件：</w:t>
            </w:r>
          </w:p>
          <w:p>
            <w:pPr>
              <w:keepNext w:val="0"/>
              <w:keepLines w:val="0"/>
              <w:widowControl/>
              <w:suppressLineNumbers w:val="0"/>
              <w:snapToGrid w:val="0"/>
              <w:spacing w:before="0" w:beforeAutospacing="0" w:after="0" w:afterAutospacing="0" w:line="460" w:lineRule="exact"/>
              <w:ind w:left="19" w:right="0" w:hanging="19"/>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环境温度：15</w:t>
            </w:r>
            <w:r>
              <w:rPr>
                <w:rFonts w:hint="default" w:ascii="Times New Roman" w:hAnsi="Times New Roman" w:eastAsia="新宋体" w:cs="Times New Roman"/>
                <w:color w:val="000000" w:themeColor="text1"/>
                <w:sz w:val="22"/>
                <w:highlight w:val="none"/>
                <w14:textFill>
                  <w14:solidFill>
                    <w14:schemeClr w14:val="tx1"/>
                  </w14:solidFill>
                </w14:textFill>
              </w:rPr>
              <w:sym w:font="Symbol" w:char="F0B0"/>
            </w:r>
            <w:r>
              <w:rPr>
                <w:rFonts w:hint="default" w:ascii="Times New Roman" w:hAnsi="Times New Roman" w:eastAsia="新宋体" w:cs="Times New Roman"/>
                <w:color w:val="000000" w:themeColor="text1"/>
                <w:sz w:val="22"/>
                <w:highlight w:val="none"/>
                <w14:textFill>
                  <w14:solidFill>
                    <w14:schemeClr w14:val="tx1"/>
                  </w14:solidFill>
                </w14:textFill>
              </w:rPr>
              <w:t>C（摄氏度）~ 25</w:t>
            </w:r>
            <w:r>
              <w:rPr>
                <w:rFonts w:hint="default" w:ascii="Times New Roman" w:hAnsi="Times New Roman" w:eastAsia="新宋体" w:cs="Times New Roman"/>
                <w:color w:val="000000" w:themeColor="text1"/>
                <w:sz w:val="22"/>
                <w:highlight w:val="none"/>
                <w14:textFill>
                  <w14:solidFill>
                    <w14:schemeClr w14:val="tx1"/>
                  </w14:solidFill>
                </w14:textFill>
              </w:rPr>
              <w:sym w:font="Symbol" w:char="F0B0"/>
            </w:r>
            <w:r>
              <w:rPr>
                <w:rFonts w:hint="default" w:ascii="Times New Roman" w:hAnsi="Times New Roman" w:eastAsia="新宋体" w:cs="Times New Roman"/>
                <w:color w:val="000000" w:themeColor="text1"/>
                <w:sz w:val="22"/>
                <w:highlight w:val="none"/>
                <w14:textFill>
                  <w14:solidFill>
                    <w14:schemeClr w14:val="tx1"/>
                  </w14:solidFill>
                </w14:textFill>
              </w:rPr>
              <w:t>C（摄氏度） (±2</w:t>
            </w:r>
            <w:r>
              <w:rPr>
                <w:rFonts w:hint="default" w:ascii="Times New Roman" w:hAnsi="Times New Roman" w:eastAsia="新宋体" w:cs="Times New Roman"/>
                <w:color w:val="000000" w:themeColor="text1"/>
                <w:sz w:val="22"/>
                <w:highlight w:val="none"/>
                <w14:textFill>
                  <w14:solidFill>
                    <w14:schemeClr w14:val="tx1"/>
                  </w14:solidFill>
                </w14:textFill>
              </w:rPr>
              <w:sym w:font="Symbol" w:char="F0B0"/>
            </w:r>
            <w:r>
              <w:rPr>
                <w:rFonts w:hint="default" w:ascii="Times New Roman" w:hAnsi="Times New Roman" w:eastAsia="新宋体" w:cs="Times New Roman"/>
                <w:color w:val="000000" w:themeColor="text1"/>
                <w:sz w:val="22"/>
                <w:highlight w:val="none"/>
                <w14:textFill>
                  <w14:solidFill>
                    <w14:schemeClr w14:val="tx1"/>
                  </w14:solidFill>
                </w14:textFill>
              </w:rPr>
              <w:t>C（摄氏度）)</w:t>
            </w:r>
          </w:p>
          <w:p>
            <w:pPr>
              <w:keepNext w:val="0"/>
              <w:keepLines w:val="0"/>
              <w:widowControl/>
              <w:suppressLineNumbers w:val="0"/>
              <w:snapToGrid w:val="0"/>
              <w:spacing w:before="0" w:beforeAutospacing="0" w:after="0" w:afterAutospacing="0" w:line="460" w:lineRule="exact"/>
              <w:ind w:left="19" w:right="0" w:hanging="19"/>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ab/>
            </w:r>
            <w:r>
              <w:rPr>
                <w:rFonts w:hint="default" w:ascii="Times New Roman" w:hAnsi="Times New Roman" w:eastAsia="新宋体" w:cs="Times New Roman"/>
                <w:color w:val="000000" w:themeColor="text1"/>
                <w:sz w:val="22"/>
                <w:highlight w:val="none"/>
                <w14:textFill>
                  <w14:solidFill>
                    <w14:schemeClr w14:val="tx1"/>
                  </w14:solidFill>
                </w14:textFill>
              </w:rPr>
              <w:t>相对湿度：&lt;80%</w:t>
            </w:r>
          </w:p>
          <w:p>
            <w:pPr>
              <w:keepNext w:val="0"/>
              <w:keepLines w:val="0"/>
              <w:widowControl/>
              <w:suppressLineNumbers w:val="0"/>
              <w:snapToGrid w:val="0"/>
              <w:spacing w:before="0" w:beforeAutospacing="0" w:after="0" w:afterAutospacing="0" w:line="460" w:lineRule="exact"/>
              <w:ind w:left="19" w:right="0" w:hanging="19"/>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ab/>
            </w:r>
            <w:r>
              <w:rPr>
                <w:rFonts w:hint="default" w:ascii="Times New Roman" w:hAnsi="Times New Roman" w:eastAsia="新宋体" w:cs="Times New Roman"/>
                <w:color w:val="000000" w:themeColor="text1"/>
                <w:sz w:val="22"/>
                <w:highlight w:val="none"/>
                <w14:textFill>
                  <w14:solidFill>
                    <w14:schemeClr w14:val="tx1"/>
                  </w14:solidFill>
                </w14:textFill>
              </w:rPr>
              <w:t>工作电压：单相AC 220V（伏），50Hz（赫兹） (±1%)</w:t>
            </w:r>
          </w:p>
          <w:p>
            <w:pPr>
              <w:keepNext w:val="0"/>
              <w:keepLines w:val="0"/>
              <w:widowControl/>
              <w:suppressLineNumbers w:val="0"/>
              <w:snapToGrid w:val="0"/>
              <w:spacing w:before="0" w:beforeAutospacing="0" w:after="0" w:afterAutospacing="0" w:line="460" w:lineRule="exact"/>
              <w:ind w:left="19" w:right="0" w:hanging="19"/>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ab/>
            </w:r>
            <w:r>
              <w:rPr>
                <w:rFonts w:hint="default" w:ascii="Times New Roman" w:hAnsi="Times New Roman" w:eastAsia="新宋体" w:cs="Times New Roman"/>
                <w:color w:val="000000" w:themeColor="text1"/>
                <w:sz w:val="22"/>
                <w:highlight w:val="none"/>
                <w14:textFill>
                  <w14:solidFill>
                    <w14:schemeClr w14:val="tx1"/>
                  </w14:solidFill>
                </w14:textFill>
              </w:rPr>
              <w:t>无特殊水电气的要求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w:t>
            </w:r>
          </w:p>
        </w:tc>
        <w:tc>
          <w:tcPr>
            <w:tcW w:w="8614" w:type="dxa"/>
            <w:vAlign w:val="center"/>
          </w:tcPr>
          <w:p>
            <w:pPr>
              <w:keepNext w:val="0"/>
              <w:keepLines w:val="0"/>
              <w:widowControl/>
              <w:suppressLineNumbers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用途：</w:t>
            </w:r>
            <w:r>
              <w:rPr>
                <w:rFonts w:hint="default" w:ascii="Times New Roman" w:hAnsi="Times New Roman" w:eastAsia="新宋体" w:cs="Times New Roman"/>
                <w:bCs/>
                <w:color w:val="000000" w:themeColor="text1"/>
                <w:sz w:val="22"/>
                <w:highlight w:val="none"/>
                <w14:textFill>
                  <w14:solidFill>
                    <w14:schemeClr w14:val="tx1"/>
                  </w14:solidFill>
                </w14:textFill>
              </w:rPr>
              <w:t>该类仪器应用范围广，已广泛地应用于化学（配位化学、金属有机化学、有机化学、无机材料化学、生物无机化学）、分子生物学、药物学、物理学、矿物学和材料科学等方面的分析研究等研究领域，是现代化学及材料科学的基础手段之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w:t>
            </w:r>
          </w:p>
        </w:tc>
        <w:tc>
          <w:tcPr>
            <w:tcW w:w="8614" w:type="dxa"/>
            <w:vAlign w:val="center"/>
          </w:tcPr>
          <w:p>
            <w:pPr>
              <w:keepNext w:val="0"/>
              <w:keepLines w:val="0"/>
              <w:suppressLineNumbers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b/>
                <w:color w:val="000000" w:themeColor="text1"/>
                <w:sz w:val="22"/>
                <w:highlight w:val="none"/>
                <w14:textFill>
                  <w14:solidFill>
                    <w14:schemeClr w14:val="tx1"/>
                  </w14:solidFill>
                </w14:textFill>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Style w:val="340"/>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X射线发生装置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3.1.1</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Style w:val="340"/>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color w:val="000000" w:themeColor="text1"/>
                <w:highlight w:val="none"/>
                <w14:textFill>
                  <w14:solidFill>
                    <w14:schemeClr w14:val="tx1"/>
                  </w14:solidFill>
                </w14:textFill>
              </w:rPr>
              <w:t>最大输出功率</w:t>
            </w:r>
            <w:r>
              <w:rPr>
                <w:rFonts w:hint="eastAsia"/>
                <w:color w:val="000000" w:themeColor="text1"/>
                <w:highlight w:val="none"/>
                <w14:textFill>
                  <w14:solidFill>
                    <w14:schemeClr w14:val="tx1"/>
                  </w14:solidFill>
                </w14:textFill>
              </w:rPr>
              <w:t>:50</w:t>
            </w:r>
            <w:r>
              <w:rPr>
                <w:rFonts w:hint="default"/>
                <w:color w:val="000000" w:themeColor="text1"/>
                <w:highlight w:val="none"/>
                <w14:textFill>
                  <w14:solidFill>
                    <w14:schemeClr w14:val="tx1"/>
                  </w14:solidFill>
                </w14:textFill>
              </w:rPr>
              <w:t>W</w:t>
            </w:r>
            <w:r>
              <w:rPr>
                <w:rFonts w:hint="eastAsia"/>
                <w:color w:val="000000" w:themeColor="text1"/>
                <w:highlight w:val="none"/>
                <w14:textFill>
                  <w14:solidFill>
                    <w14:schemeClr w14:val="tx1"/>
                  </w14:solidFill>
                </w14:textFill>
              </w:rPr>
              <w:t>（瓦）</w:t>
            </w:r>
            <w:r>
              <w:rPr>
                <w:rFonts w:hint="default"/>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Mo光源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3.1.2</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Style w:val="340"/>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eastAsia"/>
                <w:color w:val="000000" w:themeColor="text1"/>
                <w:highlight w:val="none"/>
                <w14:textFill>
                  <w14:solidFill>
                    <w14:schemeClr w14:val="tx1"/>
                  </w14:solidFill>
                </w14:textFill>
              </w:rPr>
              <w:t>最大输出电压：50</w:t>
            </w:r>
            <w:r>
              <w:rPr>
                <w:rFonts w:hint="default"/>
                <w:color w:val="000000" w:themeColor="text1"/>
                <w:highlight w:val="none"/>
                <w14:textFill>
                  <w14:solidFill>
                    <w14:schemeClr w14:val="tx1"/>
                  </w14:solidFill>
                </w14:textFill>
              </w:rPr>
              <w:t>kV</w:t>
            </w:r>
            <w:r>
              <w:rPr>
                <w:rFonts w:hint="eastAsia"/>
                <w:color w:val="000000" w:themeColor="text1"/>
                <w:highlight w:val="none"/>
                <w14:textFill>
                  <w14:solidFill>
                    <w14:schemeClr w14:val="tx1"/>
                  </w14:solidFill>
                </w14:textFill>
              </w:rPr>
              <w:t>（千伏）</w:t>
            </w:r>
            <w:r>
              <w:rPr>
                <w:rFonts w:hint="default"/>
                <w:color w:val="000000" w:themeColor="text1"/>
                <w:highlight w:val="none"/>
                <w14:textFill>
                  <w14:solidFill>
                    <w14:schemeClr w14:val="tx1"/>
                  </w14:solidFill>
                </w14:textFill>
              </w:rPr>
              <w:t>（1</w:t>
            </w:r>
            <w:r>
              <w:rPr>
                <w:rFonts w:hint="eastAsia"/>
                <w:color w:val="000000" w:themeColor="text1"/>
                <w:highlight w:val="none"/>
                <w14:textFill>
                  <w14:solidFill>
                    <w14:schemeClr w14:val="tx1"/>
                  </w14:solidFill>
                </w14:textFill>
              </w:rPr>
              <w:t>kV</w:t>
            </w:r>
            <w:r>
              <w:rPr>
                <w:rFonts w:hint="default"/>
                <w:color w:val="000000" w:themeColor="text1"/>
                <w:highlight w:val="none"/>
                <w14:textFill>
                  <w14:solidFill>
                    <w14:schemeClr w14:val="tx1"/>
                  </w14:solidFill>
                </w14:textFill>
              </w:rPr>
              <w:t>/步）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3.1.3</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Style w:val="340"/>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eastAsia"/>
                <w:color w:val="000000" w:themeColor="text1"/>
                <w:highlight w:val="none"/>
                <w14:textFill>
                  <w14:solidFill>
                    <w14:schemeClr w14:val="tx1"/>
                  </w14:solidFill>
                </w14:textFill>
              </w:rPr>
              <w:t>额定</w:t>
            </w:r>
            <w:r>
              <w:rPr>
                <w:rFonts w:hint="default"/>
                <w:color w:val="000000" w:themeColor="text1"/>
                <w:highlight w:val="none"/>
                <w14:textFill>
                  <w14:solidFill>
                    <w14:schemeClr w14:val="tx1"/>
                  </w14:solidFill>
                </w14:textFill>
              </w:rPr>
              <w:t>管电流：</w:t>
            </w:r>
            <w:r>
              <w:rPr>
                <w:rFonts w:hint="eastAsia"/>
                <w:color w:val="000000" w:themeColor="text1"/>
                <w:highlight w:val="none"/>
                <w14:textFill>
                  <w14:solidFill>
                    <w14:schemeClr w14:val="tx1"/>
                  </w14:solidFill>
                </w14:textFill>
              </w:rPr>
              <w:t>0</w:t>
            </w:r>
            <w:r>
              <w:rPr>
                <w:rFonts w:hint="default"/>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1.0</w:t>
            </w:r>
            <w:r>
              <w:rPr>
                <w:rFonts w:hint="default"/>
                <w:color w:val="000000" w:themeColor="text1"/>
                <w:highlight w:val="none"/>
                <w14:textFill>
                  <w14:solidFill>
                    <w14:schemeClr w14:val="tx1"/>
                  </w14:solidFill>
                </w14:textFill>
              </w:rPr>
              <w:t>mA</w:t>
            </w:r>
            <w:r>
              <w:rPr>
                <w:rFonts w:hint="eastAsia"/>
                <w:color w:val="000000" w:themeColor="text1"/>
                <w:highlight w:val="none"/>
                <w14:textFill>
                  <w14:solidFill>
                    <w14:schemeClr w14:val="tx1"/>
                  </w14:solidFill>
                </w14:textFill>
              </w:rPr>
              <w:t>（毫安）</w:t>
            </w:r>
            <w:r>
              <w:rPr>
                <w:rFonts w:hint="default"/>
                <w:color w:val="000000" w:themeColor="text1"/>
                <w:highlight w:val="none"/>
                <w14:textFill>
                  <w14:solidFill>
                    <w14:schemeClr w14:val="tx1"/>
                  </w14:solidFill>
                </w14:textFill>
              </w:rPr>
              <w:t>（</w:t>
            </w:r>
            <w:r>
              <w:rPr>
                <w:rFonts w:hint="eastAsia"/>
                <w:color w:val="000000" w:themeColor="text1"/>
                <w:highlight w:val="none"/>
                <w14:textFill>
                  <w14:solidFill>
                    <w14:schemeClr w14:val="tx1"/>
                  </w14:solidFill>
                </w14:textFill>
              </w:rPr>
              <w:t>0.01mA</w:t>
            </w:r>
            <w:r>
              <w:rPr>
                <w:rFonts w:hint="default"/>
                <w:color w:val="000000" w:themeColor="text1"/>
                <w:highlight w:val="none"/>
                <w14:textFill>
                  <w14:solidFill>
                    <w14:schemeClr w14:val="tx1"/>
                  </w14:solidFill>
                </w14:textFill>
              </w:rPr>
              <w:t>/步）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3.1.4</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Style w:val="340"/>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eastAsia"/>
                <w:color w:val="000000" w:themeColor="text1"/>
                <w:highlight w:val="none"/>
                <w14:textFill>
                  <w14:solidFill>
                    <w14:schemeClr w14:val="tx1"/>
                  </w14:solidFill>
                </w14:textFill>
              </w:rPr>
              <w:t xml:space="preserve">焦点尺寸 </w:t>
            </w:r>
            <w:r>
              <w:rPr>
                <w:rFonts w:hint="default"/>
                <w:color w:val="000000" w:themeColor="text1"/>
                <w:highlight w:val="none"/>
                <w14:textFill>
                  <w14:solidFill>
                    <w14:schemeClr w14:val="tx1"/>
                  </w14:solidFill>
                </w14:textFill>
              </w:rPr>
              <w:t xml:space="preserve"> &gt;50 m</w:t>
            </w:r>
            <w:r>
              <w:rPr>
                <w:rFonts w:hint="eastAsia"/>
                <w:color w:val="000000" w:themeColor="text1"/>
                <w:highlight w:val="none"/>
                <w14:textFill>
                  <w14:solidFill>
                    <w14:schemeClr w14:val="tx1"/>
                  </w14:solidFill>
                </w14:textFill>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3.1.5</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Style w:val="340"/>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稳定度（管电压，管电流） ±0.01%以下（电源电压波动10%以内）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3.1.6</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Style w:val="340"/>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X射线快门：转动快门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3.1.7</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Style w:val="340"/>
                <w:rFonts w:hint="default" w:ascii="Times New Roman" w:hAnsi="Times New Roman" w:eastAsia="新宋体" w:cs="Times New Roman"/>
                <w:color w:val="000000" w:themeColor="text1"/>
                <w:sz w:val="22"/>
                <w:szCs w:val="22"/>
                <w:highlight w:val="none"/>
                <w:lang w:bidi="ar"/>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靶材料：Mo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3.1.8</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安全特性：异常冷却水流量和压力报警，异常发电机过载检测，异常电压检测，过载检测，紧急停止开关，漏电流断路器，故障保险机构；报警显示；自动老化功能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3.1.9</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X射线泄漏量：防护罩外部泄漏X射线量&lt; 2.5μSv/h</w:t>
            </w:r>
            <w:r>
              <w:rPr>
                <w:rFonts w:hint="eastAsia" w:eastAsia="新宋体" w:cs="Times New Roman"/>
                <w:color w:val="000000" w:themeColor="text1"/>
                <w:sz w:val="22"/>
                <w:highlight w:val="none"/>
                <w14:textFill>
                  <w14:solidFill>
                    <w14:schemeClr w14:val="tx1"/>
                  </w14:solidFill>
                </w14:textFill>
              </w:rPr>
              <w:t>（微西弗每小时）</w:t>
            </w:r>
            <w:r>
              <w:rPr>
                <w:rFonts w:hint="default" w:ascii="Times New Roman" w:hAnsi="Times New Roman" w:eastAsia="新宋体" w:cs="Times New Roman"/>
                <w:color w:val="000000" w:themeColor="text1"/>
                <w:sz w:val="22"/>
                <w:highlight w:val="none"/>
                <w14:textFill>
                  <w14:solidFill>
                    <w14:schemeClr w14:val="tx1"/>
                  </w14:solidFill>
                </w14:textFill>
              </w:rPr>
              <w:t>；警告灯：快门打开或防护门没关好应有不同颜色警告灯亮起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3.2</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人工多层膜X-射线透镜(</w:t>
            </w:r>
            <w:r>
              <w:rPr>
                <w:rFonts w:hint="eastAsia" w:ascii="Times New Roman" w:hAnsi="Times New Roman" w:eastAsia="新宋体" w:cs="Times New Roman"/>
                <w:color w:val="000000" w:themeColor="text1"/>
                <w:sz w:val="22"/>
                <w:highlight w:val="none"/>
                <w14:textFill>
                  <w14:solidFill>
                    <w14:schemeClr w14:val="tx1"/>
                  </w14:solidFill>
                </w14:textFill>
              </w:rPr>
              <w:t>μ</w:t>
            </w:r>
            <w:r>
              <w:rPr>
                <w:rFonts w:hint="default" w:ascii="Times New Roman" w:hAnsi="Times New Roman" w:eastAsia="新宋体" w:cs="Times New Roman"/>
                <w:color w:val="000000" w:themeColor="text1"/>
                <w:sz w:val="22"/>
                <w:highlight w:val="none"/>
                <w14:textFill>
                  <w14:solidFill>
                    <w14:schemeClr w14:val="tx1"/>
                  </w14:solidFill>
                </w14:textFill>
              </w:rPr>
              <w:t>-CMF)</w:t>
            </w:r>
          </w:p>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适用于Mo光源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Kappa四圆测角装置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3.3.1</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m:oMath>
              <m:r>
                <m:rPr>
                  <m:sty m:val="p"/>
                </m:rPr>
                <w:rPr>
                  <w:rFonts w:hint="default" w:ascii="Cambria Math" w:hAnsi="Cambria Math" w:eastAsia="新宋体" w:cs="Times New Roman"/>
                  <w:color w:val="000000" w:themeColor="text1"/>
                  <w:sz w:val="22"/>
                  <w:highlight w:val="none"/>
                  <w14:textFill>
                    <w14:solidFill>
                      <w14:schemeClr w14:val="tx1"/>
                    </w14:solidFill>
                  </w14:textFill>
                </w:rPr>
                <m:t>κ</m:t>
              </m:r>
            </m:oMath>
            <w:r>
              <w:rPr>
                <w:rFonts w:hint="default" w:ascii="Times New Roman" w:hAnsi="Times New Roman" w:eastAsia="新宋体" w:cs="Times New Roman"/>
                <w:color w:val="000000" w:themeColor="text1"/>
                <w:sz w:val="22"/>
                <w:highlight w:val="none"/>
                <w14:textFill>
                  <w14:solidFill>
                    <w14:schemeClr w14:val="tx1"/>
                  </w14:solidFill>
                </w14:textFill>
              </w:rPr>
              <w:t xml:space="preserve">(kappa)axis:  -82 ~ +82 deg </w:t>
            </w:r>
            <w:r>
              <w:rPr>
                <w:rFonts w:hint="eastAsia"/>
                <w:color w:val="000000" w:themeColor="text1"/>
                <w:highlight w:val="none"/>
                <w14:textFill>
                  <w14:solidFill>
                    <w14:schemeClr w14:val="tx1"/>
                  </w14:solidFill>
                </w14:textFill>
              </w:rPr>
              <w:t>（度）</w:t>
            </w:r>
            <w:r>
              <w:rPr>
                <w:rFonts w:hint="default"/>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3.3.2</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oMath/>
              </w:rPr>
            </w:pPr>
            <w:r>
              <w:rPr>
                <w:rFonts w:hint="default" w:ascii="Times New Roman" w:hAnsi="Times New Roman" w:eastAsia="新宋体" w:cs="Times New Roman"/>
                <w:color w:val="000000" w:themeColor="text1"/>
                <w:sz w:val="22"/>
                <w:highlight w:val="none"/>
                <w14:textFill>
                  <w14:solidFill>
                    <w14:schemeClr w14:val="tx1"/>
                  </w14:solidFill>
                </w14:textFill>
              </w:rPr>
              <w:t xml:space="preserve">2θ (theta) axis: -50 ~ +85 deg </w:t>
            </w:r>
            <w:r>
              <w:rPr>
                <w:rFonts w:hint="eastAsia"/>
                <w:color w:val="000000" w:themeColor="text1"/>
                <w:highlight w:val="none"/>
                <w14:textFill>
                  <w14:solidFill>
                    <w14:schemeClr w14:val="tx1"/>
                  </w14:solidFill>
                </w14:textFill>
              </w:rPr>
              <w:t>（度）</w:t>
            </w:r>
            <w:r>
              <w:rPr>
                <w:rFonts w:hint="default"/>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w:t>
            </w:r>
            <w:r>
              <w:rPr>
                <w:rFonts w:hint="eastAsia" w:eastAsia="新宋体" w:cs="Times New Roman"/>
                <w:color w:val="000000" w:themeColor="text1"/>
                <w:sz w:val="22"/>
                <w:highlight w:val="none"/>
                <w14:textFill>
                  <w14:solidFill>
                    <w14:schemeClr w14:val="tx1"/>
                  </w14:solidFill>
                </w14:textFill>
              </w:rPr>
              <w:t>3</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eastAsia="新宋体" w:cs="Times New Roman" w:asciiTheme="majorHAnsi" w:hAnsiTheme="majorHAnsi"/>
                <w:color w:val="000000" w:themeColor="text1"/>
                <w:sz w:val="22"/>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r>
              <w:rPr>
                <w:rFonts w:hint="default"/>
                <w:color w:val="000000" w:themeColor="text1"/>
                <w:highlight w:val="none"/>
                <w14:textFill>
                  <w14:solidFill>
                    <w14:schemeClr w14:val="tx1"/>
                  </w14:solidFill>
                </w14:textFill>
              </w:rPr>
              <w:t>ω (omega) axis: 2</w:t>
            </w:r>
            <w:r>
              <w:rPr>
                <w:rFonts w:hint="default" w:ascii="Times New Roman" w:hAnsi="Times New Roman" w:eastAsia="新宋体" w:cs="Times New Roman"/>
                <w:color w:val="000000" w:themeColor="text1"/>
                <w:sz w:val="22"/>
                <w:highlight w:val="none"/>
                <w14:textFill>
                  <w14:solidFill>
                    <w14:schemeClr w14:val="tx1"/>
                  </w14:solidFill>
                </w14:textFill>
              </w:rPr>
              <w:t>θ</w:t>
            </w:r>
            <w:r>
              <w:rPr>
                <w:rFonts w:hint="default"/>
                <w:color w:val="000000" w:themeColor="text1"/>
                <w:highlight w:val="none"/>
                <w14:textFill>
                  <w14:solidFill>
                    <w14:schemeClr w14:val="tx1"/>
                  </w14:solidFill>
                </w14:textFill>
              </w:rPr>
              <w:t>±90</w:t>
            </w:r>
            <w:r>
              <w:rPr>
                <w:rFonts w:hint="eastAsia"/>
                <w:color w:val="000000" w:themeColor="text1"/>
                <w:highlight w:val="none"/>
                <w14:textFill>
                  <w14:solidFill>
                    <w14:schemeClr w14:val="tx1"/>
                  </w14:solidFill>
                </w14:textFill>
              </w:rPr>
              <w:t xml:space="preserve"> </w:t>
            </w:r>
            <w:r>
              <w:rPr>
                <w:rFonts w:hint="default"/>
                <w:color w:val="000000" w:themeColor="text1"/>
                <w:highlight w:val="none"/>
                <w14:textFill>
                  <w14:solidFill>
                    <w14:schemeClr w14:val="tx1"/>
                  </w14:solidFill>
                </w14:textFill>
              </w:rPr>
              <w:t xml:space="preserve">deg </w:t>
            </w:r>
            <w:r>
              <w:rPr>
                <w:rFonts w:hint="eastAsia"/>
                <w:color w:val="000000" w:themeColor="text1"/>
                <w:highlight w:val="none"/>
                <w14:textFill>
                  <w14:solidFill>
                    <w14:schemeClr w14:val="tx1"/>
                  </w14:solidFill>
                </w14:textFill>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3.3.4</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oMath/>
              </w:rPr>
            </w:pPr>
            <w:r>
              <w:rPr>
                <w:rFonts w:hint="default" w:ascii="Times New Roman" w:hAnsi="Times New Roman" w:eastAsia="新宋体" w:cs="Times New Roman"/>
                <w:color w:val="000000" w:themeColor="text1"/>
                <w:sz w:val="22"/>
                <w:highlight w:val="none"/>
                <w14:textFill>
                  <w14:solidFill>
                    <w14:schemeClr w14:val="tx1"/>
                  </w14:solidFill>
                </w14:textFill>
              </w:rPr>
              <w:t xml:space="preserve">φ (phi)axis:-360 ~ +360 deg </w:t>
            </w:r>
            <w:r>
              <w:rPr>
                <w:rFonts w:hint="eastAsia"/>
                <w:color w:val="000000" w:themeColor="text1"/>
                <w:highlight w:val="none"/>
                <w14:textFill>
                  <w14:solidFill>
                    <w14:schemeClr w14:val="tx1"/>
                  </w14:solidFill>
                </w14:textFill>
              </w:rPr>
              <w:t>（度）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3.3.5</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oMath/>
              </w:rPr>
            </w:pPr>
            <w:r>
              <w:rPr>
                <w:rFonts w:hint="default" w:ascii="Times New Roman" w:hAnsi="Times New Roman" w:eastAsia="新宋体" w:cs="Times New Roman"/>
                <w:color w:val="000000" w:themeColor="text1"/>
                <w:sz w:val="22"/>
                <w:highlight w:val="none"/>
                <w14:textFill>
                  <w14:solidFill>
                    <w14:schemeClr w14:val="tx1"/>
                  </w14:solidFill>
                </w14:textFill>
              </w:rPr>
              <w:t>样品到探测器距离: 40 ~ 115 mm</w:t>
            </w:r>
            <w:r>
              <w:rPr>
                <w:rFonts w:hint="eastAsia"/>
                <w:color w:val="000000" w:themeColor="text1"/>
                <w:highlight w:val="none"/>
                <w14:textFill>
                  <w14:solidFill>
                    <w14:schemeClr w14:val="tx1"/>
                  </w14:solidFill>
                </w14:textFill>
              </w:rPr>
              <w:t>（毫米）</w:t>
            </w:r>
            <w:r>
              <w:rPr>
                <w:rFonts w:hint="eastAsia" w:eastAsia="新宋体" w:cs="Times New Roman"/>
                <w:color w:val="000000" w:themeColor="text1"/>
                <w:sz w:val="22"/>
                <w:highlight w:val="none"/>
                <w14:textFill>
                  <w14:solidFill>
                    <w14:schemeClr w14:val="tx1"/>
                  </w14:solidFill>
                </w14:textFill>
              </w:rPr>
              <w:t>（</w:t>
            </w:r>
            <w:r>
              <w:rPr>
                <w:rFonts w:hint="default" w:ascii="Times New Roman" w:hAnsi="Times New Roman" w:eastAsia="新宋体" w:cs="Times New Roman"/>
                <w:color w:val="000000" w:themeColor="text1"/>
                <w:sz w:val="22"/>
                <w:highlight w:val="none"/>
                <w14:textFill>
                  <w14:solidFill>
                    <w14:schemeClr w14:val="tx1"/>
                  </w14:solidFill>
                </w14:textFill>
              </w:rPr>
              <w:t>马达步进</w:t>
            </w:r>
            <w:r>
              <w:rPr>
                <w:rFonts w:hint="eastAsia" w:eastAsia="新宋体" w:cs="Times New Roman"/>
                <w:color w:val="000000" w:themeColor="text1"/>
                <w:sz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3.3.6</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oMath/>
              </w:rPr>
            </w:pPr>
            <w:r>
              <w:rPr>
                <w:rFonts w:hint="default" w:ascii="Times New Roman" w:hAnsi="Times New Roman" w:eastAsia="新宋体" w:cs="Times New Roman"/>
                <w:color w:val="000000" w:themeColor="text1"/>
                <w:sz w:val="22"/>
                <w:highlight w:val="none"/>
                <w14:textFill>
                  <w14:solidFill>
                    <w14:schemeClr w14:val="tx1"/>
                  </w14:solidFill>
                </w14:textFill>
              </w:rPr>
              <w:t>准直器：Φ0.5mm</w:t>
            </w:r>
            <w:r>
              <w:rPr>
                <w:rFonts w:hint="eastAsia"/>
                <w:color w:val="000000" w:themeColor="text1"/>
                <w:highlight w:val="none"/>
                <w14:textFill>
                  <w14:solidFill>
                    <w14:schemeClr w14:val="tx1"/>
                  </w14:solidFill>
                </w14:textFill>
              </w:rPr>
              <w:t>（毫米）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3.3.7</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oMath/>
              </w:rPr>
            </w:pPr>
            <w:r>
              <w:rPr>
                <w:rFonts w:hint="default" w:ascii="Times New Roman" w:hAnsi="Times New Roman" w:eastAsia="新宋体" w:cs="Times New Roman"/>
                <w:color w:val="000000" w:themeColor="text1"/>
                <w:sz w:val="22"/>
                <w:highlight w:val="none"/>
                <w14:textFill>
                  <w14:solidFill>
                    <w14:schemeClr w14:val="tx1"/>
                  </w14:solidFill>
                </w14:textFill>
              </w:rPr>
              <w:t>载晶器：IUCr49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3.3.8</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oMath/>
              </w:rPr>
            </w:pPr>
            <w:r>
              <w:rPr>
                <w:rFonts w:hint="default" w:ascii="Times New Roman" w:hAnsi="Times New Roman" w:eastAsia="新宋体" w:cs="Times New Roman"/>
                <w:color w:val="000000" w:themeColor="text1"/>
                <w:sz w:val="22"/>
                <w:highlight w:val="none"/>
                <w14:textFill>
                  <w14:solidFill>
                    <w14:schemeClr w14:val="tx1"/>
                  </w14:solidFill>
                </w14:textFill>
              </w:rPr>
              <w:t>样品观测用CCD照相机：≥70倍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3.4</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Cambria Math" w:hAnsi="Cambria Math" w:eastAsia="新宋体" w:cs="Times New Roman"/>
                <w:color w:val="000000" w:themeColor="text1"/>
                <w:sz w:val="22"/>
                <w:highlight w:val="none"/>
                <w:vertAlign w:val="superscript"/>
                <w14:textFill>
                  <w14:solidFill>
                    <w14:schemeClr w14:val="tx1"/>
                  </w14:solidFill>
                </w14:textFill>
                <w:oMath/>
              </w:rPr>
            </w:pPr>
            <w:r>
              <w:rPr>
                <w:rFonts w:hint="default" w:ascii="Times New Roman" w:hAnsi="Times New Roman" w:eastAsia="新宋体" w:cs="Times New Roman"/>
                <w:color w:val="000000" w:themeColor="text1"/>
                <w:sz w:val="22"/>
                <w:highlight w:val="none"/>
                <w14:textFill>
                  <w14:solidFill>
                    <w14:schemeClr w14:val="tx1"/>
                  </w14:solidFill>
                </w14:textFill>
              </w:rPr>
              <w:t>高灵敏度二维面探硅阵列探测器</w:t>
            </w:r>
            <w:r>
              <w:rPr>
                <w:rFonts w:hint="eastAsia" w:ascii="Times New Roman" w:hAnsi="Times New Roman" w:eastAsia="新宋体" w:cs="Times New Roman"/>
                <w:color w:val="000000" w:themeColor="text1"/>
                <w:sz w:val="22"/>
                <w:highlight w:val="none"/>
                <w14:textFill>
                  <w14:solidFill>
                    <w14:schemeClr w14:val="tx1"/>
                  </w14:solidFill>
                </w14:textFill>
              </w:rPr>
              <w:t>HPAD</w:t>
            </w:r>
            <w:r>
              <w:rPr>
                <w:rFonts w:hint="eastAsia" w:eastAsia="新宋体" w:cs="Times New Roman"/>
                <w:color w:val="000000" w:themeColor="text1"/>
                <w:sz w:val="22"/>
                <w:highlight w:val="none"/>
                <w14:textFill>
                  <w14:solidFill>
                    <w14:schemeClr w14:val="tx1"/>
                  </w14:solidFill>
                </w14:textFill>
              </w:rPr>
              <w:t>（高清）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3.4.1</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检出方式:直接读数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3.4.2</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eastAsia" w:ascii="新宋体" w:hAnsi="新宋体" w:eastAsia="新宋体" w:cs="Times New Roman"/>
                <w:color w:val="000000" w:themeColor="text1"/>
                <w:sz w:val="22"/>
                <w:highlight w:val="none"/>
                <w14:textFill>
                  <w14:solidFill>
                    <w14:schemeClr w14:val="tx1"/>
                  </w14:solidFill>
                </w14:textFill>
              </w:rPr>
              <w:t>▲</w:t>
            </w:r>
            <w:r>
              <w:rPr>
                <w:rFonts w:hint="default" w:ascii="Times New Roman" w:hAnsi="Times New Roman" w:eastAsia="新宋体" w:cs="Times New Roman"/>
                <w:color w:val="000000" w:themeColor="text1"/>
                <w:sz w:val="22"/>
                <w:highlight w:val="none"/>
                <w:u w:val="single"/>
                <w14:textFill>
                  <w14:solidFill>
                    <w14:schemeClr w14:val="tx1"/>
                  </w14:solidFill>
                </w14:textFill>
              </w:rPr>
              <w:t>像素大小: ≤120 μm</w:t>
            </w:r>
            <w:r>
              <w:rPr>
                <w:rFonts w:hint="eastAsia"/>
                <w:color w:val="000000" w:themeColor="text1"/>
                <w:highlight w:val="none"/>
                <w:u w:val="single"/>
                <w14:textFill>
                  <w14:solidFill>
                    <w14:schemeClr w14:val="tx1"/>
                  </w14:solidFill>
                </w14:textFill>
              </w:rPr>
              <w:t>（像素）</w:t>
            </w:r>
            <w:r>
              <w:rPr>
                <w:rFonts w:hint="default" w:ascii="Times New Roman" w:hAnsi="Times New Roman" w:eastAsia="新宋体" w:cs="Times New Roman"/>
                <w:color w:val="000000" w:themeColor="text1"/>
                <w:sz w:val="22"/>
                <w:highlight w:val="none"/>
                <w:u w:val="single"/>
                <w14:textFill>
                  <w14:solidFill>
                    <w14:schemeClr w14:val="tx1"/>
                  </w14:solidFill>
                </w14:textFill>
              </w:rPr>
              <w:t xml:space="preserve"> × 120 μm</w:t>
            </w:r>
            <w:r>
              <w:rPr>
                <w:rFonts w:hint="eastAsia"/>
                <w:color w:val="000000" w:themeColor="text1"/>
                <w:highlight w:val="none"/>
                <w:u w:val="single"/>
                <w14:textFill>
                  <w14:solidFill>
                    <w14:schemeClr w14:val="tx1"/>
                  </w14:solidFill>
                </w14:textFill>
              </w:rPr>
              <w:t>（像素）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3.4.3</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冷却方式: 空冷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3.4.4</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eastAsia" w:ascii="新宋体" w:hAnsi="新宋体" w:eastAsia="新宋体" w:cs="Times New Roman"/>
                <w:color w:val="000000" w:themeColor="text1"/>
                <w:sz w:val="22"/>
                <w:highlight w:val="none"/>
                <w14:textFill>
                  <w14:solidFill>
                    <w14:schemeClr w14:val="tx1"/>
                  </w14:solidFill>
                </w14:textFill>
              </w:rPr>
              <w:t>▲</w:t>
            </w:r>
            <w:r>
              <w:rPr>
                <w:rFonts w:hint="default" w:ascii="Times New Roman" w:hAnsi="Times New Roman" w:eastAsia="新宋体" w:cs="Times New Roman"/>
                <w:color w:val="000000" w:themeColor="text1"/>
                <w:sz w:val="22"/>
                <w:highlight w:val="none"/>
                <w:u w:val="single"/>
                <w14:textFill>
                  <w14:solidFill>
                    <w14:schemeClr w14:val="tx1"/>
                  </w14:solidFill>
                </w14:textFill>
              </w:rPr>
              <w:t xml:space="preserve">读数动态范围: </w:t>
            </w:r>
            <w:r>
              <w:rPr>
                <w:rFonts w:hint="eastAsia" w:eastAsia="新宋体" w:cs="Times New Roman"/>
                <w:color w:val="000000" w:themeColor="text1"/>
                <w:sz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highlight w:val="none"/>
                <w:u w:val="single"/>
                <w14:textFill>
                  <w14:solidFill>
                    <w14:schemeClr w14:val="tx1"/>
                  </w14:solidFill>
                </w14:textFill>
              </w:rPr>
              <w:t>≤</w:t>
            </w:r>
            <w:r>
              <w:rPr>
                <w:rFonts w:hint="eastAsia" w:eastAsia="新宋体" w:cs="Times New Roman"/>
                <w:color w:val="000000" w:themeColor="text1"/>
                <w:sz w:val="22"/>
                <w:highlight w:val="none"/>
                <w:u w:val="single"/>
                <w:lang w:val="en-US" w:eastAsia="zh-CN"/>
                <w14:textFill>
                  <w14:solidFill>
                    <w14:schemeClr w14:val="tx1"/>
                  </w14:solidFill>
                </w14:textFill>
              </w:rPr>
              <w:t xml:space="preserve"> </w:t>
            </w:r>
            <w:r>
              <w:rPr>
                <w:rFonts w:hint="eastAsia" w:eastAsia="新宋体" w:cs="Times New Roman"/>
                <w:color w:val="000000" w:themeColor="text1"/>
                <w:sz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highlight w:val="none"/>
                <w:u w:val="single"/>
                <w14:textFill>
                  <w14:solidFill>
                    <w14:schemeClr w14:val="tx1"/>
                  </w14:solidFill>
                </w14:textFill>
              </w:rPr>
              <w:t xml:space="preserve">31 Bit </w:t>
            </w:r>
            <w:r>
              <w:rPr>
                <w:rFonts w:hint="eastAsia"/>
                <w:color w:val="000000" w:themeColor="text1"/>
                <w:highlight w:val="none"/>
                <w:u w:val="single"/>
                <w14:textFill>
                  <w14:solidFill>
                    <w14:schemeClr w14:val="tx1"/>
                  </w14:solidFill>
                </w14:textFill>
              </w:rPr>
              <w:t>（比特）</w:t>
            </w:r>
            <w:r>
              <w:rPr>
                <w:rFonts w:hint="eastAsia"/>
                <w:color w:val="000000" w:themeColor="text1"/>
                <w:highlight w:val="non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3.4.5</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eastAsia" w:ascii="新宋体" w:hAnsi="新宋体" w:eastAsia="新宋体" w:cs="Times New Roman"/>
                <w:color w:val="000000" w:themeColor="text1"/>
                <w:sz w:val="22"/>
                <w:highlight w:val="none"/>
                <w14:textFill>
                  <w14:solidFill>
                    <w14:schemeClr w14:val="tx1"/>
                  </w14:solidFill>
                </w14:textFill>
              </w:rPr>
              <w:t>▲</w:t>
            </w:r>
            <w:r>
              <w:rPr>
                <w:rFonts w:hint="default" w:ascii="Times New Roman" w:hAnsi="Times New Roman" w:eastAsia="新宋体" w:cs="Times New Roman"/>
                <w:color w:val="000000" w:themeColor="text1"/>
                <w:sz w:val="22"/>
                <w:highlight w:val="none"/>
                <w:u w:val="single"/>
                <w14:textFill>
                  <w14:solidFill>
                    <w14:schemeClr w14:val="tx1"/>
                  </w14:solidFill>
                </w14:textFill>
              </w:rPr>
              <w:t>读数时间: 无快门模式，</w:t>
            </w:r>
            <w:r>
              <w:rPr>
                <w:rFonts w:hint="eastAsia" w:eastAsia="新宋体" w:cs="Times New Roman"/>
                <w:color w:val="000000" w:themeColor="text1"/>
                <w:sz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highlight w:val="none"/>
                <w:u w:val="single"/>
                <w14:textFill>
                  <w14:solidFill>
                    <w14:schemeClr w14:val="tx1"/>
                  </w14:solidFill>
                </w14:textFill>
              </w:rPr>
              <w:t>≤</w:t>
            </w:r>
            <w:r>
              <w:rPr>
                <w:rFonts w:hint="eastAsia" w:eastAsia="新宋体" w:cs="Times New Roman"/>
                <w:color w:val="000000" w:themeColor="text1"/>
                <w:sz w:val="22"/>
                <w:highlight w:val="none"/>
                <w:u w:val="single"/>
                <w:lang w:val="en-US" w:eastAsia="zh-CN"/>
                <w14:textFill>
                  <w14:solidFill>
                    <w14:schemeClr w14:val="tx1"/>
                  </w14:solidFill>
                </w14:textFill>
              </w:rPr>
              <w:t xml:space="preserve"> </w:t>
            </w:r>
            <w:r>
              <w:rPr>
                <w:rFonts w:hint="eastAsia" w:eastAsia="新宋体" w:cs="Times New Roman"/>
                <w:color w:val="000000" w:themeColor="text1"/>
                <w:sz w:val="22"/>
                <w:highlight w:val="none"/>
                <w:u w:val="single"/>
                <w:lang w:val="en-US" w:eastAsia="zh-CN"/>
                <w14:textFill>
                  <w14:solidFill>
                    <w14:schemeClr w14:val="tx1"/>
                  </w14:solidFill>
                </w14:textFill>
              </w:rPr>
              <w:t xml:space="preserve"> </w:t>
            </w:r>
            <w:r>
              <w:rPr>
                <w:rFonts w:hint="default" w:ascii="Times New Roman" w:hAnsi="Times New Roman" w:eastAsia="新宋体" w:cs="Times New Roman"/>
                <w:color w:val="000000" w:themeColor="text1"/>
                <w:sz w:val="22"/>
                <w:highlight w:val="none"/>
                <w:u w:val="single"/>
                <w14:textFill>
                  <w14:solidFill>
                    <w14:schemeClr w14:val="tx1"/>
                  </w14:solidFill>
                </w14:textFill>
              </w:rPr>
              <w:t>3.7ms</w:t>
            </w:r>
            <w:r>
              <w:rPr>
                <w:rFonts w:hint="eastAsia"/>
                <w:color w:val="000000" w:themeColor="text1"/>
                <w:highlight w:val="none"/>
                <w:u w:val="single"/>
                <w14:textFill>
                  <w14:solidFill>
                    <w14:schemeClr w14:val="tx1"/>
                  </w14:solidFill>
                </w14:textFill>
              </w:rPr>
              <w:t>（毫秒）</w:t>
            </w:r>
            <w:r>
              <w:rPr>
                <w:rFonts w:hint="default" w:ascii="Times New Roman" w:hAnsi="Times New Roman" w:eastAsia="新宋体" w:cs="Times New Roman"/>
                <w:color w:val="000000" w:themeColor="text1"/>
                <w:sz w:val="22"/>
                <w:highlight w:val="none"/>
                <w:u w:val="single"/>
                <w14:textFill>
                  <w14:solidFill>
                    <w14:schemeClr w14:val="tx1"/>
                  </w14:solidFill>
                </w14:textFill>
              </w:rPr>
              <w:t>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3.5.1</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控制收集数据软件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3.5.2</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数据收集过程中能同步数据还原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3.5.3</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免费更新不限制安装license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3.5.4</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支持远程电脑或手机控制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3.5.5</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支持同步检索CCDC数据库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3.5.6</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全自动结构解析软件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3.5.7</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全自动初始模型搭建和结构精修，自动填写CIF文件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3.5.8</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孪晶：孪晶数据分析模块，最大可支持7组分孪晶分析。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3.5.9</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支持本地数据库自动检索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3.5.10</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数据收集及数据还原过程同步记录并可追溯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 xml:space="preserve">3.5.11 </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软件支持多用户角色管理及自动统计功能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6" w:type="dxa"/>
            <w:vAlign w:val="center"/>
          </w:tcPr>
          <w:p>
            <w:pPr>
              <w:keepNext w:val="0"/>
              <w:keepLines w:val="0"/>
              <w:suppressLineNumbers w:val="0"/>
              <w:snapToGrid w:val="0"/>
              <w:spacing w:before="0" w:beforeAutospacing="0" w:after="0" w:afterAutospacing="0" w:line="460" w:lineRule="exact"/>
              <w:ind w:left="0" w:right="0"/>
              <w:jc w:val="left"/>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3.6</w:t>
            </w:r>
          </w:p>
        </w:tc>
        <w:tc>
          <w:tcPr>
            <w:tcW w:w="8614" w:type="dxa"/>
            <w:vAlign w:val="center"/>
          </w:tcPr>
          <w:p>
            <w:pPr>
              <w:keepNext w:val="0"/>
              <w:keepLines w:val="0"/>
              <w:suppressLineNumbers w:val="0"/>
              <w:snapToGrid w:val="0"/>
              <w:spacing w:before="0" w:beforeAutospacing="0" w:after="0" w:afterAutospacing="0" w:line="460" w:lineRule="exact"/>
              <w:ind w:left="0" w:right="0"/>
              <w:textAlignment w:val="top"/>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样品低温装置，Oxford低温装置（80-400k），使用液氮</w:t>
            </w:r>
          </w:p>
        </w:tc>
      </w:tr>
    </w:tbl>
    <w:p>
      <w:pPr>
        <w:spacing w:line="460" w:lineRule="exact"/>
        <w:rPr>
          <w:rFonts w:ascii="Times New Roman" w:hAnsi="Times New Roman" w:eastAsia="新宋体" w:cs="Times New Roman"/>
          <w:b/>
          <w:bCs/>
          <w:color w:val="000000" w:themeColor="text1"/>
          <w:sz w:val="22"/>
          <w:highlight w:val="none"/>
          <w14:textFill>
            <w14:solidFill>
              <w14:schemeClr w14:val="tx1"/>
            </w14:solidFill>
          </w14:textFill>
        </w:rPr>
      </w:pPr>
      <w:r>
        <w:rPr>
          <w:rFonts w:ascii="Times New Roman" w:hAnsi="Times New Roman" w:eastAsia="新宋体" w:cs="Times New Roman"/>
          <w:b/>
          <w:bCs/>
          <w:color w:val="000000" w:themeColor="text1"/>
          <w:sz w:val="22"/>
          <w:highlight w:val="none"/>
          <w14:textFill>
            <w14:solidFill>
              <w14:schemeClr w14:val="tx1"/>
            </w14:solidFill>
          </w14:textFill>
        </w:rPr>
        <w:t>注：本磋商文件中项目技术参数要求仅供参考，可能涉及某产品的极个性化描述，均不作为对投标产品的特定要求，仅代表对该具体指标、参数或名词所反映的软件、硬件功能的要求。</w:t>
      </w:r>
      <w:r>
        <w:rPr>
          <w:rFonts w:ascii="Times New Roman" w:hAnsi="Times New Roman" w:eastAsia="新宋体" w:cs="Times New Roman"/>
          <w:b/>
          <w:bCs/>
          <w:color w:val="000000" w:themeColor="text1"/>
          <w:sz w:val="22"/>
          <w:highlight w:val="none"/>
          <w:shd w:val="clear" w:color="auto" w:fill="FFFFFF"/>
          <w14:textFill>
            <w14:solidFill>
              <w14:schemeClr w14:val="tx1"/>
            </w14:solidFill>
          </w14:textFill>
        </w:rPr>
        <w:t>供应商可根据项目技术要求作为参考参数选择投标产品，但所选投标产品的技术配置及技术性能应相当于或高于磋商文件要求，并满足采购需求，否则将可能作出对其不利的评定。</w:t>
      </w:r>
    </w:p>
    <w:p>
      <w:pPr>
        <w:spacing w:line="460" w:lineRule="exact"/>
        <w:rPr>
          <w:rFonts w:ascii="Times New Roman" w:hAnsi="Times New Roman" w:eastAsia="新宋体" w:cs="Times New Roman"/>
          <w:b/>
          <w:bCs/>
          <w:color w:val="000000" w:themeColor="text1"/>
          <w:sz w:val="22"/>
          <w:highlight w:val="none"/>
          <w14:textFill>
            <w14:solidFill>
              <w14:schemeClr w14:val="tx1"/>
            </w14:solidFill>
          </w14:textFill>
        </w:rPr>
      </w:pPr>
      <w:r>
        <w:rPr>
          <w:rFonts w:ascii="Times New Roman" w:hAnsi="Times New Roman" w:eastAsia="新宋体" w:cs="Times New Roman"/>
          <w:b/>
          <w:bCs/>
          <w:color w:val="000000" w:themeColor="text1"/>
          <w:sz w:val="22"/>
          <w:highlight w:val="none"/>
          <w14:textFill>
            <w14:solidFill>
              <w14:schemeClr w14:val="tx1"/>
            </w14:solidFill>
          </w14:textFill>
        </w:rPr>
        <w:t>（三）配置清单</w:t>
      </w:r>
    </w:p>
    <w:p>
      <w:pPr>
        <w:spacing w:line="460" w:lineRule="exact"/>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X射线单晶衍射仪一套</w:t>
      </w:r>
    </w:p>
    <w:p>
      <w:pPr>
        <w:spacing w:line="460" w:lineRule="exact"/>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高精度测角仪一套</w:t>
      </w:r>
    </w:p>
    <w:p>
      <w:pPr>
        <w:spacing w:line="460" w:lineRule="exact"/>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高灵敏度二维面探硅阵列探测器一套</w:t>
      </w:r>
    </w:p>
    <w:p>
      <w:pPr>
        <w:spacing w:line="460" w:lineRule="exact"/>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液氮低温冷却系统一套</w:t>
      </w:r>
    </w:p>
    <w:p>
      <w:pPr>
        <w:spacing w:line="460" w:lineRule="exact"/>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系统控制与数据收集软件一套</w:t>
      </w:r>
    </w:p>
    <w:p>
      <w:pPr>
        <w:spacing w:line="460" w:lineRule="exact"/>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结构数据分析软件一套</w:t>
      </w:r>
    </w:p>
    <w:p>
      <w:pPr>
        <w:spacing w:line="460" w:lineRule="exact"/>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测角仪探头一只</w:t>
      </w:r>
    </w:p>
    <w:p>
      <w:pPr>
        <w:spacing w:line="460" w:lineRule="exact"/>
        <w:rPr>
          <w:rFonts w:ascii="Times New Roman" w:hAnsi="Times New Roman" w:eastAsia="新宋体" w:cs="Times New Roman"/>
          <w:color w:val="000000" w:themeColor="text1"/>
          <w:sz w:val="22"/>
          <w:highlight w:val="none"/>
          <w14:textFill>
            <w14:solidFill>
              <w14:schemeClr w14:val="tx1"/>
            </w14:solidFill>
          </w14:textFill>
        </w:rPr>
      </w:pPr>
      <w:r>
        <w:rPr>
          <w:rFonts w:ascii="Times New Roman" w:hAnsi="Times New Roman" w:eastAsia="新宋体" w:cs="Times New Roman"/>
          <w:color w:val="000000" w:themeColor="text1"/>
          <w:sz w:val="22"/>
          <w:highlight w:val="none"/>
          <w14:textFill>
            <w14:solidFill>
              <w14:schemeClr w14:val="tx1"/>
            </w14:solidFill>
          </w14:textFill>
        </w:rPr>
        <w:t>数据分析系统一套</w:t>
      </w:r>
    </w:p>
    <w:p>
      <w:pPr>
        <w:spacing w:line="460" w:lineRule="exact"/>
        <w:rPr>
          <w:rFonts w:ascii="Times New Roman" w:hAnsi="Times New Roman" w:eastAsia="新宋体" w:cs="Times New Roman"/>
          <w:b/>
          <w:bCs/>
          <w:color w:val="000000" w:themeColor="text1"/>
          <w:sz w:val="22"/>
          <w:highlight w:val="none"/>
          <w14:textFill>
            <w14:solidFill>
              <w14:schemeClr w14:val="tx1"/>
            </w14:solidFill>
          </w14:textFill>
        </w:rPr>
      </w:pPr>
    </w:p>
    <w:p>
      <w:pPr>
        <w:tabs>
          <w:tab w:val="left" w:pos="360"/>
        </w:tabs>
        <w:spacing w:line="460" w:lineRule="exact"/>
        <w:rPr>
          <w:rFonts w:ascii="Times New Roman" w:hAnsi="Times New Roman" w:eastAsia="新宋体" w:cs="Times New Roman"/>
          <w:b/>
          <w:bCs/>
          <w:color w:val="000000" w:themeColor="text1"/>
          <w:sz w:val="22"/>
          <w:highlight w:val="none"/>
          <w14:textFill>
            <w14:solidFill>
              <w14:schemeClr w14:val="tx1"/>
            </w14:solidFill>
          </w14:textFill>
        </w:rPr>
      </w:pPr>
      <w:r>
        <w:rPr>
          <w:rFonts w:ascii="Times New Roman" w:hAnsi="Times New Roman" w:eastAsia="新宋体" w:cs="Times New Roman"/>
          <w:b/>
          <w:bCs/>
          <w:color w:val="000000" w:themeColor="text1"/>
          <w:sz w:val="22"/>
          <w:highlight w:val="none"/>
          <w14:textFill>
            <w14:solidFill>
              <w14:schemeClr w14:val="tx1"/>
            </w14:solidFill>
          </w14:textFill>
        </w:rPr>
        <w:t>（四）商务要求（技术要求里另有注明的以技术要求为准）</w:t>
      </w:r>
      <w:bookmarkEnd w:id="60"/>
    </w:p>
    <w:tbl>
      <w:tblPr>
        <w:tblStyle w:val="50"/>
        <w:tblW w:w="96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81"/>
        <w:gridCol w:w="82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履约保证金</w:t>
            </w:r>
          </w:p>
        </w:tc>
        <w:tc>
          <w:tcPr>
            <w:tcW w:w="82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360"/>
              </w:tabs>
              <w:spacing w:before="0" w:beforeAutospacing="0" w:after="0" w:afterAutospacing="0" w:line="460" w:lineRule="exact"/>
              <w:ind w:left="0" w:right="0" w:firstLine="442" w:firstLineChars="200"/>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国产设备：</w:t>
            </w:r>
          </w:p>
          <w:p>
            <w:pPr>
              <w:keepNext w:val="0"/>
              <w:keepLines w:val="0"/>
              <w:suppressLineNumbers w:val="0"/>
              <w:tabs>
                <w:tab w:val="left" w:pos="360"/>
              </w:tabs>
              <w:spacing w:before="0" w:beforeAutospacing="0" w:after="0" w:afterAutospacing="0" w:line="460" w:lineRule="exact"/>
              <w:ind w:left="0" w:right="0" w:firstLine="442" w:firstLineChars="200"/>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履约保证金支付（二选一）</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1、合同签订后，乙方5个工作日内支付合同金额的1%作为履约保证金，履约保证金自项目验收合格之日起无质量问题，甲方按程序在7个工作日内无息退还。</w:t>
            </w:r>
          </w:p>
          <w:p>
            <w:pPr>
              <w:keepNext w:val="0"/>
              <w:keepLines w:val="0"/>
              <w:suppressLineNumbers w:val="0"/>
              <w:tabs>
                <w:tab w:val="left" w:pos="360"/>
              </w:tabs>
              <w:spacing w:before="0" w:beforeAutospacing="0" w:after="0" w:afterAutospacing="0" w:line="460" w:lineRule="exact"/>
              <w:ind w:left="0" w:right="0" w:firstLine="440" w:firstLineChars="200"/>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2、合同签订后，乙方5个工作日内提交合同金额1%的保函作为履约保证金，保函有效期不少于自项目验收合格之日，无质量问题甲方按程序退还保函。</w:t>
            </w:r>
          </w:p>
          <w:p>
            <w:pPr>
              <w:keepNext w:val="0"/>
              <w:keepLines w:val="0"/>
              <w:suppressLineNumbers w:val="0"/>
              <w:tabs>
                <w:tab w:val="left" w:pos="360"/>
              </w:tabs>
              <w:spacing w:before="0" w:beforeAutospacing="0" w:after="0" w:afterAutospacing="0" w:line="460" w:lineRule="exact"/>
              <w:ind w:left="0" w:right="0" w:firstLine="442" w:firstLineChars="200"/>
              <w:rPr>
                <w:rFonts w:hint="default" w:ascii="Times New Roman" w:hAnsi="Times New Roman" w:eastAsia="新宋体" w:cs="Times New Roman"/>
                <w:b/>
                <w:bCs/>
                <w:color w:val="000000" w:themeColor="text1"/>
                <w:sz w:val="22"/>
                <w:highlight w:val="none"/>
                <w:lang w:val="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zh-CN"/>
                <w14:textFill>
                  <w14:solidFill>
                    <w14:schemeClr w14:val="tx1"/>
                  </w14:solidFill>
                </w14:textFill>
              </w:rPr>
              <w:t>进口设备：</w:t>
            </w:r>
          </w:p>
          <w:p>
            <w:pPr>
              <w:keepNext w:val="0"/>
              <w:keepLines w:val="0"/>
              <w:suppressLineNumbers w:val="0"/>
              <w:tabs>
                <w:tab w:val="left" w:pos="360"/>
              </w:tabs>
              <w:spacing w:before="0" w:beforeAutospacing="0" w:after="0" w:afterAutospacing="0" w:line="460" w:lineRule="exact"/>
              <w:ind w:left="0" w:right="0" w:firstLine="442" w:firstLineChars="200"/>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履约保证金支付（二选一）</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1、合同签订后，乙方5个工作日内支付合同金额的1%作为履约保证金，履约保证金自项目验收合格之日起无质量问题，甲方按程序在7个工作日内无息退还。</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highlight w:val="none"/>
                <w:u w:val="singl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2、合同签订后，乙方5个工作日内提交合同金额1%的保函作为履约保证金，保函有效期不少于自项目验收合格之日，无质量问题甲方按程序退还保函。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支付方式</w:t>
            </w:r>
          </w:p>
        </w:tc>
        <w:tc>
          <w:tcPr>
            <w:tcW w:w="829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60" w:lineRule="exact"/>
              <w:ind w:left="0" w:right="0" w:firstLine="442" w:firstLineChars="200"/>
              <w:rPr>
                <w:rFonts w:hint="default" w:ascii="Times New Roman" w:hAnsi="Times New Roman" w:eastAsia="新宋体" w:cs="Times New Roman"/>
                <w:color w:val="000000" w:themeColor="text1"/>
                <w:sz w:val="22"/>
                <w:highlight w:val="none"/>
                <w:lang w:val="zh-CN"/>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国产设备</w:t>
            </w:r>
            <w:r>
              <w:rPr>
                <w:rFonts w:hint="eastAsia" w:eastAsia="新宋体" w:cs="Times New Roman"/>
                <w:b/>
                <w:bCs/>
                <w:color w:val="000000" w:themeColor="text1"/>
                <w:sz w:val="22"/>
                <w:highlight w:val="none"/>
                <w14:textFill>
                  <w14:solidFill>
                    <w14:schemeClr w14:val="tx1"/>
                  </w14:solidFill>
                </w14:textFill>
              </w:rPr>
              <w:t>：</w:t>
            </w:r>
          </w:p>
          <w:p>
            <w:pPr>
              <w:keepNext w:val="0"/>
              <w:keepLines w:val="0"/>
              <w:suppressLineNumbers w:val="0"/>
              <w:tabs>
                <w:tab w:val="left" w:pos="360"/>
              </w:tabs>
              <w:spacing w:before="0" w:beforeAutospacing="0" w:after="0" w:afterAutospacing="0" w:line="460" w:lineRule="exact"/>
              <w:ind w:left="0" w:right="0" w:firstLine="442" w:firstLineChars="200"/>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合同金额结算及支付方式：（二选一）</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highlight w:val="none"/>
                <w:lang w:val="zh-CN"/>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1、合同签订后，乙方向甲方提交合同金额40%的保函后15日内，甲方向乙方支付合同总额40%的预付款；</w:t>
            </w:r>
            <w:r>
              <w:rPr>
                <w:rFonts w:hint="default" w:ascii="Times New Roman" w:hAnsi="Times New Roman" w:eastAsia="新宋体" w:cs="Times New Roman"/>
                <w:color w:val="000000" w:themeColor="text1"/>
                <w:sz w:val="22"/>
                <w:highlight w:val="none"/>
                <w:lang w:val="zh-CN"/>
                <w14:textFill>
                  <w14:solidFill>
                    <w14:schemeClr w14:val="tx1"/>
                  </w14:solidFill>
                </w14:textFill>
              </w:rPr>
              <w:t>乙方完成全部供货及安装、调试、培训并出具全额增值税发票，甲方验收合格、入库后15个工作日内，甲方支付剩余</w:t>
            </w:r>
            <w:r>
              <w:rPr>
                <w:rFonts w:hint="default" w:ascii="Times New Roman" w:hAnsi="Times New Roman" w:eastAsia="新宋体" w:cs="Times New Roman"/>
                <w:color w:val="000000" w:themeColor="text1"/>
                <w:sz w:val="22"/>
                <w:highlight w:val="none"/>
                <w14:textFill>
                  <w14:solidFill>
                    <w14:schemeClr w14:val="tx1"/>
                  </w14:solidFill>
                </w14:textFill>
              </w:rPr>
              <w:t>60%的</w:t>
            </w:r>
            <w:r>
              <w:rPr>
                <w:rFonts w:hint="default" w:ascii="Times New Roman" w:hAnsi="Times New Roman" w:eastAsia="新宋体" w:cs="Times New Roman"/>
                <w:color w:val="000000" w:themeColor="text1"/>
                <w:sz w:val="22"/>
                <w:highlight w:val="none"/>
                <w:lang w:val="zh-CN"/>
                <w14:textFill>
                  <w14:solidFill>
                    <w14:schemeClr w14:val="tx1"/>
                  </w14:solidFill>
                </w14:textFill>
              </w:rPr>
              <w:t>合同款并退还保函。</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highlight w:val="none"/>
                <w:lang w:val="zh-CN"/>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2、在签订合同时，</w:t>
            </w:r>
            <w:r>
              <w:rPr>
                <w:rFonts w:hint="eastAsia" w:ascii="Times New Roman" w:hAnsi="Times New Roman" w:eastAsia="新宋体" w:cs="Times New Roman"/>
                <w:color w:val="000000" w:themeColor="text1"/>
                <w:sz w:val="22"/>
                <w:highlight w:val="none"/>
                <w14:textFill>
                  <w14:solidFill>
                    <w14:schemeClr w14:val="tx1"/>
                  </w14:solidFill>
                </w14:textFill>
              </w:rPr>
              <w:t>乙方</w:t>
            </w:r>
            <w:r>
              <w:rPr>
                <w:rFonts w:hint="default" w:ascii="Times New Roman" w:hAnsi="Times New Roman" w:eastAsia="新宋体" w:cs="Times New Roman"/>
                <w:color w:val="000000" w:themeColor="text1"/>
                <w:sz w:val="22"/>
                <w:highlight w:val="none"/>
                <w14:textFill>
                  <w14:solidFill>
                    <w14:schemeClr w14:val="tx1"/>
                  </w14:solidFill>
                </w14:textFill>
              </w:rPr>
              <w:t>明确表示无需预付款的，可不提供预付款保函，合同款项在安装验收合格后支付，</w:t>
            </w:r>
            <w:r>
              <w:rPr>
                <w:rFonts w:hint="eastAsia" w:ascii="Times New Roman" w:hAnsi="Times New Roman" w:eastAsia="新宋体" w:cs="Times New Roman"/>
                <w:color w:val="000000" w:themeColor="text1"/>
                <w:sz w:val="22"/>
                <w:highlight w:val="none"/>
                <w14:textFill>
                  <w14:solidFill>
                    <w14:schemeClr w14:val="tx1"/>
                  </w14:solidFill>
                </w14:textFill>
              </w:rPr>
              <w:t>甲方</w:t>
            </w:r>
            <w:r>
              <w:rPr>
                <w:rFonts w:hint="default" w:ascii="Times New Roman" w:hAnsi="Times New Roman" w:eastAsia="新宋体" w:cs="Times New Roman"/>
                <w:color w:val="000000" w:themeColor="text1"/>
                <w:sz w:val="22"/>
                <w:highlight w:val="none"/>
                <w14:textFill>
                  <w14:solidFill>
                    <w14:schemeClr w14:val="tx1"/>
                  </w14:solidFill>
                </w14:textFill>
              </w:rPr>
              <w:t>自收到发票后7个工作日内将货款支付给</w:t>
            </w:r>
            <w:r>
              <w:rPr>
                <w:rFonts w:hint="eastAsia" w:ascii="Times New Roman" w:hAnsi="Times New Roman" w:eastAsia="新宋体" w:cs="Times New Roman"/>
                <w:color w:val="000000" w:themeColor="text1"/>
                <w:sz w:val="22"/>
                <w:highlight w:val="none"/>
                <w14:textFill>
                  <w14:solidFill>
                    <w14:schemeClr w14:val="tx1"/>
                  </w14:solidFill>
                </w14:textFill>
              </w:rPr>
              <w:t>乙方</w:t>
            </w:r>
            <w:r>
              <w:rPr>
                <w:rFonts w:hint="default" w:ascii="Times New Roman" w:hAnsi="Times New Roman" w:eastAsia="新宋体" w:cs="Times New Roman"/>
                <w:color w:val="000000" w:themeColor="text1"/>
                <w:sz w:val="22"/>
                <w:highlight w:val="none"/>
                <w14:textFill>
                  <w14:solidFill>
                    <w14:schemeClr w14:val="tx1"/>
                  </w14:solidFill>
                </w14:textFill>
              </w:rPr>
              <w:t>。</w:t>
            </w:r>
          </w:p>
          <w:p>
            <w:pPr>
              <w:keepNext w:val="0"/>
              <w:keepLines w:val="0"/>
              <w:suppressLineNumbers w:val="0"/>
              <w:tabs>
                <w:tab w:val="left" w:pos="360"/>
              </w:tabs>
              <w:spacing w:before="0" w:beforeAutospacing="0" w:after="0" w:afterAutospacing="0" w:line="460" w:lineRule="exact"/>
              <w:ind w:left="0" w:right="0" w:firstLine="442" w:firstLineChars="200"/>
              <w:rPr>
                <w:rFonts w:hint="default" w:ascii="Times New Roman" w:hAnsi="Times New Roman" w:eastAsia="新宋体" w:cs="Times New Roman"/>
                <w:color w:val="000000" w:themeColor="text1"/>
                <w:sz w:val="22"/>
                <w:highlight w:val="none"/>
                <w:lang w:val="zh-CN"/>
                <w14:textFill>
                  <w14:solidFill>
                    <w14:schemeClr w14:val="tx1"/>
                  </w14:solidFill>
                </w14:textFill>
              </w:rPr>
            </w:pPr>
            <w:r>
              <w:rPr>
                <w:rFonts w:hint="default" w:ascii="Times New Roman" w:hAnsi="Times New Roman" w:eastAsia="新宋体" w:cs="Times New Roman"/>
                <w:b/>
                <w:bCs/>
                <w:color w:val="000000" w:themeColor="text1"/>
                <w:sz w:val="22"/>
                <w:highlight w:val="none"/>
                <w:lang w:val="zh-CN"/>
                <w14:textFill>
                  <w14:solidFill>
                    <w14:schemeClr w14:val="tx1"/>
                  </w14:solidFill>
                </w14:textFill>
              </w:rPr>
              <w:t>进口设备：</w:t>
            </w:r>
          </w:p>
          <w:p>
            <w:pPr>
              <w:keepNext w:val="0"/>
              <w:keepLines w:val="0"/>
              <w:suppressLineNumbers w:val="0"/>
              <w:tabs>
                <w:tab w:val="left" w:pos="360"/>
              </w:tabs>
              <w:spacing w:before="0" w:beforeAutospacing="0" w:after="0" w:afterAutospacing="0" w:line="460" w:lineRule="exact"/>
              <w:ind w:left="0" w:right="0" w:firstLine="442" w:firstLineChars="200"/>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合同金额结算及支付方式：（三选一）</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合同签订后，甲方按合同金额的30%预付给外贸代理公司办理100%的即期不可撤销信用证（L/C），合同金额的55%凭提单预付给外贸代理公司，乙方完成全部供货及安装、调试、培训并通过买方验收、入库后，甲方在15个工作日内支付合同金额的15%。</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2、合同签订后，甲方按合同金额的85%凭提单预付给外贸代理公司，乙方完成全部供货及安装、调试、培训并通过买方验收、入库后，甲方在15个工作日内支付合同金额的15%。</w:t>
            </w:r>
          </w:p>
          <w:p>
            <w:pPr>
              <w:keepNext w:val="0"/>
              <w:keepLines w:val="0"/>
              <w:suppressLineNumbers w:val="0"/>
              <w:spacing w:before="0" w:beforeAutospacing="0" w:after="0" w:afterAutospacing="0" w:line="460" w:lineRule="exact"/>
              <w:ind w:left="0" w:right="0" w:firstLine="440" w:firstLineChars="200"/>
              <w:rPr>
                <w:rFonts w:hint="default" w:ascii="Times New Roman" w:hAnsi="Times New Roman" w:eastAsia="新宋体" w:cs="Times New Roman"/>
                <w:color w:val="000000" w:themeColor="text1"/>
                <w:sz w:val="22"/>
                <w:highlight w:val="none"/>
                <w:u w:val="singl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3、在签订合同时，</w:t>
            </w:r>
            <w:r>
              <w:rPr>
                <w:rFonts w:hint="eastAsia" w:ascii="Times New Roman" w:hAnsi="Times New Roman" w:eastAsia="新宋体" w:cs="Times New Roman"/>
                <w:color w:val="000000" w:themeColor="text1"/>
                <w:sz w:val="22"/>
                <w:highlight w:val="none"/>
                <w14:textFill>
                  <w14:solidFill>
                    <w14:schemeClr w14:val="tx1"/>
                  </w14:solidFill>
                </w14:textFill>
              </w:rPr>
              <w:t>乙方</w:t>
            </w:r>
            <w:r>
              <w:rPr>
                <w:rFonts w:hint="default" w:ascii="Times New Roman" w:hAnsi="Times New Roman" w:eastAsia="新宋体" w:cs="Times New Roman"/>
                <w:color w:val="000000" w:themeColor="text1"/>
                <w:sz w:val="22"/>
                <w:highlight w:val="none"/>
                <w14:textFill>
                  <w14:solidFill>
                    <w14:schemeClr w14:val="tx1"/>
                  </w14:solidFill>
                </w14:textFill>
              </w:rPr>
              <w:t>明确表示无需预付款的，可不提供预付款保函，合同款项在安装验收合格后支付，</w:t>
            </w:r>
            <w:r>
              <w:rPr>
                <w:rFonts w:hint="eastAsia" w:ascii="Times New Roman" w:hAnsi="Times New Roman" w:eastAsia="新宋体" w:cs="Times New Roman"/>
                <w:color w:val="000000" w:themeColor="text1"/>
                <w:sz w:val="22"/>
                <w:highlight w:val="none"/>
                <w14:textFill>
                  <w14:solidFill>
                    <w14:schemeClr w14:val="tx1"/>
                  </w14:solidFill>
                </w14:textFill>
              </w:rPr>
              <w:t>甲方</w:t>
            </w:r>
            <w:r>
              <w:rPr>
                <w:rFonts w:hint="default" w:ascii="Times New Roman" w:hAnsi="Times New Roman" w:eastAsia="新宋体" w:cs="Times New Roman"/>
                <w:color w:val="000000" w:themeColor="text1"/>
                <w:sz w:val="22"/>
                <w:highlight w:val="none"/>
                <w14:textFill>
                  <w14:solidFill>
                    <w14:schemeClr w14:val="tx1"/>
                  </w14:solidFill>
                </w14:textFill>
              </w:rPr>
              <w:t>自收到发票后7个工作日内将货款支付给</w:t>
            </w:r>
            <w:r>
              <w:rPr>
                <w:rFonts w:hint="eastAsia" w:ascii="Times New Roman" w:hAnsi="Times New Roman" w:eastAsia="新宋体" w:cs="Times New Roman"/>
                <w:color w:val="000000" w:themeColor="text1"/>
                <w:sz w:val="22"/>
                <w:highlight w:val="none"/>
                <w14:textFill>
                  <w14:solidFill>
                    <w14:schemeClr w14:val="tx1"/>
                  </w14:solidFill>
                </w14:textFill>
              </w:rPr>
              <w:t>乙方</w:t>
            </w:r>
            <w:r>
              <w:rPr>
                <w:rFonts w:hint="default" w:ascii="Times New Roman" w:hAnsi="Times New Roman" w:eastAsia="新宋体" w:cs="Times New Roman"/>
                <w:color w:val="000000" w:themeColor="text1"/>
                <w:sz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交付时间</w:t>
            </w:r>
          </w:p>
        </w:tc>
        <w:tc>
          <w:tcPr>
            <w:tcW w:w="8292"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合同签订后</w:t>
            </w:r>
            <w:r>
              <w:rPr>
                <w:rFonts w:hint="default" w:ascii="Times New Roman" w:hAnsi="Times New Roman" w:eastAsia="新宋体" w:cs="Times New Roman"/>
                <w:b/>
                <w:bCs/>
                <w:color w:val="000000" w:themeColor="text1"/>
                <w:sz w:val="22"/>
                <w:highlight w:val="none"/>
                <w:u w:val="single"/>
                <w14:textFill>
                  <w14:solidFill>
                    <w14:schemeClr w14:val="tx1"/>
                  </w14:solidFill>
                </w14:textFill>
              </w:rPr>
              <w:t xml:space="preserve"> </w:t>
            </w:r>
            <w:r>
              <w:rPr>
                <w:rFonts w:hint="eastAsia" w:eastAsia="新宋体" w:cs="Times New Roman"/>
                <w:b/>
                <w:bCs/>
                <w:color w:val="000000" w:themeColor="text1"/>
                <w:sz w:val="22"/>
                <w:highlight w:val="none"/>
                <w:u w:val="single"/>
                <w14:textFill>
                  <w14:solidFill>
                    <w14:schemeClr w14:val="tx1"/>
                  </w14:solidFill>
                </w14:textFill>
              </w:rPr>
              <w:t>180</w:t>
            </w:r>
            <w:r>
              <w:rPr>
                <w:rFonts w:hint="default" w:ascii="Times New Roman" w:hAnsi="Times New Roman" w:eastAsia="新宋体" w:cs="Times New Roman"/>
                <w:b/>
                <w:bCs/>
                <w:color w:val="000000" w:themeColor="text1"/>
                <w:sz w:val="22"/>
                <w:highlight w:val="none"/>
                <w:u w:val="single"/>
                <w14:textFill>
                  <w14:solidFill>
                    <w14:schemeClr w14:val="tx1"/>
                  </w14:solidFill>
                </w14:textFill>
              </w:rPr>
              <w:t xml:space="preserve"> </w:t>
            </w:r>
            <w:r>
              <w:rPr>
                <w:rFonts w:hint="default" w:ascii="Times New Roman" w:hAnsi="Times New Roman" w:eastAsia="新宋体" w:cs="Times New Roman"/>
                <w:b/>
                <w:bCs/>
                <w:color w:val="000000" w:themeColor="text1"/>
                <w:sz w:val="22"/>
                <w:highlight w:val="none"/>
                <w14:textFill>
                  <w14:solidFill>
                    <w14:schemeClr w14:val="tx1"/>
                  </w14:solidFill>
                </w14:textFill>
              </w:rPr>
              <w:t>天内交货完毕、安装调试完成。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交付地点</w:t>
            </w:r>
          </w:p>
        </w:tc>
        <w:tc>
          <w:tcPr>
            <w:tcW w:w="8292"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质保期</w:t>
            </w:r>
          </w:p>
        </w:tc>
        <w:tc>
          <w:tcPr>
            <w:tcW w:w="8292"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整机质保期不小于</w:t>
            </w:r>
            <w:r>
              <w:rPr>
                <w:rFonts w:hint="eastAsia" w:ascii="Times New Roman" w:hAnsi="Times New Roman" w:eastAsia="新宋体" w:cs="Times New Roman"/>
                <w:color w:val="000000" w:themeColor="text1"/>
                <w:sz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highlight w:val="none"/>
                <w14:textFill>
                  <w14:solidFill>
                    <w14:schemeClr w14:val="tx1"/>
                  </w14:solidFill>
                </w14:textFill>
              </w:rPr>
              <w:t>年，质保期时间自验收合格之日开始计算。在此质保期内，如在正常使用过程中出现的质量问题，供应商须负责免费维修或调换。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eastAsia" w:ascii="Times New Roman" w:hAnsi="Times New Roman" w:eastAsia="新宋体" w:cs="Times New Roman"/>
                <w:b/>
                <w:bCs/>
                <w:color w:val="000000" w:themeColor="text1"/>
                <w:sz w:val="22"/>
                <w:highlight w:val="none"/>
                <w14:textFill>
                  <w14:solidFill>
                    <w14:schemeClr w14:val="tx1"/>
                  </w14:solidFill>
                </w14:textFill>
              </w:rPr>
              <w:t>备品、零配件</w:t>
            </w:r>
          </w:p>
        </w:tc>
        <w:tc>
          <w:tcPr>
            <w:tcW w:w="8292"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列明设备使用所需的消耗品、零配件（200元以上）的详细价格清单，</w:t>
            </w:r>
            <w:r>
              <w:rPr>
                <w:rFonts w:hint="eastAsia" w:ascii="Times New Roman" w:hAnsi="Times New Roman" w:eastAsia="新宋体" w:cs="Times New Roman"/>
                <w:color w:val="000000" w:themeColor="text1"/>
                <w:sz w:val="22"/>
                <w:highlight w:val="none"/>
                <w14:textFill>
                  <w14:solidFill>
                    <w14:schemeClr w14:val="tx1"/>
                  </w14:solidFill>
                </w14:textFill>
              </w:rPr>
              <w:t>供应商</w:t>
            </w:r>
            <w:r>
              <w:rPr>
                <w:rFonts w:hint="default" w:ascii="Times New Roman" w:hAnsi="Times New Roman" w:eastAsia="新宋体" w:cs="Times New Roman"/>
                <w:color w:val="000000" w:themeColor="text1"/>
                <w:sz w:val="22"/>
                <w:highlight w:val="none"/>
                <w14:textFill>
                  <w14:solidFill>
                    <w14:schemeClr w14:val="tx1"/>
                  </w14:solidFill>
                </w14:textFill>
              </w:rPr>
              <w:t>应承诺设备使用期内采购价格不高于此次报价。（</w:t>
            </w:r>
            <w:r>
              <w:rPr>
                <w:rFonts w:hint="default" w:ascii="Times New Roman" w:hAnsi="Times New Roman" w:eastAsia="新宋体" w:cs="Times New Roman"/>
                <w:b/>
                <w:color w:val="000000" w:themeColor="text1"/>
                <w:sz w:val="22"/>
                <w:highlight w:val="none"/>
                <w14:textFill>
                  <w14:solidFill>
                    <w14:schemeClr w14:val="tx1"/>
                  </w14:solidFill>
                </w14:textFill>
              </w:rPr>
              <w:t>如无列出，视为无偿提供</w:t>
            </w:r>
            <w:r>
              <w:rPr>
                <w:rFonts w:hint="default" w:ascii="Times New Roman" w:hAnsi="Times New Roman" w:eastAsia="新宋体" w:cs="Times New Roman"/>
                <w:color w:val="000000" w:themeColor="text1"/>
                <w:sz w:val="22"/>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服务标准</w:t>
            </w:r>
          </w:p>
        </w:tc>
        <w:tc>
          <w:tcPr>
            <w:tcW w:w="8292"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质保期内因不能排除的故障而影响工作的情况每发生一次，其质保期相应延长60天，质保期内因设备本身缺陷造成各种故障应由磋商供应商免费予以技术服务和维修（如有必要可进行更换），否则将扣除质量保证金作为对采购人的补偿。</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在设备整个质保期内，成交供应商应确保设备的正常使用，零配件在该设备停产后仍需保证2年的供应，维修过程中所需零配件成交供应商在接到通知后应当天及时提供，并最长不超过12小时（特殊设备另行说明）送达用户指定地点。</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质保期满后，仅收取设备维修的材料和零配件成本费用，免人工费、差旅费，所涉及软件终身免费升级。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服务效率</w:t>
            </w:r>
          </w:p>
        </w:tc>
        <w:tc>
          <w:tcPr>
            <w:tcW w:w="8292"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1、合同货物出现故障后，磋商供应商接到采购人通知应在不超过2小时内做出响应，不超过2个工作日内解决故障。</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2、磋商供应商提供7*24小时服务响应，需要到达现场解决的，接到用户报修电话后，在4小时到故障现场，故障在8小时内处理完成。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验收标准</w:t>
            </w:r>
          </w:p>
        </w:tc>
        <w:tc>
          <w:tcPr>
            <w:tcW w:w="8292"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成交供应商完工后，整体项目进入试运行阶段，由采购人、成交供应商双方对整个项目的每日运行情况进行记录，试运行满一个月，系统无重大纰漏或故障，成交供应商可向采购人提交项目验收书面申请，并提交采购人要求编制的竣工验收资料文档”、“验收不合格的，成交供应商应立即进行重新调试，直至结果符合本合同验收标准，由此产生的费用由成交供应商承担”。</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合同履约验收参照《温州市政府采购履约验收办法》（温财采[2020]6号）相关规定。合同履约达到验收条件时，成交供应商向采购人书面发起验收申请，采购人或者其委托的采购代理机构（以下简称验收组织机构）在收到成交供应商验收申请五个工作日内启动项目验收。</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合同金额在采购限额标准以上的，原则上应采用一般程序验收。验收小组应当由五人以上（含本数）单数、熟悉项目需求和标的人员组成，其中相关专业技术人员人数不得少于验收小组人员总数的三分之二。验收组织机构应当按照采购文件、投标（响应）文件、采购合同、封存样品等约定的质量、数量、技术指标或者服务要求设验收指标及其标准。未约定的，应当符合国家强制性规定、政策要求、安全标准、行业或企业有关标准等。</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4、采购人依据验收书和成交供应商其他履约情况，对验收项目作出整体评价和分类评价，形成验收结果，除涉密情形外，采购人应在评价后2个工作日内在浙江政府采购网发布验收结果。</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5、收费用由成交供应商承担。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38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Autospacing="0" w:line="460" w:lineRule="exact"/>
              <w:ind w:left="0" w:right="0"/>
              <w:jc w:val="center"/>
              <w:rPr>
                <w:rFonts w:hint="default" w:ascii="Times New Roman" w:hAnsi="Times New Roman" w:eastAsia="新宋体" w:cs="Times New Roman"/>
                <w:b/>
                <w:bCs/>
                <w:color w:val="000000" w:themeColor="text1"/>
                <w:sz w:val="22"/>
                <w:highlight w:val="none"/>
                <w14:textFill>
                  <w14:solidFill>
                    <w14:schemeClr w14:val="tx1"/>
                  </w14:solidFill>
                </w14:textFill>
              </w:rPr>
            </w:pPr>
            <w:r>
              <w:rPr>
                <w:rFonts w:hint="default" w:ascii="Times New Roman" w:hAnsi="Times New Roman" w:eastAsia="新宋体" w:cs="Times New Roman"/>
                <w:b/>
                <w:bCs/>
                <w:color w:val="000000" w:themeColor="text1"/>
                <w:sz w:val="22"/>
                <w:highlight w:val="none"/>
                <w14:textFill>
                  <w14:solidFill>
                    <w14:schemeClr w14:val="tx1"/>
                  </w14:solidFill>
                </w14:textFill>
              </w:rPr>
              <w:t>其他技术、服务要求</w:t>
            </w:r>
          </w:p>
        </w:tc>
        <w:tc>
          <w:tcPr>
            <w:tcW w:w="8292" w:type="dxa"/>
            <w:tcBorders>
              <w:top w:val="single" w:color="auto" w:sz="4" w:space="0"/>
              <w:left w:val="single" w:color="auto" w:sz="4" w:space="0"/>
              <w:bottom w:val="single" w:color="auto" w:sz="4" w:space="0"/>
              <w:right w:val="single" w:color="auto" w:sz="4" w:space="0"/>
            </w:tcBorders>
            <w:vAlign w:val="center"/>
          </w:tcPr>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1、培训：</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1.1 对采购人的操作人员、维修人员每年定期免费进行培训。</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1.2 提供完整详细的实施、培训和运维计划方案，并得到采购人的批准。实施过程严格按照批准后的计划进行，如有变更需再次得到采购人的批准。</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2、技术支持：</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成交供应商应及时免费提供合同货物软件的升级，免费提供合同货物新功能和应用的资料。</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3、安装调试（若需要安装调试）：</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3.1 安装地点：采购人指定地点。</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3.2 安装完成时间：接到采购人通知后在规定时间内完成安装和调试，如在规定的时间内由于成交供应商的原因不能完成安装和调试，成交供应商应承担由此给采购人造成的损失。</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3.3 安装标准：符合我国国家有关技术规范要求和技术标准，所有的软件和硬件必须保证同时安装到位。</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3.4 成交供应商免费提供合同货物的安装服务。</w:t>
            </w:r>
          </w:p>
          <w:p>
            <w:pPr>
              <w:pStyle w:val="18"/>
              <w:keepNext w:val="0"/>
              <w:keepLines w:val="0"/>
              <w:widowControl/>
              <w:suppressLineNumbers w:val="0"/>
              <w:adjustRightInd w:val="0"/>
              <w:snapToGrid w:val="0"/>
              <w:spacing w:before="0" w:beforeAutospacing="0" w:after="0" w:afterAutospacing="0" w:line="460" w:lineRule="exact"/>
              <w:ind w:left="0" w:right="0"/>
              <w:rPr>
                <w:rFonts w:hint="default" w:ascii="Times New Roman" w:hAnsi="Times New Roman" w:eastAsia="新宋体" w:cs="Times New Roman"/>
                <w:color w:val="000000" w:themeColor="text1"/>
                <w:sz w:val="22"/>
                <w:highlight w:val="none"/>
                <w14:textFill>
                  <w14:solidFill>
                    <w14:schemeClr w14:val="tx1"/>
                  </w14:solidFill>
                </w14:textFill>
              </w:rPr>
            </w:pPr>
            <w:r>
              <w:rPr>
                <w:rFonts w:hint="default" w:ascii="Times New Roman" w:hAnsi="Times New Roman" w:eastAsia="新宋体" w:cs="Times New Roman"/>
                <w:color w:val="000000" w:themeColor="text1"/>
                <w:sz w:val="22"/>
                <w:highlight w:val="none"/>
                <w14:textFill>
                  <w14:solidFill>
                    <w14:schemeClr w14:val="tx1"/>
                  </w14:solidFill>
                </w14:textFill>
              </w:rPr>
              <w:t>3.5 供应商在磋商响应文件中应提供安装调试计划、对安装场地和环境的要求。</w:t>
            </w:r>
          </w:p>
        </w:tc>
      </w:tr>
    </w:tbl>
    <w:p>
      <w:pPr>
        <w:pStyle w:val="8"/>
        <w:rPr>
          <w:rFonts w:ascii="Times New Roman" w:hAnsi="Times New Roman" w:eastAsia="新宋体" w:cs="Times New Roman"/>
          <w:bCs/>
          <w:color w:val="000000" w:themeColor="text1"/>
          <w:sz w:val="22"/>
          <w:szCs w:val="22"/>
          <w:highlight w:val="none"/>
          <w14:textFill>
            <w14:solidFill>
              <w14:schemeClr w14:val="tx1"/>
            </w14:solidFill>
          </w14:textFill>
        </w:rPr>
      </w:pPr>
    </w:p>
    <w:p>
      <w:pPr>
        <w:rPr>
          <w:rFonts w:ascii="Times New Roman" w:hAnsi="Times New Roman" w:eastAsia="新宋体" w:cs="Times New Roman"/>
          <w:bCs/>
          <w:color w:val="000000" w:themeColor="text1"/>
          <w:sz w:val="22"/>
          <w:highlight w:val="none"/>
          <w14:textFill>
            <w14:solidFill>
              <w14:schemeClr w14:val="tx1"/>
            </w14:solidFill>
          </w14:textFill>
        </w:rPr>
      </w:pPr>
    </w:p>
    <w:p>
      <w:pPr>
        <w:pStyle w:val="8"/>
        <w:rPr>
          <w:rFonts w:ascii="Times New Roman" w:hAnsi="Times New Roman" w:eastAsia="新宋体" w:cs="Times New Roman"/>
          <w:bCs/>
          <w:color w:val="000000" w:themeColor="text1"/>
          <w:sz w:val="22"/>
          <w:szCs w:val="22"/>
          <w:highlight w:val="none"/>
          <w14:textFill>
            <w14:solidFill>
              <w14:schemeClr w14:val="tx1"/>
            </w14:solidFill>
          </w14:textFill>
        </w:rPr>
      </w:pPr>
    </w:p>
    <w:p>
      <w:pPr>
        <w:pStyle w:val="8"/>
        <w:rPr>
          <w:rFonts w:hint="default" w:ascii="Times New Roman" w:hAnsi="Times New Roman" w:eastAsia="新宋体" w:cs="Times New Roman"/>
          <w:bCs/>
          <w:color w:val="000000" w:themeColor="text1"/>
          <w:sz w:val="22"/>
          <w:szCs w:val="22"/>
          <w:highlight w:val="none"/>
          <w14:textFill>
            <w14:solidFill>
              <w14:schemeClr w14:val="tx1"/>
            </w14:solidFill>
          </w14:textFill>
        </w:rPr>
      </w:pPr>
    </w:p>
    <w:p>
      <w:pPr>
        <w:pStyle w:val="8"/>
        <w:rPr>
          <w:rFonts w:hint="default" w:ascii="Times New Roman" w:hAnsi="Times New Roman" w:eastAsia="新宋体" w:cs="Times New Roman"/>
          <w:color w:val="000000" w:themeColor="text1"/>
          <w:highlight w:val="none"/>
          <w14:textFill>
            <w14:solidFill>
              <w14:schemeClr w14:val="tx1"/>
            </w14:solidFill>
          </w14:textFill>
        </w:rPr>
      </w:pPr>
    </w:p>
    <w:p>
      <w:pPr>
        <w:rPr>
          <w:rFonts w:hint="default" w:ascii="Times New Roman" w:hAnsi="Times New Roman" w:eastAsia="新宋体" w:cs="Times New Roman"/>
          <w:color w:val="000000" w:themeColor="text1"/>
          <w:highlight w:val="none"/>
          <w14:textFill>
            <w14:solidFill>
              <w14:schemeClr w14:val="tx1"/>
            </w14:solidFill>
          </w14:textFill>
        </w:rPr>
      </w:pPr>
      <w:bookmarkStart w:id="67" w:name="_Toc6673"/>
      <w:bookmarkStart w:id="68" w:name="_Toc30620"/>
      <w:r>
        <w:rPr>
          <w:rFonts w:hint="default" w:ascii="Times New Roman" w:hAnsi="Times New Roman" w:eastAsia="新宋体" w:cs="Times New Roman"/>
          <w:color w:val="000000" w:themeColor="text1"/>
          <w:highlight w:val="none"/>
          <w14:textFill>
            <w14:solidFill>
              <w14:schemeClr w14:val="tx1"/>
            </w14:solidFill>
          </w14:textFill>
        </w:rPr>
        <w:br w:type="page"/>
      </w:r>
    </w:p>
    <w:p>
      <w:pPr>
        <w:pStyle w:val="4"/>
        <w:numPr>
          <w:ilvl w:val="0"/>
          <w:numId w:val="0"/>
        </w:numPr>
        <w:bidi w:val="0"/>
        <w:ind w:leftChars="0"/>
        <w:jc w:val="center"/>
        <w:rPr>
          <w:rStyle w:val="63"/>
          <w:rFonts w:hint="default" w:ascii="Times New Roman" w:hAnsi="Times New Roman" w:eastAsia="新宋体" w:cs="Times New Roman"/>
          <w:b/>
          <w:color w:val="000000" w:themeColor="text1"/>
          <w:szCs w:val="24"/>
          <w:highlight w:val="none"/>
          <w14:textFill>
            <w14:solidFill>
              <w14:schemeClr w14:val="tx1"/>
            </w14:solidFill>
          </w14:textFill>
        </w:rPr>
      </w:pPr>
      <w:bookmarkStart w:id="69" w:name="_Toc8121"/>
      <w:r>
        <w:rPr>
          <w:rStyle w:val="63"/>
          <w:rFonts w:hint="default" w:ascii="Times New Roman" w:hAnsi="Times New Roman" w:eastAsia="新宋体" w:cs="Times New Roman"/>
          <w:b/>
          <w:color w:val="000000" w:themeColor="text1"/>
          <w:szCs w:val="24"/>
          <w:highlight w:val="none"/>
          <w14:textFill>
            <w14:solidFill>
              <w14:schemeClr w14:val="tx1"/>
            </w14:solidFill>
          </w14:textFill>
        </w:rPr>
        <w:t>第</w:t>
      </w:r>
      <w:r>
        <w:rPr>
          <w:rStyle w:val="63"/>
          <w:rFonts w:hint="default" w:ascii="Times New Roman" w:hAnsi="Times New Roman" w:eastAsia="新宋体" w:cs="Times New Roman"/>
          <w:b/>
          <w:color w:val="000000" w:themeColor="text1"/>
          <w:szCs w:val="24"/>
          <w:highlight w:val="none"/>
          <w:lang w:val="en-US" w:eastAsia="zh-CN"/>
          <w14:textFill>
            <w14:solidFill>
              <w14:schemeClr w14:val="tx1"/>
            </w14:solidFill>
          </w14:textFill>
        </w:rPr>
        <w:t>五</w:t>
      </w:r>
      <w:r>
        <w:rPr>
          <w:rStyle w:val="63"/>
          <w:rFonts w:hint="default" w:ascii="Times New Roman" w:hAnsi="Times New Roman" w:eastAsia="新宋体" w:cs="Times New Roman"/>
          <w:b/>
          <w:color w:val="000000" w:themeColor="text1"/>
          <w:szCs w:val="24"/>
          <w:highlight w:val="none"/>
          <w14:textFill>
            <w14:solidFill>
              <w14:schemeClr w14:val="tx1"/>
            </w14:solidFill>
          </w14:textFill>
        </w:rPr>
        <w:t>部分</w:t>
      </w:r>
      <w:r>
        <w:rPr>
          <w:rStyle w:val="63"/>
          <w:rFonts w:hint="default" w:ascii="Times New Roman" w:hAnsi="Times New Roman" w:eastAsia="新宋体" w:cs="Times New Roman"/>
          <w:b/>
          <w:color w:val="000000" w:themeColor="text1"/>
          <w:szCs w:val="24"/>
          <w:highlight w:val="none"/>
          <w:lang w:val="en-US"/>
          <w14:textFill>
            <w14:solidFill>
              <w14:schemeClr w14:val="tx1"/>
            </w14:solidFill>
          </w14:textFill>
        </w:rPr>
        <w:t xml:space="preserve">   </w:t>
      </w:r>
      <w:r>
        <w:rPr>
          <w:rStyle w:val="63"/>
          <w:rFonts w:hint="default" w:ascii="Times New Roman" w:hAnsi="Times New Roman" w:eastAsia="新宋体" w:cs="Times New Roman"/>
          <w:b/>
          <w:color w:val="000000" w:themeColor="text1"/>
          <w:szCs w:val="24"/>
          <w:highlight w:val="none"/>
          <w14:textFill>
            <w14:solidFill>
              <w14:schemeClr w14:val="tx1"/>
            </w14:solidFill>
          </w14:textFill>
        </w:rPr>
        <w:t>磋商原则及方法</w:t>
      </w:r>
      <w:bookmarkEnd w:id="61"/>
      <w:bookmarkEnd w:id="67"/>
      <w:bookmarkEnd w:id="68"/>
      <w:bookmarkEnd w:id="69"/>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根据《中华人民共和国政府采购法》、《政府采购货物和服务招标投标管理办法》、《中华人民共和国政府采购法实施条例》和《政府采购竞争性磋商采购方式管理暂行办法》等相关法规特制定以下评审办法。</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1"/>
        <w:rPr>
          <w:rFonts w:hint="default" w:ascii="Times New Roman" w:hAnsi="Times New Roman" w:eastAsia="新宋体" w:cs="Times New Roman"/>
          <w:b/>
          <w:color w:val="000000" w:themeColor="text1"/>
          <w:sz w:val="22"/>
          <w:szCs w:val="22"/>
          <w:highlight w:val="none"/>
          <w14:textFill>
            <w14:solidFill>
              <w14:schemeClr w14:val="tx1"/>
            </w14:solidFill>
          </w14:textFill>
        </w:rPr>
      </w:pPr>
      <w:bookmarkStart w:id="70" w:name="_Toc7829"/>
      <w:bookmarkStart w:id="71" w:name="_Toc7019"/>
      <w:r>
        <w:rPr>
          <w:rFonts w:hint="default" w:ascii="Times New Roman" w:hAnsi="Times New Roman" w:eastAsia="新宋体" w:cs="Times New Roman"/>
          <w:b/>
          <w:color w:val="000000" w:themeColor="text1"/>
          <w:sz w:val="22"/>
          <w:szCs w:val="22"/>
          <w:highlight w:val="none"/>
          <w14:textFill>
            <w14:solidFill>
              <w14:schemeClr w14:val="tx1"/>
            </w14:solidFill>
          </w14:textFill>
        </w:rPr>
        <w:t>一、总 则</w:t>
      </w:r>
      <w:bookmarkEnd w:id="70"/>
      <w:bookmarkEnd w:id="71"/>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评审工作遵循“公平、公正、科学、择优”原则和“诚实、信誉、效率”的服务原则。最大限度的保护采购人权益，严格按照磋商文件的要求，对磋商响应文件进行综合评审。磋商供应商不得以任何方式干扰政府采购工作的进行，一经发现其磋商响应文件将被拒绝。</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1"/>
        <w:rPr>
          <w:rFonts w:hint="default" w:ascii="Times New Roman" w:hAnsi="Times New Roman" w:eastAsia="新宋体" w:cs="Times New Roman"/>
          <w:b/>
          <w:color w:val="000000" w:themeColor="text1"/>
          <w:sz w:val="22"/>
          <w:szCs w:val="22"/>
          <w:highlight w:val="none"/>
          <w14:textFill>
            <w14:solidFill>
              <w14:schemeClr w14:val="tx1"/>
            </w14:solidFill>
          </w14:textFill>
        </w:rPr>
      </w:pPr>
      <w:bookmarkStart w:id="72" w:name="_Toc24847"/>
      <w:bookmarkStart w:id="73" w:name="_Toc14043"/>
      <w:r>
        <w:rPr>
          <w:rFonts w:hint="default" w:ascii="Times New Roman" w:hAnsi="Times New Roman" w:eastAsia="新宋体" w:cs="Times New Roman"/>
          <w:b/>
          <w:color w:val="000000" w:themeColor="text1"/>
          <w:sz w:val="22"/>
          <w:szCs w:val="22"/>
          <w:highlight w:val="none"/>
          <w14:textFill>
            <w14:solidFill>
              <w14:schemeClr w14:val="tx1"/>
            </w14:solidFill>
          </w14:textFill>
        </w:rPr>
        <w:t>二、磋商组织</w:t>
      </w:r>
      <w:bookmarkEnd w:id="72"/>
      <w:bookmarkEnd w:id="73"/>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磋商工作由采购人组建的磋商小组负责，磋商全过程由有关部门指导监督。</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1"/>
        <w:rPr>
          <w:rFonts w:hint="default" w:ascii="Times New Roman" w:hAnsi="Times New Roman" w:eastAsia="新宋体" w:cs="Times New Roman"/>
          <w:b/>
          <w:color w:val="000000" w:themeColor="text1"/>
          <w:sz w:val="22"/>
          <w:szCs w:val="22"/>
          <w:highlight w:val="none"/>
          <w14:textFill>
            <w14:solidFill>
              <w14:schemeClr w14:val="tx1"/>
            </w14:solidFill>
          </w14:textFill>
        </w:rPr>
      </w:pPr>
      <w:bookmarkStart w:id="74" w:name="_Toc28866"/>
      <w:bookmarkStart w:id="75" w:name="_Toc27303"/>
      <w:r>
        <w:rPr>
          <w:rFonts w:hint="default" w:ascii="Times New Roman" w:hAnsi="Times New Roman" w:eastAsia="新宋体" w:cs="Times New Roman"/>
          <w:b/>
          <w:color w:val="000000" w:themeColor="text1"/>
          <w:sz w:val="22"/>
          <w:szCs w:val="22"/>
          <w:highlight w:val="none"/>
          <w14:textFill>
            <w14:solidFill>
              <w14:schemeClr w14:val="tx1"/>
            </w14:solidFill>
          </w14:textFill>
        </w:rPr>
        <w:t>三、评审程序</w:t>
      </w:r>
      <w:bookmarkEnd w:id="74"/>
      <w:bookmarkEnd w:id="75"/>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1、熟悉竞争性磋商文件和评审磋商办法；</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2、开启磋商响应文件（一次报价不公布）；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3、资格审查；</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4、磋商、询标（需要时）；</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5、磋商响应文件商务技术标评分；</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6、磋商二次报价或最终报价；</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7、磋商小组根据评审结果，提交评审报告。</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1"/>
        <w:rPr>
          <w:rFonts w:hint="default" w:ascii="Times New Roman" w:hAnsi="Times New Roman" w:eastAsia="新宋体" w:cs="Times New Roman"/>
          <w:b/>
          <w:color w:val="000000" w:themeColor="text1"/>
          <w:sz w:val="22"/>
          <w:szCs w:val="22"/>
          <w:highlight w:val="none"/>
          <w14:textFill>
            <w14:solidFill>
              <w14:schemeClr w14:val="tx1"/>
            </w14:solidFill>
          </w14:textFill>
        </w:rPr>
      </w:pPr>
      <w:bookmarkStart w:id="76" w:name="_Toc16925"/>
      <w:bookmarkStart w:id="77" w:name="_Toc28729"/>
      <w:r>
        <w:rPr>
          <w:rFonts w:hint="default" w:ascii="Times New Roman" w:hAnsi="Times New Roman" w:eastAsia="新宋体" w:cs="Times New Roman"/>
          <w:b/>
          <w:color w:val="000000" w:themeColor="text1"/>
          <w:sz w:val="22"/>
          <w:szCs w:val="22"/>
          <w:highlight w:val="none"/>
          <w14:textFill>
            <w14:solidFill>
              <w14:schemeClr w14:val="tx1"/>
            </w14:solidFill>
          </w14:textFill>
        </w:rPr>
        <w:t>四、综合评审</w:t>
      </w:r>
      <w:bookmarkEnd w:id="76"/>
      <w:bookmarkEnd w:id="77"/>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本次评审采用综合评分法，即最大限度地满足竞争性磋商文件实质性要求前提下，按照竞争性磋商文件中规定的各项评分内容评审后，以评审总得分最高的磋商供应商，作为成交候选供应商。</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1"/>
        <w:rPr>
          <w:rFonts w:hint="default" w:ascii="Times New Roman" w:hAnsi="Times New Roman" w:eastAsia="新宋体" w:cs="Times New Roman"/>
          <w:b/>
          <w:color w:val="000000" w:themeColor="text1"/>
          <w:sz w:val="22"/>
          <w:szCs w:val="22"/>
          <w:highlight w:val="none"/>
          <w14:textFill>
            <w14:solidFill>
              <w14:schemeClr w14:val="tx1"/>
            </w14:solidFill>
          </w14:textFill>
        </w:rPr>
      </w:pPr>
      <w:bookmarkStart w:id="78" w:name="_Toc30751"/>
      <w:bookmarkStart w:id="79" w:name="_Toc9675"/>
      <w:r>
        <w:rPr>
          <w:rFonts w:hint="default" w:ascii="Times New Roman" w:hAnsi="Times New Roman" w:eastAsia="新宋体" w:cs="Times New Roman"/>
          <w:b/>
          <w:color w:val="000000" w:themeColor="text1"/>
          <w:sz w:val="22"/>
          <w:szCs w:val="22"/>
          <w:highlight w:val="none"/>
          <w14:textFill>
            <w14:solidFill>
              <w14:schemeClr w14:val="tx1"/>
            </w14:solidFill>
          </w14:textFill>
        </w:rPr>
        <w:t>五、</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评分</w:t>
      </w:r>
      <w:r>
        <w:rPr>
          <w:rFonts w:hint="default" w:ascii="Times New Roman" w:hAnsi="Times New Roman" w:eastAsia="新宋体" w:cs="Times New Roman"/>
          <w:b/>
          <w:color w:val="000000" w:themeColor="text1"/>
          <w:sz w:val="22"/>
          <w:szCs w:val="22"/>
          <w:highlight w:val="none"/>
          <w14:textFill>
            <w14:solidFill>
              <w14:schemeClr w14:val="tx1"/>
            </w14:solidFill>
          </w14:textFill>
        </w:rPr>
        <w:t>细则</w:t>
      </w:r>
      <w:bookmarkEnd w:id="78"/>
      <w:bookmarkEnd w:id="79"/>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总分设定为100分</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，其中</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商务技术</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70分（</w:t>
      </w:r>
      <w:r>
        <w:rPr>
          <w:rFonts w:hint="default" w:ascii="Times New Roman" w:hAnsi="Times New Roman" w:eastAsia="新宋体" w:cs="Times New Roman"/>
          <w:b/>
          <w:color w:val="000000" w:themeColor="text1"/>
          <w:sz w:val="22"/>
          <w:szCs w:val="22"/>
          <w:highlight w:val="none"/>
          <w14:textFill>
            <w14:solidFill>
              <w14:schemeClr w14:val="tx1"/>
            </w14:solidFill>
          </w14:textFill>
        </w:rPr>
        <w:t>商务技术</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权值70%），价格30分（价格权值30%）</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1、技术分的评定：商务技术70分（权值70%）</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各磋商小组按下列评分项目进行评判，每人一张评分计算票，并记名。磋商响应文件各项评分内容由磋商小组成员各自评分，如某张票的一个因素项目超过规定的范围，则该张票无效。各磋商小组成员对各磋商供应商的各项评分内容评分的算术平均值为各磋商供应商技术分得分（小数点后按四舍五入保留2位）。</w:t>
      </w:r>
    </w:p>
    <w:tbl>
      <w:tblPr>
        <w:tblStyle w:val="50"/>
        <w:tblW w:w="95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0"/>
        <w:gridCol w:w="1704"/>
        <w:gridCol w:w="6296"/>
        <w:gridCol w:w="6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10" w:type="dxa"/>
            <w:tcBorders>
              <w:bottom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序号</w:t>
            </w:r>
          </w:p>
        </w:tc>
        <w:tc>
          <w:tcPr>
            <w:tcW w:w="1704" w:type="dxa"/>
            <w:tcBorders>
              <w:bottom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评审内容</w:t>
            </w:r>
          </w:p>
        </w:tc>
        <w:tc>
          <w:tcPr>
            <w:tcW w:w="6296" w:type="dxa"/>
            <w:tcBorders>
              <w:bottom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评分标准及分数</w:t>
            </w:r>
          </w:p>
        </w:tc>
        <w:tc>
          <w:tcPr>
            <w:tcW w:w="695" w:type="dxa"/>
            <w:tcBorders>
              <w:bottom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1</w:t>
            </w:r>
          </w:p>
        </w:tc>
        <w:tc>
          <w:tcPr>
            <w:tcW w:w="1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技术参数的符合性</w:t>
            </w:r>
          </w:p>
        </w:tc>
        <w:tc>
          <w:tcPr>
            <w:tcW w:w="6296"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根据主要设备技术指标参数的响应程度，由评委比较打分。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技术指标</w:t>
            </w:r>
            <w:r>
              <w:rPr>
                <w:rFonts w:hint="eastAsia" w:eastAsia="新宋体" w:cs="Times New Roman"/>
                <w:color w:val="000000" w:themeColor="text1"/>
                <w:sz w:val="22"/>
                <w:szCs w:val="22"/>
                <w:highlight w:val="none"/>
                <w:lang w:val="en-US" w:eastAsia="zh-CN"/>
                <w14:textFill>
                  <w14:solidFill>
                    <w14:schemeClr w14:val="tx1"/>
                  </w14:solidFill>
                </w14:textFill>
              </w:rPr>
              <w:t>除打</w:t>
            </w:r>
            <w:r>
              <w:rPr>
                <w:rFonts w:hint="eastAsia" w:ascii="新宋体" w:hAnsi="新宋体" w:eastAsia="新宋体" w:cs="Times New Roman"/>
                <w:color w:val="000000" w:themeColor="text1"/>
                <w:sz w:val="22"/>
                <w:highlight w:val="none"/>
                <w14:textFill>
                  <w14:solidFill>
                    <w14:schemeClr w14:val="tx1"/>
                  </w14:solidFill>
                </w14:textFill>
              </w:rPr>
              <w:t>▲</w:t>
            </w:r>
            <w:r>
              <w:rPr>
                <w:rFonts w:hint="eastAsia" w:eastAsia="新宋体" w:cs="Times New Roman"/>
                <w:color w:val="000000" w:themeColor="text1"/>
                <w:sz w:val="22"/>
                <w:szCs w:val="22"/>
                <w:highlight w:val="none"/>
                <w:lang w:val="en-US" w:eastAsia="zh-CN"/>
                <w14:textFill>
                  <w14:solidFill>
                    <w14:schemeClr w14:val="tx1"/>
                  </w14:solidFill>
                </w14:textFill>
              </w:rPr>
              <w:t>的外，</w:t>
            </w:r>
            <w:r>
              <w:rPr>
                <w:rFonts w:hint="default" w:ascii="Times New Roman" w:hAnsi="Times New Roman" w:eastAsia="新宋体" w:cs="Times New Roman"/>
                <w:color w:val="000000" w:themeColor="text1"/>
                <w:sz w:val="22"/>
                <w:szCs w:val="22"/>
                <w:highlight w:val="none"/>
                <w14:textFill>
                  <w14:solidFill>
                    <w14:schemeClr w14:val="tx1"/>
                  </w14:solidFill>
                </w14:textFill>
              </w:rPr>
              <w:t>每有1个负偏离的扣</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2</w:t>
            </w:r>
            <w:r>
              <w:rPr>
                <w:rFonts w:hint="default" w:ascii="Times New Roman" w:hAnsi="Times New Roman" w:eastAsia="新宋体" w:cs="Times New Roman"/>
                <w:color w:val="000000" w:themeColor="text1"/>
                <w:sz w:val="22"/>
                <w:szCs w:val="22"/>
                <w:highlight w:val="none"/>
                <w14:textFill>
                  <w14:solidFill>
                    <w14:schemeClr w14:val="tx1"/>
                  </w14:solidFill>
                </w14:textFill>
              </w:rPr>
              <w:t>分，扣完为止；</w:t>
            </w:r>
          </w:p>
        </w:tc>
        <w:tc>
          <w:tcPr>
            <w:tcW w:w="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2</w:t>
            </w:r>
          </w:p>
        </w:tc>
        <w:tc>
          <w:tcPr>
            <w:tcW w:w="1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设备</w:t>
            </w:r>
            <w:r>
              <w:rPr>
                <w:rFonts w:hint="default" w:ascii="Times New Roman" w:hAnsi="Times New Roman" w:eastAsia="新宋体" w:cs="Times New Roman"/>
                <w:color w:val="000000" w:themeColor="text1"/>
                <w:sz w:val="22"/>
                <w:szCs w:val="22"/>
                <w:highlight w:val="none"/>
                <w14:textFill>
                  <w14:solidFill>
                    <w14:schemeClr w14:val="tx1"/>
                  </w14:solidFill>
                </w14:textFill>
              </w:rPr>
              <w:t>配套的合理性</w:t>
            </w:r>
          </w:p>
        </w:tc>
        <w:tc>
          <w:tcPr>
            <w:tcW w:w="6296"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根据设备配套的合理性、功能实现程度进行评价：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设备配置合理甚至正偏离、完全符合功能要求甚至正偏离，得</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设备配置较合理、功能实现程度较高的，得2分；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设备配置不符或不能完全达到</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采购</w:t>
            </w:r>
            <w:r>
              <w:rPr>
                <w:rFonts w:hint="default" w:ascii="Times New Roman" w:hAnsi="Times New Roman" w:eastAsia="新宋体" w:cs="Times New Roman"/>
                <w:color w:val="000000" w:themeColor="text1"/>
                <w:sz w:val="22"/>
                <w:szCs w:val="22"/>
                <w:highlight w:val="none"/>
                <w14:textFill>
                  <w14:solidFill>
                    <w14:schemeClr w14:val="tx1"/>
                  </w14:solidFill>
                </w14:textFill>
              </w:rPr>
              <w:t>要求功能的，得</w:t>
            </w:r>
            <w:r>
              <w:rPr>
                <w:rFonts w:hint="eastAsia"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eastAsia="新宋体" w:cs="Times New Roman"/>
                <w:color w:val="000000" w:themeColor="text1"/>
                <w:sz w:val="22"/>
                <w:szCs w:val="22"/>
                <w:highlight w:val="none"/>
                <w:lang w:val="en-US" w:eastAsia="zh-CN"/>
                <w14:textFill>
                  <w14:solidFill>
                    <w14:schemeClr w14:val="tx1"/>
                  </w14:solidFill>
                </w14:textFill>
              </w:rPr>
              <w:t>未提供不得分。</w:t>
            </w:r>
          </w:p>
        </w:tc>
        <w:tc>
          <w:tcPr>
            <w:tcW w:w="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10"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3</w:t>
            </w:r>
          </w:p>
        </w:tc>
        <w:tc>
          <w:tcPr>
            <w:tcW w:w="1704"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设备</w:t>
            </w:r>
            <w:r>
              <w:rPr>
                <w:rFonts w:hint="default" w:ascii="Times New Roman" w:hAnsi="Times New Roman" w:eastAsia="新宋体" w:cs="Times New Roman"/>
                <w:color w:val="000000" w:themeColor="text1"/>
                <w:sz w:val="22"/>
                <w:szCs w:val="22"/>
                <w:highlight w:val="none"/>
                <w14:textFill>
                  <w14:solidFill>
                    <w14:schemeClr w14:val="tx1"/>
                  </w14:solidFill>
                </w14:textFill>
              </w:rPr>
              <w:t>运行成本</w:t>
            </w:r>
          </w:p>
        </w:tc>
        <w:tc>
          <w:tcPr>
            <w:tcW w:w="6296"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根据设备运行费用、消耗品或易耗品价格等综合运行成本进行评价。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运行成本较低的得</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分</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运行成本一般的得</w:t>
            </w:r>
            <w:r>
              <w:rPr>
                <w:rFonts w:hint="eastAsia" w:eastAsia="新宋体" w:cs="Times New Roman"/>
                <w:color w:val="000000" w:themeColor="text1"/>
                <w:sz w:val="22"/>
                <w:szCs w:val="22"/>
                <w:highlight w:val="none"/>
                <w:lang w:val="en-US" w:eastAsia="zh-CN"/>
                <w14:textFill>
                  <w14:solidFill>
                    <w14:schemeClr w14:val="tx1"/>
                  </w14:solidFill>
                </w14:textFill>
              </w:rPr>
              <w:t>2</w:t>
            </w:r>
            <w:r>
              <w:rPr>
                <w:rFonts w:hint="default" w:ascii="Times New Roman" w:hAnsi="Times New Roman" w:eastAsia="新宋体" w:cs="Times New Roman"/>
                <w:color w:val="000000" w:themeColor="text1"/>
                <w:sz w:val="22"/>
                <w:szCs w:val="22"/>
                <w:highlight w:val="none"/>
                <w14:textFill>
                  <w14:solidFill>
                    <w14:schemeClr w14:val="tx1"/>
                  </w14:solidFill>
                </w14:textFill>
              </w:rPr>
              <w:t>分</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运行成本较高的得</w:t>
            </w:r>
            <w:r>
              <w:rPr>
                <w:rFonts w:hint="eastAsia"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分。</w:t>
            </w:r>
          </w:p>
        </w:tc>
        <w:tc>
          <w:tcPr>
            <w:tcW w:w="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4</w:t>
            </w:r>
          </w:p>
        </w:tc>
        <w:tc>
          <w:tcPr>
            <w:tcW w:w="1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设备维修成本</w:t>
            </w:r>
          </w:p>
        </w:tc>
        <w:tc>
          <w:tcPr>
            <w:tcW w:w="6296"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根据设备保修价格、设备零配件价格、维修服务费用等维修</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成本</w:t>
            </w:r>
            <w:r>
              <w:rPr>
                <w:rFonts w:hint="default" w:ascii="Times New Roman" w:hAnsi="Times New Roman" w:eastAsia="新宋体" w:cs="Times New Roman"/>
                <w:color w:val="000000" w:themeColor="text1"/>
                <w:sz w:val="22"/>
                <w:szCs w:val="22"/>
                <w:highlight w:val="none"/>
                <w14:textFill>
                  <w14:solidFill>
                    <w14:schemeClr w14:val="tx1"/>
                  </w14:solidFill>
                </w14:textFill>
              </w:rPr>
              <w:t>进行评价。</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维修成本较低的得</w:t>
            </w:r>
            <w:r>
              <w:rPr>
                <w:rFonts w:hint="eastAsia" w:eastAsia="新宋体" w:cs="Times New Roman"/>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color w:val="000000" w:themeColor="text1"/>
                <w:sz w:val="22"/>
                <w:szCs w:val="22"/>
                <w:highlight w:val="none"/>
                <w14:textFill>
                  <w14:solidFill>
                    <w14:schemeClr w14:val="tx1"/>
                  </w14:solidFill>
                </w14:textFill>
              </w:rPr>
              <w:t>分</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维修成本一般的得</w:t>
            </w:r>
            <w:r>
              <w:rPr>
                <w:rFonts w:hint="eastAsia" w:eastAsia="新宋体" w:cs="Times New Roman"/>
                <w:color w:val="000000" w:themeColor="text1"/>
                <w:sz w:val="22"/>
                <w:szCs w:val="22"/>
                <w:highlight w:val="none"/>
                <w:lang w:val="en-US" w:eastAsia="zh-CN"/>
                <w14:textFill>
                  <w14:solidFill>
                    <w14:schemeClr w14:val="tx1"/>
                  </w14:solidFill>
                </w14:textFill>
              </w:rPr>
              <w:t>2</w:t>
            </w:r>
            <w:r>
              <w:rPr>
                <w:rFonts w:hint="default" w:ascii="Times New Roman" w:hAnsi="Times New Roman" w:eastAsia="新宋体" w:cs="Times New Roman"/>
                <w:color w:val="000000" w:themeColor="text1"/>
                <w:sz w:val="22"/>
                <w:szCs w:val="22"/>
                <w:highlight w:val="none"/>
                <w14:textFill>
                  <w14:solidFill>
                    <w14:schemeClr w14:val="tx1"/>
                  </w14:solidFill>
                </w14:textFill>
              </w:rPr>
              <w:t>分</w:t>
            </w:r>
            <w:r>
              <w:rPr>
                <w:rFonts w:hint="default" w:ascii="Times New Roman" w:hAnsi="Times New Roman" w:eastAsia="新宋体" w:cs="Times New Roman"/>
                <w:color w:val="000000" w:themeColor="text1"/>
                <w:sz w:val="22"/>
                <w:szCs w:val="22"/>
                <w:highlight w:val="none"/>
                <w:lang w:eastAsia="zh-CN"/>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维修成本较高的得</w:t>
            </w:r>
            <w:r>
              <w:rPr>
                <w:rFonts w:hint="eastAsia"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分</w:t>
            </w:r>
            <w:r>
              <w:rPr>
                <w:rFonts w:hint="eastAsia" w:ascii="Times New Roman" w:hAnsi="Times New Roman" w:eastAsia="新宋体" w:cs="Times New Roman"/>
                <w:color w:val="000000" w:themeColor="text1"/>
                <w:sz w:val="22"/>
                <w:szCs w:val="22"/>
                <w:highlight w:val="none"/>
                <w:lang w:eastAsia="zh-CN"/>
                <w14:textFill>
                  <w14:solidFill>
                    <w14:schemeClr w14:val="tx1"/>
                  </w14:solidFill>
                </w14:textFill>
              </w:rPr>
              <w:t>。</w:t>
            </w:r>
          </w:p>
        </w:tc>
        <w:tc>
          <w:tcPr>
            <w:tcW w:w="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5</w:t>
            </w:r>
          </w:p>
        </w:tc>
        <w:tc>
          <w:tcPr>
            <w:tcW w:w="1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业绩</w:t>
            </w:r>
          </w:p>
        </w:tc>
        <w:tc>
          <w:tcPr>
            <w:tcW w:w="6296"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提供2019年1月1日起至今与最终不同用户签订的</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该设备</w:t>
            </w:r>
            <w:r>
              <w:rPr>
                <w:rFonts w:hint="eastAsia" w:eastAsia="新宋体" w:cs="Times New Roman"/>
                <w:color w:val="000000" w:themeColor="text1"/>
                <w:sz w:val="22"/>
                <w:szCs w:val="22"/>
                <w:highlight w:val="none"/>
                <w:lang w:val="en-US" w:eastAsia="zh-CN"/>
                <w14:textFill>
                  <w14:solidFill>
                    <w14:schemeClr w14:val="tx1"/>
                  </w14:solidFill>
                </w14:textFill>
              </w:rPr>
              <w:t>投标机型</w:t>
            </w:r>
            <w:r>
              <w:rPr>
                <w:rFonts w:hint="default" w:ascii="Times New Roman" w:hAnsi="Times New Roman" w:eastAsia="新宋体" w:cs="Times New Roman"/>
                <w:color w:val="000000" w:themeColor="text1"/>
                <w:sz w:val="22"/>
                <w:szCs w:val="22"/>
                <w:highlight w:val="none"/>
                <w14:textFill>
                  <w14:solidFill>
                    <w14:schemeClr w14:val="tx1"/>
                  </w14:solidFill>
                </w14:textFill>
              </w:rPr>
              <w:t>采购合同复印件，每份有效合同得</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1</w:t>
            </w:r>
            <w:r>
              <w:rPr>
                <w:rFonts w:hint="default" w:ascii="Times New Roman" w:hAnsi="Times New Roman" w:eastAsia="新宋体" w:cs="Times New Roman"/>
                <w:color w:val="000000" w:themeColor="text1"/>
                <w:sz w:val="22"/>
                <w:szCs w:val="22"/>
                <w:highlight w:val="none"/>
                <w14:textFill>
                  <w14:solidFill>
                    <w14:schemeClr w14:val="tx1"/>
                  </w14:solidFill>
                </w14:textFill>
              </w:rPr>
              <w:t>分，最多得3分</w:t>
            </w:r>
            <w:r>
              <w:rPr>
                <w:rFonts w:hint="eastAsia" w:eastAsia="新宋体" w:cs="Times New Roman"/>
                <w:color w:val="000000" w:themeColor="text1"/>
                <w:sz w:val="22"/>
                <w:szCs w:val="22"/>
                <w:highlight w:val="none"/>
                <w:lang w:eastAsia="zh-CN"/>
                <w14:textFill>
                  <w14:solidFill>
                    <w14:schemeClr w14:val="tx1"/>
                  </w14:solidFill>
                </w14:textFill>
              </w:rPr>
              <w:t>。</w:t>
            </w:r>
          </w:p>
        </w:tc>
        <w:tc>
          <w:tcPr>
            <w:tcW w:w="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10"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6</w:t>
            </w:r>
          </w:p>
        </w:tc>
        <w:tc>
          <w:tcPr>
            <w:tcW w:w="1704"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ascii="Times New Roman" w:hAnsi="Times New Roman" w:eastAsia="新宋体" w:cs="Times New Roman"/>
                <w:b w:val="0"/>
                <w:bCs w:val="0"/>
                <w:color w:val="000000" w:themeColor="text1"/>
                <w:sz w:val="22"/>
                <w:szCs w:val="22"/>
                <w:highlight w:val="none"/>
                <w:lang w:val="en-US" w:eastAsia="zh-CN"/>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制造商或代理商售后服务</w:t>
            </w:r>
            <w:r>
              <w:rPr>
                <w:rFonts w:hint="eastAsia" w:eastAsia="新宋体" w:cs="Times New Roman"/>
                <w:color w:val="000000" w:themeColor="text1"/>
                <w:sz w:val="22"/>
                <w:szCs w:val="22"/>
                <w:highlight w:val="none"/>
                <w:lang w:val="en-US" w:eastAsia="zh-CN"/>
                <w14:textFill>
                  <w14:solidFill>
                    <w14:schemeClr w14:val="tx1"/>
                  </w14:solidFill>
                </w14:textFill>
              </w:rPr>
              <w:t>维修能力</w:t>
            </w:r>
          </w:p>
        </w:tc>
        <w:tc>
          <w:tcPr>
            <w:tcW w:w="6296"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根据售后服务承诺的范围和完善程度</w:t>
            </w:r>
            <w:r>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t>综合评审</w:t>
            </w:r>
            <w:r>
              <w:rPr>
                <w:rFonts w:hint="default" w:ascii="Times New Roman" w:hAnsi="Times New Roman" w:eastAsia="新宋体" w:cs="Times New Roman"/>
                <w:color w:val="000000" w:themeColor="text1"/>
                <w:sz w:val="22"/>
                <w:szCs w:val="22"/>
                <w:highlight w:val="none"/>
                <w14:textFill>
                  <w14:solidFill>
                    <w14:schemeClr w14:val="tx1"/>
                  </w14:solidFill>
                </w14:textFill>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10" w:rightChars="5"/>
              <w:textAlignment w:val="auto"/>
              <w:rPr>
                <w:rFonts w:hint="default" w:ascii="Times New Roman" w:hAnsi="Times New Roman" w:eastAsia="新宋体" w:cs="Times New Roman"/>
                <w:b w:val="0"/>
                <w:bCs w:val="0"/>
                <w:color w:val="000000" w:themeColor="text1"/>
                <w:sz w:val="22"/>
                <w:szCs w:val="22"/>
                <w:highlight w:val="none"/>
                <w14:textFill>
                  <w14:solidFill>
                    <w14:schemeClr w14:val="tx1"/>
                  </w14:solidFill>
                </w14:textFill>
              </w:rPr>
            </w:pPr>
            <w:r>
              <w:rPr>
                <w:rFonts w:hint="default" w:ascii="Times New Roman" w:hAnsi="Times New Roman" w:eastAsia="新宋体" w:cs="Times New Roman"/>
                <w:b w:val="0"/>
                <w:bCs w:val="0"/>
                <w:color w:val="000000" w:themeColor="text1"/>
                <w:sz w:val="22"/>
                <w:szCs w:val="22"/>
                <w:highlight w:val="none"/>
                <w14:textFill>
                  <w14:solidFill>
                    <w14:schemeClr w14:val="tx1"/>
                  </w14:solidFill>
                </w14:textFill>
              </w:rPr>
              <w:t>制造商或代理商的售后服务和维修能力，服务响应速度、到达时间、备品备件配置等综合评价，最高得</w:t>
            </w:r>
            <w:r>
              <w:rPr>
                <w:rFonts w:hint="eastAsia" w:eastAsia="新宋体" w:cs="Times New Roman"/>
                <w:b w:val="0"/>
                <w:bCs w:val="0"/>
                <w:color w:val="000000" w:themeColor="text1"/>
                <w:sz w:val="22"/>
                <w:szCs w:val="22"/>
                <w:highlight w:val="none"/>
                <w:lang w:val="en-US" w:eastAsia="zh-CN"/>
                <w14:textFill>
                  <w14:solidFill>
                    <w14:schemeClr w14:val="tx1"/>
                  </w14:solidFill>
                </w14:textFill>
              </w:rPr>
              <w:t>3</w:t>
            </w:r>
            <w:r>
              <w:rPr>
                <w:rFonts w:hint="default" w:ascii="Times New Roman" w:hAnsi="Times New Roman" w:eastAsia="新宋体" w:cs="Times New Roman"/>
                <w:b w:val="0"/>
                <w:bCs w:val="0"/>
                <w:color w:val="000000" w:themeColor="text1"/>
                <w:sz w:val="22"/>
                <w:szCs w:val="22"/>
                <w:highlight w:val="none"/>
                <w14:textFill>
                  <w14:solidFill>
                    <w14:schemeClr w14:val="tx1"/>
                  </w14:solidFill>
                </w14:textFill>
              </w:rPr>
              <w:t>分。</w:t>
            </w:r>
          </w:p>
        </w:tc>
        <w:tc>
          <w:tcPr>
            <w:tcW w:w="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eastAsia="新宋体" w:cs="Times New Roman"/>
                <w:color w:val="000000" w:themeColor="text1"/>
                <w:sz w:val="22"/>
                <w:szCs w:val="22"/>
                <w:highlight w:val="none"/>
                <w:lang w:val="en-US" w:eastAsia="zh-CN"/>
                <w14:textFill>
                  <w14:solidFill>
                    <w14:schemeClr w14:val="tx1"/>
                  </w14:solidFill>
                </w14:textFill>
              </w:rPr>
              <w:t>3</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1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7</w:t>
            </w:r>
          </w:p>
        </w:tc>
        <w:tc>
          <w:tcPr>
            <w:tcW w:w="1704"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b w:val="0"/>
                <w:bCs w:val="0"/>
                <w:color w:val="000000" w:themeColor="text1"/>
                <w:sz w:val="22"/>
                <w:szCs w:val="22"/>
                <w:highlight w:val="none"/>
                <w:lang w:val="en-US" w:eastAsia="zh-CN"/>
                <w14:textFill>
                  <w14:solidFill>
                    <w14:schemeClr w14:val="tx1"/>
                  </w14:solidFill>
                </w14:textFill>
              </w:rPr>
            </w:pPr>
            <w:r>
              <w:rPr>
                <w:rFonts w:hint="eastAsia" w:eastAsia="新宋体" w:cs="Times New Roman"/>
                <w:b w:val="0"/>
                <w:bCs w:val="0"/>
                <w:color w:val="000000" w:themeColor="text1"/>
                <w:sz w:val="22"/>
                <w:szCs w:val="22"/>
                <w:highlight w:val="none"/>
                <w:lang w:val="en-US" w:eastAsia="zh-CN"/>
                <w14:textFill>
                  <w14:solidFill>
                    <w14:schemeClr w14:val="tx1"/>
                  </w14:solidFill>
                </w14:textFill>
              </w:rPr>
              <w:t>培训与技术支持</w:t>
            </w:r>
          </w:p>
        </w:tc>
        <w:tc>
          <w:tcPr>
            <w:tcW w:w="6296" w:type="dxa"/>
            <w:tcBorders>
              <w:top w:val="single" w:color="auto"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eastAsia="新宋体" w:cs="Times New Roman"/>
                <w:b w:val="0"/>
                <w:bCs w:val="0"/>
                <w:color w:val="000000" w:themeColor="text1"/>
                <w:sz w:val="22"/>
                <w:szCs w:val="22"/>
                <w:highlight w:val="none"/>
                <w:lang w:val="en-US" w:eastAsia="zh-CN"/>
                <w14:textFill>
                  <w14:solidFill>
                    <w14:schemeClr w14:val="tx1"/>
                  </w14:solidFill>
                </w14:textFill>
              </w:rPr>
            </w:pPr>
            <w:r>
              <w:rPr>
                <w:rFonts w:hint="eastAsia" w:eastAsia="新宋体" w:cs="Times New Roman"/>
                <w:b w:val="0"/>
                <w:bCs w:val="0"/>
                <w:color w:val="000000" w:themeColor="text1"/>
                <w:sz w:val="22"/>
                <w:szCs w:val="22"/>
                <w:highlight w:val="none"/>
                <w:lang w:val="en-US" w:eastAsia="zh-CN"/>
                <w14:textFill>
                  <w14:solidFill>
                    <w14:schemeClr w14:val="tx1"/>
                  </w14:solidFill>
                </w14:textFill>
              </w:rPr>
              <w:t>根据投标人提供的对操作、维修人员培训计划，运维方案，安装调试方案等进行综合评审。</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eastAsia="新宋体" w:cs="Times New Roman"/>
                <w:b w:val="0"/>
                <w:bCs w:val="0"/>
                <w:color w:val="000000" w:themeColor="text1"/>
                <w:sz w:val="22"/>
                <w:szCs w:val="22"/>
                <w:highlight w:val="none"/>
                <w:lang w:val="en-US" w:eastAsia="zh-CN"/>
                <w14:textFill>
                  <w14:solidFill>
                    <w14:schemeClr w14:val="tx1"/>
                  </w14:solidFill>
                </w14:textFill>
              </w:rPr>
            </w:pPr>
            <w:r>
              <w:rPr>
                <w:rFonts w:hint="eastAsia" w:eastAsia="新宋体" w:cs="Times New Roman"/>
                <w:b w:val="0"/>
                <w:bCs w:val="0"/>
                <w:color w:val="000000" w:themeColor="text1"/>
                <w:sz w:val="22"/>
                <w:szCs w:val="22"/>
                <w:highlight w:val="none"/>
                <w:lang w:val="en-US" w:eastAsia="zh-CN"/>
                <w14:textFill>
                  <w14:solidFill>
                    <w14:schemeClr w14:val="tx1"/>
                  </w14:solidFill>
                </w14:textFill>
              </w:rPr>
              <w:t>计划、方案科学、合理、完整、规范的得5分；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eastAsia" w:eastAsia="新宋体" w:cs="Times New Roman"/>
                <w:b w:val="0"/>
                <w:bCs w:val="0"/>
                <w:color w:val="000000" w:themeColor="text1"/>
                <w:sz w:val="22"/>
                <w:szCs w:val="22"/>
                <w:highlight w:val="none"/>
                <w:lang w:val="en-US" w:eastAsia="zh-CN"/>
                <w14:textFill>
                  <w14:solidFill>
                    <w14:schemeClr w14:val="tx1"/>
                  </w14:solidFill>
                </w14:textFill>
              </w:rPr>
            </w:pPr>
            <w:r>
              <w:rPr>
                <w:rFonts w:hint="eastAsia" w:eastAsia="新宋体" w:cs="Times New Roman"/>
                <w:b w:val="0"/>
                <w:bCs w:val="0"/>
                <w:color w:val="000000" w:themeColor="text1"/>
                <w:sz w:val="22"/>
                <w:szCs w:val="22"/>
                <w:highlight w:val="none"/>
                <w:lang w:val="en-US" w:eastAsia="zh-CN"/>
                <w14:textFill>
                  <w14:solidFill>
                    <w14:schemeClr w14:val="tx1"/>
                  </w14:solidFill>
                </w14:textFill>
              </w:rPr>
              <w:t>计划、方案</w:t>
            </w:r>
            <w:r>
              <w:rPr>
                <w:rFonts w:hint="default" w:ascii="Times New Roman" w:hAnsi="Times New Roman" w:eastAsia="新宋体" w:cs="Times New Roman"/>
                <w:b w:val="0"/>
                <w:bCs/>
                <w:color w:val="000000" w:themeColor="text1"/>
                <w:sz w:val="22"/>
                <w:szCs w:val="22"/>
                <w:highlight w:val="none"/>
                <w14:textFill>
                  <w14:solidFill>
                    <w14:schemeClr w14:val="tx1"/>
                  </w14:solidFill>
                </w14:textFill>
              </w:rPr>
              <w:t>较</w:t>
            </w:r>
            <w:r>
              <w:rPr>
                <w:rFonts w:hint="eastAsia" w:eastAsia="新宋体" w:cs="Times New Roman"/>
                <w:b w:val="0"/>
                <w:bCs w:val="0"/>
                <w:color w:val="000000" w:themeColor="text1"/>
                <w:sz w:val="22"/>
                <w:szCs w:val="22"/>
                <w:highlight w:val="none"/>
                <w:lang w:val="en-US" w:eastAsia="zh-CN"/>
                <w14:textFill>
                  <w14:solidFill>
                    <w14:schemeClr w14:val="tx1"/>
                  </w14:solidFill>
                </w14:textFill>
              </w:rPr>
              <w:t>科学、合理、完整、规范的得3分；</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b w:val="0"/>
                <w:bCs w:val="0"/>
                <w:color w:val="000000" w:themeColor="text1"/>
                <w:sz w:val="22"/>
                <w:szCs w:val="22"/>
                <w:highlight w:val="none"/>
                <w:lang w:val="en-US" w:eastAsia="zh-CN"/>
                <w14:textFill>
                  <w14:solidFill>
                    <w14:schemeClr w14:val="tx1"/>
                  </w14:solidFill>
                </w14:textFill>
              </w:rPr>
            </w:pPr>
            <w:r>
              <w:rPr>
                <w:rFonts w:hint="eastAsia" w:eastAsia="新宋体" w:cs="Times New Roman"/>
                <w:b w:val="0"/>
                <w:bCs w:val="0"/>
                <w:color w:val="000000" w:themeColor="text1"/>
                <w:sz w:val="22"/>
                <w:szCs w:val="22"/>
                <w:highlight w:val="none"/>
                <w:lang w:val="en-US" w:eastAsia="zh-CN"/>
                <w14:textFill>
                  <w14:solidFill>
                    <w14:schemeClr w14:val="tx1"/>
                  </w14:solidFill>
                </w14:textFill>
              </w:rPr>
              <w:t>计划、方案一般科学、合理、完整、规范的得1分。</w:t>
            </w:r>
          </w:p>
        </w:tc>
        <w:tc>
          <w:tcPr>
            <w:tcW w:w="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60" w:lineRule="exact"/>
              <w:ind w:left="0" w:right="0"/>
              <w:textAlignment w:val="auto"/>
              <w:rPr>
                <w:rFonts w:hint="default" w:ascii="Times New Roman" w:hAnsi="Times New Roman" w:eastAsia="新宋体" w:cs="Times New Roman"/>
                <w:color w:val="000000" w:themeColor="text1"/>
                <w:sz w:val="22"/>
                <w:szCs w:val="22"/>
                <w:highlight w:val="none"/>
                <w:lang w:val="en-US" w:eastAsia="zh-CN"/>
                <w14:textFill>
                  <w14:solidFill>
                    <w14:schemeClr w14:val="tx1"/>
                  </w14:solidFill>
                </w14:textFill>
              </w:rPr>
            </w:pPr>
            <w:r>
              <w:rPr>
                <w:rFonts w:hint="eastAsia" w:eastAsia="新宋体" w:cs="Times New Roman"/>
                <w:color w:val="000000" w:themeColor="text1"/>
                <w:sz w:val="22"/>
                <w:szCs w:val="22"/>
                <w:highlight w:val="none"/>
                <w:lang w:val="en-US" w:eastAsia="zh-CN"/>
                <w14:textFill>
                  <w14:solidFill>
                    <w14:schemeClr w14:val="tx1"/>
                  </w14:solidFill>
                </w14:textFill>
              </w:rPr>
              <w:t>5</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分</w:t>
            </w:r>
          </w:p>
        </w:tc>
      </w:tr>
    </w:tbl>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b/>
          <w:color w:val="000000" w:themeColor="text1"/>
          <w:sz w:val="22"/>
          <w:szCs w:val="22"/>
          <w:highlight w:val="none"/>
          <w14:textFill>
            <w14:solidFill>
              <w14:schemeClr w14:val="tx1"/>
            </w14:solidFill>
          </w14:textFill>
        </w:rPr>
        <w:t>2、价格评分（权值30%）：</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满足竞争性磋商文件要求且最后报价最低的报价为评审基准价。</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1）有效磋商供应商的磋商报价等于评审基准价时其价格分为满分30分；</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2）其他磋商供应商的价格分按以下公式计算：</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价格得分=（评审基准价/磋商供应商磋商报价）× 价格权值 ×100（四舍五入，保留小数点后2位）</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pP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根据《政府采购促进中小企业发展管理办法》（财库〔2020〕46号）、《财政部关于进一步加大政府采购支持中小企业力度的通知》（财库〔2022〕19号）、《浙江省财政厅关于进一步加大政府采购支持中小企业力度助力扎实稳住经济的通知》（浙财采监〔2022〕8号）有关规定，对小型或微型企业参加</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磋商</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且</w:t>
      </w:r>
      <w:r>
        <w:rPr>
          <w:rFonts w:hint="eastAsia" w:ascii="Times New Roman" w:hAnsi="Times New Roman" w:eastAsia="新宋体" w:cs="Times New Roman"/>
          <w:color w:val="000000" w:themeColor="text1"/>
          <w:sz w:val="22"/>
          <w:szCs w:val="22"/>
          <w:highlight w:val="none"/>
          <w:lang w:val="en-US" w:eastAsia="zh-CN"/>
          <w14:textFill>
            <w14:solidFill>
              <w14:schemeClr w14:val="tx1"/>
            </w14:solidFill>
          </w14:textFill>
        </w:rPr>
        <w:t>设备</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为小型或微型企业生产的，</w:t>
      </w:r>
      <w:r>
        <w:rPr>
          <w:rFonts w:hint="default" w:ascii="Times New Roman" w:hAnsi="Times New Roman" w:eastAsia="新宋体" w:cs="Times New Roman"/>
          <w:b w:val="0"/>
          <w:bCs w:val="0"/>
          <w:color w:val="000000" w:themeColor="text1"/>
          <w:sz w:val="22"/>
          <w:szCs w:val="22"/>
          <w:highlight w:val="none"/>
          <w:u w:val="none"/>
          <w:lang w:val="zh-CN"/>
          <w14:textFill>
            <w14:solidFill>
              <w14:schemeClr w14:val="tx1"/>
            </w14:solidFill>
          </w14:textFill>
        </w:rPr>
        <w:t>价格给予</w:t>
      </w:r>
      <w:r>
        <w:rPr>
          <w:rFonts w:hint="eastAsia" w:ascii="Times New Roman" w:hAnsi="Times New Roman" w:eastAsia="新宋体" w:cs="Times New Roman"/>
          <w:b/>
          <w:bCs/>
          <w:color w:val="000000" w:themeColor="text1"/>
          <w:sz w:val="22"/>
          <w:szCs w:val="22"/>
          <w:highlight w:val="none"/>
          <w:u w:val="none"/>
          <w:lang w:val="en-US" w:eastAsia="zh-CN"/>
          <w14:textFill>
            <w14:solidFill>
              <w14:schemeClr w14:val="tx1"/>
            </w14:solidFill>
          </w14:textFill>
        </w:rPr>
        <w:t>20%</w:t>
      </w:r>
      <w:r>
        <w:rPr>
          <w:rFonts w:hint="default" w:ascii="Times New Roman" w:hAnsi="Times New Roman" w:eastAsia="新宋体" w:cs="Times New Roman"/>
          <w:b w:val="0"/>
          <w:bCs w:val="0"/>
          <w:color w:val="000000" w:themeColor="text1"/>
          <w:sz w:val="22"/>
          <w:szCs w:val="22"/>
          <w:highlight w:val="none"/>
          <w:u w:val="none"/>
          <w:lang w:val="zh-CN"/>
          <w14:textFill>
            <w14:solidFill>
              <w14:schemeClr w14:val="tx1"/>
            </w14:solidFill>
          </w14:textFill>
        </w:rPr>
        <w:t>的扣除</w:t>
      </w:r>
      <w:r>
        <w:rPr>
          <w:rFonts w:hint="default" w:ascii="Times New Roman" w:hAnsi="Times New Roman" w:eastAsia="新宋体" w:cs="Times New Roman"/>
          <w:color w:val="000000" w:themeColor="text1"/>
          <w:sz w:val="22"/>
          <w:szCs w:val="22"/>
          <w:highlight w:val="none"/>
          <w:lang w:val="zh-CN"/>
          <w14:textFill>
            <w14:solidFill>
              <w14:schemeClr w14:val="tx1"/>
            </w14:solidFill>
          </w14:textFill>
        </w:rPr>
        <w:t>，用扣除后的价格参与价格评分。</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lang w:val="zh-CN"/>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lang w:val="zh-CN"/>
          <w14:textFill>
            <w14:solidFill>
              <w14:schemeClr w14:val="tx1"/>
            </w14:solidFill>
          </w14:textFill>
        </w:rPr>
        <w:t>监狱企业、</w:t>
      </w:r>
      <w:r>
        <w:rPr>
          <w:rFonts w:hint="default" w:ascii="Times New Roman" w:hAnsi="Times New Roman" w:eastAsia="新宋体" w:cs="Times New Roman"/>
          <w:b/>
          <w:color w:val="000000" w:themeColor="text1"/>
          <w:sz w:val="22"/>
          <w:szCs w:val="22"/>
          <w:highlight w:val="none"/>
          <w14:textFill>
            <w14:solidFill>
              <w14:schemeClr w14:val="tx1"/>
            </w14:solidFill>
          </w14:textFill>
        </w:rPr>
        <w:t>残疾人福利性单位</w:t>
      </w:r>
      <w:r>
        <w:rPr>
          <w:rFonts w:hint="default" w:ascii="Times New Roman" w:hAnsi="Times New Roman" w:eastAsia="新宋体" w:cs="Times New Roman"/>
          <w:b/>
          <w:bCs/>
          <w:color w:val="000000" w:themeColor="text1"/>
          <w:sz w:val="22"/>
          <w:szCs w:val="22"/>
          <w:highlight w:val="none"/>
          <w:lang w:val="zh-CN"/>
          <w14:textFill>
            <w14:solidFill>
              <w14:schemeClr w14:val="tx1"/>
            </w14:solidFill>
          </w14:textFill>
        </w:rPr>
        <w:t>视同小微企业，其产品参加本项目</w:t>
      </w: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磋商</w:t>
      </w:r>
      <w:r>
        <w:rPr>
          <w:rFonts w:hint="default" w:ascii="Times New Roman" w:hAnsi="Times New Roman" w:eastAsia="新宋体" w:cs="Times New Roman"/>
          <w:b/>
          <w:bCs/>
          <w:color w:val="000000" w:themeColor="text1"/>
          <w:sz w:val="22"/>
          <w:szCs w:val="22"/>
          <w:highlight w:val="none"/>
          <w:lang w:val="zh-CN"/>
          <w14:textFill>
            <w14:solidFill>
              <w14:schemeClr w14:val="tx1"/>
            </w14:solidFill>
          </w14:textFill>
        </w:rPr>
        <w:t>的，享受小微企业同等的价格扣除。</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3、有效磋商供应商的综合得分为商务技术分和价格分的总和。</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4、磋商小组认为磋商供应商的报价明显低于其他通过符合性审查磋商供应商的报价，有可能影响产品质量或者不能诚信履约的，应当要求其在评审现场合理的时间内提供书面说明，必要时提交相关证明材料；磋商供应商不能证明其报价合理性的，磋商小组应当将其作为无效处理。</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1"/>
        <w:rPr>
          <w:rFonts w:hint="default" w:ascii="Times New Roman" w:hAnsi="Times New Roman" w:eastAsia="新宋体" w:cs="Times New Roman"/>
          <w:b/>
          <w:color w:val="000000" w:themeColor="text1"/>
          <w:sz w:val="22"/>
          <w:szCs w:val="22"/>
          <w:highlight w:val="none"/>
          <w14:textFill>
            <w14:solidFill>
              <w14:schemeClr w14:val="tx1"/>
            </w14:solidFill>
          </w14:textFill>
        </w:rPr>
      </w:pPr>
      <w:bookmarkStart w:id="80" w:name="_Toc13493"/>
      <w:bookmarkStart w:id="81" w:name="_Toc22412"/>
      <w:r>
        <w:rPr>
          <w:rFonts w:hint="default" w:ascii="Times New Roman" w:hAnsi="Times New Roman" w:eastAsia="新宋体" w:cs="Times New Roman"/>
          <w:b/>
          <w:color w:val="000000" w:themeColor="text1"/>
          <w:sz w:val="22"/>
          <w:szCs w:val="22"/>
          <w:highlight w:val="none"/>
          <w14:textFill>
            <w14:solidFill>
              <w14:schemeClr w14:val="tx1"/>
            </w14:solidFill>
          </w14:textFill>
        </w:rPr>
        <w:t>六、定标办法</w:t>
      </w:r>
      <w:bookmarkEnd w:id="80"/>
      <w:bookmarkEnd w:id="81"/>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b/>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确定成交候选人</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1.1由磋商小组确定成交候选人。</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1.2磋商小组依据法律、法规及磋商文件有关规定按评审后得分（即商务技术分与价格分之和）由高到低顺序排序，得分前三名的磋商供应商确定为该项目的第一、第二和第三成交候选人（得分相同的，按报价由低到高顺序排列。得分且报价相同的并列。）向采购人推荐。</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2、确定成交供应商</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rPr>
          <w:rFonts w:hint="default" w:ascii="Times New Roman" w:hAnsi="Times New Roman" w:eastAsia="新宋体" w:cs="Times New Roman"/>
          <w:b/>
          <w:bCs/>
          <w:color w:val="000000" w:themeColor="text1"/>
          <w:sz w:val="22"/>
          <w:szCs w:val="22"/>
          <w:highlight w:val="none"/>
          <w14:textFill>
            <w14:solidFill>
              <w14:schemeClr w14:val="tx1"/>
            </w14:solidFill>
          </w14:textFill>
        </w:rPr>
      </w:pPr>
      <w:r>
        <w:rPr>
          <w:rFonts w:hint="default" w:ascii="Times New Roman" w:hAnsi="Times New Roman" w:eastAsia="新宋体" w:cs="Times New Roman"/>
          <w:b/>
          <w:bCs/>
          <w:color w:val="000000" w:themeColor="text1"/>
          <w:sz w:val="22"/>
          <w:szCs w:val="22"/>
          <w:highlight w:val="none"/>
          <w14:textFill>
            <w14:solidFill>
              <w14:schemeClr w14:val="tx1"/>
            </w14:solidFill>
          </w14:textFill>
        </w:rPr>
        <w:t>2.1采购人按照评审报告中推荐的成交候选供应商顺序确定成交供应商；也可以事先授权磋商小组按照推荐的成交候选供应商顺序直接确定成交供应商。成交候选人并列的，由磋商小组全体成员记名投票按少数服从多数的原则确定排名。</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2.2如成交供应商放弃成交；或未能在规定时间内与采购单位签订合同的；或者经质疑，采购人审查后，确因排名第一的候选人在本次采购活动中存在违法违规行为或其他原因使质疑成立的，采购人可以视情况直接确定排名第二的候选人为成交供应商（以此类推</w:t>
      </w:r>
      <w:r>
        <w:rPr>
          <w:rFonts w:hint="eastAsia" w:eastAsia="新宋体" w:cs="Times New Roman"/>
          <w:color w:val="000000" w:themeColor="text1"/>
          <w:sz w:val="22"/>
          <w:szCs w:val="22"/>
          <w:highlight w:val="none"/>
          <w:lang w:eastAsia="zh-CN"/>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或重新组织采购。</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3</w:t>
      </w:r>
      <w:r>
        <w:rPr>
          <w:rFonts w:hint="default" w:ascii="Times New Roman" w:hAnsi="Times New Roman" w:eastAsia="新宋体" w:cs="Times New Roman"/>
          <w:color w:val="000000" w:themeColor="text1"/>
          <w:kern w:val="0"/>
          <w:sz w:val="22"/>
          <w:szCs w:val="22"/>
          <w:highlight w:val="none"/>
          <w14:textFill>
            <w14:solidFill>
              <w14:schemeClr w14:val="tx1"/>
            </w14:solidFill>
          </w14:textFill>
        </w:rPr>
        <w:t>、</w:t>
      </w:r>
      <w:r>
        <w:rPr>
          <w:rFonts w:hint="default" w:ascii="Times New Roman" w:hAnsi="Times New Roman" w:eastAsia="新宋体" w:cs="Times New Roman"/>
          <w:color w:val="000000" w:themeColor="text1"/>
          <w:sz w:val="22"/>
          <w:szCs w:val="22"/>
          <w:highlight w:val="none"/>
          <w14:textFill>
            <w14:solidFill>
              <w14:schemeClr w14:val="tx1"/>
            </w14:solidFill>
          </w14:textFill>
        </w:rPr>
        <w:t>成交供应商确定后，采购人将在指定媒体公告成交结果，采购人向成交供应商发出成交通知书。</w:t>
      </w:r>
    </w:p>
    <w:p>
      <w:pPr>
        <w:keepNext w:val="0"/>
        <w:keepLines w:val="0"/>
        <w:pageBreakBefore w:val="0"/>
        <w:widowControl w:val="0"/>
        <w:kinsoku/>
        <w:wordWrap/>
        <w:overflowPunct/>
        <w:topLinePunct w:val="0"/>
        <w:autoSpaceDE/>
        <w:autoSpaceDN/>
        <w:bidi w:val="0"/>
        <w:adjustRightInd/>
        <w:snapToGrid/>
        <w:spacing w:line="460" w:lineRule="exact"/>
        <w:ind w:firstLine="442" w:firstLineChars="200"/>
        <w:textAlignment w:val="auto"/>
        <w:outlineLvl w:val="1"/>
        <w:rPr>
          <w:rFonts w:hint="default" w:ascii="Times New Roman" w:hAnsi="Times New Roman" w:eastAsia="新宋体" w:cs="Times New Roman"/>
          <w:b/>
          <w:color w:val="000000" w:themeColor="text1"/>
          <w:sz w:val="22"/>
          <w:szCs w:val="22"/>
          <w:highlight w:val="none"/>
          <w14:textFill>
            <w14:solidFill>
              <w14:schemeClr w14:val="tx1"/>
            </w14:solidFill>
          </w14:textFill>
        </w:rPr>
      </w:pPr>
      <w:bookmarkStart w:id="82" w:name="_Toc20762"/>
      <w:bookmarkStart w:id="83" w:name="_Toc22152"/>
      <w:r>
        <w:rPr>
          <w:rFonts w:hint="default" w:ascii="Times New Roman" w:hAnsi="Times New Roman" w:eastAsia="新宋体" w:cs="Times New Roman"/>
          <w:b/>
          <w:color w:val="000000" w:themeColor="text1"/>
          <w:sz w:val="22"/>
          <w:szCs w:val="22"/>
          <w:highlight w:val="none"/>
          <w14:textFill>
            <w14:solidFill>
              <w14:schemeClr w14:val="tx1"/>
            </w14:solidFill>
          </w14:textFill>
        </w:rPr>
        <w:t>七、磋商供应商义务</w:t>
      </w:r>
      <w:bookmarkEnd w:id="82"/>
      <w:bookmarkEnd w:id="83"/>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default" w:ascii="Times New Roman" w:hAnsi="Times New Roman" w:eastAsia="新宋体" w:cs="Times New Roman"/>
          <w:color w:val="000000" w:themeColor="text1"/>
          <w:sz w:val="22"/>
          <w:szCs w:val="22"/>
          <w:highlight w:val="none"/>
          <w14:textFill>
            <w14:solidFill>
              <w14:schemeClr w14:val="tx1"/>
            </w14:solidFill>
          </w14:textFill>
        </w:rPr>
      </w:pPr>
      <w:r>
        <w:rPr>
          <w:rFonts w:hint="default" w:ascii="Times New Roman" w:hAnsi="Times New Roman" w:eastAsia="新宋体" w:cs="Times New Roman"/>
          <w:color w:val="000000" w:themeColor="text1"/>
          <w:sz w:val="22"/>
          <w:szCs w:val="22"/>
          <w:highlight w:val="none"/>
          <w14:textFill>
            <w14:solidFill>
              <w14:schemeClr w14:val="tx1"/>
            </w14:solidFill>
          </w14:textFill>
        </w:rPr>
        <w:t>磋商供应商应随时接受磋商小组的询标，解答包括有关的商务技术、报价问题等。评审结束，所有评审资料存采购代理机构备查。</w:t>
      </w:r>
    </w:p>
    <w:p>
      <w:pPr>
        <w:spacing w:line="460" w:lineRule="exact"/>
        <w:ind w:firstLine="539" w:firstLineChars="245"/>
        <w:rPr>
          <w:rFonts w:hint="default" w:ascii="Times New Roman" w:hAnsi="Times New Roman" w:eastAsia="新宋体" w:cs="Times New Roman"/>
          <w:color w:val="000000" w:themeColor="text1"/>
          <w:sz w:val="22"/>
          <w:szCs w:val="22"/>
          <w:highlight w:val="none"/>
          <w14:textFill>
            <w14:solidFill>
              <w14:schemeClr w14:val="tx1"/>
            </w14:solidFill>
          </w14:textFill>
        </w:rPr>
      </w:pPr>
    </w:p>
    <w:sectPr>
      <w:pgSz w:w="11907" w:h="16840"/>
      <w:pgMar w:top="1134" w:right="1134" w:bottom="1134" w:left="1134"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Wingdings 2">
    <w:altName w:val="Wingdings"/>
    <w:panose1 w:val="05020102010507070707"/>
    <w:charset w:val="02"/>
    <w:family w:val="auto"/>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4500" w:firstLineChars="250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center" w:y="1"/>
      <w:rPr>
        <w:rStyle w:val="54"/>
      </w:rPr>
    </w:pPr>
    <w:r>
      <w:fldChar w:fldCharType="begin"/>
    </w:r>
    <w:r>
      <w:rPr>
        <w:rStyle w:val="54"/>
      </w:rPr>
      <w:instrText xml:space="preserve">PAGE  </w:instrText>
    </w:r>
    <w:r>
      <w:fldChar w:fldCharType="separate"/>
    </w:r>
    <w:r>
      <w:rPr>
        <w:rStyle w:val="54"/>
      </w:rPr>
      <w:t>1</w:t>
    </w:r>
    <w:r>
      <w:fldChar w:fldCharType="end"/>
    </w:r>
  </w:p>
  <w:p>
    <w:pPr>
      <w:pStyle w:val="3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19"/>
        <w:tab w:val="clear" w:pos="4153"/>
      </w:tabs>
      <w:ind w:right="360"/>
      <w:rPr>
        <w:rFonts w:hint="eastAsia" w:eastAsia="宋体"/>
        <w:lang w:eastAsia="zh-CN"/>
      </w:rPr>
    </w:pPr>
    <w:r>
      <w:rPr>
        <w:rFonts w:hint="eastAsia"/>
      </w:rPr>
      <w:t xml:space="preserve">  </w:t>
    </w:r>
    <w:r>
      <w:rPr>
        <w:rFonts w:hint="eastAsia"/>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4500" w:firstLineChars="2500"/>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19"/>
        <w:tab w:val="clear" w:pos="4153"/>
      </w:tabs>
      <w:ind w:right="360"/>
      <w:rPr>
        <w:rFonts w:hint="eastAsia" w:eastAsia="宋体"/>
        <w:lang w:eastAsia="zh-CN"/>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 xml:space="preserve">  </w: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ind w:right="360" w:firstLine="4500" w:firstLineChars="250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4"/>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4"/>
                    </w:pPr>
                    <w:r>
                      <w:fldChar w:fldCharType="begin"/>
                    </w:r>
                    <w:r>
                      <w:instrText xml:space="preserve"> PAGE  \* MERGEFORMAT </w:instrText>
                    </w:r>
                    <w:r>
                      <w:fldChar w:fldCharType="separate"/>
                    </w:r>
                    <w:r>
                      <w:t>30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4" w:space="0"/>
      </w:pBdr>
      <w:jc w:val="both"/>
      <w:rPr>
        <w:rFonts w:hint="default" w:eastAsia="宋体"/>
        <w:lang w:val="en-US" w:eastAsia="zh-CN"/>
      </w:rPr>
    </w:pPr>
    <w:r>
      <w:rPr>
        <w:rFonts w:hint="eastAsia"/>
      </w:rPr>
      <w:t>温州市政府</w:t>
    </w:r>
    <w:r>
      <w:rPr>
        <w:rFonts w:hint="eastAsia"/>
        <w:lang w:eastAsia="zh-CN"/>
      </w:rPr>
      <w:t>（</w:t>
    </w:r>
    <w:r>
      <w:rPr>
        <w:rFonts w:hint="eastAsia"/>
        <w:lang w:val="en-US" w:eastAsia="zh-CN"/>
      </w:rPr>
      <w:t>分散</w:t>
    </w:r>
    <w:r>
      <w:rPr>
        <w:rFonts w:hint="eastAsia"/>
        <w:lang w:eastAsia="zh-CN"/>
      </w:rPr>
      <w:t>）</w:t>
    </w:r>
    <w:r>
      <w:rPr>
        <w:rFonts w:hint="eastAsia"/>
        <w:lang w:val="en-US" w:eastAsia="zh-CN"/>
      </w:rPr>
      <w:t>采购磋商文件                                          项目编号：</w:t>
    </w:r>
    <w:r>
      <w:rPr>
        <w:rFonts w:hint="default"/>
        <w:lang w:val="en-US" w:eastAsia="zh-CN"/>
      </w:rPr>
      <w:t>WZUZFFS-JZCS-20220005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single" w:color="auto" w:sz="4" w:space="1"/>
      </w:pBdr>
      <w:jc w:val="both"/>
    </w:pPr>
    <w:r>
      <w:rPr>
        <w:rFonts w:hint="eastAsia"/>
      </w:rPr>
      <w:t>温州市政府</w:t>
    </w:r>
    <w:r>
      <w:rPr>
        <w:rFonts w:hint="eastAsia"/>
        <w:lang w:eastAsia="zh-CN"/>
      </w:rPr>
      <w:t>（</w:t>
    </w:r>
    <w:r>
      <w:rPr>
        <w:rFonts w:hint="eastAsia"/>
        <w:lang w:val="en-US" w:eastAsia="zh-CN"/>
      </w:rPr>
      <w:t>分散</w:t>
    </w:r>
    <w:r>
      <w:rPr>
        <w:rFonts w:hint="eastAsia"/>
        <w:lang w:eastAsia="zh-CN"/>
      </w:rPr>
      <w:t>）</w:t>
    </w:r>
    <w:r>
      <w:rPr>
        <w:rFonts w:hint="eastAsia"/>
        <w:lang w:val="en-US" w:eastAsia="zh-CN"/>
      </w:rPr>
      <w:t>采购磋商文件                                          项目编号：</w:t>
    </w:r>
    <w:r>
      <w:rPr>
        <w:rFonts w:hint="default"/>
        <w:lang w:val="en-US" w:eastAsia="zh-CN"/>
      </w:rPr>
      <w:t>WZUZFFS-JZCS-20220005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pStyle w:val="4"/>
      <w:suff w:val="nothing"/>
      <w:lvlText w:val="第%1章"/>
      <w:lvlJc w:val="left"/>
      <w:pPr>
        <w:ind w:left="0" w:firstLine="0"/>
      </w:pPr>
      <w:rPr>
        <w:rFonts w:hint="default" w:ascii="Times New Roman" w:hAnsi="Times New Roman" w:eastAsia="黑体"/>
        <w:b/>
        <w:i w:val="0"/>
        <w:sz w:val="32"/>
        <w:szCs w:val="32"/>
      </w:rPr>
    </w:lvl>
    <w:lvl w:ilvl="1" w:tentative="0">
      <w:start w:val="1"/>
      <w:numFmt w:val="lowerLetter"/>
      <w:pStyle w:val="2"/>
      <w:lvlText w:val="%2)"/>
      <w:lvlJc w:val="left"/>
      <w:pPr>
        <w:tabs>
          <w:tab w:val="left" w:pos="1110"/>
        </w:tabs>
        <w:ind w:left="1110" w:hanging="420"/>
      </w:pPr>
    </w:lvl>
    <w:lvl w:ilvl="2" w:tentative="0">
      <w:start w:val="1"/>
      <w:numFmt w:val="lowerRoman"/>
      <w:pStyle w:val="5"/>
      <w:lvlText w:val="%3."/>
      <w:lvlJc w:val="right"/>
      <w:pPr>
        <w:tabs>
          <w:tab w:val="left" w:pos="1530"/>
        </w:tabs>
        <w:ind w:left="1530" w:hanging="420"/>
      </w:pPr>
    </w:lvl>
    <w:lvl w:ilvl="3" w:tentative="0">
      <w:start w:val="1"/>
      <w:numFmt w:val="decimal"/>
      <w:pStyle w:val="6"/>
      <w:lvlText w:val="%4."/>
      <w:lvlJc w:val="left"/>
      <w:pPr>
        <w:tabs>
          <w:tab w:val="left" w:pos="1950"/>
        </w:tabs>
        <w:ind w:left="1950" w:hanging="420"/>
      </w:pPr>
    </w:lvl>
    <w:lvl w:ilvl="4" w:tentative="0">
      <w:start w:val="1"/>
      <w:numFmt w:val="lowerLetter"/>
      <w:pStyle w:val="7"/>
      <w:lvlText w:val="%5)"/>
      <w:lvlJc w:val="left"/>
      <w:pPr>
        <w:tabs>
          <w:tab w:val="left" w:pos="2370"/>
        </w:tabs>
        <w:ind w:left="2370" w:hanging="420"/>
      </w:pPr>
    </w:lvl>
    <w:lvl w:ilvl="5" w:tentative="0">
      <w:start w:val="1"/>
      <w:numFmt w:val="lowerRoman"/>
      <w:pStyle w:val="9"/>
      <w:lvlText w:val="%6."/>
      <w:lvlJc w:val="right"/>
      <w:pPr>
        <w:tabs>
          <w:tab w:val="left" w:pos="2790"/>
        </w:tabs>
        <w:ind w:left="2790" w:hanging="420"/>
      </w:pPr>
    </w:lvl>
    <w:lvl w:ilvl="6" w:tentative="0">
      <w:start w:val="1"/>
      <w:numFmt w:val="decimal"/>
      <w:pStyle w:val="10"/>
      <w:lvlText w:val="%7."/>
      <w:lvlJc w:val="left"/>
      <w:pPr>
        <w:tabs>
          <w:tab w:val="left" w:pos="3210"/>
        </w:tabs>
        <w:ind w:left="3210" w:hanging="420"/>
      </w:pPr>
    </w:lvl>
    <w:lvl w:ilvl="7" w:tentative="0">
      <w:start w:val="1"/>
      <w:numFmt w:val="lowerLetter"/>
      <w:pStyle w:val="11"/>
      <w:lvlText w:val="%8)"/>
      <w:lvlJc w:val="left"/>
      <w:pPr>
        <w:tabs>
          <w:tab w:val="left" w:pos="3630"/>
        </w:tabs>
        <w:ind w:left="3630" w:hanging="420"/>
      </w:pPr>
    </w:lvl>
    <w:lvl w:ilvl="8" w:tentative="0">
      <w:start w:val="1"/>
      <w:numFmt w:val="lowerRoman"/>
      <w:pStyle w:val="12"/>
      <w:lvlText w:val="%9."/>
      <w:lvlJc w:val="right"/>
      <w:pPr>
        <w:tabs>
          <w:tab w:val="left" w:pos="4050"/>
        </w:tabs>
        <w:ind w:left="4050" w:hanging="420"/>
      </w:pPr>
    </w:lvl>
  </w:abstractNum>
  <w:abstractNum w:abstractNumId="1">
    <w:nsid w:val="0000000B"/>
    <w:multiLevelType w:val="multilevel"/>
    <w:tmpl w:val="0000000B"/>
    <w:lvl w:ilvl="0" w:tentative="0">
      <w:start w:val="1"/>
      <w:numFmt w:val="decimal"/>
      <w:pStyle w:val="233"/>
      <w:lvlText w:val="（%1）"/>
      <w:lvlJc w:val="left"/>
      <w:pPr>
        <w:tabs>
          <w:tab w:val="left" w:pos="3349"/>
        </w:tabs>
        <w:ind w:left="3349" w:hanging="720"/>
      </w:pPr>
      <w:rPr>
        <w:rFonts w:hint="default"/>
      </w:rPr>
    </w:lvl>
    <w:lvl w:ilvl="1" w:tentative="0">
      <w:start w:val="1"/>
      <w:numFmt w:val="lowerLetter"/>
      <w:pStyle w:val="324"/>
      <w:lvlText w:val="%2)"/>
      <w:lvlJc w:val="left"/>
      <w:pPr>
        <w:tabs>
          <w:tab w:val="left" w:pos="3469"/>
        </w:tabs>
        <w:ind w:left="3469" w:hanging="420"/>
      </w:pPr>
    </w:lvl>
    <w:lvl w:ilvl="2" w:tentative="0">
      <w:start w:val="1"/>
      <w:numFmt w:val="lowerRoman"/>
      <w:pStyle w:val="215"/>
      <w:lvlText w:val="%3."/>
      <w:lvlJc w:val="right"/>
      <w:pPr>
        <w:tabs>
          <w:tab w:val="left" w:pos="3889"/>
        </w:tabs>
        <w:ind w:left="3889" w:hanging="420"/>
      </w:pPr>
    </w:lvl>
    <w:lvl w:ilvl="3" w:tentative="0">
      <w:start w:val="1"/>
      <w:numFmt w:val="decimal"/>
      <w:pStyle w:val="214"/>
      <w:lvlText w:val="%4."/>
      <w:lvlJc w:val="left"/>
      <w:pPr>
        <w:tabs>
          <w:tab w:val="left" w:pos="4309"/>
        </w:tabs>
        <w:ind w:left="4309" w:hanging="420"/>
      </w:pPr>
    </w:lvl>
    <w:lvl w:ilvl="4" w:tentative="0">
      <w:start w:val="1"/>
      <w:numFmt w:val="lowerLetter"/>
      <w:pStyle w:val="213"/>
      <w:lvlText w:val="%5)"/>
      <w:lvlJc w:val="left"/>
      <w:pPr>
        <w:tabs>
          <w:tab w:val="left" w:pos="4729"/>
        </w:tabs>
        <w:ind w:left="4729" w:hanging="420"/>
      </w:pPr>
    </w:lvl>
    <w:lvl w:ilvl="5" w:tentative="0">
      <w:start w:val="1"/>
      <w:numFmt w:val="lowerRoman"/>
      <w:pStyle w:val="238"/>
      <w:lvlText w:val="%6."/>
      <w:lvlJc w:val="right"/>
      <w:pPr>
        <w:tabs>
          <w:tab w:val="left" w:pos="5149"/>
        </w:tabs>
        <w:ind w:left="5149" w:hanging="420"/>
      </w:pPr>
    </w:lvl>
    <w:lvl w:ilvl="6" w:tentative="0">
      <w:start w:val="1"/>
      <w:numFmt w:val="decimal"/>
      <w:pStyle w:val="264"/>
      <w:lvlText w:val="%7."/>
      <w:lvlJc w:val="left"/>
      <w:pPr>
        <w:tabs>
          <w:tab w:val="left" w:pos="5569"/>
        </w:tabs>
        <w:ind w:left="5569" w:hanging="420"/>
      </w:pPr>
    </w:lvl>
    <w:lvl w:ilvl="7" w:tentative="0">
      <w:start w:val="1"/>
      <w:numFmt w:val="lowerLetter"/>
      <w:lvlText w:val="%8)"/>
      <w:lvlJc w:val="left"/>
      <w:pPr>
        <w:tabs>
          <w:tab w:val="left" w:pos="5989"/>
        </w:tabs>
        <w:ind w:left="5989" w:hanging="420"/>
      </w:pPr>
    </w:lvl>
    <w:lvl w:ilvl="8" w:tentative="0">
      <w:start w:val="1"/>
      <w:numFmt w:val="lowerRoman"/>
      <w:lvlText w:val="%9."/>
      <w:lvlJc w:val="right"/>
      <w:pPr>
        <w:tabs>
          <w:tab w:val="left" w:pos="6409"/>
        </w:tabs>
        <w:ind w:left="640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zM2JkNDhjZjM1ZDA0OTYyYzExNzBlMGM3MmIzMGEifQ=="/>
  </w:docVars>
  <w:rsids>
    <w:rsidRoot w:val="00172A27"/>
    <w:rsid w:val="00011190"/>
    <w:rsid w:val="00050541"/>
    <w:rsid w:val="00056E87"/>
    <w:rsid w:val="00066D38"/>
    <w:rsid w:val="0006768C"/>
    <w:rsid w:val="000701F7"/>
    <w:rsid w:val="00071127"/>
    <w:rsid w:val="00075F86"/>
    <w:rsid w:val="00076B82"/>
    <w:rsid w:val="00077717"/>
    <w:rsid w:val="00081557"/>
    <w:rsid w:val="00090FD5"/>
    <w:rsid w:val="000938F3"/>
    <w:rsid w:val="000B10E1"/>
    <w:rsid w:val="000B12B1"/>
    <w:rsid w:val="000B21FA"/>
    <w:rsid w:val="000B3048"/>
    <w:rsid w:val="000D0381"/>
    <w:rsid w:val="000D1C6F"/>
    <w:rsid w:val="000D5616"/>
    <w:rsid w:val="000E0E62"/>
    <w:rsid w:val="000E266B"/>
    <w:rsid w:val="000E3502"/>
    <w:rsid w:val="000E3617"/>
    <w:rsid w:val="000F11D5"/>
    <w:rsid w:val="00126019"/>
    <w:rsid w:val="00137060"/>
    <w:rsid w:val="00141EC6"/>
    <w:rsid w:val="00151875"/>
    <w:rsid w:val="001708FE"/>
    <w:rsid w:val="00171AD3"/>
    <w:rsid w:val="00171C7A"/>
    <w:rsid w:val="00174016"/>
    <w:rsid w:val="00184720"/>
    <w:rsid w:val="001A08A5"/>
    <w:rsid w:val="001A7D88"/>
    <w:rsid w:val="001B2C56"/>
    <w:rsid w:val="001B3512"/>
    <w:rsid w:val="001C0A59"/>
    <w:rsid w:val="001C3F17"/>
    <w:rsid w:val="001D0670"/>
    <w:rsid w:val="001D7DD9"/>
    <w:rsid w:val="001F5F17"/>
    <w:rsid w:val="00202F0E"/>
    <w:rsid w:val="00204206"/>
    <w:rsid w:val="00224285"/>
    <w:rsid w:val="00224C70"/>
    <w:rsid w:val="00226A58"/>
    <w:rsid w:val="00234158"/>
    <w:rsid w:val="00240CEB"/>
    <w:rsid w:val="00241365"/>
    <w:rsid w:val="002472AC"/>
    <w:rsid w:val="00255DDA"/>
    <w:rsid w:val="00260AB0"/>
    <w:rsid w:val="002666B2"/>
    <w:rsid w:val="00270D13"/>
    <w:rsid w:val="0027293E"/>
    <w:rsid w:val="00274749"/>
    <w:rsid w:val="002864F8"/>
    <w:rsid w:val="002867BD"/>
    <w:rsid w:val="0029071E"/>
    <w:rsid w:val="00296513"/>
    <w:rsid w:val="00296EE7"/>
    <w:rsid w:val="002B5C6F"/>
    <w:rsid w:val="002B5E66"/>
    <w:rsid w:val="002C40FD"/>
    <w:rsid w:val="002D42B8"/>
    <w:rsid w:val="002E3EA6"/>
    <w:rsid w:val="002E668F"/>
    <w:rsid w:val="00301C30"/>
    <w:rsid w:val="003178EC"/>
    <w:rsid w:val="0032088C"/>
    <w:rsid w:val="003213FA"/>
    <w:rsid w:val="00323D51"/>
    <w:rsid w:val="003254DE"/>
    <w:rsid w:val="003262AF"/>
    <w:rsid w:val="00330007"/>
    <w:rsid w:val="00336E02"/>
    <w:rsid w:val="0034621D"/>
    <w:rsid w:val="003502E0"/>
    <w:rsid w:val="00355AE9"/>
    <w:rsid w:val="00367197"/>
    <w:rsid w:val="0037553D"/>
    <w:rsid w:val="00380A18"/>
    <w:rsid w:val="00382EC3"/>
    <w:rsid w:val="003866E8"/>
    <w:rsid w:val="00397E2F"/>
    <w:rsid w:val="003A2922"/>
    <w:rsid w:val="003B7B40"/>
    <w:rsid w:val="003B7FE8"/>
    <w:rsid w:val="003C3754"/>
    <w:rsid w:val="003D49F4"/>
    <w:rsid w:val="003E56F0"/>
    <w:rsid w:val="003F4C9C"/>
    <w:rsid w:val="00402286"/>
    <w:rsid w:val="00403900"/>
    <w:rsid w:val="004144D2"/>
    <w:rsid w:val="00414C1C"/>
    <w:rsid w:val="00421262"/>
    <w:rsid w:val="0042788B"/>
    <w:rsid w:val="00433564"/>
    <w:rsid w:val="00433625"/>
    <w:rsid w:val="00461004"/>
    <w:rsid w:val="00481A19"/>
    <w:rsid w:val="00485ABD"/>
    <w:rsid w:val="00490D68"/>
    <w:rsid w:val="004A1E17"/>
    <w:rsid w:val="004A2593"/>
    <w:rsid w:val="004B50EF"/>
    <w:rsid w:val="004C0A3B"/>
    <w:rsid w:val="004D0482"/>
    <w:rsid w:val="004F6ACD"/>
    <w:rsid w:val="00513160"/>
    <w:rsid w:val="00523A40"/>
    <w:rsid w:val="00533F50"/>
    <w:rsid w:val="00550131"/>
    <w:rsid w:val="00552484"/>
    <w:rsid w:val="005536AA"/>
    <w:rsid w:val="00574D09"/>
    <w:rsid w:val="005801AC"/>
    <w:rsid w:val="005A174F"/>
    <w:rsid w:val="005A766B"/>
    <w:rsid w:val="005D1225"/>
    <w:rsid w:val="005E583B"/>
    <w:rsid w:val="005F27B5"/>
    <w:rsid w:val="00614ECD"/>
    <w:rsid w:val="006226E1"/>
    <w:rsid w:val="00634F36"/>
    <w:rsid w:val="0063667F"/>
    <w:rsid w:val="00656214"/>
    <w:rsid w:val="00695C9C"/>
    <w:rsid w:val="006A5C3D"/>
    <w:rsid w:val="006A5D8B"/>
    <w:rsid w:val="006C5BBB"/>
    <w:rsid w:val="006C6D9D"/>
    <w:rsid w:val="006D301A"/>
    <w:rsid w:val="006F1F67"/>
    <w:rsid w:val="00707785"/>
    <w:rsid w:val="007409AA"/>
    <w:rsid w:val="007470CC"/>
    <w:rsid w:val="007516A2"/>
    <w:rsid w:val="00767952"/>
    <w:rsid w:val="00770176"/>
    <w:rsid w:val="007813EE"/>
    <w:rsid w:val="0079199D"/>
    <w:rsid w:val="00792E75"/>
    <w:rsid w:val="007A69CA"/>
    <w:rsid w:val="007A6B3B"/>
    <w:rsid w:val="007A7C1A"/>
    <w:rsid w:val="007B4B13"/>
    <w:rsid w:val="007C0B68"/>
    <w:rsid w:val="007C5DB1"/>
    <w:rsid w:val="007E1B52"/>
    <w:rsid w:val="007E499F"/>
    <w:rsid w:val="00807A41"/>
    <w:rsid w:val="008141F7"/>
    <w:rsid w:val="008142AA"/>
    <w:rsid w:val="00823D39"/>
    <w:rsid w:val="00824F15"/>
    <w:rsid w:val="00835519"/>
    <w:rsid w:val="0084195F"/>
    <w:rsid w:val="008431C9"/>
    <w:rsid w:val="00861551"/>
    <w:rsid w:val="00871021"/>
    <w:rsid w:val="00896D17"/>
    <w:rsid w:val="008C04FA"/>
    <w:rsid w:val="008C660C"/>
    <w:rsid w:val="008D6F7E"/>
    <w:rsid w:val="008D743C"/>
    <w:rsid w:val="008E06B0"/>
    <w:rsid w:val="008E4CF9"/>
    <w:rsid w:val="008E7288"/>
    <w:rsid w:val="009005D0"/>
    <w:rsid w:val="0090161A"/>
    <w:rsid w:val="009021AD"/>
    <w:rsid w:val="00902D9C"/>
    <w:rsid w:val="00925ECF"/>
    <w:rsid w:val="00971699"/>
    <w:rsid w:val="00976808"/>
    <w:rsid w:val="00985011"/>
    <w:rsid w:val="00997EA0"/>
    <w:rsid w:val="009A655A"/>
    <w:rsid w:val="009B0D99"/>
    <w:rsid w:val="009B2DDD"/>
    <w:rsid w:val="009C5172"/>
    <w:rsid w:val="009D4DFB"/>
    <w:rsid w:val="009E4717"/>
    <w:rsid w:val="009E775A"/>
    <w:rsid w:val="009F6402"/>
    <w:rsid w:val="00A04582"/>
    <w:rsid w:val="00A16E7D"/>
    <w:rsid w:val="00A403FC"/>
    <w:rsid w:val="00A420E3"/>
    <w:rsid w:val="00A435EB"/>
    <w:rsid w:val="00A533CB"/>
    <w:rsid w:val="00A60BA0"/>
    <w:rsid w:val="00A669F9"/>
    <w:rsid w:val="00A72792"/>
    <w:rsid w:val="00A76B46"/>
    <w:rsid w:val="00A913AB"/>
    <w:rsid w:val="00A95DBC"/>
    <w:rsid w:val="00AA3945"/>
    <w:rsid w:val="00AA5944"/>
    <w:rsid w:val="00AC4D83"/>
    <w:rsid w:val="00AF1F27"/>
    <w:rsid w:val="00B0566A"/>
    <w:rsid w:val="00B1067B"/>
    <w:rsid w:val="00B15691"/>
    <w:rsid w:val="00B16EC9"/>
    <w:rsid w:val="00B34977"/>
    <w:rsid w:val="00B4323E"/>
    <w:rsid w:val="00B44D23"/>
    <w:rsid w:val="00B51632"/>
    <w:rsid w:val="00B5655F"/>
    <w:rsid w:val="00B56EA2"/>
    <w:rsid w:val="00B640F6"/>
    <w:rsid w:val="00B86789"/>
    <w:rsid w:val="00BA3E5C"/>
    <w:rsid w:val="00BA498D"/>
    <w:rsid w:val="00BC6CD1"/>
    <w:rsid w:val="00BD3640"/>
    <w:rsid w:val="00BE120C"/>
    <w:rsid w:val="00C07048"/>
    <w:rsid w:val="00C3496C"/>
    <w:rsid w:val="00C45C15"/>
    <w:rsid w:val="00C6013B"/>
    <w:rsid w:val="00C603D8"/>
    <w:rsid w:val="00C777FC"/>
    <w:rsid w:val="00C8015F"/>
    <w:rsid w:val="00C825A9"/>
    <w:rsid w:val="00C829AC"/>
    <w:rsid w:val="00CB0236"/>
    <w:rsid w:val="00CB08CD"/>
    <w:rsid w:val="00CB2190"/>
    <w:rsid w:val="00CD2476"/>
    <w:rsid w:val="00CE4D1B"/>
    <w:rsid w:val="00D13C3C"/>
    <w:rsid w:val="00D175AB"/>
    <w:rsid w:val="00D216D0"/>
    <w:rsid w:val="00D24509"/>
    <w:rsid w:val="00D262C9"/>
    <w:rsid w:val="00D26508"/>
    <w:rsid w:val="00D33796"/>
    <w:rsid w:val="00D37836"/>
    <w:rsid w:val="00D378A7"/>
    <w:rsid w:val="00D45225"/>
    <w:rsid w:val="00D53FBB"/>
    <w:rsid w:val="00D85327"/>
    <w:rsid w:val="00D91884"/>
    <w:rsid w:val="00D95131"/>
    <w:rsid w:val="00DA6660"/>
    <w:rsid w:val="00DB6716"/>
    <w:rsid w:val="00DC0BF9"/>
    <w:rsid w:val="00DE5A2B"/>
    <w:rsid w:val="00DF560F"/>
    <w:rsid w:val="00DF6E23"/>
    <w:rsid w:val="00E0165F"/>
    <w:rsid w:val="00E05389"/>
    <w:rsid w:val="00E064E2"/>
    <w:rsid w:val="00E307CC"/>
    <w:rsid w:val="00E3614A"/>
    <w:rsid w:val="00E37DDB"/>
    <w:rsid w:val="00E45EB9"/>
    <w:rsid w:val="00E476EB"/>
    <w:rsid w:val="00E5010C"/>
    <w:rsid w:val="00E5797B"/>
    <w:rsid w:val="00E713EF"/>
    <w:rsid w:val="00E73265"/>
    <w:rsid w:val="00E856F1"/>
    <w:rsid w:val="00E97CE6"/>
    <w:rsid w:val="00EB5F20"/>
    <w:rsid w:val="00EC0445"/>
    <w:rsid w:val="00ED5AA4"/>
    <w:rsid w:val="00EE1C5B"/>
    <w:rsid w:val="00EE6768"/>
    <w:rsid w:val="00EF631B"/>
    <w:rsid w:val="00F05118"/>
    <w:rsid w:val="00F1780A"/>
    <w:rsid w:val="00F34B69"/>
    <w:rsid w:val="00F47E53"/>
    <w:rsid w:val="00F627D3"/>
    <w:rsid w:val="00F64F3C"/>
    <w:rsid w:val="00F76D1B"/>
    <w:rsid w:val="00F77C6B"/>
    <w:rsid w:val="00F82EB0"/>
    <w:rsid w:val="00F85A96"/>
    <w:rsid w:val="00F87088"/>
    <w:rsid w:val="00FA4B2E"/>
    <w:rsid w:val="00FB099E"/>
    <w:rsid w:val="00FE5FFD"/>
    <w:rsid w:val="0108285B"/>
    <w:rsid w:val="010E0528"/>
    <w:rsid w:val="0112244E"/>
    <w:rsid w:val="01264972"/>
    <w:rsid w:val="013D4597"/>
    <w:rsid w:val="014F22B3"/>
    <w:rsid w:val="0167795A"/>
    <w:rsid w:val="01A6752A"/>
    <w:rsid w:val="01C818E1"/>
    <w:rsid w:val="01E34D25"/>
    <w:rsid w:val="02003033"/>
    <w:rsid w:val="020142D5"/>
    <w:rsid w:val="0205041C"/>
    <w:rsid w:val="02063FE0"/>
    <w:rsid w:val="02125874"/>
    <w:rsid w:val="021935F0"/>
    <w:rsid w:val="02204B8A"/>
    <w:rsid w:val="022B099C"/>
    <w:rsid w:val="022F2C26"/>
    <w:rsid w:val="023F763D"/>
    <w:rsid w:val="024959B2"/>
    <w:rsid w:val="02497F4C"/>
    <w:rsid w:val="02533D2F"/>
    <w:rsid w:val="02646578"/>
    <w:rsid w:val="027F0426"/>
    <w:rsid w:val="029C3585"/>
    <w:rsid w:val="029D5952"/>
    <w:rsid w:val="02A9151C"/>
    <w:rsid w:val="02CA495F"/>
    <w:rsid w:val="02CD1F73"/>
    <w:rsid w:val="02DB24C5"/>
    <w:rsid w:val="02DF1744"/>
    <w:rsid w:val="03254611"/>
    <w:rsid w:val="033D231C"/>
    <w:rsid w:val="0359140E"/>
    <w:rsid w:val="036A3D46"/>
    <w:rsid w:val="03724537"/>
    <w:rsid w:val="03792D31"/>
    <w:rsid w:val="038F45FC"/>
    <w:rsid w:val="03A84953"/>
    <w:rsid w:val="03CB2647"/>
    <w:rsid w:val="03D71CDD"/>
    <w:rsid w:val="03D91E56"/>
    <w:rsid w:val="03E40A68"/>
    <w:rsid w:val="03F40A38"/>
    <w:rsid w:val="03FC2D13"/>
    <w:rsid w:val="03FF761E"/>
    <w:rsid w:val="045D79B7"/>
    <w:rsid w:val="045F195D"/>
    <w:rsid w:val="04800E71"/>
    <w:rsid w:val="04B11640"/>
    <w:rsid w:val="04D04B64"/>
    <w:rsid w:val="04D7187F"/>
    <w:rsid w:val="04DC026F"/>
    <w:rsid w:val="04FE5883"/>
    <w:rsid w:val="051E7776"/>
    <w:rsid w:val="05202336"/>
    <w:rsid w:val="053B15A4"/>
    <w:rsid w:val="054240ED"/>
    <w:rsid w:val="055A5917"/>
    <w:rsid w:val="05795A22"/>
    <w:rsid w:val="05B5126E"/>
    <w:rsid w:val="05B66CEF"/>
    <w:rsid w:val="060D1F10"/>
    <w:rsid w:val="063D4020"/>
    <w:rsid w:val="06413050"/>
    <w:rsid w:val="0675683C"/>
    <w:rsid w:val="067A44AE"/>
    <w:rsid w:val="06A12170"/>
    <w:rsid w:val="06AC26FF"/>
    <w:rsid w:val="06DB57CD"/>
    <w:rsid w:val="06F82B7E"/>
    <w:rsid w:val="071312E4"/>
    <w:rsid w:val="07167BB0"/>
    <w:rsid w:val="07436754"/>
    <w:rsid w:val="075A06D6"/>
    <w:rsid w:val="075C1864"/>
    <w:rsid w:val="07684137"/>
    <w:rsid w:val="078C55F0"/>
    <w:rsid w:val="07944BFB"/>
    <w:rsid w:val="07B92C3C"/>
    <w:rsid w:val="07CF4DE0"/>
    <w:rsid w:val="07DA78EE"/>
    <w:rsid w:val="08051A37"/>
    <w:rsid w:val="08224BA5"/>
    <w:rsid w:val="082F2C00"/>
    <w:rsid w:val="084B78F7"/>
    <w:rsid w:val="0875590D"/>
    <w:rsid w:val="08A118B5"/>
    <w:rsid w:val="08B60798"/>
    <w:rsid w:val="08BD11E5"/>
    <w:rsid w:val="08CB4B86"/>
    <w:rsid w:val="08D14321"/>
    <w:rsid w:val="09223108"/>
    <w:rsid w:val="0971031E"/>
    <w:rsid w:val="098764CD"/>
    <w:rsid w:val="09AB3A46"/>
    <w:rsid w:val="09DA28B7"/>
    <w:rsid w:val="0A482EEB"/>
    <w:rsid w:val="0A5C6697"/>
    <w:rsid w:val="0A646427"/>
    <w:rsid w:val="0A7C0A60"/>
    <w:rsid w:val="0A894332"/>
    <w:rsid w:val="0A960A6B"/>
    <w:rsid w:val="0A980341"/>
    <w:rsid w:val="0A9E4ADC"/>
    <w:rsid w:val="0AAE1995"/>
    <w:rsid w:val="0AEC39F9"/>
    <w:rsid w:val="0AF5210A"/>
    <w:rsid w:val="0B0321E3"/>
    <w:rsid w:val="0B1C514F"/>
    <w:rsid w:val="0B207777"/>
    <w:rsid w:val="0B2D4462"/>
    <w:rsid w:val="0B39782B"/>
    <w:rsid w:val="0B426986"/>
    <w:rsid w:val="0B481883"/>
    <w:rsid w:val="0B562905"/>
    <w:rsid w:val="0B782692"/>
    <w:rsid w:val="0B7E67EB"/>
    <w:rsid w:val="0BB505F4"/>
    <w:rsid w:val="0BBA4F94"/>
    <w:rsid w:val="0BBB21B4"/>
    <w:rsid w:val="0BDF7B09"/>
    <w:rsid w:val="0C055D69"/>
    <w:rsid w:val="0C2B210B"/>
    <w:rsid w:val="0C3B2421"/>
    <w:rsid w:val="0C5A3BCF"/>
    <w:rsid w:val="0C5D4B54"/>
    <w:rsid w:val="0C646376"/>
    <w:rsid w:val="0C672831"/>
    <w:rsid w:val="0C6C7C4D"/>
    <w:rsid w:val="0C770E51"/>
    <w:rsid w:val="0C8239CE"/>
    <w:rsid w:val="0C8251FA"/>
    <w:rsid w:val="0C846098"/>
    <w:rsid w:val="0CB56867"/>
    <w:rsid w:val="0CF672D1"/>
    <w:rsid w:val="0D466EE9"/>
    <w:rsid w:val="0D5B4A77"/>
    <w:rsid w:val="0D9B5663"/>
    <w:rsid w:val="0DA24EEF"/>
    <w:rsid w:val="0DAE5500"/>
    <w:rsid w:val="0DB67743"/>
    <w:rsid w:val="0DC23522"/>
    <w:rsid w:val="0DCA758F"/>
    <w:rsid w:val="0DDB40CB"/>
    <w:rsid w:val="0E1355EC"/>
    <w:rsid w:val="0E14552A"/>
    <w:rsid w:val="0E1C6417"/>
    <w:rsid w:val="0E272EC6"/>
    <w:rsid w:val="0E2F02D2"/>
    <w:rsid w:val="0E3364B7"/>
    <w:rsid w:val="0E49560F"/>
    <w:rsid w:val="0E575C13"/>
    <w:rsid w:val="0E8D3377"/>
    <w:rsid w:val="0EC265ED"/>
    <w:rsid w:val="0F006637"/>
    <w:rsid w:val="0F031EC3"/>
    <w:rsid w:val="0F204809"/>
    <w:rsid w:val="0F2957EF"/>
    <w:rsid w:val="0F38757F"/>
    <w:rsid w:val="0F45369E"/>
    <w:rsid w:val="0F6B2C2C"/>
    <w:rsid w:val="0F737665"/>
    <w:rsid w:val="0F780D62"/>
    <w:rsid w:val="0FD30983"/>
    <w:rsid w:val="0FDB353F"/>
    <w:rsid w:val="10181477"/>
    <w:rsid w:val="106E332F"/>
    <w:rsid w:val="106F4084"/>
    <w:rsid w:val="10711C66"/>
    <w:rsid w:val="10856228"/>
    <w:rsid w:val="109B2DB3"/>
    <w:rsid w:val="10C14D88"/>
    <w:rsid w:val="10C53E86"/>
    <w:rsid w:val="10CA3499"/>
    <w:rsid w:val="10ED2754"/>
    <w:rsid w:val="11853BCD"/>
    <w:rsid w:val="119C3F91"/>
    <w:rsid w:val="11A46680"/>
    <w:rsid w:val="11C742F1"/>
    <w:rsid w:val="11D3533B"/>
    <w:rsid w:val="11D35ECA"/>
    <w:rsid w:val="11DD425B"/>
    <w:rsid w:val="11EC0FF2"/>
    <w:rsid w:val="122B17E5"/>
    <w:rsid w:val="12317569"/>
    <w:rsid w:val="125012B3"/>
    <w:rsid w:val="12672C56"/>
    <w:rsid w:val="12972790"/>
    <w:rsid w:val="12A82A2A"/>
    <w:rsid w:val="12AD10B0"/>
    <w:rsid w:val="12E630EF"/>
    <w:rsid w:val="12EE791C"/>
    <w:rsid w:val="12EF6AB8"/>
    <w:rsid w:val="131577DB"/>
    <w:rsid w:val="13180760"/>
    <w:rsid w:val="13184770"/>
    <w:rsid w:val="135C7F4F"/>
    <w:rsid w:val="137C7A35"/>
    <w:rsid w:val="137F1409"/>
    <w:rsid w:val="13A670CA"/>
    <w:rsid w:val="13B33C0B"/>
    <w:rsid w:val="13BE0D84"/>
    <w:rsid w:val="13C84992"/>
    <w:rsid w:val="13DE2AA7"/>
    <w:rsid w:val="13EA1D81"/>
    <w:rsid w:val="14116779"/>
    <w:rsid w:val="148A2BC0"/>
    <w:rsid w:val="148E15C6"/>
    <w:rsid w:val="149C6E95"/>
    <w:rsid w:val="14A02B65"/>
    <w:rsid w:val="14A20267"/>
    <w:rsid w:val="14B0664C"/>
    <w:rsid w:val="14CC6EAC"/>
    <w:rsid w:val="14DD044C"/>
    <w:rsid w:val="14F70FF5"/>
    <w:rsid w:val="1511631C"/>
    <w:rsid w:val="15262A3E"/>
    <w:rsid w:val="15415E4A"/>
    <w:rsid w:val="15BC7922"/>
    <w:rsid w:val="15BD1CB8"/>
    <w:rsid w:val="15BD5018"/>
    <w:rsid w:val="15C0086C"/>
    <w:rsid w:val="15D04CAD"/>
    <w:rsid w:val="15D623D1"/>
    <w:rsid w:val="15D942D4"/>
    <w:rsid w:val="15F44AEB"/>
    <w:rsid w:val="16450C97"/>
    <w:rsid w:val="168F1D66"/>
    <w:rsid w:val="16D0314F"/>
    <w:rsid w:val="16EC01AC"/>
    <w:rsid w:val="1718145E"/>
    <w:rsid w:val="171E2B79"/>
    <w:rsid w:val="175852DC"/>
    <w:rsid w:val="17697775"/>
    <w:rsid w:val="17745B06"/>
    <w:rsid w:val="177A5491"/>
    <w:rsid w:val="178A352D"/>
    <w:rsid w:val="17B51DF3"/>
    <w:rsid w:val="17BC0D49"/>
    <w:rsid w:val="17DF4C96"/>
    <w:rsid w:val="17F9411E"/>
    <w:rsid w:val="180470F1"/>
    <w:rsid w:val="18281238"/>
    <w:rsid w:val="183A5C45"/>
    <w:rsid w:val="183D6848"/>
    <w:rsid w:val="18912A5B"/>
    <w:rsid w:val="18A427EA"/>
    <w:rsid w:val="18B45F9A"/>
    <w:rsid w:val="18E558E7"/>
    <w:rsid w:val="192F165F"/>
    <w:rsid w:val="193619F4"/>
    <w:rsid w:val="19A2611B"/>
    <w:rsid w:val="19D94077"/>
    <w:rsid w:val="19DC0139"/>
    <w:rsid w:val="1A0738C1"/>
    <w:rsid w:val="1A097A4D"/>
    <w:rsid w:val="1A1928E2"/>
    <w:rsid w:val="1A1B6D53"/>
    <w:rsid w:val="1A3A2609"/>
    <w:rsid w:val="1A551442"/>
    <w:rsid w:val="1A8A78E8"/>
    <w:rsid w:val="1A995DE4"/>
    <w:rsid w:val="1AAF2DD5"/>
    <w:rsid w:val="1AB56EDD"/>
    <w:rsid w:val="1AC72B82"/>
    <w:rsid w:val="1ADD2620"/>
    <w:rsid w:val="1ADE00A1"/>
    <w:rsid w:val="1AE04D90"/>
    <w:rsid w:val="1AE914B8"/>
    <w:rsid w:val="1B263D19"/>
    <w:rsid w:val="1B3206DD"/>
    <w:rsid w:val="1B666D00"/>
    <w:rsid w:val="1B884CB7"/>
    <w:rsid w:val="1B905946"/>
    <w:rsid w:val="1BD0092E"/>
    <w:rsid w:val="1C2269A1"/>
    <w:rsid w:val="1C2B53D3"/>
    <w:rsid w:val="1C322A57"/>
    <w:rsid w:val="1C3854F8"/>
    <w:rsid w:val="1C4012A8"/>
    <w:rsid w:val="1C612C40"/>
    <w:rsid w:val="1C687FF0"/>
    <w:rsid w:val="1C7D1ECB"/>
    <w:rsid w:val="1C7D7B4D"/>
    <w:rsid w:val="1C8470F6"/>
    <w:rsid w:val="1CA930C3"/>
    <w:rsid w:val="1CDE0B84"/>
    <w:rsid w:val="1CE52F15"/>
    <w:rsid w:val="1D08456A"/>
    <w:rsid w:val="1D0B4E33"/>
    <w:rsid w:val="1D22620B"/>
    <w:rsid w:val="1D2B4389"/>
    <w:rsid w:val="1D5B04A3"/>
    <w:rsid w:val="1D6E1839"/>
    <w:rsid w:val="1D9364D5"/>
    <w:rsid w:val="1DA340AC"/>
    <w:rsid w:val="1DA43137"/>
    <w:rsid w:val="1DB530CD"/>
    <w:rsid w:val="1DB61DEA"/>
    <w:rsid w:val="1DD66BF1"/>
    <w:rsid w:val="1DDC550B"/>
    <w:rsid w:val="1E0E375C"/>
    <w:rsid w:val="1E115849"/>
    <w:rsid w:val="1E192DF2"/>
    <w:rsid w:val="1E2458FF"/>
    <w:rsid w:val="1E256C04"/>
    <w:rsid w:val="1E296152"/>
    <w:rsid w:val="1E2D5868"/>
    <w:rsid w:val="1E432470"/>
    <w:rsid w:val="1E5A6D13"/>
    <w:rsid w:val="1E714D8C"/>
    <w:rsid w:val="1E7256D3"/>
    <w:rsid w:val="1E834A1F"/>
    <w:rsid w:val="1E8B1E2C"/>
    <w:rsid w:val="1E8C78AD"/>
    <w:rsid w:val="1EB5123B"/>
    <w:rsid w:val="1ED06220"/>
    <w:rsid w:val="1ED50FA6"/>
    <w:rsid w:val="1ED56A2B"/>
    <w:rsid w:val="1EEC0BCC"/>
    <w:rsid w:val="1F0771F7"/>
    <w:rsid w:val="1F104283"/>
    <w:rsid w:val="1F1C192C"/>
    <w:rsid w:val="1F1D54D4"/>
    <w:rsid w:val="1F1F28D3"/>
    <w:rsid w:val="1F2F5D20"/>
    <w:rsid w:val="1F3D2EA0"/>
    <w:rsid w:val="1F4F5154"/>
    <w:rsid w:val="1F5D1FED"/>
    <w:rsid w:val="1FA301B3"/>
    <w:rsid w:val="1FE71238"/>
    <w:rsid w:val="1FFF3F0C"/>
    <w:rsid w:val="20051698"/>
    <w:rsid w:val="200C6AA5"/>
    <w:rsid w:val="201E69BF"/>
    <w:rsid w:val="202630E6"/>
    <w:rsid w:val="20327BDE"/>
    <w:rsid w:val="203F1145"/>
    <w:rsid w:val="20C370F7"/>
    <w:rsid w:val="20D17AE7"/>
    <w:rsid w:val="20E21F80"/>
    <w:rsid w:val="20FA2EAA"/>
    <w:rsid w:val="21454223"/>
    <w:rsid w:val="21A74594"/>
    <w:rsid w:val="21A95847"/>
    <w:rsid w:val="21B07874"/>
    <w:rsid w:val="223A3836"/>
    <w:rsid w:val="224C2702"/>
    <w:rsid w:val="225803CF"/>
    <w:rsid w:val="225A62E9"/>
    <w:rsid w:val="2284712E"/>
    <w:rsid w:val="229B41DA"/>
    <w:rsid w:val="22B87BF1"/>
    <w:rsid w:val="22D857D1"/>
    <w:rsid w:val="22E84C54"/>
    <w:rsid w:val="22F66168"/>
    <w:rsid w:val="230F1D2B"/>
    <w:rsid w:val="231467CA"/>
    <w:rsid w:val="23385CD8"/>
    <w:rsid w:val="23391765"/>
    <w:rsid w:val="23412D64"/>
    <w:rsid w:val="239250F5"/>
    <w:rsid w:val="23A4159A"/>
    <w:rsid w:val="23AC683C"/>
    <w:rsid w:val="23C4333D"/>
    <w:rsid w:val="23E25E82"/>
    <w:rsid w:val="23F45409"/>
    <w:rsid w:val="24034906"/>
    <w:rsid w:val="240C3731"/>
    <w:rsid w:val="241604E3"/>
    <w:rsid w:val="24171AC2"/>
    <w:rsid w:val="241C4FDA"/>
    <w:rsid w:val="241F34DE"/>
    <w:rsid w:val="24267B5E"/>
    <w:rsid w:val="24590234"/>
    <w:rsid w:val="24610C3D"/>
    <w:rsid w:val="247D6301"/>
    <w:rsid w:val="247F01ED"/>
    <w:rsid w:val="24917D26"/>
    <w:rsid w:val="24953F14"/>
    <w:rsid w:val="249E4312"/>
    <w:rsid w:val="24A85322"/>
    <w:rsid w:val="24AA2336"/>
    <w:rsid w:val="24B0423F"/>
    <w:rsid w:val="24C40DE2"/>
    <w:rsid w:val="24FC204E"/>
    <w:rsid w:val="2509234F"/>
    <w:rsid w:val="250B6C57"/>
    <w:rsid w:val="253D7326"/>
    <w:rsid w:val="255B46D8"/>
    <w:rsid w:val="255F460B"/>
    <w:rsid w:val="25643920"/>
    <w:rsid w:val="256560E8"/>
    <w:rsid w:val="259557B7"/>
    <w:rsid w:val="25BE0B79"/>
    <w:rsid w:val="25C50504"/>
    <w:rsid w:val="25E32445"/>
    <w:rsid w:val="25E64E2D"/>
    <w:rsid w:val="2604137D"/>
    <w:rsid w:val="26066D6F"/>
    <w:rsid w:val="266C1F97"/>
    <w:rsid w:val="267B47B0"/>
    <w:rsid w:val="268147CA"/>
    <w:rsid w:val="26914755"/>
    <w:rsid w:val="26FC3E04"/>
    <w:rsid w:val="270D6066"/>
    <w:rsid w:val="271414AB"/>
    <w:rsid w:val="27305D21"/>
    <w:rsid w:val="273F44CB"/>
    <w:rsid w:val="2764472D"/>
    <w:rsid w:val="278F4A5D"/>
    <w:rsid w:val="279A4C07"/>
    <w:rsid w:val="27B5050A"/>
    <w:rsid w:val="27CF7675"/>
    <w:rsid w:val="283008FE"/>
    <w:rsid w:val="283F69C4"/>
    <w:rsid w:val="284145E2"/>
    <w:rsid w:val="28431B9D"/>
    <w:rsid w:val="284B3726"/>
    <w:rsid w:val="28663164"/>
    <w:rsid w:val="28680AD8"/>
    <w:rsid w:val="286C2D61"/>
    <w:rsid w:val="28885049"/>
    <w:rsid w:val="28906419"/>
    <w:rsid w:val="28B121D1"/>
    <w:rsid w:val="28D6498F"/>
    <w:rsid w:val="29107910"/>
    <w:rsid w:val="29143481"/>
    <w:rsid w:val="29346F27"/>
    <w:rsid w:val="29552CDF"/>
    <w:rsid w:val="296721E2"/>
    <w:rsid w:val="29821773"/>
    <w:rsid w:val="29986C4B"/>
    <w:rsid w:val="29A864A6"/>
    <w:rsid w:val="29B97D02"/>
    <w:rsid w:val="29BD657B"/>
    <w:rsid w:val="29EE7A94"/>
    <w:rsid w:val="29FE2BDD"/>
    <w:rsid w:val="2A082782"/>
    <w:rsid w:val="2A180220"/>
    <w:rsid w:val="2A2D5D1C"/>
    <w:rsid w:val="2A3A09D3"/>
    <w:rsid w:val="2A3B6454"/>
    <w:rsid w:val="2A6662B3"/>
    <w:rsid w:val="2A740757"/>
    <w:rsid w:val="2A8A4EDA"/>
    <w:rsid w:val="2A932366"/>
    <w:rsid w:val="2A95366B"/>
    <w:rsid w:val="2AC63E3A"/>
    <w:rsid w:val="2AC678BF"/>
    <w:rsid w:val="2ACD4924"/>
    <w:rsid w:val="2ACF1C3A"/>
    <w:rsid w:val="2AEA2D75"/>
    <w:rsid w:val="2AEB0717"/>
    <w:rsid w:val="2B126255"/>
    <w:rsid w:val="2B2A3B5F"/>
    <w:rsid w:val="2B2B64E5"/>
    <w:rsid w:val="2B4A4093"/>
    <w:rsid w:val="2B5B47E0"/>
    <w:rsid w:val="2B5D30B4"/>
    <w:rsid w:val="2B5F2A04"/>
    <w:rsid w:val="2B797161"/>
    <w:rsid w:val="2B7F02AA"/>
    <w:rsid w:val="2B7F4E85"/>
    <w:rsid w:val="2B8A7880"/>
    <w:rsid w:val="2B8C0380"/>
    <w:rsid w:val="2BA932D9"/>
    <w:rsid w:val="2BD40170"/>
    <w:rsid w:val="2BF84F0B"/>
    <w:rsid w:val="2C122A6B"/>
    <w:rsid w:val="2C3C65D5"/>
    <w:rsid w:val="2C6F63F4"/>
    <w:rsid w:val="2C781282"/>
    <w:rsid w:val="2CD50344"/>
    <w:rsid w:val="2CE72BBB"/>
    <w:rsid w:val="2D0168F0"/>
    <w:rsid w:val="2D3A4BC3"/>
    <w:rsid w:val="2D4C4ADE"/>
    <w:rsid w:val="2D6548BB"/>
    <w:rsid w:val="2D6E4BF0"/>
    <w:rsid w:val="2D9177D0"/>
    <w:rsid w:val="2D9E41B0"/>
    <w:rsid w:val="2DB3100A"/>
    <w:rsid w:val="2DBD6AA5"/>
    <w:rsid w:val="2E046156"/>
    <w:rsid w:val="2E1F613B"/>
    <w:rsid w:val="2E500A5C"/>
    <w:rsid w:val="2E5215CF"/>
    <w:rsid w:val="2E6C79C7"/>
    <w:rsid w:val="2E7D2DEA"/>
    <w:rsid w:val="2EA80FBB"/>
    <w:rsid w:val="2EB41B71"/>
    <w:rsid w:val="2EC92BE4"/>
    <w:rsid w:val="2F154A24"/>
    <w:rsid w:val="2F305F78"/>
    <w:rsid w:val="2F421715"/>
    <w:rsid w:val="2F43642E"/>
    <w:rsid w:val="2F550BBA"/>
    <w:rsid w:val="2F7431E9"/>
    <w:rsid w:val="2F8D6403"/>
    <w:rsid w:val="2FA5723B"/>
    <w:rsid w:val="2FBF74DF"/>
    <w:rsid w:val="2FD25781"/>
    <w:rsid w:val="2FF02A8E"/>
    <w:rsid w:val="300139F8"/>
    <w:rsid w:val="300C7EE4"/>
    <w:rsid w:val="303C51B0"/>
    <w:rsid w:val="304E5F8A"/>
    <w:rsid w:val="304F5BCD"/>
    <w:rsid w:val="30611B6D"/>
    <w:rsid w:val="30632482"/>
    <w:rsid w:val="306C1247"/>
    <w:rsid w:val="30753332"/>
    <w:rsid w:val="30792A97"/>
    <w:rsid w:val="307D20AA"/>
    <w:rsid w:val="30A64C34"/>
    <w:rsid w:val="30B92E01"/>
    <w:rsid w:val="3125512E"/>
    <w:rsid w:val="312C033C"/>
    <w:rsid w:val="312E128D"/>
    <w:rsid w:val="31350C4C"/>
    <w:rsid w:val="314E3D74"/>
    <w:rsid w:val="314F5F72"/>
    <w:rsid w:val="31522B04"/>
    <w:rsid w:val="31532A82"/>
    <w:rsid w:val="315C308A"/>
    <w:rsid w:val="3187194F"/>
    <w:rsid w:val="31A15D7C"/>
    <w:rsid w:val="31EB1674"/>
    <w:rsid w:val="31F05AFB"/>
    <w:rsid w:val="31FF0314"/>
    <w:rsid w:val="321B7D58"/>
    <w:rsid w:val="32211B4E"/>
    <w:rsid w:val="32280791"/>
    <w:rsid w:val="32296600"/>
    <w:rsid w:val="322E4E07"/>
    <w:rsid w:val="32332928"/>
    <w:rsid w:val="323507EE"/>
    <w:rsid w:val="3252231D"/>
    <w:rsid w:val="32676A3F"/>
    <w:rsid w:val="328A2477"/>
    <w:rsid w:val="328E0E7D"/>
    <w:rsid w:val="32B026B6"/>
    <w:rsid w:val="32B56D8D"/>
    <w:rsid w:val="32D21971"/>
    <w:rsid w:val="32E23132"/>
    <w:rsid w:val="33473BAA"/>
    <w:rsid w:val="338C75D9"/>
    <w:rsid w:val="339729B4"/>
    <w:rsid w:val="339D48BD"/>
    <w:rsid w:val="33A50B62"/>
    <w:rsid w:val="33B512A9"/>
    <w:rsid w:val="33B65E58"/>
    <w:rsid w:val="33BE6FF0"/>
    <w:rsid w:val="33CA6686"/>
    <w:rsid w:val="33D033F4"/>
    <w:rsid w:val="33EA497C"/>
    <w:rsid w:val="33EB3454"/>
    <w:rsid w:val="33F001AC"/>
    <w:rsid w:val="340A7C10"/>
    <w:rsid w:val="34153282"/>
    <w:rsid w:val="344804D5"/>
    <w:rsid w:val="34575606"/>
    <w:rsid w:val="348832D1"/>
    <w:rsid w:val="34897F90"/>
    <w:rsid w:val="348E3E46"/>
    <w:rsid w:val="34934ECE"/>
    <w:rsid w:val="349A7E82"/>
    <w:rsid w:val="34A43DEB"/>
    <w:rsid w:val="34C1119D"/>
    <w:rsid w:val="34DB3F45"/>
    <w:rsid w:val="34E906F1"/>
    <w:rsid w:val="34EC41DF"/>
    <w:rsid w:val="350120A3"/>
    <w:rsid w:val="35053705"/>
    <w:rsid w:val="3507028C"/>
    <w:rsid w:val="350B707E"/>
    <w:rsid w:val="35324954"/>
    <w:rsid w:val="35941175"/>
    <w:rsid w:val="359F67E7"/>
    <w:rsid w:val="35AF114F"/>
    <w:rsid w:val="35C30548"/>
    <w:rsid w:val="35F03F85"/>
    <w:rsid w:val="36167396"/>
    <w:rsid w:val="361B48D1"/>
    <w:rsid w:val="362551E1"/>
    <w:rsid w:val="363244F6"/>
    <w:rsid w:val="36352F68"/>
    <w:rsid w:val="36362EFD"/>
    <w:rsid w:val="363B7384"/>
    <w:rsid w:val="36497E4C"/>
    <w:rsid w:val="367156A7"/>
    <w:rsid w:val="36813BF9"/>
    <w:rsid w:val="36CC166C"/>
    <w:rsid w:val="370A6A74"/>
    <w:rsid w:val="37111966"/>
    <w:rsid w:val="37300FE6"/>
    <w:rsid w:val="377346E6"/>
    <w:rsid w:val="37A615CA"/>
    <w:rsid w:val="37A727C8"/>
    <w:rsid w:val="37B304C6"/>
    <w:rsid w:val="37B51F4F"/>
    <w:rsid w:val="37C75C12"/>
    <w:rsid w:val="3813028F"/>
    <w:rsid w:val="38132B2B"/>
    <w:rsid w:val="3820664F"/>
    <w:rsid w:val="383133CF"/>
    <w:rsid w:val="384133C2"/>
    <w:rsid w:val="385E4036"/>
    <w:rsid w:val="38650F93"/>
    <w:rsid w:val="38790638"/>
    <w:rsid w:val="38864D4B"/>
    <w:rsid w:val="3888244C"/>
    <w:rsid w:val="38C90CB7"/>
    <w:rsid w:val="38FD240B"/>
    <w:rsid w:val="390026BE"/>
    <w:rsid w:val="39160DB7"/>
    <w:rsid w:val="393165EE"/>
    <w:rsid w:val="39550F4B"/>
    <w:rsid w:val="39561BA0"/>
    <w:rsid w:val="39607F31"/>
    <w:rsid w:val="3963708B"/>
    <w:rsid w:val="39BC468F"/>
    <w:rsid w:val="39C217E6"/>
    <w:rsid w:val="39C400B0"/>
    <w:rsid w:val="39FC53DB"/>
    <w:rsid w:val="3A2F7433"/>
    <w:rsid w:val="3A3064FE"/>
    <w:rsid w:val="3A345D11"/>
    <w:rsid w:val="3A553367"/>
    <w:rsid w:val="3A6157A2"/>
    <w:rsid w:val="3A750CB1"/>
    <w:rsid w:val="3A770C79"/>
    <w:rsid w:val="3A7F2907"/>
    <w:rsid w:val="3ABC01EE"/>
    <w:rsid w:val="3AC37B79"/>
    <w:rsid w:val="3AD34590"/>
    <w:rsid w:val="3B0F6019"/>
    <w:rsid w:val="3B59226A"/>
    <w:rsid w:val="3B5D2196"/>
    <w:rsid w:val="3B6826D8"/>
    <w:rsid w:val="3B7D6FA7"/>
    <w:rsid w:val="3BA526EA"/>
    <w:rsid w:val="3BCA79B3"/>
    <w:rsid w:val="3BE917A5"/>
    <w:rsid w:val="3BEF3A63"/>
    <w:rsid w:val="3C003CFD"/>
    <w:rsid w:val="3C0A2699"/>
    <w:rsid w:val="3C3663D5"/>
    <w:rsid w:val="3C6C208D"/>
    <w:rsid w:val="3C891E4A"/>
    <w:rsid w:val="3C930CED"/>
    <w:rsid w:val="3C9A775E"/>
    <w:rsid w:val="3C9F54F2"/>
    <w:rsid w:val="3CB044AF"/>
    <w:rsid w:val="3CDA6181"/>
    <w:rsid w:val="3CE8390C"/>
    <w:rsid w:val="3CEF2A77"/>
    <w:rsid w:val="3D0535AB"/>
    <w:rsid w:val="3D682EEB"/>
    <w:rsid w:val="3D9B12E0"/>
    <w:rsid w:val="3D9B68BE"/>
    <w:rsid w:val="3DA94601"/>
    <w:rsid w:val="3DC1650A"/>
    <w:rsid w:val="3DD0301C"/>
    <w:rsid w:val="3DF44DFE"/>
    <w:rsid w:val="3E3D3A39"/>
    <w:rsid w:val="3E3F2B60"/>
    <w:rsid w:val="3E802A97"/>
    <w:rsid w:val="3E860224"/>
    <w:rsid w:val="3EA20311"/>
    <w:rsid w:val="3EAE5FBF"/>
    <w:rsid w:val="3EAE78EE"/>
    <w:rsid w:val="3EC03E64"/>
    <w:rsid w:val="3ED03B1B"/>
    <w:rsid w:val="3EF25354"/>
    <w:rsid w:val="3EF30DD2"/>
    <w:rsid w:val="3F023659"/>
    <w:rsid w:val="3F40686D"/>
    <w:rsid w:val="3F4F1E6B"/>
    <w:rsid w:val="3F6A0496"/>
    <w:rsid w:val="3F705C23"/>
    <w:rsid w:val="3F721126"/>
    <w:rsid w:val="3F993564"/>
    <w:rsid w:val="3FAE1CED"/>
    <w:rsid w:val="3FAF5707"/>
    <w:rsid w:val="3FB223D4"/>
    <w:rsid w:val="3FD8439F"/>
    <w:rsid w:val="3FF50DFE"/>
    <w:rsid w:val="3FFE2678"/>
    <w:rsid w:val="3FFF0E86"/>
    <w:rsid w:val="401818B4"/>
    <w:rsid w:val="4033743E"/>
    <w:rsid w:val="403F39CB"/>
    <w:rsid w:val="40880C6E"/>
    <w:rsid w:val="40C91CA6"/>
    <w:rsid w:val="40D16AE4"/>
    <w:rsid w:val="40D7618E"/>
    <w:rsid w:val="40E20083"/>
    <w:rsid w:val="40F876E4"/>
    <w:rsid w:val="41162BB4"/>
    <w:rsid w:val="412874F2"/>
    <w:rsid w:val="414954A9"/>
    <w:rsid w:val="41597055"/>
    <w:rsid w:val="41786A58"/>
    <w:rsid w:val="418566B2"/>
    <w:rsid w:val="418A7109"/>
    <w:rsid w:val="41926BA2"/>
    <w:rsid w:val="41B077CF"/>
    <w:rsid w:val="41B403DB"/>
    <w:rsid w:val="41D5675F"/>
    <w:rsid w:val="41F45941"/>
    <w:rsid w:val="420D0A6A"/>
    <w:rsid w:val="42192457"/>
    <w:rsid w:val="421F7A8A"/>
    <w:rsid w:val="422A5E1B"/>
    <w:rsid w:val="424801E7"/>
    <w:rsid w:val="429441C6"/>
    <w:rsid w:val="42A012DD"/>
    <w:rsid w:val="42C11812"/>
    <w:rsid w:val="42D2752E"/>
    <w:rsid w:val="42EF105C"/>
    <w:rsid w:val="42FD5DF4"/>
    <w:rsid w:val="430A2F0B"/>
    <w:rsid w:val="43101038"/>
    <w:rsid w:val="43230A89"/>
    <w:rsid w:val="433F02A4"/>
    <w:rsid w:val="434C14E4"/>
    <w:rsid w:val="434D6E78"/>
    <w:rsid w:val="43926590"/>
    <w:rsid w:val="4396542E"/>
    <w:rsid w:val="439C3703"/>
    <w:rsid w:val="43A156FB"/>
    <w:rsid w:val="43AA42CB"/>
    <w:rsid w:val="43C665CB"/>
    <w:rsid w:val="43C7211B"/>
    <w:rsid w:val="43F37912"/>
    <w:rsid w:val="43F869A2"/>
    <w:rsid w:val="44092835"/>
    <w:rsid w:val="44116FB1"/>
    <w:rsid w:val="44125912"/>
    <w:rsid w:val="441C09E1"/>
    <w:rsid w:val="442C42E7"/>
    <w:rsid w:val="444F172A"/>
    <w:rsid w:val="446E05D4"/>
    <w:rsid w:val="446F0254"/>
    <w:rsid w:val="44704609"/>
    <w:rsid w:val="447D4F39"/>
    <w:rsid w:val="447F6880"/>
    <w:rsid w:val="4490658A"/>
    <w:rsid w:val="44B9194D"/>
    <w:rsid w:val="44C4575F"/>
    <w:rsid w:val="44CA3AD0"/>
    <w:rsid w:val="45156533"/>
    <w:rsid w:val="452B420A"/>
    <w:rsid w:val="45420D8F"/>
    <w:rsid w:val="456D5DB7"/>
    <w:rsid w:val="45C35682"/>
    <w:rsid w:val="45E05775"/>
    <w:rsid w:val="4604681A"/>
    <w:rsid w:val="460E227E"/>
    <w:rsid w:val="462446FC"/>
    <w:rsid w:val="46675870"/>
    <w:rsid w:val="46787AC7"/>
    <w:rsid w:val="4684671B"/>
    <w:rsid w:val="469730DC"/>
    <w:rsid w:val="472A2BAB"/>
    <w:rsid w:val="476B4739"/>
    <w:rsid w:val="477877CE"/>
    <w:rsid w:val="47B915F8"/>
    <w:rsid w:val="47BA1F3A"/>
    <w:rsid w:val="47DB3F9E"/>
    <w:rsid w:val="47DB5CF2"/>
    <w:rsid w:val="47DE6C76"/>
    <w:rsid w:val="47DE73A4"/>
    <w:rsid w:val="47E356CC"/>
    <w:rsid w:val="47E74FC3"/>
    <w:rsid w:val="47EF4992"/>
    <w:rsid w:val="47FF65F5"/>
    <w:rsid w:val="48166DD0"/>
    <w:rsid w:val="48391138"/>
    <w:rsid w:val="484A7D05"/>
    <w:rsid w:val="48516FB5"/>
    <w:rsid w:val="486B47CD"/>
    <w:rsid w:val="489F12B3"/>
    <w:rsid w:val="48A37CB9"/>
    <w:rsid w:val="48B51333"/>
    <w:rsid w:val="48B81736"/>
    <w:rsid w:val="48C52454"/>
    <w:rsid w:val="48D20808"/>
    <w:rsid w:val="49175F08"/>
    <w:rsid w:val="492F103B"/>
    <w:rsid w:val="49364CAA"/>
    <w:rsid w:val="494F3655"/>
    <w:rsid w:val="495E5DFB"/>
    <w:rsid w:val="49620FF1"/>
    <w:rsid w:val="49637F5F"/>
    <w:rsid w:val="497A1F1B"/>
    <w:rsid w:val="498615B1"/>
    <w:rsid w:val="49896CB2"/>
    <w:rsid w:val="49B90521"/>
    <w:rsid w:val="49ED5A87"/>
    <w:rsid w:val="4A2A42E9"/>
    <w:rsid w:val="4A4009DF"/>
    <w:rsid w:val="4A49386D"/>
    <w:rsid w:val="4A7C4FC1"/>
    <w:rsid w:val="4A8039C7"/>
    <w:rsid w:val="4A8A7B5A"/>
    <w:rsid w:val="4A8E2CDD"/>
    <w:rsid w:val="4A937164"/>
    <w:rsid w:val="4A9F3BEE"/>
    <w:rsid w:val="4AAD0CD4"/>
    <w:rsid w:val="4AB04516"/>
    <w:rsid w:val="4AB70637"/>
    <w:rsid w:val="4ACE7349"/>
    <w:rsid w:val="4AE03B66"/>
    <w:rsid w:val="4AE361FE"/>
    <w:rsid w:val="4AF02D81"/>
    <w:rsid w:val="4AF15780"/>
    <w:rsid w:val="4B2A63DE"/>
    <w:rsid w:val="4B3B1D55"/>
    <w:rsid w:val="4B3B5445"/>
    <w:rsid w:val="4B3F67A0"/>
    <w:rsid w:val="4B7A0C43"/>
    <w:rsid w:val="4B7C61E8"/>
    <w:rsid w:val="4B8E2A3C"/>
    <w:rsid w:val="4B955A8D"/>
    <w:rsid w:val="4B9F3E1E"/>
    <w:rsid w:val="4BB040B9"/>
    <w:rsid w:val="4BBD33CE"/>
    <w:rsid w:val="4BC465DD"/>
    <w:rsid w:val="4BC84689"/>
    <w:rsid w:val="4BEE45D1"/>
    <w:rsid w:val="4BF6482D"/>
    <w:rsid w:val="4C434A41"/>
    <w:rsid w:val="4C512D30"/>
    <w:rsid w:val="4C5F77FA"/>
    <w:rsid w:val="4C6251E1"/>
    <w:rsid w:val="4C6D4F44"/>
    <w:rsid w:val="4C8251DE"/>
    <w:rsid w:val="4C8C5BC1"/>
    <w:rsid w:val="4CA467AB"/>
    <w:rsid w:val="4CAD655A"/>
    <w:rsid w:val="4CB80BD5"/>
    <w:rsid w:val="4CC306FE"/>
    <w:rsid w:val="4CE10560"/>
    <w:rsid w:val="4CE71BB7"/>
    <w:rsid w:val="4D2E5BAF"/>
    <w:rsid w:val="4D341EA0"/>
    <w:rsid w:val="4D4C254E"/>
    <w:rsid w:val="4D5814A2"/>
    <w:rsid w:val="4D5D2D19"/>
    <w:rsid w:val="4D6C5694"/>
    <w:rsid w:val="4D940DD6"/>
    <w:rsid w:val="4DB20D1B"/>
    <w:rsid w:val="4DB35E08"/>
    <w:rsid w:val="4DBC12E9"/>
    <w:rsid w:val="4DBF7269"/>
    <w:rsid w:val="4DEB1B97"/>
    <w:rsid w:val="4E013F7C"/>
    <w:rsid w:val="4E3057A4"/>
    <w:rsid w:val="4E6E7EA9"/>
    <w:rsid w:val="4E8E31EC"/>
    <w:rsid w:val="4E9F69AC"/>
    <w:rsid w:val="4EA824D0"/>
    <w:rsid w:val="4EAF237A"/>
    <w:rsid w:val="4EB825D0"/>
    <w:rsid w:val="4ECC0AD3"/>
    <w:rsid w:val="4ED41F08"/>
    <w:rsid w:val="4EE42CCD"/>
    <w:rsid w:val="4EF96F7C"/>
    <w:rsid w:val="4F14570F"/>
    <w:rsid w:val="4F2254D0"/>
    <w:rsid w:val="4F3C7E8D"/>
    <w:rsid w:val="4F3D7B0D"/>
    <w:rsid w:val="4F416513"/>
    <w:rsid w:val="4F4A4C24"/>
    <w:rsid w:val="4F5145AF"/>
    <w:rsid w:val="4F545534"/>
    <w:rsid w:val="4F864D16"/>
    <w:rsid w:val="4F89218B"/>
    <w:rsid w:val="4F975917"/>
    <w:rsid w:val="4FA25DEE"/>
    <w:rsid w:val="4FAD6EC7"/>
    <w:rsid w:val="4FC34095"/>
    <w:rsid w:val="50082A59"/>
    <w:rsid w:val="50120DEA"/>
    <w:rsid w:val="502301E7"/>
    <w:rsid w:val="503D54B2"/>
    <w:rsid w:val="50D17F23"/>
    <w:rsid w:val="50D65EF0"/>
    <w:rsid w:val="50F626E2"/>
    <w:rsid w:val="51121775"/>
    <w:rsid w:val="512F3B40"/>
    <w:rsid w:val="514D00A8"/>
    <w:rsid w:val="515B56E5"/>
    <w:rsid w:val="51BD7FCD"/>
    <w:rsid w:val="51BF0551"/>
    <w:rsid w:val="51C714D4"/>
    <w:rsid w:val="51F00CC9"/>
    <w:rsid w:val="51FD2FB7"/>
    <w:rsid w:val="52077236"/>
    <w:rsid w:val="52470B24"/>
    <w:rsid w:val="524D7D02"/>
    <w:rsid w:val="52676DD6"/>
    <w:rsid w:val="528775F5"/>
    <w:rsid w:val="52AA302D"/>
    <w:rsid w:val="52B93A58"/>
    <w:rsid w:val="52C10773"/>
    <w:rsid w:val="52F36A11"/>
    <w:rsid w:val="530968C9"/>
    <w:rsid w:val="53155F5F"/>
    <w:rsid w:val="532661FA"/>
    <w:rsid w:val="5335531B"/>
    <w:rsid w:val="534C0638"/>
    <w:rsid w:val="53514ABF"/>
    <w:rsid w:val="535E37FD"/>
    <w:rsid w:val="53680093"/>
    <w:rsid w:val="537464CA"/>
    <w:rsid w:val="537F430A"/>
    <w:rsid w:val="538732EB"/>
    <w:rsid w:val="539A72B3"/>
    <w:rsid w:val="539F2640"/>
    <w:rsid w:val="53C23AF9"/>
    <w:rsid w:val="53C37EDD"/>
    <w:rsid w:val="53C65EEA"/>
    <w:rsid w:val="53F65610"/>
    <w:rsid w:val="54684AC0"/>
    <w:rsid w:val="546F173C"/>
    <w:rsid w:val="548B5741"/>
    <w:rsid w:val="54CC782F"/>
    <w:rsid w:val="54D25EB5"/>
    <w:rsid w:val="54D371BA"/>
    <w:rsid w:val="54F75DE9"/>
    <w:rsid w:val="54F93162"/>
    <w:rsid w:val="54FD5198"/>
    <w:rsid w:val="550D44BF"/>
    <w:rsid w:val="55170BA8"/>
    <w:rsid w:val="55232B88"/>
    <w:rsid w:val="555C644A"/>
    <w:rsid w:val="55660A8D"/>
    <w:rsid w:val="55750F41"/>
    <w:rsid w:val="55974979"/>
    <w:rsid w:val="55AC109B"/>
    <w:rsid w:val="55D36D5C"/>
    <w:rsid w:val="55E23303"/>
    <w:rsid w:val="55EE538D"/>
    <w:rsid w:val="56005819"/>
    <w:rsid w:val="561778BD"/>
    <w:rsid w:val="56193C4E"/>
    <w:rsid w:val="562A4684"/>
    <w:rsid w:val="56455D97"/>
    <w:rsid w:val="5670465C"/>
    <w:rsid w:val="5683025E"/>
    <w:rsid w:val="56881D03"/>
    <w:rsid w:val="56992F8C"/>
    <w:rsid w:val="569A79D8"/>
    <w:rsid w:val="56A87127"/>
    <w:rsid w:val="56D8660A"/>
    <w:rsid w:val="56F7363C"/>
    <w:rsid w:val="570F0CE3"/>
    <w:rsid w:val="57181058"/>
    <w:rsid w:val="5728768E"/>
    <w:rsid w:val="572A46C0"/>
    <w:rsid w:val="572A730E"/>
    <w:rsid w:val="572E7981"/>
    <w:rsid w:val="573840A5"/>
    <w:rsid w:val="57783371"/>
    <w:rsid w:val="577E181C"/>
    <w:rsid w:val="57813E32"/>
    <w:rsid w:val="57A620E7"/>
    <w:rsid w:val="57A859DE"/>
    <w:rsid w:val="57E01004"/>
    <w:rsid w:val="57F978CC"/>
    <w:rsid w:val="57FE2B69"/>
    <w:rsid w:val="580C5702"/>
    <w:rsid w:val="58422359"/>
    <w:rsid w:val="584A1875"/>
    <w:rsid w:val="586E3A41"/>
    <w:rsid w:val="5870214F"/>
    <w:rsid w:val="58712EA8"/>
    <w:rsid w:val="58832F71"/>
    <w:rsid w:val="589907E9"/>
    <w:rsid w:val="58E37964"/>
    <w:rsid w:val="58E80959"/>
    <w:rsid w:val="58F30976"/>
    <w:rsid w:val="59024996"/>
    <w:rsid w:val="592A00D8"/>
    <w:rsid w:val="5985750A"/>
    <w:rsid w:val="59B868BD"/>
    <w:rsid w:val="59D9102A"/>
    <w:rsid w:val="59DF307F"/>
    <w:rsid w:val="59E35308"/>
    <w:rsid w:val="59F27B21"/>
    <w:rsid w:val="5A020813"/>
    <w:rsid w:val="5A2A7C7B"/>
    <w:rsid w:val="5A4E49B8"/>
    <w:rsid w:val="5A524192"/>
    <w:rsid w:val="5A6806FA"/>
    <w:rsid w:val="5A6F0133"/>
    <w:rsid w:val="5A7A0CFF"/>
    <w:rsid w:val="5A8827BC"/>
    <w:rsid w:val="5A9E3E09"/>
    <w:rsid w:val="5AAE2453"/>
    <w:rsid w:val="5AAE6CEA"/>
    <w:rsid w:val="5AC834EE"/>
    <w:rsid w:val="5AED2E6A"/>
    <w:rsid w:val="5B092DA1"/>
    <w:rsid w:val="5B0950EB"/>
    <w:rsid w:val="5B164401"/>
    <w:rsid w:val="5B287B9E"/>
    <w:rsid w:val="5B4B35D6"/>
    <w:rsid w:val="5B627DE0"/>
    <w:rsid w:val="5B630C7D"/>
    <w:rsid w:val="5B917873"/>
    <w:rsid w:val="5B936192"/>
    <w:rsid w:val="5BB439E2"/>
    <w:rsid w:val="5BE533E5"/>
    <w:rsid w:val="5BEA7C5C"/>
    <w:rsid w:val="5BF175E7"/>
    <w:rsid w:val="5C1D186A"/>
    <w:rsid w:val="5C1E5B2C"/>
    <w:rsid w:val="5C2432B9"/>
    <w:rsid w:val="5C3577D6"/>
    <w:rsid w:val="5C41163E"/>
    <w:rsid w:val="5C464AF3"/>
    <w:rsid w:val="5C4D1930"/>
    <w:rsid w:val="5C7368BB"/>
    <w:rsid w:val="5C747B67"/>
    <w:rsid w:val="5C756807"/>
    <w:rsid w:val="5C8949A7"/>
    <w:rsid w:val="5C903B6A"/>
    <w:rsid w:val="5C926004"/>
    <w:rsid w:val="5C99450B"/>
    <w:rsid w:val="5CDE1B94"/>
    <w:rsid w:val="5D082632"/>
    <w:rsid w:val="5D092D37"/>
    <w:rsid w:val="5D1B52C0"/>
    <w:rsid w:val="5D4F27D0"/>
    <w:rsid w:val="5D5932C9"/>
    <w:rsid w:val="5D805774"/>
    <w:rsid w:val="5D883103"/>
    <w:rsid w:val="5DA2372A"/>
    <w:rsid w:val="5DA42F07"/>
    <w:rsid w:val="5DB22A75"/>
    <w:rsid w:val="5DB815F8"/>
    <w:rsid w:val="5DD128AE"/>
    <w:rsid w:val="5DD40564"/>
    <w:rsid w:val="5E153A69"/>
    <w:rsid w:val="5E157B42"/>
    <w:rsid w:val="5E2908AD"/>
    <w:rsid w:val="5E361A1F"/>
    <w:rsid w:val="5E766F86"/>
    <w:rsid w:val="5E9973A8"/>
    <w:rsid w:val="5EB3266E"/>
    <w:rsid w:val="5EB90EF1"/>
    <w:rsid w:val="5EB94577"/>
    <w:rsid w:val="5F1D0A18"/>
    <w:rsid w:val="5F5B5DC5"/>
    <w:rsid w:val="5F605996"/>
    <w:rsid w:val="5F6802F1"/>
    <w:rsid w:val="5F6822F1"/>
    <w:rsid w:val="5F6C401A"/>
    <w:rsid w:val="5F8806F3"/>
    <w:rsid w:val="5FAE2505"/>
    <w:rsid w:val="5FB2412F"/>
    <w:rsid w:val="5FD03D3F"/>
    <w:rsid w:val="5FF94F03"/>
    <w:rsid w:val="60045493"/>
    <w:rsid w:val="601A2EBA"/>
    <w:rsid w:val="603769C1"/>
    <w:rsid w:val="605A0420"/>
    <w:rsid w:val="606547E4"/>
    <w:rsid w:val="6085699A"/>
    <w:rsid w:val="608D41E9"/>
    <w:rsid w:val="60A7051F"/>
    <w:rsid w:val="60B50B3A"/>
    <w:rsid w:val="60CD6F32"/>
    <w:rsid w:val="60D91FF3"/>
    <w:rsid w:val="60EA7D0F"/>
    <w:rsid w:val="61146955"/>
    <w:rsid w:val="6118535B"/>
    <w:rsid w:val="611B62E0"/>
    <w:rsid w:val="611C1144"/>
    <w:rsid w:val="612C0778"/>
    <w:rsid w:val="61534AAD"/>
    <w:rsid w:val="617E0582"/>
    <w:rsid w:val="61801FE9"/>
    <w:rsid w:val="61A50442"/>
    <w:rsid w:val="61A73945"/>
    <w:rsid w:val="61B55892"/>
    <w:rsid w:val="61C52EF5"/>
    <w:rsid w:val="61DD3E1F"/>
    <w:rsid w:val="61DD4073"/>
    <w:rsid w:val="620A52F3"/>
    <w:rsid w:val="620E1DAC"/>
    <w:rsid w:val="622B3B31"/>
    <w:rsid w:val="623779B1"/>
    <w:rsid w:val="62702E91"/>
    <w:rsid w:val="6278621C"/>
    <w:rsid w:val="6283495E"/>
    <w:rsid w:val="62937BFA"/>
    <w:rsid w:val="629A60F4"/>
    <w:rsid w:val="62D04CA8"/>
    <w:rsid w:val="62D838EC"/>
    <w:rsid w:val="62DF3642"/>
    <w:rsid w:val="62F171FC"/>
    <w:rsid w:val="633A04D8"/>
    <w:rsid w:val="634C36E1"/>
    <w:rsid w:val="63916CE9"/>
    <w:rsid w:val="639578ED"/>
    <w:rsid w:val="639D78E9"/>
    <w:rsid w:val="63AD23EF"/>
    <w:rsid w:val="63AD3DD2"/>
    <w:rsid w:val="63C039B0"/>
    <w:rsid w:val="63D44FBA"/>
    <w:rsid w:val="63D6526F"/>
    <w:rsid w:val="63E30C04"/>
    <w:rsid w:val="640C4E48"/>
    <w:rsid w:val="645300A7"/>
    <w:rsid w:val="64A15814"/>
    <w:rsid w:val="64B31CE1"/>
    <w:rsid w:val="64DB5E2B"/>
    <w:rsid w:val="653F1EA7"/>
    <w:rsid w:val="654118B4"/>
    <w:rsid w:val="6567754E"/>
    <w:rsid w:val="65C67E3D"/>
    <w:rsid w:val="65C860C6"/>
    <w:rsid w:val="65E24F34"/>
    <w:rsid w:val="65E312C6"/>
    <w:rsid w:val="6602326A"/>
    <w:rsid w:val="6615394A"/>
    <w:rsid w:val="66352702"/>
    <w:rsid w:val="6665550D"/>
    <w:rsid w:val="66D81FC8"/>
    <w:rsid w:val="66DA47EC"/>
    <w:rsid w:val="670D6C1F"/>
    <w:rsid w:val="672E04E8"/>
    <w:rsid w:val="67313401"/>
    <w:rsid w:val="67450F8B"/>
    <w:rsid w:val="675910A7"/>
    <w:rsid w:val="67623872"/>
    <w:rsid w:val="67A54D6F"/>
    <w:rsid w:val="67C25449"/>
    <w:rsid w:val="67DE72F8"/>
    <w:rsid w:val="67ED0D01"/>
    <w:rsid w:val="67EE5AE5"/>
    <w:rsid w:val="67EE7DF9"/>
    <w:rsid w:val="682E257A"/>
    <w:rsid w:val="684E08B0"/>
    <w:rsid w:val="6863174F"/>
    <w:rsid w:val="6869563A"/>
    <w:rsid w:val="689244BB"/>
    <w:rsid w:val="689540E2"/>
    <w:rsid w:val="68A66D41"/>
    <w:rsid w:val="68C1329E"/>
    <w:rsid w:val="68CC7BC3"/>
    <w:rsid w:val="68EE7135"/>
    <w:rsid w:val="68F51C0F"/>
    <w:rsid w:val="68FC3DE7"/>
    <w:rsid w:val="691A347C"/>
    <w:rsid w:val="691B0FDE"/>
    <w:rsid w:val="693869F0"/>
    <w:rsid w:val="69975C24"/>
    <w:rsid w:val="69CA7869"/>
    <w:rsid w:val="69CC32A0"/>
    <w:rsid w:val="69ED23A5"/>
    <w:rsid w:val="69F134E0"/>
    <w:rsid w:val="69F81F02"/>
    <w:rsid w:val="69FC5FED"/>
    <w:rsid w:val="6A1B68A2"/>
    <w:rsid w:val="6A4F7FF6"/>
    <w:rsid w:val="6B214E52"/>
    <w:rsid w:val="6B3A7564"/>
    <w:rsid w:val="6B3B697A"/>
    <w:rsid w:val="6B457289"/>
    <w:rsid w:val="6B4C2497"/>
    <w:rsid w:val="6B5C2732"/>
    <w:rsid w:val="6B601152"/>
    <w:rsid w:val="6B6B4FDE"/>
    <w:rsid w:val="6B705344"/>
    <w:rsid w:val="6B716F34"/>
    <w:rsid w:val="6B726E54"/>
    <w:rsid w:val="6B75209A"/>
    <w:rsid w:val="6B961612"/>
    <w:rsid w:val="6BA11FEC"/>
    <w:rsid w:val="6BA25424"/>
    <w:rsid w:val="6BBA2ACB"/>
    <w:rsid w:val="6BD621CD"/>
    <w:rsid w:val="6C1660BC"/>
    <w:rsid w:val="6C2830FF"/>
    <w:rsid w:val="6C547EAF"/>
    <w:rsid w:val="6C666467"/>
    <w:rsid w:val="6C7553FD"/>
    <w:rsid w:val="6C9C0EC0"/>
    <w:rsid w:val="6C9E1CBD"/>
    <w:rsid w:val="6CC822E9"/>
    <w:rsid w:val="6CD854A1"/>
    <w:rsid w:val="6CD92F23"/>
    <w:rsid w:val="6CF741DC"/>
    <w:rsid w:val="6CFD43DC"/>
    <w:rsid w:val="6D4E413C"/>
    <w:rsid w:val="6D596CF4"/>
    <w:rsid w:val="6D60667F"/>
    <w:rsid w:val="6D625405"/>
    <w:rsid w:val="6D6B0293"/>
    <w:rsid w:val="6D7130D0"/>
    <w:rsid w:val="6D7A1E66"/>
    <w:rsid w:val="6D7B4CAA"/>
    <w:rsid w:val="6D7C5FAF"/>
    <w:rsid w:val="6DA4006D"/>
    <w:rsid w:val="6DA66AAA"/>
    <w:rsid w:val="6DE40E56"/>
    <w:rsid w:val="6E04138B"/>
    <w:rsid w:val="6E2D5DD3"/>
    <w:rsid w:val="6E3808E1"/>
    <w:rsid w:val="6E602A78"/>
    <w:rsid w:val="6E725242"/>
    <w:rsid w:val="6E79134A"/>
    <w:rsid w:val="6E794BCD"/>
    <w:rsid w:val="6E8D72F6"/>
    <w:rsid w:val="6E935777"/>
    <w:rsid w:val="6EA14A8D"/>
    <w:rsid w:val="6EA72219"/>
    <w:rsid w:val="6EB33AAD"/>
    <w:rsid w:val="6EC476D4"/>
    <w:rsid w:val="6F037F15"/>
    <w:rsid w:val="6F116045"/>
    <w:rsid w:val="6F1278CD"/>
    <w:rsid w:val="6F18714B"/>
    <w:rsid w:val="6F1C2F50"/>
    <w:rsid w:val="6F380483"/>
    <w:rsid w:val="6F4A74A4"/>
    <w:rsid w:val="6F7B34F6"/>
    <w:rsid w:val="6F950B97"/>
    <w:rsid w:val="6FA17D5C"/>
    <w:rsid w:val="6FA70E36"/>
    <w:rsid w:val="6FD8258B"/>
    <w:rsid w:val="6FE860A9"/>
    <w:rsid w:val="6FFC72C8"/>
    <w:rsid w:val="6FFE29AE"/>
    <w:rsid w:val="70173375"/>
    <w:rsid w:val="701740BB"/>
    <w:rsid w:val="70204A05"/>
    <w:rsid w:val="70221706"/>
    <w:rsid w:val="702546C3"/>
    <w:rsid w:val="7036127C"/>
    <w:rsid w:val="70381B8C"/>
    <w:rsid w:val="703D35B4"/>
    <w:rsid w:val="705F135A"/>
    <w:rsid w:val="70667AD1"/>
    <w:rsid w:val="70670B75"/>
    <w:rsid w:val="70730FC6"/>
    <w:rsid w:val="7093133D"/>
    <w:rsid w:val="709D5AAC"/>
    <w:rsid w:val="70B12366"/>
    <w:rsid w:val="70B331F3"/>
    <w:rsid w:val="70BE3B88"/>
    <w:rsid w:val="70C574B7"/>
    <w:rsid w:val="70C80AD6"/>
    <w:rsid w:val="710F68B9"/>
    <w:rsid w:val="711709EE"/>
    <w:rsid w:val="71356CF6"/>
    <w:rsid w:val="715C0189"/>
    <w:rsid w:val="717A79A1"/>
    <w:rsid w:val="717C35C6"/>
    <w:rsid w:val="718070C4"/>
    <w:rsid w:val="71837E33"/>
    <w:rsid w:val="71A4680E"/>
    <w:rsid w:val="71CF04C8"/>
    <w:rsid w:val="71D01A24"/>
    <w:rsid w:val="71E040AC"/>
    <w:rsid w:val="71ED1C76"/>
    <w:rsid w:val="72252F5C"/>
    <w:rsid w:val="722978DD"/>
    <w:rsid w:val="724B2834"/>
    <w:rsid w:val="7251779C"/>
    <w:rsid w:val="72866971"/>
    <w:rsid w:val="72A35F21"/>
    <w:rsid w:val="72AA49F0"/>
    <w:rsid w:val="72C309D4"/>
    <w:rsid w:val="72CB1664"/>
    <w:rsid w:val="72FF583A"/>
    <w:rsid w:val="730162BB"/>
    <w:rsid w:val="73515294"/>
    <w:rsid w:val="736A2467"/>
    <w:rsid w:val="73843011"/>
    <w:rsid w:val="73964B6B"/>
    <w:rsid w:val="73B415E2"/>
    <w:rsid w:val="74054864"/>
    <w:rsid w:val="741424EC"/>
    <w:rsid w:val="7415628C"/>
    <w:rsid w:val="74463BF9"/>
    <w:rsid w:val="74563369"/>
    <w:rsid w:val="74C739F9"/>
    <w:rsid w:val="74CC44E6"/>
    <w:rsid w:val="74D87175"/>
    <w:rsid w:val="75070F8F"/>
    <w:rsid w:val="750F3E1D"/>
    <w:rsid w:val="75586A16"/>
    <w:rsid w:val="75A17B08"/>
    <w:rsid w:val="75B46B29"/>
    <w:rsid w:val="75C500C8"/>
    <w:rsid w:val="75CC51BF"/>
    <w:rsid w:val="75CF1EDA"/>
    <w:rsid w:val="760054BC"/>
    <w:rsid w:val="760C236E"/>
    <w:rsid w:val="761B77D2"/>
    <w:rsid w:val="763260C3"/>
    <w:rsid w:val="76846156"/>
    <w:rsid w:val="76A032AE"/>
    <w:rsid w:val="76A209B0"/>
    <w:rsid w:val="76A57736"/>
    <w:rsid w:val="76B15747"/>
    <w:rsid w:val="76B43614"/>
    <w:rsid w:val="76C35981"/>
    <w:rsid w:val="76C66DE9"/>
    <w:rsid w:val="76C94317"/>
    <w:rsid w:val="76ED5CAA"/>
    <w:rsid w:val="76FB470C"/>
    <w:rsid w:val="770C03DF"/>
    <w:rsid w:val="77384726"/>
    <w:rsid w:val="775904DE"/>
    <w:rsid w:val="776B03F9"/>
    <w:rsid w:val="776D38FC"/>
    <w:rsid w:val="7781259C"/>
    <w:rsid w:val="778A0B28"/>
    <w:rsid w:val="778D20C9"/>
    <w:rsid w:val="77A45FD4"/>
    <w:rsid w:val="77C36889"/>
    <w:rsid w:val="77D323A7"/>
    <w:rsid w:val="77F23B55"/>
    <w:rsid w:val="78246FEA"/>
    <w:rsid w:val="782D5F38"/>
    <w:rsid w:val="783436C5"/>
    <w:rsid w:val="783922B8"/>
    <w:rsid w:val="783D0751"/>
    <w:rsid w:val="78405A54"/>
    <w:rsid w:val="78441036"/>
    <w:rsid w:val="785547BB"/>
    <w:rsid w:val="785E0225"/>
    <w:rsid w:val="78622F0F"/>
    <w:rsid w:val="786352B6"/>
    <w:rsid w:val="789620E4"/>
    <w:rsid w:val="78AB4608"/>
    <w:rsid w:val="78B70586"/>
    <w:rsid w:val="78BC6AA1"/>
    <w:rsid w:val="78C94747"/>
    <w:rsid w:val="78F4247E"/>
    <w:rsid w:val="78FC788A"/>
    <w:rsid w:val="79001B14"/>
    <w:rsid w:val="79091A01"/>
    <w:rsid w:val="792719D3"/>
    <w:rsid w:val="792E761B"/>
    <w:rsid w:val="793262A2"/>
    <w:rsid w:val="7939786A"/>
    <w:rsid w:val="796515FC"/>
    <w:rsid w:val="796F1DC8"/>
    <w:rsid w:val="79710B4E"/>
    <w:rsid w:val="7976709D"/>
    <w:rsid w:val="798E7888"/>
    <w:rsid w:val="79B6253C"/>
    <w:rsid w:val="79BD4235"/>
    <w:rsid w:val="79F223A1"/>
    <w:rsid w:val="79F64168"/>
    <w:rsid w:val="7A1928F6"/>
    <w:rsid w:val="7A1B1EF4"/>
    <w:rsid w:val="7A273D38"/>
    <w:rsid w:val="7A2D4302"/>
    <w:rsid w:val="7A491BA1"/>
    <w:rsid w:val="7A4C04B1"/>
    <w:rsid w:val="7B4A07A4"/>
    <w:rsid w:val="7B665A7B"/>
    <w:rsid w:val="7B756C9A"/>
    <w:rsid w:val="7BC21317"/>
    <w:rsid w:val="7BF64EC9"/>
    <w:rsid w:val="7C064308"/>
    <w:rsid w:val="7C070D8A"/>
    <w:rsid w:val="7C0E0FC9"/>
    <w:rsid w:val="7C137E1D"/>
    <w:rsid w:val="7C297802"/>
    <w:rsid w:val="7C491E75"/>
    <w:rsid w:val="7C632630"/>
    <w:rsid w:val="7C7F29CF"/>
    <w:rsid w:val="7C8963B4"/>
    <w:rsid w:val="7C933BEE"/>
    <w:rsid w:val="7C9B487E"/>
    <w:rsid w:val="7CAF5B67"/>
    <w:rsid w:val="7CB266A1"/>
    <w:rsid w:val="7CBE10AC"/>
    <w:rsid w:val="7CD1035D"/>
    <w:rsid w:val="7D0B25B3"/>
    <w:rsid w:val="7D100F8F"/>
    <w:rsid w:val="7D280FE4"/>
    <w:rsid w:val="7D2E186E"/>
    <w:rsid w:val="7D2F72F0"/>
    <w:rsid w:val="7D3D3016"/>
    <w:rsid w:val="7D741FE3"/>
    <w:rsid w:val="7DBE0F44"/>
    <w:rsid w:val="7DE6430A"/>
    <w:rsid w:val="7DF612B7"/>
    <w:rsid w:val="7E021846"/>
    <w:rsid w:val="7E0C25DB"/>
    <w:rsid w:val="7E1767A9"/>
    <w:rsid w:val="7E177F93"/>
    <w:rsid w:val="7E212A33"/>
    <w:rsid w:val="7E3C3FAA"/>
    <w:rsid w:val="7E595AD8"/>
    <w:rsid w:val="7E772494"/>
    <w:rsid w:val="7EF05D5D"/>
    <w:rsid w:val="7F2B1BA0"/>
    <w:rsid w:val="7F53137B"/>
    <w:rsid w:val="7F5778FF"/>
    <w:rsid w:val="7F587BFA"/>
    <w:rsid w:val="7F6841F9"/>
    <w:rsid w:val="7F751728"/>
    <w:rsid w:val="7F795BB0"/>
    <w:rsid w:val="7F7B6E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38"/>
    <w:qFormat/>
    <w:uiPriority w:val="0"/>
    <w:pPr>
      <w:keepNext/>
      <w:numPr>
        <w:ilvl w:val="0"/>
        <w:numId w:val="1"/>
      </w:numPr>
      <w:jc w:val="center"/>
      <w:outlineLvl w:val="0"/>
    </w:pPr>
    <w:rPr>
      <w:rFonts w:eastAsia="黑体"/>
      <w:b/>
      <w:sz w:val="32"/>
      <w:szCs w:val="20"/>
    </w:rPr>
  </w:style>
  <w:style w:type="paragraph" w:styleId="2">
    <w:name w:val="heading 2"/>
    <w:basedOn w:val="1"/>
    <w:next w:val="1"/>
    <w:link w:val="64"/>
    <w:qFormat/>
    <w:uiPriority w:val="0"/>
    <w:pPr>
      <w:keepNext/>
      <w:numPr>
        <w:ilvl w:val="1"/>
        <w:numId w:val="1"/>
      </w:numPr>
      <w:outlineLvl w:val="1"/>
    </w:pPr>
    <w:rPr>
      <w:rFonts w:ascii="仿宋_GB2312" w:eastAsia="华文仿宋"/>
      <w:b/>
      <w:sz w:val="28"/>
      <w:szCs w:val="32"/>
    </w:rPr>
  </w:style>
  <w:style w:type="paragraph" w:styleId="5">
    <w:name w:val="heading 3"/>
    <w:basedOn w:val="1"/>
    <w:next w:val="1"/>
    <w:link w:val="65"/>
    <w:qFormat/>
    <w:uiPriority w:val="0"/>
    <w:pPr>
      <w:keepNext/>
      <w:keepLines/>
      <w:numPr>
        <w:ilvl w:val="2"/>
        <w:numId w:val="1"/>
      </w:numPr>
      <w:spacing w:line="540" w:lineRule="atLeast"/>
      <w:outlineLvl w:val="2"/>
    </w:pPr>
    <w:rPr>
      <w:rFonts w:eastAsia="黑体"/>
      <w:b/>
      <w:sz w:val="28"/>
      <w:szCs w:val="20"/>
    </w:rPr>
  </w:style>
  <w:style w:type="paragraph" w:styleId="6">
    <w:name w:val="heading 4"/>
    <w:basedOn w:val="1"/>
    <w:next w:val="1"/>
    <w:link w:val="67"/>
    <w:qFormat/>
    <w:uiPriority w:val="0"/>
    <w:pPr>
      <w:keepNext/>
      <w:keepLines/>
      <w:numPr>
        <w:ilvl w:val="3"/>
        <w:numId w:val="1"/>
      </w:numPr>
      <w:spacing w:line="540" w:lineRule="atLeast"/>
      <w:outlineLvl w:val="3"/>
    </w:pPr>
    <w:rPr>
      <w:sz w:val="28"/>
      <w:szCs w:val="28"/>
    </w:rPr>
  </w:style>
  <w:style w:type="paragraph" w:styleId="7">
    <w:name w:val="heading 5"/>
    <w:basedOn w:val="1"/>
    <w:next w:val="8"/>
    <w:link w:val="68"/>
    <w:qFormat/>
    <w:uiPriority w:val="0"/>
    <w:pPr>
      <w:keepNext/>
      <w:keepLines/>
      <w:numPr>
        <w:ilvl w:val="4"/>
        <w:numId w:val="1"/>
      </w:numPr>
      <w:spacing w:before="280" w:beforeLines="0" w:after="290" w:afterLines="0" w:line="372" w:lineRule="auto"/>
      <w:outlineLvl w:val="4"/>
    </w:pPr>
    <w:rPr>
      <w:b/>
      <w:sz w:val="28"/>
      <w:szCs w:val="20"/>
    </w:rPr>
  </w:style>
  <w:style w:type="paragraph" w:styleId="9">
    <w:name w:val="heading 6"/>
    <w:basedOn w:val="1"/>
    <w:next w:val="8"/>
    <w:link w:val="69"/>
    <w:qFormat/>
    <w:uiPriority w:val="0"/>
    <w:pPr>
      <w:keepNext/>
      <w:keepLines/>
      <w:numPr>
        <w:ilvl w:val="5"/>
        <w:numId w:val="1"/>
      </w:numPr>
      <w:spacing w:before="240" w:beforeLines="0" w:after="64" w:afterLines="0" w:line="317" w:lineRule="auto"/>
      <w:outlineLvl w:val="5"/>
    </w:pPr>
    <w:rPr>
      <w:rFonts w:ascii="Arial" w:hAnsi="Arial" w:eastAsia="黑体"/>
      <w:b/>
      <w:sz w:val="24"/>
      <w:szCs w:val="20"/>
    </w:rPr>
  </w:style>
  <w:style w:type="paragraph" w:styleId="10">
    <w:name w:val="heading 7"/>
    <w:basedOn w:val="1"/>
    <w:next w:val="8"/>
    <w:link w:val="70"/>
    <w:qFormat/>
    <w:uiPriority w:val="0"/>
    <w:pPr>
      <w:keepNext/>
      <w:keepLines/>
      <w:numPr>
        <w:ilvl w:val="6"/>
        <w:numId w:val="1"/>
      </w:numPr>
      <w:spacing w:before="240" w:beforeLines="0" w:after="64" w:afterLines="0" w:line="317" w:lineRule="auto"/>
      <w:outlineLvl w:val="6"/>
    </w:pPr>
    <w:rPr>
      <w:b/>
      <w:sz w:val="24"/>
      <w:szCs w:val="20"/>
    </w:rPr>
  </w:style>
  <w:style w:type="paragraph" w:styleId="11">
    <w:name w:val="heading 8"/>
    <w:basedOn w:val="1"/>
    <w:next w:val="8"/>
    <w:link w:val="71"/>
    <w:qFormat/>
    <w:uiPriority w:val="0"/>
    <w:pPr>
      <w:keepNext/>
      <w:keepLines/>
      <w:numPr>
        <w:ilvl w:val="7"/>
        <w:numId w:val="1"/>
      </w:numPr>
      <w:spacing w:before="240" w:beforeLines="0" w:after="64" w:afterLines="0" w:line="317" w:lineRule="auto"/>
      <w:outlineLvl w:val="7"/>
    </w:pPr>
    <w:rPr>
      <w:rFonts w:ascii="Arial" w:hAnsi="Arial" w:eastAsia="黑体"/>
      <w:sz w:val="24"/>
      <w:szCs w:val="20"/>
    </w:rPr>
  </w:style>
  <w:style w:type="paragraph" w:styleId="12">
    <w:name w:val="heading 9"/>
    <w:basedOn w:val="1"/>
    <w:next w:val="8"/>
    <w:link w:val="72"/>
    <w:qFormat/>
    <w:uiPriority w:val="0"/>
    <w:pPr>
      <w:keepNext/>
      <w:keepLines/>
      <w:numPr>
        <w:ilvl w:val="8"/>
        <w:numId w:val="1"/>
      </w:numPr>
      <w:spacing w:before="240" w:beforeLines="0" w:after="64" w:afterLines="0" w:line="317" w:lineRule="auto"/>
      <w:outlineLvl w:val="8"/>
    </w:pPr>
    <w:rPr>
      <w:rFonts w:ascii="Arial" w:hAnsi="Arial" w:eastAsia="黑体"/>
      <w:szCs w:val="20"/>
    </w:rPr>
  </w:style>
  <w:style w:type="character" w:default="1" w:styleId="52">
    <w:name w:val="Default Paragraph Font"/>
    <w:qFormat/>
    <w:uiPriority w:val="0"/>
    <w:rPr>
      <w:rFonts w:ascii="仿宋_GB2312" w:eastAsia="仿宋_GB2312"/>
      <w:b/>
      <w:sz w:val="32"/>
      <w:szCs w:val="32"/>
    </w:rPr>
  </w:style>
  <w:style w:type="table" w:default="1" w:styleId="50">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macro"/>
    <w:link w:val="6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Times New Roman" w:cs="Times New Roman"/>
      <w:kern w:val="2"/>
      <w:sz w:val="24"/>
      <w:szCs w:val="24"/>
      <w:lang w:val="en-US" w:eastAsia="zh-CN" w:bidi="ar-SA"/>
    </w:rPr>
  </w:style>
  <w:style w:type="paragraph" w:styleId="8">
    <w:name w:val="Normal Indent"/>
    <w:basedOn w:val="1"/>
    <w:next w:val="1"/>
    <w:link w:val="66"/>
    <w:qFormat/>
    <w:uiPriority w:val="0"/>
    <w:pPr>
      <w:adjustRightInd w:val="0"/>
      <w:spacing w:line="312" w:lineRule="atLeast"/>
      <w:ind w:firstLine="420"/>
      <w:textAlignment w:val="baseline"/>
    </w:pPr>
    <w:rPr>
      <w:rFonts w:ascii="仿宋_GB2312"/>
      <w:b/>
      <w:kern w:val="0"/>
      <w:szCs w:val="32"/>
    </w:rPr>
  </w:style>
  <w:style w:type="paragraph" w:styleId="13">
    <w:name w:val="toc 7"/>
    <w:basedOn w:val="1"/>
    <w:next w:val="1"/>
    <w:qFormat/>
    <w:uiPriority w:val="0"/>
    <w:pPr>
      <w:autoSpaceDE w:val="0"/>
      <w:autoSpaceDN w:val="0"/>
      <w:adjustRightInd w:val="0"/>
      <w:ind w:left="2520" w:leftChars="1200"/>
      <w:jc w:val="left"/>
    </w:pPr>
    <w:rPr>
      <w:kern w:val="0"/>
      <w:sz w:val="20"/>
      <w:szCs w:val="20"/>
    </w:rPr>
  </w:style>
  <w:style w:type="paragraph" w:styleId="14">
    <w:name w:val="List Number"/>
    <w:basedOn w:val="1"/>
    <w:qFormat/>
    <w:uiPriority w:val="0"/>
    <w:pPr>
      <w:tabs>
        <w:tab w:val="left" w:pos="360"/>
      </w:tabs>
      <w:ind w:left="360" w:hanging="360" w:hangingChars="200"/>
    </w:pPr>
  </w:style>
  <w:style w:type="paragraph" w:styleId="15">
    <w:name w:val="caption"/>
    <w:basedOn w:val="1"/>
    <w:next w:val="1"/>
    <w:qFormat/>
    <w:uiPriority w:val="0"/>
    <w:pPr>
      <w:autoSpaceDE w:val="0"/>
      <w:autoSpaceDN w:val="0"/>
      <w:adjustRightInd w:val="0"/>
      <w:jc w:val="left"/>
    </w:pPr>
    <w:rPr>
      <w:rFonts w:ascii="Arial" w:hAnsi="Arial" w:eastAsia="黑体" w:cs="Arial"/>
      <w:kern w:val="0"/>
      <w:sz w:val="20"/>
      <w:szCs w:val="20"/>
    </w:rPr>
  </w:style>
  <w:style w:type="paragraph" w:styleId="16">
    <w:name w:val="List Bullet"/>
    <w:basedOn w:val="1"/>
    <w:qFormat/>
    <w:uiPriority w:val="0"/>
    <w:pPr>
      <w:numPr>
        <w:ilvl w:val="0"/>
        <w:numId w:val="1"/>
      </w:numPr>
      <w:tabs>
        <w:tab w:val="left" w:pos="360"/>
      </w:tabs>
    </w:pPr>
    <w:rPr>
      <w:rFonts w:ascii="Calibri" w:hAnsi="Calibri"/>
      <w:szCs w:val="22"/>
    </w:rPr>
  </w:style>
  <w:style w:type="paragraph" w:styleId="17">
    <w:name w:val="Document Map"/>
    <w:basedOn w:val="1"/>
    <w:link w:val="73"/>
    <w:qFormat/>
    <w:uiPriority w:val="0"/>
    <w:pPr>
      <w:shd w:val="clear" w:color="auto" w:fill="000080"/>
    </w:pPr>
  </w:style>
  <w:style w:type="paragraph" w:styleId="18">
    <w:name w:val="annotation text"/>
    <w:basedOn w:val="1"/>
    <w:link w:val="74"/>
    <w:qFormat/>
    <w:uiPriority w:val="0"/>
    <w:pPr>
      <w:jc w:val="left"/>
    </w:pPr>
  </w:style>
  <w:style w:type="paragraph" w:styleId="19">
    <w:name w:val="Salutation"/>
    <w:basedOn w:val="1"/>
    <w:next w:val="1"/>
    <w:qFormat/>
    <w:uiPriority w:val="0"/>
    <w:pPr>
      <w:tabs>
        <w:tab w:val="left" w:pos="840"/>
      </w:tabs>
      <w:autoSpaceDE w:val="0"/>
      <w:autoSpaceDN w:val="0"/>
      <w:adjustRightInd w:val="0"/>
      <w:jc w:val="left"/>
    </w:pPr>
    <w:rPr>
      <w:kern w:val="0"/>
      <w:sz w:val="24"/>
      <w:szCs w:val="20"/>
    </w:rPr>
  </w:style>
  <w:style w:type="paragraph" w:styleId="20">
    <w:name w:val="Body Text 3"/>
    <w:basedOn w:val="1"/>
    <w:qFormat/>
    <w:uiPriority w:val="0"/>
    <w:pPr>
      <w:autoSpaceDE w:val="0"/>
      <w:autoSpaceDN w:val="0"/>
      <w:adjustRightInd w:val="0"/>
      <w:jc w:val="center"/>
    </w:pPr>
    <w:rPr>
      <w:kern w:val="0"/>
      <w:sz w:val="20"/>
      <w:szCs w:val="20"/>
    </w:rPr>
  </w:style>
  <w:style w:type="paragraph" w:styleId="21">
    <w:name w:val="Body Text"/>
    <w:basedOn w:val="1"/>
    <w:next w:val="1"/>
    <w:link w:val="75"/>
    <w:qFormat/>
    <w:uiPriority w:val="0"/>
    <w:pPr>
      <w:spacing w:after="120" w:afterLines="0"/>
    </w:pPr>
    <w:rPr>
      <w:rFonts w:ascii="仿宋_GB2312"/>
      <w:b/>
    </w:rPr>
  </w:style>
  <w:style w:type="paragraph" w:styleId="22">
    <w:name w:val="Body Text Indent"/>
    <w:basedOn w:val="1"/>
    <w:link w:val="77"/>
    <w:qFormat/>
    <w:uiPriority w:val="0"/>
    <w:pPr>
      <w:ind w:left="480" w:hanging="480" w:hangingChars="200"/>
    </w:pPr>
    <w:rPr>
      <w:sz w:val="24"/>
    </w:rPr>
  </w:style>
  <w:style w:type="paragraph" w:styleId="23">
    <w:name w:val="List Number 3"/>
    <w:basedOn w:val="1"/>
    <w:qFormat/>
    <w:uiPriority w:val="0"/>
    <w:pPr>
      <w:tabs>
        <w:tab w:val="left" w:pos="1200"/>
      </w:tabs>
      <w:ind w:left="1200" w:leftChars="400" w:hanging="360" w:hangingChars="200"/>
    </w:pPr>
  </w:style>
  <w:style w:type="paragraph" w:styleId="24">
    <w:name w:val="Block Text"/>
    <w:basedOn w:val="1"/>
    <w:qFormat/>
    <w:uiPriority w:val="0"/>
    <w:pPr>
      <w:adjustRightInd w:val="0"/>
      <w:spacing w:line="300" w:lineRule="auto"/>
      <w:ind w:left="958" w:rightChars="-120"/>
      <w:jc w:val="left"/>
    </w:pPr>
    <w:rPr>
      <w:rFonts w:ascii="宋体" w:hAnsi="宋体"/>
      <w:sz w:val="28"/>
    </w:rPr>
  </w:style>
  <w:style w:type="paragraph" w:styleId="25">
    <w:name w:val="List Bullet 2"/>
    <w:basedOn w:val="1"/>
    <w:qFormat/>
    <w:uiPriority w:val="0"/>
    <w:pPr>
      <w:tabs>
        <w:tab w:val="left" w:pos="780"/>
      </w:tabs>
      <w:spacing w:line="360" w:lineRule="auto"/>
      <w:ind w:left="780" w:leftChars="200" w:hanging="360" w:hangingChars="200"/>
    </w:pPr>
  </w:style>
  <w:style w:type="paragraph" w:styleId="26">
    <w:name w:val="toc 5"/>
    <w:basedOn w:val="1"/>
    <w:next w:val="1"/>
    <w:qFormat/>
    <w:uiPriority w:val="0"/>
    <w:pPr>
      <w:autoSpaceDE w:val="0"/>
      <w:autoSpaceDN w:val="0"/>
      <w:adjustRightInd w:val="0"/>
      <w:ind w:left="1680" w:leftChars="800"/>
      <w:jc w:val="left"/>
    </w:pPr>
    <w:rPr>
      <w:kern w:val="0"/>
      <w:sz w:val="20"/>
      <w:szCs w:val="20"/>
    </w:rPr>
  </w:style>
  <w:style w:type="paragraph" w:styleId="27">
    <w:name w:val="toc 3"/>
    <w:basedOn w:val="1"/>
    <w:next w:val="1"/>
    <w:qFormat/>
    <w:uiPriority w:val="0"/>
    <w:pPr>
      <w:ind w:left="840" w:leftChars="400"/>
    </w:pPr>
  </w:style>
  <w:style w:type="paragraph" w:styleId="28">
    <w:name w:val="Plain Text"/>
    <w:basedOn w:val="1"/>
    <w:link w:val="78"/>
    <w:qFormat/>
    <w:uiPriority w:val="0"/>
    <w:pPr>
      <w:widowControl/>
      <w:overflowPunct w:val="0"/>
      <w:autoSpaceDE w:val="0"/>
      <w:autoSpaceDN w:val="0"/>
      <w:adjustRightInd w:val="0"/>
      <w:jc w:val="left"/>
      <w:textAlignment w:val="baseline"/>
    </w:pPr>
    <w:rPr>
      <w:rFonts w:ascii="宋体" w:hAnsi="Courier New"/>
      <w:b/>
      <w:kern w:val="0"/>
      <w:szCs w:val="21"/>
    </w:rPr>
  </w:style>
  <w:style w:type="paragraph" w:styleId="29">
    <w:name w:val="List Number 4"/>
    <w:basedOn w:val="1"/>
    <w:qFormat/>
    <w:uiPriority w:val="0"/>
    <w:pPr>
      <w:tabs>
        <w:tab w:val="left" w:pos="840"/>
      </w:tabs>
      <w:autoSpaceDE w:val="0"/>
      <w:autoSpaceDN w:val="0"/>
      <w:adjustRightInd w:val="0"/>
      <w:spacing w:line="360" w:lineRule="atLeast"/>
      <w:ind w:left="840" w:hanging="420"/>
      <w:jc w:val="left"/>
    </w:pPr>
    <w:rPr>
      <w:kern w:val="0"/>
      <w:sz w:val="24"/>
      <w:szCs w:val="20"/>
    </w:rPr>
  </w:style>
  <w:style w:type="paragraph" w:styleId="30">
    <w:name w:val="toc 8"/>
    <w:basedOn w:val="1"/>
    <w:next w:val="1"/>
    <w:qFormat/>
    <w:uiPriority w:val="0"/>
    <w:pPr>
      <w:autoSpaceDE w:val="0"/>
      <w:autoSpaceDN w:val="0"/>
      <w:adjustRightInd w:val="0"/>
      <w:ind w:left="2940" w:leftChars="1400"/>
      <w:jc w:val="left"/>
    </w:pPr>
    <w:rPr>
      <w:kern w:val="0"/>
      <w:sz w:val="20"/>
      <w:szCs w:val="20"/>
    </w:rPr>
  </w:style>
  <w:style w:type="paragraph" w:styleId="31">
    <w:name w:val="Date"/>
    <w:basedOn w:val="1"/>
    <w:next w:val="1"/>
    <w:link w:val="79"/>
    <w:qFormat/>
    <w:uiPriority w:val="0"/>
    <w:pPr>
      <w:ind w:left="100" w:leftChars="2500"/>
    </w:pPr>
  </w:style>
  <w:style w:type="paragraph" w:styleId="32">
    <w:name w:val="Body Text Indent 2"/>
    <w:basedOn w:val="1"/>
    <w:link w:val="61"/>
    <w:qFormat/>
    <w:uiPriority w:val="0"/>
    <w:pPr>
      <w:spacing w:line="500" w:lineRule="exact"/>
      <w:ind w:firstLine="511" w:firstLineChars="213"/>
    </w:pPr>
    <w:rPr>
      <w:sz w:val="24"/>
    </w:rPr>
  </w:style>
  <w:style w:type="paragraph" w:styleId="33">
    <w:name w:val="Balloon Text"/>
    <w:basedOn w:val="1"/>
    <w:link w:val="80"/>
    <w:qFormat/>
    <w:uiPriority w:val="0"/>
    <w:rPr>
      <w:sz w:val="18"/>
      <w:szCs w:val="18"/>
    </w:rPr>
  </w:style>
  <w:style w:type="paragraph" w:styleId="34">
    <w:name w:val="footer"/>
    <w:basedOn w:val="1"/>
    <w:link w:val="81"/>
    <w:qFormat/>
    <w:uiPriority w:val="0"/>
    <w:pPr>
      <w:tabs>
        <w:tab w:val="center" w:pos="4153"/>
        <w:tab w:val="right" w:pos="8306"/>
      </w:tabs>
      <w:snapToGrid w:val="0"/>
      <w:jc w:val="left"/>
    </w:pPr>
    <w:rPr>
      <w:sz w:val="18"/>
      <w:szCs w:val="18"/>
    </w:rPr>
  </w:style>
  <w:style w:type="paragraph" w:styleId="35">
    <w:name w:val="header"/>
    <w:basedOn w:val="1"/>
    <w:link w:val="82"/>
    <w:qFormat/>
    <w:uiPriority w:val="0"/>
    <w:pPr>
      <w:pBdr>
        <w:bottom w:val="single" w:color="auto" w:sz="6" w:space="1"/>
      </w:pBdr>
      <w:tabs>
        <w:tab w:val="center" w:pos="4153"/>
        <w:tab w:val="right" w:pos="8306"/>
      </w:tabs>
      <w:snapToGrid w:val="0"/>
      <w:jc w:val="center"/>
    </w:pPr>
    <w:rPr>
      <w:sz w:val="18"/>
      <w:szCs w:val="18"/>
    </w:rPr>
  </w:style>
  <w:style w:type="paragraph" w:styleId="36">
    <w:name w:val="Signature"/>
    <w:basedOn w:val="1"/>
    <w:qFormat/>
    <w:uiPriority w:val="0"/>
    <w:pPr>
      <w:autoSpaceDE w:val="0"/>
      <w:autoSpaceDN w:val="0"/>
      <w:adjustRightInd w:val="0"/>
      <w:spacing w:after="600" w:afterLines="0" w:line="312" w:lineRule="atLeast"/>
      <w:jc w:val="center"/>
      <w:textAlignment w:val="baseline"/>
    </w:pPr>
    <w:rPr>
      <w:rFonts w:eastAsia="仿宋_GB2312"/>
      <w:kern w:val="0"/>
      <w:sz w:val="24"/>
      <w:szCs w:val="20"/>
    </w:rPr>
  </w:style>
  <w:style w:type="paragraph" w:styleId="37">
    <w:name w:val="toc 1"/>
    <w:basedOn w:val="1"/>
    <w:next w:val="1"/>
    <w:qFormat/>
    <w:uiPriority w:val="0"/>
  </w:style>
  <w:style w:type="paragraph" w:styleId="38">
    <w:name w:val="toc 4"/>
    <w:basedOn w:val="1"/>
    <w:next w:val="1"/>
    <w:qFormat/>
    <w:uiPriority w:val="0"/>
    <w:pPr>
      <w:autoSpaceDE w:val="0"/>
      <w:autoSpaceDN w:val="0"/>
      <w:adjustRightInd w:val="0"/>
      <w:ind w:left="1260" w:leftChars="600"/>
      <w:jc w:val="left"/>
    </w:pPr>
    <w:rPr>
      <w:kern w:val="0"/>
      <w:sz w:val="20"/>
      <w:szCs w:val="20"/>
    </w:rPr>
  </w:style>
  <w:style w:type="paragraph" w:styleId="39">
    <w:name w:val="Subtitle"/>
    <w:basedOn w:val="1"/>
    <w:next w:val="1"/>
    <w:link w:val="83"/>
    <w:qFormat/>
    <w:uiPriority w:val="0"/>
    <w:pPr>
      <w:spacing w:before="240" w:beforeLines="0" w:after="60" w:afterLines="0" w:line="312" w:lineRule="auto"/>
      <w:jc w:val="center"/>
      <w:outlineLvl w:val="1"/>
    </w:pPr>
    <w:rPr>
      <w:rFonts w:ascii="Cambria" w:hAnsi="Cambria"/>
      <w:b/>
      <w:bCs/>
      <w:kern w:val="28"/>
      <w:sz w:val="32"/>
      <w:szCs w:val="32"/>
    </w:rPr>
  </w:style>
  <w:style w:type="paragraph" w:styleId="40">
    <w:name w:val="List Number 5"/>
    <w:basedOn w:val="1"/>
    <w:qFormat/>
    <w:uiPriority w:val="0"/>
    <w:pPr>
      <w:tabs>
        <w:tab w:val="left" w:pos="2040"/>
      </w:tabs>
      <w:autoSpaceDE w:val="0"/>
      <w:autoSpaceDN w:val="0"/>
      <w:adjustRightInd w:val="0"/>
      <w:spacing w:line="400" w:lineRule="exact"/>
      <w:ind w:left="2040" w:hanging="360"/>
      <w:jc w:val="left"/>
    </w:pPr>
    <w:rPr>
      <w:kern w:val="0"/>
      <w:sz w:val="24"/>
      <w:szCs w:val="20"/>
    </w:rPr>
  </w:style>
  <w:style w:type="paragraph" w:styleId="41">
    <w:name w:val="toc 6"/>
    <w:basedOn w:val="1"/>
    <w:next w:val="1"/>
    <w:qFormat/>
    <w:uiPriority w:val="0"/>
    <w:pPr>
      <w:autoSpaceDE w:val="0"/>
      <w:autoSpaceDN w:val="0"/>
      <w:adjustRightInd w:val="0"/>
      <w:ind w:left="2100" w:leftChars="1000"/>
      <w:jc w:val="left"/>
    </w:pPr>
    <w:rPr>
      <w:kern w:val="0"/>
      <w:sz w:val="20"/>
      <w:szCs w:val="20"/>
    </w:rPr>
  </w:style>
  <w:style w:type="paragraph" w:styleId="42">
    <w:name w:val="Body Text Indent 3"/>
    <w:basedOn w:val="1"/>
    <w:link w:val="84"/>
    <w:qFormat/>
    <w:uiPriority w:val="0"/>
    <w:pPr>
      <w:spacing w:line="500" w:lineRule="exact"/>
      <w:ind w:left="511" w:hanging="511" w:hangingChars="213"/>
    </w:pPr>
    <w:rPr>
      <w:sz w:val="24"/>
    </w:rPr>
  </w:style>
  <w:style w:type="paragraph" w:styleId="43">
    <w:name w:val="toc 2"/>
    <w:basedOn w:val="1"/>
    <w:next w:val="1"/>
    <w:qFormat/>
    <w:uiPriority w:val="0"/>
    <w:pPr>
      <w:ind w:left="420" w:leftChars="200"/>
    </w:pPr>
  </w:style>
  <w:style w:type="paragraph" w:styleId="44">
    <w:name w:val="toc 9"/>
    <w:basedOn w:val="1"/>
    <w:next w:val="1"/>
    <w:qFormat/>
    <w:uiPriority w:val="0"/>
    <w:pPr>
      <w:autoSpaceDE w:val="0"/>
      <w:autoSpaceDN w:val="0"/>
      <w:adjustRightInd w:val="0"/>
      <w:ind w:left="3360" w:leftChars="1600"/>
      <w:jc w:val="left"/>
    </w:pPr>
    <w:rPr>
      <w:kern w:val="0"/>
      <w:sz w:val="20"/>
      <w:szCs w:val="20"/>
    </w:rPr>
  </w:style>
  <w:style w:type="paragraph" w:styleId="45">
    <w:name w:val="Body Text 2"/>
    <w:basedOn w:val="1"/>
    <w:qFormat/>
    <w:uiPriority w:val="0"/>
    <w:pPr>
      <w:autoSpaceDE w:val="0"/>
      <w:autoSpaceDN w:val="0"/>
      <w:adjustRightInd w:val="0"/>
      <w:spacing w:after="120" w:afterLines="0" w:line="480" w:lineRule="auto"/>
      <w:jc w:val="left"/>
    </w:pPr>
    <w:rPr>
      <w:kern w:val="0"/>
      <w:sz w:val="20"/>
      <w:szCs w:val="20"/>
    </w:rPr>
  </w:style>
  <w:style w:type="paragraph" w:styleId="46">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paragraph" w:styleId="47">
    <w:name w:val="Title"/>
    <w:basedOn w:val="1"/>
    <w:next w:val="1"/>
    <w:link w:val="85"/>
    <w:qFormat/>
    <w:uiPriority w:val="0"/>
    <w:pPr>
      <w:spacing w:before="240" w:beforeLines="0" w:after="60" w:afterLines="0"/>
      <w:jc w:val="center"/>
      <w:outlineLvl w:val="0"/>
    </w:pPr>
    <w:rPr>
      <w:rFonts w:ascii="Cambria" w:hAnsi="Cambria"/>
      <w:b/>
      <w:bCs/>
      <w:sz w:val="32"/>
      <w:szCs w:val="32"/>
    </w:rPr>
  </w:style>
  <w:style w:type="paragraph" w:styleId="48">
    <w:name w:val="annotation subject"/>
    <w:basedOn w:val="18"/>
    <w:next w:val="18"/>
    <w:link w:val="86"/>
    <w:qFormat/>
    <w:uiPriority w:val="0"/>
    <w:rPr>
      <w:b/>
      <w:bCs/>
    </w:rPr>
  </w:style>
  <w:style w:type="paragraph" w:styleId="49">
    <w:name w:val="Body Text First Indent"/>
    <w:basedOn w:val="21"/>
    <w:next w:val="1"/>
    <w:link w:val="76"/>
    <w:qFormat/>
    <w:uiPriority w:val="0"/>
    <w:pPr>
      <w:autoSpaceDE w:val="0"/>
      <w:autoSpaceDN w:val="0"/>
      <w:adjustRightInd w:val="0"/>
      <w:ind w:firstLine="420" w:firstLineChars="100"/>
      <w:jc w:val="left"/>
    </w:pPr>
    <w:rPr>
      <w:rFonts w:ascii="Times New Roman"/>
      <w:b w:val="0"/>
      <w:kern w:val="0"/>
      <w:sz w:val="20"/>
      <w:szCs w:val="20"/>
    </w:rPr>
  </w:style>
  <w:style w:type="table" w:styleId="51">
    <w:name w:val="Table Grid"/>
    <w:basedOn w:val="5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rFonts w:ascii="仿宋_GB2312" w:eastAsia="仿宋_GB2312"/>
      <w:bCs/>
      <w:sz w:val="32"/>
      <w:szCs w:val="32"/>
    </w:rPr>
  </w:style>
  <w:style w:type="character" w:styleId="54">
    <w:name w:val="page number"/>
    <w:basedOn w:val="52"/>
    <w:qFormat/>
    <w:uiPriority w:val="0"/>
  </w:style>
  <w:style w:type="character" w:styleId="55">
    <w:name w:val="FollowedHyperlink"/>
    <w:qFormat/>
    <w:uiPriority w:val="0"/>
    <w:rPr>
      <w:rFonts w:ascii="仿宋_GB2312" w:eastAsia="仿宋_GB2312"/>
      <w:b/>
      <w:color w:val="800080"/>
      <w:sz w:val="32"/>
      <w:szCs w:val="32"/>
      <w:u w:val="none"/>
    </w:rPr>
  </w:style>
  <w:style w:type="character" w:styleId="56">
    <w:name w:val="Emphasis"/>
    <w:qFormat/>
    <w:uiPriority w:val="0"/>
    <w:rPr>
      <w:i/>
      <w:iCs/>
    </w:rPr>
  </w:style>
  <w:style w:type="character" w:styleId="57">
    <w:name w:val="line number"/>
    <w:basedOn w:val="52"/>
    <w:qFormat/>
    <w:uiPriority w:val="0"/>
  </w:style>
  <w:style w:type="character" w:styleId="58">
    <w:name w:val="Hyperlink"/>
    <w:qFormat/>
    <w:uiPriority w:val="0"/>
    <w:rPr>
      <w:rFonts w:ascii="仿宋_GB2312" w:eastAsia="仿宋_GB2312"/>
      <w:b/>
      <w:color w:val="0000FF"/>
      <w:sz w:val="32"/>
      <w:szCs w:val="32"/>
      <w:u w:val="none"/>
    </w:rPr>
  </w:style>
  <w:style w:type="character" w:styleId="59">
    <w:name w:val="annotation reference"/>
    <w:qFormat/>
    <w:uiPriority w:val="0"/>
    <w:rPr>
      <w:sz w:val="21"/>
      <w:szCs w:val="21"/>
    </w:rPr>
  </w:style>
  <w:style w:type="character" w:styleId="60">
    <w:name w:val="HTML Cite"/>
    <w:qFormat/>
    <w:uiPriority w:val="0"/>
    <w:rPr>
      <w:color w:val="008000"/>
    </w:rPr>
  </w:style>
  <w:style w:type="character" w:customStyle="1" w:styleId="61">
    <w:name w:val="正文文本缩进 2 Char"/>
    <w:link w:val="32"/>
    <w:qFormat/>
    <w:uiPriority w:val="0"/>
    <w:rPr>
      <w:rFonts w:eastAsia="宋体"/>
      <w:kern w:val="2"/>
      <w:sz w:val="24"/>
      <w:szCs w:val="24"/>
      <w:lang w:val="en-US" w:eastAsia="zh-CN" w:bidi="ar-SA"/>
    </w:rPr>
  </w:style>
  <w:style w:type="character" w:customStyle="1" w:styleId="62">
    <w:name w:val="宏文本 Char"/>
    <w:link w:val="3"/>
    <w:qFormat/>
    <w:uiPriority w:val="0"/>
    <w:rPr>
      <w:rFonts w:ascii="Courier New" w:hAnsi="Courier New" w:eastAsia="Times New Roman"/>
      <w:kern w:val="2"/>
      <w:sz w:val="24"/>
      <w:szCs w:val="24"/>
      <w:lang w:val="en-US" w:eastAsia="zh-CN" w:bidi="ar-SA"/>
    </w:rPr>
  </w:style>
  <w:style w:type="character" w:customStyle="1" w:styleId="63">
    <w:name w:val="标题 1 Char"/>
    <w:link w:val="4"/>
    <w:qFormat/>
    <w:uiPriority w:val="0"/>
    <w:rPr>
      <w:rFonts w:eastAsia="黑体"/>
      <w:b/>
      <w:kern w:val="2"/>
      <w:sz w:val="32"/>
      <w:lang w:val="en-US" w:eastAsia="zh-CN" w:bidi="ar-SA"/>
    </w:rPr>
  </w:style>
  <w:style w:type="character" w:customStyle="1" w:styleId="64">
    <w:name w:val="标题 2 Char"/>
    <w:link w:val="2"/>
    <w:qFormat/>
    <w:uiPriority w:val="0"/>
    <w:rPr>
      <w:rFonts w:ascii="仿宋_GB2312" w:eastAsia="华文仿宋"/>
      <w:b/>
      <w:kern w:val="2"/>
      <w:sz w:val="28"/>
      <w:szCs w:val="32"/>
    </w:rPr>
  </w:style>
  <w:style w:type="character" w:customStyle="1" w:styleId="65">
    <w:name w:val="标题 3 Char"/>
    <w:link w:val="5"/>
    <w:qFormat/>
    <w:uiPriority w:val="0"/>
    <w:rPr>
      <w:rFonts w:eastAsia="黑体"/>
      <w:b/>
      <w:kern w:val="2"/>
      <w:sz w:val="28"/>
      <w:lang w:val="en-US" w:eastAsia="zh-CN" w:bidi="ar-SA"/>
    </w:rPr>
  </w:style>
  <w:style w:type="character" w:customStyle="1" w:styleId="66">
    <w:name w:val="正文缩进 Char"/>
    <w:link w:val="8"/>
    <w:qFormat/>
    <w:uiPriority w:val="0"/>
    <w:rPr>
      <w:rFonts w:ascii="仿宋_GB2312" w:eastAsia="宋体"/>
      <w:b/>
      <w:sz w:val="21"/>
      <w:szCs w:val="32"/>
      <w:lang w:val="en-US" w:eastAsia="zh-CN" w:bidi="ar-SA"/>
    </w:rPr>
  </w:style>
  <w:style w:type="character" w:customStyle="1" w:styleId="67">
    <w:name w:val="标题 4 Char"/>
    <w:link w:val="6"/>
    <w:qFormat/>
    <w:uiPriority w:val="0"/>
    <w:rPr>
      <w:rFonts w:eastAsia="宋体"/>
      <w:kern w:val="2"/>
      <w:sz w:val="28"/>
      <w:szCs w:val="28"/>
      <w:lang w:val="en-US" w:eastAsia="zh-CN" w:bidi="ar-SA"/>
    </w:rPr>
  </w:style>
  <w:style w:type="character" w:customStyle="1" w:styleId="68">
    <w:name w:val="标题 5 Char"/>
    <w:link w:val="7"/>
    <w:qFormat/>
    <w:uiPriority w:val="0"/>
    <w:rPr>
      <w:rFonts w:eastAsia="宋体"/>
      <w:b/>
      <w:kern w:val="2"/>
      <w:sz w:val="28"/>
      <w:lang w:val="en-US" w:eastAsia="zh-CN" w:bidi="ar-SA"/>
    </w:rPr>
  </w:style>
  <w:style w:type="character" w:customStyle="1" w:styleId="69">
    <w:name w:val="标题 6 Char"/>
    <w:link w:val="9"/>
    <w:qFormat/>
    <w:uiPriority w:val="0"/>
    <w:rPr>
      <w:rFonts w:ascii="Arial" w:hAnsi="Arial" w:eastAsia="黑体"/>
      <w:b/>
      <w:kern w:val="2"/>
      <w:sz w:val="24"/>
      <w:lang w:val="en-US" w:eastAsia="zh-CN" w:bidi="ar-SA"/>
    </w:rPr>
  </w:style>
  <w:style w:type="character" w:customStyle="1" w:styleId="70">
    <w:name w:val="标题 7 Char"/>
    <w:link w:val="10"/>
    <w:qFormat/>
    <w:uiPriority w:val="0"/>
    <w:rPr>
      <w:rFonts w:eastAsia="宋体"/>
      <w:b/>
      <w:kern w:val="2"/>
      <w:sz w:val="24"/>
      <w:lang w:val="en-US" w:eastAsia="zh-CN" w:bidi="ar-SA"/>
    </w:rPr>
  </w:style>
  <w:style w:type="character" w:customStyle="1" w:styleId="71">
    <w:name w:val="标题 8 Char"/>
    <w:link w:val="11"/>
    <w:qFormat/>
    <w:uiPriority w:val="0"/>
    <w:rPr>
      <w:rFonts w:ascii="Arial" w:hAnsi="Arial" w:eastAsia="黑体"/>
      <w:kern w:val="2"/>
      <w:sz w:val="24"/>
      <w:lang w:val="en-US" w:eastAsia="zh-CN" w:bidi="ar-SA"/>
    </w:rPr>
  </w:style>
  <w:style w:type="character" w:customStyle="1" w:styleId="72">
    <w:name w:val="标题 9 Char"/>
    <w:link w:val="12"/>
    <w:qFormat/>
    <w:uiPriority w:val="0"/>
    <w:rPr>
      <w:rFonts w:ascii="Arial" w:hAnsi="Arial" w:eastAsia="黑体"/>
      <w:kern w:val="2"/>
      <w:sz w:val="21"/>
      <w:lang w:val="en-US" w:eastAsia="zh-CN" w:bidi="ar-SA"/>
    </w:rPr>
  </w:style>
  <w:style w:type="character" w:customStyle="1" w:styleId="73">
    <w:name w:val="文档结构图 Char"/>
    <w:link w:val="17"/>
    <w:qFormat/>
    <w:uiPriority w:val="0"/>
    <w:rPr>
      <w:rFonts w:eastAsia="宋体"/>
      <w:kern w:val="2"/>
      <w:sz w:val="21"/>
      <w:szCs w:val="24"/>
      <w:lang w:val="en-US" w:eastAsia="zh-CN" w:bidi="ar-SA"/>
    </w:rPr>
  </w:style>
  <w:style w:type="character" w:customStyle="1" w:styleId="74">
    <w:name w:val="批注文字 Char"/>
    <w:link w:val="18"/>
    <w:qFormat/>
    <w:uiPriority w:val="0"/>
    <w:rPr>
      <w:rFonts w:eastAsia="宋体"/>
      <w:kern w:val="2"/>
      <w:sz w:val="21"/>
      <w:szCs w:val="24"/>
      <w:lang w:val="en-US" w:eastAsia="zh-CN" w:bidi="ar-SA"/>
    </w:rPr>
  </w:style>
  <w:style w:type="character" w:customStyle="1" w:styleId="75">
    <w:name w:val="正文文本 Char"/>
    <w:link w:val="21"/>
    <w:qFormat/>
    <w:uiPriority w:val="0"/>
    <w:rPr>
      <w:rFonts w:ascii="仿宋_GB2312" w:eastAsia="宋体"/>
      <w:b/>
      <w:kern w:val="2"/>
      <w:sz w:val="21"/>
      <w:szCs w:val="24"/>
      <w:lang w:val="en-US" w:eastAsia="zh-CN" w:bidi="ar-SA"/>
    </w:rPr>
  </w:style>
  <w:style w:type="character" w:customStyle="1" w:styleId="76">
    <w:name w:val="正文首行缩进 Char"/>
    <w:link w:val="49"/>
    <w:qFormat/>
    <w:uiPriority w:val="0"/>
    <w:rPr>
      <w:rFonts w:eastAsia="宋体"/>
      <w:lang w:val="en-US" w:eastAsia="zh-CN" w:bidi="ar-SA"/>
    </w:rPr>
  </w:style>
  <w:style w:type="character" w:customStyle="1" w:styleId="77">
    <w:name w:val="正文文本缩进 Char1"/>
    <w:link w:val="22"/>
    <w:qFormat/>
    <w:uiPriority w:val="0"/>
    <w:rPr>
      <w:rFonts w:eastAsia="宋体"/>
      <w:kern w:val="2"/>
      <w:sz w:val="24"/>
      <w:szCs w:val="24"/>
      <w:lang w:val="en-US" w:eastAsia="zh-CN" w:bidi="ar-SA"/>
    </w:rPr>
  </w:style>
  <w:style w:type="character" w:customStyle="1" w:styleId="78">
    <w:name w:val="纯文本 Char"/>
    <w:link w:val="28"/>
    <w:qFormat/>
    <w:uiPriority w:val="0"/>
    <w:rPr>
      <w:rFonts w:ascii="宋体" w:hAnsi="Courier New" w:eastAsia="宋体"/>
      <w:b/>
      <w:sz w:val="21"/>
      <w:szCs w:val="21"/>
      <w:lang w:val="en-US" w:eastAsia="zh-CN" w:bidi="ar-SA"/>
    </w:rPr>
  </w:style>
  <w:style w:type="character" w:customStyle="1" w:styleId="79">
    <w:name w:val="日期 Char"/>
    <w:link w:val="31"/>
    <w:qFormat/>
    <w:uiPriority w:val="0"/>
    <w:rPr>
      <w:rFonts w:eastAsia="宋体"/>
      <w:kern w:val="2"/>
      <w:sz w:val="21"/>
      <w:szCs w:val="24"/>
      <w:lang w:val="en-US" w:eastAsia="zh-CN" w:bidi="ar-SA"/>
    </w:rPr>
  </w:style>
  <w:style w:type="character" w:customStyle="1" w:styleId="80">
    <w:name w:val="批注框文本 Char"/>
    <w:link w:val="33"/>
    <w:qFormat/>
    <w:uiPriority w:val="0"/>
    <w:rPr>
      <w:rFonts w:eastAsia="宋体"/>
      <w:kern w:val="2"/>
      <w:sz w:val="18"/>
      <w:szCs w:val="18"/>
      <w:lang w:val="en-US" w:eastAsia="zh-CN" w:bidi="ar-SA"/>
    </w:rPr>
  </w:style>
  <w:style w:type="character" w:customStyle="1" w:styleId="81">
    <w:name w:val="页脚 Char"/>
    <w:link w:val="34"/>
    <w:qFormat/>
    <w:uiPriority w:val="0"/>
    <w:rPr>
      <w:rFonts w:eastAsia="宋体"/>
      <w:kern w:val="2"/>
      <w:sz w:val="18"/>
      <w:szCs w:val="18"/>
      <w:lang w:val="en-US" w:eastAsia="zh-CN" w:bidi="ar-SA"/>
    </w:rPr>
  </w:style>
  <w:style w:type="character" w:customStyle="1" w:styleId="82">
    <w:name w:val="页眉 Char"/>
    <w:link w:val="35"/>
    <w:qFormat/>
    <w:uiPriority w:val="0"/>
    <w:rPr>
      <w:rFonts w:eastAsia="宋体"/>
      <w:kern w:val="2"/>
      <w:sz w:val="18"/>
      <w:szCs w:val="18"/>
      <w:lang w:val="en-US" w:eastAsia="zh-CN" w:bidi="ar-SA"/>
    </w:rPr>
  </w:style>
  <w:style w:type="character" w:customStyle="1" w:styleId="83">
    <w:name w:val="副标题 Char"/>
    <w:link w:val="39"/>
    <w:qFormat/>
    <w:uiPriority w:val="0"/>
    <w:rPr>
      <w:rFonts w:ascii="Cambria" w:hAnsi="Cambria" w:eastAsia="宋体"/>
      <w:b/>
      <w:bCs/>
      <w:kern w:val="28"/>
      <w:sz w:val="32"/>
      <w:szCs w:val="32"/>
      <w:lang w:val="en-US" w:eastAsia="zh-CN" w:bidi="ar-SA"/>
    </w:rPr>
  </w:style>
  <w:style w:type="character" w:customStyle="1" w:styleId="84">
    <w:name w:val="正文文本缩进 3 Char"/>
    <w:link w:val="42"/>
    <w:qFormat/>
    <w:uiPriority w:val="0"/>
    <w:rPr>
      <w:rFonts w:eastAsia="宋体"/>
      <w:kern w:val="2"/>
      <w:sz w:val="24"/>
      <w:szCs w:val="24"/>
      <w:lang w:val="en-US" w:eastAsia="zh-CN" w:bidi="ar-SA"/>
    </w:rPr>
  </w:style>
  <w:style w:type="character" w:customStyle="1" w:styleId="85">
    <w:name w:val="标题 Char"/>
    <w:link w:val="47"/>
    <w:qFormat/>
    <w:uiPriority w:val="0"/>
    <w:rPr>
      <w:rFonts w:ascii="Cambria" w:hAnsi="Cambria" w:eastAsia="宋体"/>
      <w:b/>
      <w:bCs/>
      <w:kern w:val="2"/>
      <w:sz w:val="32"/>
      <w:szCs w:val="32"/>
      <w:lang w:val="en-US" w:eastAsia="zh-CN" w:bidi="ar-SA"/>
    </w:rPr>
  </w:style>
  <w:style w:type="character" w:customStyle="1" w:styleId="86">
    <w:name w:val="批注主题 Char"/>
    <w:link w:val="48"/>
    <w:qFormat/>
    <w:uiPriority w:val="0"/>
    <w:rPr>
      <w:rFonts w:eastAsia="宋体"/>
      <w:b/>
      <w:bCs/>
      <w:kern w:val="2"/>
      <w:sz w:val="21"/>
      <w:szCs w:val="24"/>
      <w:lang w:val="en-US" w:eastAsia="zh-CN" w:bidi="ar-SA"/>
    </w:rPr>
  </w:style>
  <w:style w:type="character" w:customStyle="1" w:styleId="87">
    <w:name w:val=" Char Char3"/>
    <w:qFormat/>
    <w:uiPriority w:val="0"/>
    <w:rPr>
      <w:rFonts w:ascii="Cambria" w:hAnsi="Cambria" w:eastAsia="宋体"/>
      <w:b/>
      <w:bCs/>
      <w:kern w:val="2"/>
      <w:sz w:val="32"/>
      <w:szCs w:val="32"/>
      <w:lang w:val="en-US" w:eastAsia="zh-CN" w:bidi="ar-SA"/>
    </w:rPr>
  </w:style>
  <w:style w:type="character" w:customStyle="1" w:styleId="88">
    <w:name w:val="heading 5 Char2"/>
    <w:qFormat/>
    <w:uiPriority w:val="0"/>
    <w:rPr>
      <w:b/>
      <w:bCs/>
      <w:kern w:val="2"/>
      <w:sz w:val="28"/>
      <w:szCs w:val="28"/>
    </w:rPr>
  </w:style>
  <w:style w:type="character" w:customStyle="1" w:styleId="89">
    <w:name w:val="apple-converted-space"/>
    <w:basedOn w:val="52"/>
    <w:qFormat/>
    <w:uiPriority w:val="0"/>
  </w:style>
  <w:style w:type="character" w:customStyle="1" w:styleId="90">
    <w:name w:val="表格 Char Char"/>
    <w:link w:val="91"/>
    <w:qFormat/>
    <w:uiPriority w:val="0"/>
    <w:rPr>
      <w:rFonts w:ascii="宋体" w:hAnsi="宋体" w:eastAsia="宋体"/>
      <w:lang w:val="en-US" w:eastAsia="zh-CN" w:bidi="ar-SA"/>
    </w:rPr>
  </w:style>
  <w:style w:type="paragraph" w:customStyle="1" w:styleId="91">
    <w:name w:val="表格"/>
    <w:basedOn w:val="1"/>
    <w:link w:val="90"/>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92">
    <w:name w:val="Char Char11"/>
    <w:qFormat/>
    <w:uiPriority w:val="0"/>
    <w:rPr>
      <w:rFonts w:ascii="Times New Roman" w:hAnsi="Times New Roman" w:eastAsia="宋体" w:cs="Times New Roman"/>
      <w:sz w:val="18"/>
      <w:szCs w:val="18"/>
    </w:rPr>
  </w:style>
  <w:style w:type="character" w:customStyle="1" w:styleId="93">
    <w:name w:val="heading 8 Char1"/>
    <w:qFormat/>
    <w:uiPriority w:val="0"/>
    <w:rPr>
      <w:rFonts w:ascii="Arial" w:hAnsi="Arial" w:eastAsia="黑体"/>
      <w:sz w:val="24"/>
      <w:lang w:val="en-US" w:eastAsia="zh-CN" w:bidi="ar-SA"/>
    </w:rPr>
  </w:style>
  <w:style w:type="character" w:customStyle="1" w:styleId="94">
    <w:name w:val="Style3"/>
    <w:qFormat/>
    <w:uiPriority w:val="0"/>
    <w:rPr>
      <w:rFonts w:ascii="Calibri" w:hAnsi="宋体" w:eastAsia="宋体" w:cs="Times New Roman"/>
      <w:szCs w:val="22"/>
      <w:lang w:eastAsia="zh-CN"/>
    </w:rPr>
  </w:style>
  <w:style w:type="character" w:customStyle="1" w:styleId="95">
    <w:name w:val=" Char Char28"/>
    <w:qFormat/>
    <w:uiPriority w:val="0"/>
    <w:rPr>
      <w:rFonts w:ascii="Calibri" w:hAnsi="Calibri" w:eastAsia="宋体"/>
      <w:kern w:val="2"/>
      <w:sz w:val="28"/>
      <w:lang w:val="en-US" w:eastAsia="zh-CN" w:bidi="ar-SA"/>
    </w:rPr>
  </w:style>
  <w:style w:type="character" w:customStyle="1" w:styleId="96">
    <w:name w:val="Style2"/>
    <w:qFormat/>
    <w:uiPriority w:val="0"/>
    <w:rPr>
      <w:rFonts w:ascii="Calibri" w:hAnsi="宋体" w:eastAsia="宋体" w:cs="Times New Roman"/>
      <w:sz w:val="22"/>
      <w:szCs w:val="22"/>
      <w:lang w:eastAsia="zh-CN"/>
    </w:rPr>
  </w:style>
  <w:style w:type="character" w:customStyle="1" w:styleId="97">
    <w:name w:val=" Char Char12"/>
    <w:qFormat/>
    <w:uiPriority w:val="0"/>
    <w:rPr>
      <w:rFonts w:eastAsia="宋体"/>
      <w:kern w:val="2"/>
      <w:sz w:val="21"/>
      <w:szCs w:val="24"/>
      <w:lang w:val="en-US" w:eastAsia="zh-CN" w:bidi="ar-SA"/>
    </w:rPr>
  </w:style>
  <w:style w:type="character" w:customStyle="1" w:styleId="98">
    <w:name w:val="Style5"/>
    <w:qFormat/>
    <w:uiPriority w:val="0"/>
    <w:rPr>
      <w:rFonts w:ascii="Calibri" w:hAnsi="宋体" w:eastAsia="宋体" w:cs="Times New Roman"/>
      <w:sz w:val="22"/>
      <w:szCs w:val="22"/>
      <w:lang w:eastAsia="zh-CN"/>
    </w:rPr>
  </w:style>
  <w:style w:type="character" w:customStyle="1" w:styleId="99">
    <w:name w:val=" Char Char26"/>
    <w:qFormat/>
    <w:uiPriority w:val="0"/>
    <w:rPr>
      <w:rFonts w:ascii="Calibri" w:hAnsi="Calibri" w:eastAsia="黑体"/>
      <w:b/>
      <w:kern w:val="2"/>
      <w:sz w:val="28"/>
      <w:lang w:val="en-US" w:eastAsia="zh-CN" w:bidi="ar-SA"/>
    </w:rPr>
  </w:style>
  <w:style w:type="character" w:customStyle="1" w:styleId="100">
    <w:name w:val="blue1"/>
    <w:basedOn w:val="52"/>
    <w:qFormat/>
    <w:uiPriority w:val="0"/>
  </w:style>
  <w:style w:type="character" w:customStyle="1" w:styleId="101">
    <w:name w:val="heading 6 Char1"/>
    <w:qFormat/>
    <w:uiPriority w:val="0"/>
    <w:rPr>
      <w:rFonts w:ascii="Arial" w:hAnsi="Arial" w:eastAsia="黑体"/>
      <w:kern w:val="2"/>
      <w:sz w:val="24"/>
      <w:szCs w:val="24"/>
      <w:lang w:val="en-US" w:eastAsia="zh-CN" w:bidi="ar-SA"/>
    </w:rPr>
  </w:style>
  <w:style w:type="character" w:customStyle="1" w:styleId="102">
    <w:name w:val="Char Char61"/>
    <w:qFormat/>
    <w:uiPriority w:val="0"/>
    <w:rPr>
      <w:rFonts w:ascii="Times New Roman" w:hAnsi="Times New Roman" w:eastAsia="宋体" w:cs="Times New Roman"/>
      <w:szCs w:val="24"/>
    </w:rPr>
  </w:style>
  <w:style w:type="character" w:customStyle="1" w:styleId="103">
    <w:name w:val="Plain Text Char"/>
    <w:qFormat/>
    <w:uiPriority w:val="0"/>
    <w:rPr>
      <w:rFonts w:ascii="宋体" w:hAnsi="Courier New" w:eastAsia="宋体" w:cs="Times New Roman"/>
      <w:sz w:val="21"/>
      <w:szCs w:val="21"/>
    </w:rPr>
  </w:style>
  <w:style w:type="character" w:customStyle="1" w:styleId="104">
    <w:name w:val=" Char Char6"/>
    <w:qFormat/>
    <w:uiPriority w:val="0"/>
    <w:rPr>
      <w:rFonts w:ascii="Cambria" w:hAnsi="Cambria" w:eastAsia="宋体"/>
      <w:b/>
      <w:bCs/>
      <w:kern w:val="28"/>
      <w:sz w:val="32"/>
      <w:szCs w:val="32"/>
      <w:lang w:val="en-US" w:eastAsia="zh-CN" w:bidi="ar-SA"/>
    </w:rPr>
  </w:style>
  <w:style w:type="character" w:customStyle="1" w:styleId="105">
    <w:name w:val=" Char Char8"/>
    <w:qFormat/>
    <w:uiPriority w:val="0"/>
    <w:rPr>
      <w:rFonts w:ascii="Courier New" w:hAnsi="Courier New" w:eastAsia="Times New Roman"/>
      <w:kern w:val="2"/>
      <w:sz w:val="24"/>
      <w:szCs w:val="24"/>
      <w:lang w:val="en-US" w:eastAsia="zh-CN" w:bidi="ar-SA"/>
    </w:rPr>
  </w:style>
  <w:style w:type="character" w:customStyle="1" w:styleId="106">
    <w:name w:val=" Char Char"/>
    <w:qFormat/>
    <w:uiPriority w:val="0"/>
    <w:rPr>
      <w:rFonts w:eastAsia="宋体"/>
      <w:kern w:val="2"/>
      <w:sz w:val="24"/>
      <w:szCs w:val="24"/>
      <w:lang w:val="en-US" w:eastAsia="zh-CN" w:bidi="ar-SA"/>
    </w:rPr>
  </w:style>
  <w:style w:type="character" w:customStyle="1" w:styleId="107">
    <w:name w:val=" Char Char22"/>
    <w:qFormat/>
    <w:uiPriority w:val="0"/>
    <w:rPr>
      <w:rFonts w:ascii="Calibri" w:hAnsi="Calibri" w:eastAsia="宋体"/>
      <w:b/>
      <w:kern w:val="2"/>
      <w:sz w:val="24"/>
      <w:lang w:val="en-US" w:eastAsia="zh-CN" w:bidi="ar-SA"/>
    </w:rPr>
  </w:style>
  <w:style w:type="character" w:customStyle="1" w:styleId="108">
    <w:name w:val="heading 3 Char1"/>
    <w:qFormat/>
    <w:uiPriority w:val="0"/>
    <w:rPr>
      <w:rFonts w:eastAsia="宋体"/>
      <w:b/>
      <w:bCs/>
      <w:kern w:val="2"/>
      <w:sz w:val="32"/>
      <w:szCs w:val="32"/>
      <w:lang w:val="en-US" w:eastAsia="zh-CN" w:bidi="ar-SA"/>
    </w:rPr>
  </w:style>
  <w:style w:type="character" w:customStyle="1" w:styleId="109">
    <w:name w:val=" Char Char29"/>
    <w:qFormat/>
    <w:uiPriority w:val="0"/>
    <w:rPr>
      <w:rFonts w:ascii="Calibri" w:hAnsi="Calibri" w:eastAsia="黑体"/>
      <w:b/>
      <w:kern w:val="2"/>
      <w:sz w:val="32"/>
      <w:lang w:val="en-US" w:eastAsia="zh-CN" w:bidi="ar-SA"/>
    </w:rPr>
  </w:style>
  <w:style w:type="character" w:customStyle="1" w:styleId="110">
    <w:name w:val="style41"/>
    <w:qFormat/>
    <w:uiPriority w:val="0"/>
    <w:rPr>
      <w:color w:val="auto"/>
    </w:rPr>
  </w:style>
  <w:style w:type="character" w:customStyle="1" w:styleId="111">
    <w:name w:val="textcolor1"/>
    <w:qFormat/>
    <w:uiPriority w:val="0"/>
    <w:rPr>
      <w:rFonts w:ascii="仿宋_GB2312" w:eastAsia="仿宋_GB2312"/>
      <w:b/>
      <w:color w:val="FF6600"/>
      <w:sz w:val="32"/>
      <w:szCs w:val="32"/>
    </w:rPr>
  </w:style>
  <w:style w:type="character" w:customStyle="1" w:styleId="112">
    <w:name w:val="样式 标题 3 + 黑体 小四 Char Char"/>
    <w:link w:val="113"/>
    <w:qFormat/>
    <w:uiPriority w:val="0"/>
    <w:rPr>
      <w:rFonts w:ascii="黑体" w:hAnsi="Arial" w:eastAsia="黑体"/>
      <w:bCs/>
      <w:sz w:val="24"/>
      <w:szCs w:val="24"/>
      <w:lang w:bidi="ar-SA"/>
    </w:rPr>
  </w:style>
  <w:style w:type="paragraph" w:customStyle="1" w:styleId="113">
    <w:name w:val="样式 标题 3 + 黑体 小四"/>
    <w:basedOn w:val="5"/>
    <w:link w:val="112"/>
    <w:qFormat/>
    <w:uiPriority w:val="0"/>
    <w:pPr>
      <w:numPr>
        <w:ilvl w:val="2"/>
        <w:numId w:val="0"/>
      </w:numPr>
      <w:tabs>
        <w:tab w:val="clear" w:pos="1530"/>
      </w:tabs>
      <w:spacing w:before="260" w:beforeLines="0" w:after="260" w:afterLines="0" w:line="415" w:lineRule="auto"/>
    </w:pPr>
    <w:rPr>
      <w:rFonts w:ascii="黑体" w:hAnsi="Arial"/>
      <w:b w:val="0"/>
      <w:bCs/>
      <w:kern w:val="0"/>
      <w:sz w:val="24"/>
      <w:szCs w:val="24"/>
    </w:rPr>
  </w:style>
  <w:style w:type="character" w:customStyle="1" w:styleId="114">
    <w:name w:val=" Char Char15"/>
    <w:qFormat/>
    <w:uiPriority w:val="0"/>
    <w:rPr>
      <w:rFonts w:eastAsia="宋体"/>
      <w:kern w:val="2"/>
      <w:sz w:val="21"/>
      <w:szCs w:val="24"/>
      <w:lang w:val="en-US" w:eastAsia="zh-CN" w:bidi="ar-SA"/>
    </w:rPr>
  </w:style>
  <w:style w:type="character" w:customStyle="1" w:styleId="115">
    <w:name w:val="Char Char19"/>
    <w:qFormat/>
    <w:uiPriority w:val="0"/>
    <w:rPr>
      <w:rFonts w:ascii="Cambria" w:hAnsi="Cambria"/>
      <w:b/>
      <w:bCs/>
      <w:kern w:val="2"/>
      <w:sz w:val="32"/>
      <w:szCs w:val="32"/>
    </w:rPr>
  </w:style>
  <w:style w:type="character" w:customStyle="1" w:styleId="116">
    <w:name w:val=" Char Char Char"/>
    <w:qFormat/>
    <w:uiPriority w:val="0"/>
    <w:rPr>
      <w:rFonts w:ascii="宋体" w:hAnsi="Courier New" w:eastAsia="宋体"/>
      <w:b/>
      <w:sz w:val="21"/>
      <w:szCs w:val="21"/>
      <w:lang w:val="en-US" w:eastAsia="zh-CN" w:bidi="ar-SA"/>
    </w:rPr>
  </w:style>
  <w:style w:type="character" w:customStyle="1" w:styleId="117">
    <w:name w:val="Char Char16"/>
    <w:qFormat/>
    <w:uiPriority w:val="0"/>
    <w:rPr>
      <w:b/>
      <w:bCs/>
      <w:kern w:val="2"/>
      <w:sz w:val="28"/>
      <w:szCs w:val="28"/>
    </w:rPr>
  </w:style>
  <w:style w:type="character" w:customStyle="1" w:styleId="118">
    <w:name w:val=" Char Char13"/>
    <w:qFormat/>
    <w:uiPriority w:val="0"/>
    <w:rPr>
      <w:rFonts w:ascii="Calibri" w:hAnsi="Calibri" w:eastAsia="宋体"/>
      <w:kern w:val="2"/>
      <w:sz w:val="21"/>
      <w:szCs w:val="24"/>
      <w:lang w:val="en-US" w:eastAsia="zh-CN" w:bidi="ar-SA"/>
    </w:rPr>
  </w:style>
  <w:style w:type="character" w:customStyle="1" w:styleId="119">
    <w:name w:val=" Char Char24"/>
    <w:qFormat/>
    <w:uiPriority w:val="0"/>
    <w:rPr>
      <w:rFonts w:ascii="Calibri" w:hAnsi="Calibri" w:eastAsia="宋体"/>
      <w:b/>
      <w:kern w:val="2"/>
      <w:sz w:val="28"/>
      <w:lang w:val="en-US" w:eastAsia="zh-CN" w:bidi="ar-SA"/>
    </w:rPr>
  </w:style>
  <w:style w:type="character" w:customStyle="1" w:styleId="120">
    <w:name w:val="Footer-Even Char1"/>
    <w:qFormat/>
    <w:uiPriority w:val="0"/>
    <w:rPr>
      <w:rFonts w:eastAsia="宋体"/>
      <w:kern w:val="2"/>
      <w:sz w:val="18"/>
      <w:szCs w:val="18"/>
      <w:lang w:val="en-US" w:eastAsia="zh-CN" w:bidi="ar-SA"/>
    </w:rPr>
  </w:style>
  <w:style w:type="character" w:customStyle="1" w:styleId="121">
    <w:name w:val="Ò³Ã¼ Char Char2"/>
    <w:qFormat/>
    <w:uiPriority w:val="0"/>
    <w:rPr>
      <w:kern w:val="2"/>
      <w:sz w:val="18"/>
      <w:szCs w:val="18"/>
    </w:rPr>
  </w:style>
  <w:style w:type="character" w:customStyle="1" w:styleId="122">
    <w:name w:val="font31"/>
    <w:qFormat/>
    <w:uiPriority w:val="0"/>
    <w:rPr>
      <w:rFonts w:hint="eastAsia" w:ascii="宋体" w:hAnsi="宋体" w:eastAsia="宋体" w:cs="宋体"/>
      <w:b/>
      <w:color w:val="000000"/>
      <w:sz w:val="22"/>
      <w:szCs w:val="22"/>
      <w:u w:val="none"/>
    </w:rPr>
  </w:style>
  <w:style w:type="character" w:customStyle="1" w:styleId="123">
    <w:name w:val=" Char Char7"/>
    <w:qFormat/>
    <w:uiPriority w:val="0"/>
    <w:rPr>
      <w:rFonts w:ascii="宋体" w:hAnsi="Courier New" w:eastAsia="宋体"/>
      <w:b/>
      <w:sz w:val="21"/>
      <w:szCs w:val="21"/>
      <w:lang w:val="en-US" w:eastAsia="zh-CN" w:bidi="ar-SA"/>
    </w:rPr>
  </w:style>
  <w:style w:type="character" w:customStyle="1" w:styleId="124">
    <w:name w:val="Ò³Ã¼ Char Char1"/>
    <w:qFormat/>
    <w:uiPriority w:val="0"/>
    <w:rPr>
      <w:rFonts w:eastAsia="宋体"/>
      <w:kern w:val="2"/>
      <w:sz w:val="18"/>
      <w:szCs w:val="18"/>
      <w:lang w:val="en-US" w:eastAsia="zh-CN" w:bidi="ar-SA"/>
    </w:rPr>
  </w:style>
  <w:style w:type="character" w:customStyle="1" w:styleId="125">
    <w:name w:val="_Style 124"/>
    <w:qFormat/>
    <w:uiPriority w:val="0"/>
    <w:rPr>
      <w:b/>
      <w:bCs/>
      <w:smallCaps/>
      <w:color w:val="C0504D"/>
      <w:spacing w:val="5"/>
      <w:u w:val="single"/>
    </w:rPr>
  </w:style>
  <w:style w:type="character" w:customStyle="1" w:styleId="126">
    <w:name w:val="_Style 125"/>
    <w:qFormat/>
    <w:uiPriority w:val="0"/>
    <w:rPr>
      <w:smallCaps/>
      <w:color w:val="C0504D"/>
      <w:u w:val="single"/>
    </w:rPr>
  </w:style>
  <w:style w:type="character" w:customStyle="1" w:styleId="127">
    <w:name w:val="Char Char Char1"/>
    <w:qFormat/>
    <w:uiPriority w:val="0"/>
    <w:rPr>
      <w:rFonts w:ascii="宋体" w:hAnsi="Courier New"/>
      <w:sz w:val="21"/>
      <w:szCs w:val="21"/>
    </w:rPr>
  </w:style>
  <w:style w:type="character" w:customStyle="1" w:styleId="128">
    <w:name w:val="heading 2 Char2"/>
    <w:qFormat/>
    <w:uiPriority w:val="0"/>
    <w:rPr>
      <w:rFonts w:ascii="Cambria" w:hAnsi="Cambria"/>
      <w:b/>
      <w:bCs/>
      <w:kern w:val="2"/>
      <w:sz w:val="32"/>
      <w:szCs w:val="32"/>
    </w:rPr>
  </w:style>
  <w:style w:type="character" w:customStyle="1" w:styleId="129">
    <w:name w:val=" Char Char27"/>
    <w:qFormat/>
    <w:uiPriority w:val="0"/>
    <w:rPr>
      <w:rFonts w:eastAsia="宋体"/>
      <w:kern w:val="2"/>
      <w:sz w:val="28"/>
      <w:lang w:val="en-US" w:eastAsia="zh-CN" w:bidi="ar-SA"/>
    </w:rPr>
  </w:style>
  <w:style w:type="character" w:customStyle="1" w:styleId="130">
    <w:name w:val="heading 9 Char1"/>
    <w:qFormat/>
    <w:uiPriority w:val="0"/>
    <w:rPr>
      <w:rFonts w:ascii="Arial" w:hAnsi="Arial" w:eastAsia="黑体"/>
      <w:sz w:val="21"/>
      <w:lang w:val="en-US" w:eastAsia="zh-CN" w:bidi="ar-SA"/>
    </w:rPr>
  </w:style>
  <w:style w:type="character" w:customStyle="1" w:styleId="131">
    <w:name w:val="heading 1 Char1"/>
    <w:qFormat/>
    <w:uiPriority w:val="0"/>
    <w:rPr>
      <w:rFonts w:eastAsia="宋体"/>
      <w:b/>
      <w:bCs/>
      <w:kern w:val="44"/>
      <w:sz w:val="44"/>
      <w:szCs w:val="44"/>
      <w:lang w:val="en-US" w:eastAsia="zh-CN" w:bidi="ar-SA"/>
    </w:rPr>
  </w:style>
  <w:style w:type="character" w:customStyle="1" w:styleId="132">
    <w:name w:val="gray6"/>
    <w:basedOn w:val="52"/>
    <w:qFormat/>
    <w:uiPriority w:val="0"/>
  </w:style>
  <w:style w:type="character" w:customStyle="1" w:styleId="133">
    <w:name w:val="引用 Char"/>
    <w:link w:val="134"/>
    <w:qFormat/>
    <w:uiPriority w:val="0"/>
    <w:rPr>
      <w:rFonts w:ascii="Calibri" w:hAnsi="Calibri" w:eastAsia="宋体"/>
      <w:i/>
      <w:iCs/>
      <w:color w:val="000000"/>
      <w:lang w:val="en-US" w:eastAsia="zh-CN" w:bidi="ar-SA"/>
    </w:rPr>
  </w:style>
  <w:style w:type="paragraph" w:styleId="134">
    <w:name w:val="Quote"/>
    <w:basedOn w:val="1"/>
    <w:next w:val="1"/>
    <w:link w:val="133"/>
    <w:qFormat/>
    <w:uiPriority w:val="0"/>
    <w:rPr>
      <w:rFonts w:ascii="Calibri" w:hAnsi="Calibri"/>
      <w:i/>
      <w:iCs/>
      <w:color w:val="000000"/>
      <w:kern w:val="0"/>
      <w:sz w:val="20"/>
      <w:szCs w:val="20"/>
    </w:rPr>
  </w:style>
  <w:style w:type="character" w:customStyle="1" w:styleId="135">
    <w:name w:val="Char Char15"/>
    <w:qFormat/>
    <w:uiPriority w:val="0"/>
    <w:rPr>
      <w:rFonts w:ascii="Arial" w:hAnsi="Arial" w:eastAsia="黑体"/>
      <w:sz w:val="24"/>
      <w:szCs w:val="24"/>
    </w:rPr>
  </w:style>
  <w:style w:type="character" w:customStyle="1" w:styleId="136">
    <w:name w:val=" Char Char16"/>
    <w:qFormat/>
    <w:uiPriority w:val="0"/>
    <w:rPr>
      <w:rFonts w:ascii="Calibri" w:hAnsi="Calibri" w:eastAsia="宋体"/>
      <w:kern w:val="2"/>
      <w:sz w:val="21"/>
      <w:szCs w:val="24"/>
      <w:lang w:val="en-US" w:eastAsia="zh-CN" w:bidi="ar-SA"/>
    </w:rPr>
  </w:style>
  <w:style w:type="character" w:customStyle="1" w:styleId="137">
    <w:name w:val="heading 4 Char2"/>
    <w:qFormat/>
    <w:uiPriority w:val="0"/>
    <w:rPr>
      <w:rFonts w:ascii="Cambria" w:hAnsi="Cambria"/>
      <w:b/>
      <w:bCs/>
      <w:kern w:val="2"/>
      <w:sz w:val="28"/>
      <w:szCs w:val="28"/>
    </w:rPr>
  </w:style>
  <w:style w:type="character" w:customStyle="1" w:styleId="138">
    <w:name w:val=" ändrad Char1"/>
    <w:qFormat/>
    <w:uiPriority w:val="0"/>
    <w:rPr>
      <w:rFonts w:ascii="仿宋_GB2312" w:eastAsia="宋体"/>
      <w:b/>
      <w:kern w:val="2"/>
      <w:sz w:val="21"/>
      <w:szCs w:val="24"/>
      <w:lang w:val="en-US" w:eastAsia="zh-CN" w:bidi="ar-SA"/>
    </w:rPr>
  </w:style>
  <w:style w:type="character" w:customStyle="1" w:styleId="139">
    <w:name w:val="heading 5 Char1"/>
    <w:qFormat/>
    <w:uiPriority w:val="0"/>
    <w:rPr>
      <w:rFonts w:eastAsia="宋体"/>
      <w:b/>
      <w:bCs/>
      <w:kern w:val="2"/>
      <w:sz w:val="28"/>
      <w:szCs w:val="28"/>
      <w:lang w:val="en-US" w:eastAsia="zh-CN" w:bidi="ar-SA"/>
    </w:rPr>
  </w:style>
  <w:style w:type="character" w:customStyle="1" w:styleId="140">
    <w:name w:val="heading 1 Char"/>
    <w:qFormat/>
    <w:uiPriority w:val="0"/>
    <w:rPr>
      <w:rFonts w:ascii="Arial" w:hAnsi="Arial" w:eastAsia="黑体"/>
      <w:b/>
      <w:sz w:val="36"/>
      <w:szCs w:val="36"/>
    </w:rPr>
  </w:style>
  <w:style w:type="character" w:customStyle="1" w:styleId="141">
    <w:name w:val="dandyren_title1"/>
    <w:qFormat/>
    <w:uiPriority w:val="0"/>
    <w:rPr>
      <w:b/>
      <w:bCs/>
      <w:color w:val="FF6633"/>
      <w:sz w:val="18"/>
      <w:szCs w:val="18"/>
    </w:rPr>
  </w:style>
  <w:style w:type="character" w:customStyle="1" w:styleId="142">
    <w:name w:val="style111"/>
    <w:qFormat/>
    <w:uiPriority w:val="0"/>
    <w:rPr>
      <w:sz w:val="27"/>
      <w:szCs w:val="27"/>
    </w:rPr>
  </w:style>
  <w:style w:type="character" w:customStyle="1" w:styleId="143">
    <w:name w:val="Char Char2"/>
    <w:qFormat/>
    <w:uiPriority w:val="0"/>
    <w:rPr>
      <w:rFonts w:ascii="Arial" w:hAnsi="Arial" w:eastAsia="黑体"/>
      <w:b/>
      <w:bCs/>
      <w:kern w:val="44"/>
      <w:sz w:val="30"/>
      <w:szCs w:val="44"/>
      <w:lang w:val="en-US" w:eastAsia="zh-CN" w:bidi="ar-SA"/>
    </w:rPr>
  </w:style>
  <w:style w:type="character" w:customStyle="1" w:styleId="144">
    <w:name w:val="Table Text Char Char"/>
    <w:link w:val="145"/>
    <w:qFormat/>
    <w:uiPriority w:val="0"/>
    <w:rPr>
      <w:sz w:val="21"/>
      <w:lang w:val="en-US" w:eastAsia="en-US" w:bidi="ar-SA"/>
    </w:rPr>
  </w:style>
  <w:style w:type="paragraph" w:customStyle="1" w:styleId="145">
    <w:name w:val="Table Text"/>
    <w:basedOn w:val="1"/>
    <w:link w:val="144"/>
    <w:qFormat/>
    <w:uiPriority w:val="0"/>
    <w:pPr>
      <w:widowControl/>
      <w:tabs>
        <w:tab w:val="decimal" w:pos="0"/>
      </w:tabs>
      <w:overflowPunct w:val="0"/>
      <w:autoSpaceDE w:val="0"/>
      <w:autoSpaceDN w:val="0"/>
      <w:adjustRightInd w:val="0"/>
      <w:jc w:val="left"/>
      <w:textAlignment w:val="baseline"/>
    </w:pPr>
    <w:rPr>
      <w:kern w:val="0"/>
      <w:szCs w:val="20"/>
      <w:lang w:eastAsia="en-US"/>
    </w:rPr>
  </w:style>
  <w:style w:type="character" w:customStyle="1" w:styleId="146">
    <w:name w:val="Footer-Even Char2"/>
    <w:qFormat/>
    <w:uiPriority w:val="0"/>
    <w:rPr>
      <w:kern w:val="2"/>
      <w:sz w:val="18"/>
      <w:szCs w:val="18"/>
    </w:rPr>
  </w:style>
  <w:style w:type="character" w:customStyle="1" w:styleId="147">
    <w:name w:val="_Style 146"/>
    <w:qFormat/>
    <w:uiPriority w:val="0"/>
    <w:rPr>
      <w:i/>
      <w:iCs/>
      <w:color w:val="808080"/>
    </w:rPr>
  </w:style>
  <w:style w:type="character" w:customStyle="1" w:styleId="148">
    <w:name w:val="heading 3 Char2"/>
    <w:qFormat/>
    <w:uiPriority w:val="0"/>
    <w:rPr>
      <w:b/>
      <w:bCs/>
      <w:kern w:val="2"/>
      <w:sz w:val="32"/>
      <w:szCs w:val="32"/>
    </w:rPr>
  </w:style>
  <w:style w:type="character" w:customStyle="1" w:styleId="149">
    <w:name w:val="Char Char20"/>
    <w:qFormat/>
    <w:uiPriority w:val="0"/>
    <w:rPr>
      <w:b/>
      <w:bCs/>
      <w:kern w:val="44"/>
      <w:sz w:val="44"/>
      <w:szCs w:val="44"/>
    </w:rPr>
  </w:style>
  <w:style w:type="character" w:customStyle="1" w:styleId="150">
    <w:name w:val=" Char Char20"/>
    <w:qFormat/>
    <w:uiPriority w:val="0"/>
    <w:rPr>
      <w:rFonts w:ascii="Arial" w:hAnsi="Arial" w:eastAsia="黑体"/>
      <w:kern w:val="2"/>
      <w:sz w:val="21"/>
      <w:lang w:val="en-US" w:eastAsia="zh-CN" w:bidi="ar-SA"/>
    </w:rPr>
  </w:style>
  <w:style w:type="character" w:customStyle="1" w:styleId="151">
    <w:name w:val=" Char Char9"/>
    <w:qFormat/>
    <w:uiPriority w:val="0"/>
    <w:rPr>
      <w:rFonts w:eastAsia="宋体"/>
      <w:kern w:val="2"/>
      <w:sz w:val="18"/>
      <w:szCs w:val="18"/>
      <w:lang w:val="en-US" w:eastAsia="zh-CN" w:bidi="ar-SA"/>
    </w:rPr>
  </w:style>
  <w:style w:type="character" w:customStyle="1" w:styleId="152">
    <w:name w:val=" Char Char21"/>
    <w:qFormat/>
    <w:uiPriority w:val="0"/>
    <w:rPr>
      <w:rFonts w:ascii="Arial" w:hAnsi="Arial" w:eastAsia="黑体"/>
      <w:kern w:val="2"/>
      <w:sz w:val="24"/>
      <w:lang w:val="en-US" w:eastAsia="zh-CN" w:bidi="ar-SA"/>
    </w:rPr>
  </w:style>
  <w:style w:type="character" w:customStyle="1" w:styleId="153">
    <w:name w:val=" Char Char10"/>
    <w:qFormat/>
    <w:uiPriority w:val="0"/>
    <w:rPr>
      <w:rFonts w:eastAsia="宋体"/>
      <w:kern w:val="2"/>
      <w:sz w:val="18"/>
      <w:szCs w:val="18"/>
      <w:lang w:val="en-US" w:eastAsia="zh-CN" w:bidi="ar-SA"/>
    </w:rPr>
  </w:style>
  <w:style w:type="character" w:customStyle="1" w:styleId="154">
    <w:name w:val=" Char Char4"/>
    <w:qFormat/>
    <w:uiPriority w:val="0"/>
    <w:rPr>
      <w:rFonts w:ascii="Cambria" w:hAnsi="Cambria" w:eastAsia="宋体"/>
      <w:b/>
      <w:bCs/>
      <w:sz w:val="32"/>
      <w:szCs w:val="32"/>
      <w:lang w:bidi="ar-SA"/>
    </w:rPr>
  </w:style>
  <w:style w:type="character" w:customStyle="1" w:styleId="155">
    <w:name w:val="Char Char Char Char Char Char Char Char Char"/>
    <w:qFormat/>
    <w:uiPriority w:val="0"/>
    <w:rPr>
      <w:rFonts w:ascii="宋体" w:hAnsi="Courier New" w:eastAsia="宋体"/>
      <w:sz w:val="21"/>
      <w:szCs w:val="21"/>
      <w:lang w:val="en-US" w:eastAsia="zh-CN" w:bidi="ar-SA"/>
    </w:rPr>
  </w:style>
  <w:style w:type="character" w:customStyle="1" w:styleId="156">
    <w:name w:val=" Char Char5"/>
    <w:qFormat/>
    <w:uiPriority w:val="0"/>
    <w:rPr>
      <w:rFonts w:eastAsia="宋体"/>
      <w:kern w:val="2"/>
      <w:sz w:val="21"/>
      <w:szCs w:val="24"/>
      <w:lang w:val="en-US" w:eastAsia="zh-CN" w:bidi="ar-SA"/>
    </w:rPr>
  </w:style>
  <w:style w:type="character" w:customStyle="1" w:styleId="157">
    <w:name w:val=" Char Char18"/>
    <w:qFormat/>
    <w:uiPriority w:val="0"/>
    <w:rPr>
      <w:rFonts w:eastAsia="宋体"/>
      <w:kern w:val="2"/>
      <w:sz w:val="18"/>
      <w:szCs w:val="18"/>
      <w:lang w:val="en-US" w:eastAsia="zh-CN" w:bidi="ar-SA"/>
    </w:rPr>
  </w:style>
  <w:style w:type="character" w:customStyle="1" w:styleId="158">
    <w:name w:val="明显引用 Char"/>
    <w:link w:val="159"/>
    <w:qFormat/>
    <w:uiPriority w:val="0"/>
    <w:rPr>
      <w:rFonts w:ascii="Calibri" w:hAnsi="Calibri" w:eastAsia="宋体"/>
      <w:b/>
      <w:bCs/>
      <w:i/>
      <w:iCs/>
      <w:color w:val="4F81BD"/>
      <w:lang w:val="en-US" w:eastAsia="zh-CN" w:bidi="ar-SA"/>
    </w:rPr>
  </w:style>
  <w:style w:type="paragraph" w:styleId="159">
    <w:name w:val="Intense Quote"/>
    <w:basedOn w:val="1"/>
    <w:next w:val="1"/>
    <w:link w:val="158"/>
    <w:qFormat/>
    <w:uiPriority w:val="0"/>
    <w:pPr>
      <w:pBdr>
        <w:bottom w:val="single" w:color="4F81BD" w:sz="4" w:space="4"/>
      </w:pBdr>
      <w:spacing w:before="200" w:beforeLines="0" w:after="280" w:afterLines="0"/>
      <w:ind w:left="936" w:right="936"/>
    </w:pPr>
    <w:rPr>
      <w:rFonts w:ascii="Calibri" w:hAnsi="Calibri"/>
      <w:b/>
      <w:bCs/>
      <w:i/>
      <w:iCs/>
      <w:color w:val="4F81BD"/>
      <w:kern w:val="0"/>
      <w:sz w:val="20"/>
      <w:szCs w:val="20"/>
    </w:rPr>
  </w:style>
  <w:style w:type="character" w:customStyle="1" w:styleId="160">
    <w:name w:val=" Char Char25"/>
    <w:qFormat/>
    <w:uiPriority w:val="0"/>
    <w:rPr>
      <w:rFonts w:ascii="Calibri" w:hAnsi="Calibri" w:eastAsia="宋体"/>
      <w:kern w:val="2"/>
      <w:sz w:val="28"/>
      <w:szCs w:val="28"/>
      <w:lang w:val="en-US" w:eastAsia="zh-CN" w:bidi="ar-SA"/>
    </w:rPr>
  </w:style>
  <w:style w:type="character" w:customStyle="1" w:styleId="161">
    <w:name w:val=" Char Char11"/>
    <w:qFormat/>
    <w:uiPriority w:val="0"/>
    <w:rPr>
      <w:rFonts w:eastAsia="宋体"/>
      <w:kern w:val="2"/>
      <w:sz w:val="24"/>
      <w:szCs w:val="24"/>
      <w:lang w:val="en-US" w:eastAsia="zh-CN" w:bidi="ar-SA"/>
    </w:rPr>
  </w:style>
  <w:style w:type="character" w:customStyle="1" w:styleId="162">
    <w:name w:val="PI Char1"/>
    <w:qFormat/>
    <w:uiPriority w:val="0"/>
    <w:rPr>
      <w:rFonts w:eastAsia="宋体"/>
      <w:kern w:val="2"/>
      <w:sz w:val="24"/>
      <w:szCs w:val="24"/>
      <w:lang w:val="en-US" w:eastAsia="zh-CN" w:bidi="ar-SA"/>
    </w:rPr>
  </w:style>
  <w:style w:type="character" w:customStyle="1" w:styleId="163">
    <w:name w:val="Char Char211"/>
    <w:qFormat/>
    <w:uiPriority w:val="0"/>
    <w:rPr>
      <w:rFonts w:ascii="Times New Roman" w:hAnsi="Times New Roman" w:eastAsia="宋体" w:cs="Times New Roman"/>
      <w:b/>
      <w:bCs/>
      <w:kern w:val="44"/>
      <w:sz w:val="44"/>
      <w:szCs w:val="44"/>
    </w:rPr>
  </w:style>
  <w:style w:type="character" w:customStyle="1" w:styleId="164">
    <w:name w:val="heading 3 Char"/>
    <w:qFormat/>
    <w:uiPriority w:val="0"/>
    <w:rPr>
      <w:rFonts w:ascii="Arial" w:hAnsi="Arial" w:eastAsia="黑体"/>
      <w:sz w:val="28"/>
      <w:szCs w:val="24"/>
    </w:rPr>
  </w:style>
  <w:style w:type="character" w:customStyle="1" w:styleId="165">
    <w:name w:val="heading 4 Char1"/>
    <w:qFormat/>
    <w:uiPriority w:val="0"/>
    <w:rPr>
      <w:rFonts w:ascii="Cambria" w:hAnsi="Cambria" w:eastAsia="宋体"/>
      <w:b/>
      <w:bCs/>
      <w:kern w:val="2"/>
      <w:sz w:val="28"/>
      <w:szCs w:val="28"/>
      <w:lang w:val="en-US" w:eastAsia="zh-CN" w:bidi="ar-SA"/>
    </w:rPr>
  </w:style>
  <w:style w:type="character" w:customStyle="1" w:styleId="166">
    <w:name w:val=" Char Char17"/>
    <w:qFormat/>
    <w:uiPriority w:val="0"/>
    <w:rPr>
      <w:rFonts w:eastAsia="宋体"/>
      <w:lang w:val="en-US" w:eastAsia="zh-CN" w:bidi="ar-SA"/>
    </w:rPr>
  </w:style>
  <w:style w:type="character" w:customStyle="1" w:styleId="167">
    <w:name w:val="heading 1 Char2"/>
    <w:qFormat/>
    <w:uiPriority w:val="0"/>
    <w:rPr>
      <w:b/>
      <w:bCs/>
      <w:kern w:val="44"/>
      <w:sz w:val="44"/>
      <w:szCs w:val="44"/>
    </w:rPr>
  </w:style>
  <w:style w:type="character" w:customStyle="1" w:styleId="168">
    <w:name w:val="heading 4 Char"/>
    <w:qFormat/>
    <w:uiPriority w:val="0"/>
    <w:rPr>
      <w:rFonts w:ascii="Arial" w:hAnsi="Arial" w:eastAsia="黑体" w:cs="Times New Roman"/>
      <w:sz w:val="21"/>
      <w:szCs w:val="21"/>
    </w:rPr>
  </w:style>
  <w:style w:type="character" w:customStyle="1" w:styleId="169">
    <w:name w:val="heading 2 Char1"/>
    <w:qFormat/>
    <w:uiPriority w:val="0"/>
    <w:rPr>
      <w:rFonts w:ascii="Cambria" w:hAnsi="Cambria" w:eastAsia="宋体"/>
      <w:b/>
      <w:bCs/>
      <w:kern w:val="2"/>
      <w:sz w:val="32"/>
      <w:szCs w:val="32"/>
      <w:lang w:val="en-US" w:eastAsia="zh-CN" w:bidi="ar-SA"/>
    </w:rPr>
  </w:style>
  <w:style w:type="character" w:customStyle="1" w:styleId="170">
    <w:name w:val="无间隔 Char"/>
    <w:link w:val="171"/>
    <w:qFormat/>
    <w:uiPriority w:val="0"/>
    <w:rPr>
      <w:rFonts w:eastAsia="Times New Roman"/>
      <w:sz w:val="22"/>
      <w:szCs w:val="22"/>
      <w:lang w:val="en-US" w:eastAsia="zh-CN" w:bidi="ar-SA"/>
    </w:rPr>
  </w:style>
  <w:style w:type="paragraph" w:styleId="171">
    <w:name w:val="No Spacing"/>
    <w:link w:val="170"/>
    <w:qFormat/>
    <w:uiPriority w:val="0"/>
    <w:rPr>
      <w:rFonts w:ascii="Times New Roman" w:hAnsi="Times New Roman" w:eastAsia="Times New Roman" w:cs="Times New Roman"/>
      <w:sz w:val="22"/>
      <w:szCs w:val="22"/>
      <w:lang w:val="en-US" w:eastAsia="zh-CN" w:bidi="ar-SA"/>
    </w:rPr>
  </w:style>
  <w:style w:type="character" w:customStyle="1" w:styleId="172">
    <w:name w:val=" Char Char1"/>
    <w:qFormat/>
    <w:uiPriority w:val="0"/>
    <w:rPr>
      <w:rFonts w:eastAsia="宋体"/>
      <w:sz w:val="21"/>
      <w:lang w:val="en-US" w:eastAsia="zh-CN" w:bidi="ar-SA"/>
    </w:rPr>
  </w:style>
  <w:style w:type="character" w:customStyle="1" w:styleId="173">
    <w:name w:val="heading 2 Char"/>
    <w:qFormat/>
    <w:uiPriority w:val="0"/>
    <w:rPr>
      <w:rFonts w:ascii="Arial" w:hAnsi="Arial" w:eastAsia="黑体" w:cs="Times New Roman"/>
      <w:sz w:val="30"/>
      <w:szCs w:val="24"/>
    </w:rPr>
  </w:style>
  <w:style w:type="character" w:customStyle="1" w:styleId="174">
    <w:name w:val="Style4"/>
    <w:qFormat/>
    <w:uiPriority w:val="0"/>
    <w:rPr>
      <w:rFonts w:ascii="Calibri" w:hAnsi="宋体" w:eastAsia="宋体" w:cs="Times New Roman"/>
      <w:szCs w:val="22"/>
      <w:lang w:eastAsia="zh-CN"/>
    </w:rPr>
  </w:style>
  <w:style w:type="character" w:customStyle="1" w:styleId="175">
    <w:name w:val="_Style 174"/>
    <w:qFormat/>
    <w:uiPriority w:val="0"/>
    <w:rPr>
      <w:b/>
      <w:bCs/>
      <w:i/>
      <w:iCs/>
      <w:color w:val="4F81BD"/>
    </w:rPr>
  </w:style>
  <w:style w:type="character" w:customStyle="1" w:styleId="176">
    <w:name w:val="Char Char17"/>
    <w:qFormat/>
    <w:uiPriority w:val="0"/>
    <w:rPr>
      <w:rFonts w:ascii="Cambria" w:hAnsi="Cambria"/>
      <w:b/>
      <w:bCs/>
      <w:kern w:val="2"/>
      <w:sz w:val="28"/>
      <w:szCs w:val="28"/>
    </w:rPr>
  </w:style>
  <w:style w:type="character" w:customStyle="1" w:styleId="177">
    <w:name w:val="Char Char111"/>
    <w:qFormat/>
    <w:uiPriority w:val="0"/>
    <w:rPr>
      <w:rFonts w:ascii="Times New Roman" w:hAnsi="Times New Roman" w:eastAsia="宋体" w:cs="Times New Roman"/>
      <w:sz w:val="18"/>
      <w:szCs w:val="18"/>
    </w:rPr>
  </w:style>
  <w:style w:type="character" w:customStyle="1" w:styleId="178">
    <w:name w:val="样式2 Char Char"/>
    <w:link w:val="179"/>
    <w:qFormat/>
    <w:uiPriority w:val="0"/>
    <w:rPr>
      <w:rFonts w:ascii="宋体" w:hAnsi="宋体" w:eastAsia="宋体"/>
      <w:bCs/>
      <w:kern w:val="2"/>
      <w:sz w:val="28"/>
      <w:szCs w:val="28"/>
      <w:lang w:val="en-US" w:eastAsia="zh-CN" w:bidi="ar-SA"/>
    </w:rPr>
  </w:style>
  <w:style w:type="paragraph" w:customStyle="1" w:styleId="179">
    <w:name w:val="样式2"/>
    <w:basedOn w:val="2"/>
    <w:link w:val="178"/>
    <w:qFormat/>
    <w:uiPriority w:val="0"/>
    <w:pPr>
      <w:keepLines/>
      <w:numPr>
        <w:ilvl w:val="1"/>
        <w:numId w:val="0"/>
      </w:numPr>
      <w:tabs>
        <w:tab w:val="clear" w:pos="1110"/>
      </w:tabs>
      <w:snapToGrid w:val="0"/>
      <w:spacing w:before="260" w:beforeLines="0" w:after="156" w:afterLines="50" w:line="480" w:lineRule="exact"/>
      <w:ind w:firstLine="556"/>
    </w:pPr>
    <w:rPr>
      <w:rFonts w:ascii="宋体" w:hAnsi="宋体" w:eastAsia="宋体"/>
      <w:b w:val="0"/>
      <w:bCs/>
      <w:szCs w:val="28"/>
    </w:rPr>
  </w:style>
  <w:style w:type="character" w:customStyle="1" w:styleId="180">
    <w:name w:val="Style1"/>
    <w:qFormat/>
    <w:uiPriority w:val="0"/>
    <w:rPr>
      <w:rFonts w:ascii="Calibri" w:hAnsi="宋体" w:eastAsia="宋体" w:cs="Times New Roman"/>
      <w:sz w:val="22"/>
      <w:szCs w:val="22"/>
      <w:lang w:eastAsia="zh-CN"/>
    </w:rPr>
  </w:style>
  <w:style w:type="character" w:customStyle="1" w:styleId="181">
    <w:name w:val="heading 5 Char"/>
    <w:qFormat/>
    <w:uiPriority w:val="0"/>
    <w:rPr>
      <w:rFonts w:ascii="Arial" w:hAnsi="Arial" w:eastAsia="黑体"/>
      <w:sz w:val="21"/>
      <w:szCs w:val="21"/>
    </w:rPr>
  </w:style>
  <w:style w:type="character" w:customStyle="1" w:styleId="182">
    <w:name w:val="PI Char"/>
    <w:qFormat/>
    <w:uiPriority w:val="0"/>
    <w:rPr>
      <w:rFonts w:ascii="宋体" w:hAnsi="宋体"/>
      <w:sz w:val="24"/>
    </w:rPr>
  </w:style>
  <w:style w:type="character" w:customStyle="1" w:styleId="183">
    <w:name w:val="PI Char2"/>
    <w:qFormat/>
    <w:uiPriority w:val="0"/>
    <w:rPr>
      <w:kern w:val="2"/>
      <w:sz w:val="24"/>
      <w:szCs w:val="24"/>
    </w:rPr>
  </w:style>
  <w:style w:type="character" w:customStyle="1" w:styleId="184">
    <w:name w:val="Char Char21"/>
    <w:qFormat/>
    <w:uiPriority w:val="0"/>
    <w:rPr>
      <w:rFonts w:ascii="Times New Roman" w:hAnsi="Times New Roman" w:eastAsia="宋体" w:cs="Times New Roman"/>
      <w:b/>
      <w:bCs/>
      <w:kern w:val="44"/>
      <w:sz w:val="44"/>
      <w:szCs w:val="44"/>
    </w:rPr>
  </w:style>
  <w:style w:type="character" w:customStyle="1" w:styleId="185">
    <w:name w:val="Texte Char Char"/>
    <w:qFormat/>
    <w:uiPriority w:val="0"/>
    <w:rPr>
      <w:rFonts w:ascii="宋体" w:hAnsi="Courier New" w:eastAsia="宋体"/>
      <w:sz w:val="21"/>
      <w:szCs w:val="21"/>
      <w:lang w:val="en-US" w:eastAsia="zh-CN" w:bidi="ar-SA"/>
    </w:rPr>
  </w:style>
  <w:style w:type="character" w:customStyle="1" w:styleId="186">
    <w:name w:val=" Char Char2"/>
    <w:qFormat/>
    <w:uiPriority w:val="0"/>
    <w:rPr>
      <w:rFonts w:eastAsia="宋体"/>
      <w:kern w:val="2"/>
      <w:sz w:val="24"/>
      <w:szCs w:val="24"/>
      <w:lang w:val="en-US" w:eastAsia="zh-CN" w:bidi="ar-SA"/>
    </w:rPr>
  </w:style>
  <w:style w:type="character" w:customStyle="1" w:styleId="187">
    <w:name w:val="Char Char6"/>
    <w:qFormat/>
    <w:uiPriority w:val="0"/>
    <w:rPr>
      <w:rFonts w:ascii="Times New Roman" w:hAnsi="Times New Roman" w:eastAsia="宋体" w:cs="Times New Roman"/>
      <w:szCs w:val="24"/>
    </w:rPr>
  </w:style>
  <w:style w:type="character" w:customStyle="1" w:styleId="188">
    <w:name w:val="Ò³Ã¼ Char Char"/>
    <w:qFormat/>
    <w:uiPriority w:val="0"/>
    <w:rPr>
      <w:sz w:val="18"/>
      <w:szCs w:val="18"/>
    </w:rPr>
  </w:style>
  <w:style w:type="character" w:customStyle="1" w:styleId="189">
    <w:name w:val="ändrad Char"/>
    <w:qFormat/>
    <w:uiPriority w:val="0"/>
    <w:rPr>
      <w:rFonts w:eastAsia="宋体"/>
      <w:kern w:val="2"/>
      <w:sz w:val="21"/>
      <w:szCs w:val="24"/>
      <w:lang w:val="en-US" w:eastAsia="zh-CN" w:bidi="ar-SA"/>
    </w:rPr>
  </w:style>
  <w:style w:type="character" w:customStyle="1" w:styleId="190">
    <w:name w:val="style21"/>
    <w:qFormat/>
    <w:uiPriority w:val="0"/>
    <w:rPr>
      <w:sz w:val="15"/>
      <w:szCs w:val="15"/>
    </w:rPr>
  </w:style>
  <w:style w:type="character" w:customStyle="1" w:styleId="191">
    <w:name w:val=" Char Char14"/>
    <w:qFormat/>
    <w:uiPriority w:val="0"/>
    <w:rPr>
      <w:rFonts w:eastAsia="宋体"/>
      <w:b/>
      <w:bCs/>
      <w:kern w:val="2"/>
      <w:sz w:val="21"/>
      <w:szCs w:val="24"/>
      <w:lang w:val="en-US" w:eastAsia="zh-CN" w:bidi="ar-SA"/>
    </w:rPr>
  </w:style>
  <w:style w:type="character" w:customStyle="1" w:styleId="192">
    <w:name w:val="Char Char18"/>
    <w:qFormat/>
    <w:uiPriority w:val="0"/>
    <w:rPr>
      <w:b/>
      <w:bCs/>
      <w:kern w:val="2"/>
      <w:sz w:val="32"/>
      <w:szCs w:val="32"/>
    </w:rPr>
  </w:style>
  <w:style w:type="character" w:customStyle="1" w:styleId="193">
    <w:name w:val="pt141"/>
    <w:qFormat/>
    <w:uiPriority w:val="0"/>
    <w:rPr>
      <w:color w:val="330066"/>
      <w:spacing w:val="450"/>
      <w:sz w:val="22"/>
      <w:szCs w:val="22"/>
    </w:rPr>
  </w:style>
  <w:style w:type="character" w:customStyle="1" w:styleId="194">
    <w:name w:val="Char Char201"/>
    <w:qFormat/>
    <w:uiPriority w:val="0"/>
    <w:rPr>
      <w:rFonts w:ascii="Cambria" w:hAnsi="Cambria" w:eastAsia="宋体" w:cs="Times New Roman"/>
      <w:b/>
      <w:bCs/>
      <w:sz w:val="32"/>
      <w:szCs w:val="32"/>
    </w:rPr>
  </w:style>
  <w:style w:type="character" w:customStyle="1" w:styleId="195">
    <w:name w:val="Footer-Even Char"/>
    <w:qFormat/>
    <w:uiPriority w:val="0"/>
    <w:rPr>
      <w:sz w:val="18"/>
      <w:szCs w:val="18"/>
    </w:rPr>
  </w:style>
  <w:style w:type="character" w:customStyle="1" w:styleId="196">
    <w:name w:val="正文文本缩进 Char"/>
    <w:qFormat/>
    <w:uiPriority w:val="0"/>
    <w:rPr>
      <w:rFonts w:eastAsia="宋体"/>
      <w:kern w:val="2"/>
      <w:sz w:val="24"/>
      <w:szCs w:val="24"/>
      <w:lang w:val="en-US" w:eastAsia="zh-CN" w:bidi="ar-SA"/>
    </w:rPr>
  </w:style>
  <w:style w:type="character" w:customStyle="1" w:styleId="197">
    <w:name w:val="正文1 Char Char"/>
    <w:link w:val="198"/>
    <w:qFormat/>
    <w:uiPriority w:val="0"/>
    <w:rPr>
      <w:rFonts w:ascii="宋体" w:hAnsi="宋体" w:eastAsia="宋体" w:cs="宋体"/>
      <w:sz w:val="21"/>
      <w:lang w:val="en-US" w:eastAsia="zh-CN" w:bidi="ar-SA"/>
    </w:rPr>
  </w:style>
  <w:style w:type="paragraph" w:customStyle="1" w:styleId="198">
    <w:name w:val="正文1"/>
    <w:basedOn w:val="1"/>
    <w:link w:val="197"/>
    <w:qFormat/>
    <w:uiPriority w:val="0"/>
    <w:pPr>
      <w:widowControl/>
      <w:spacing w:line="360" w:lineRule="auto"/>
      <w:ind w:left="360" w:firstLine="420"/>
      <w:jc w:val="left"/>
    </w:pPr>
    <w:rPr>
      <w:rFonts w:ascii="宋体" w:hAnsi="宋体" w:cs="宋体"/>
      <w:kern w:val="0"/>
      <w:szCs w:val="20"/>
    </w:rPr>
  </w:style>
  <w:style w:type="character" w:customStyle="1" w:styleId="199">
    <w:name w:val=" Char Char23"/>
    <w:qFormat/>
    <w:uiPriority w:val="0"/>
    <w:rPr>
      <w:rFonts w:ascii="Arial" w:hAnsi="Arial" w:eastAsia="黑体"/>
      <w:b/>
      <w:kern w:val="2"/>
      <w:sz w:val="24"/>
      <w:lang w:val="en-US" w:eastAsia="zh-CN" w:bidi="ar-SA"/>
    </w:rPr>
  </w:style>
  <w:style w:type="character" w:customStyle="1" w:styleId="200">
    <w:name w:val="font01"/>
    <w:qFormat/>
    <w:uiPriority w:val="0"/>
    <w:rPr>
      <w:rFonts w:hint="eastAsia" w:ascii="宋体" w:hAnsi="宋体" w:eastAsia="宋体" w:cs="宋体"/>
      <w:b/>
      <w:color w:val="000000"/>
      <w:sz w:val="22"/>
      <w:szCs w:val="22"/>
      <w:u w:val="none"/>
    </w:rPr>
  </w:style>
  <w:style w:type="character" w:customStyle="1" w:styleId="201">
    <w:name w:val="Char Char22"/>
    <w:qFormat/>
    <w:uiPriority w:val="0"/>
    <w:rPr>
      <w:rFonts w:ascii="Arial" w:hAnsi="Arial" w:eastAsia="黑体"/>
      <w:b/>
      <w:bCs/>
      <w:kern w:val="44"/>
      <w:sz w:val="30"/>
      <w:szCs w:val="44"/>
      <w:lang w:val="en-US" w:eastAsia="zh-CN" w:bidi="ar-SA"/>
    </w:rPr>
  </w:style>
  <w:style w:type="character" w:customStyle="1" w:styleId="202">
    <w:name w:val="smalltxt1"/>
    <w:qFormat/>
    <w:uiPriority w:val="0"/>
    <w:rPr>
      <w:rFonts w:hint="default" w:ascii="ˎ̥" w:hAnsi="ˎ̥"/>
      <w:sz w:val="24"/>
      <w:szCs w:val="24"/>
    </w:rPr>
  </w:style>
  <w:style w:type="character" w:customStyle="1" w:styleId="203">
    <w:name w:val="表正文 Char2"/>
    <w:qFormat/>
    <w:uiPriority w:val="0"/>
    <w:rPr>
      <w:rFonts w:ascii="Times New Roman" w:hAnsi="Times New Roman" w:eastAsia="宋体" w:cs="Times New Roman"/>
      <w:szCs w:val="24"/>
    </w:rPr>
  </w:style>
  <w:style w:type="character" w:customStyle="1" w:styleId="204">
    <w:name w:val="样式 宋体"/>
    <w:qFormat/>
    <w:uiPriority w:val="0"/>
    <w:rPr>
      <w:rFonts w:ascii="宋体" w:hAnsi="宋体" w:eastAsia="宋体"/>
      <w:sz w:val="24"/>
      <w:szCs w:val="24"/>
    </w:rPr>
  </w:style>
  <w:style w:type="character" w:customStyle="1" w:styleId="205">
    <w:name w:val=" Char Char19"/>
    <w:qFormat/>
    <w:uiPriority w:val="0"/>
    <w:rPr>
      <w:rFonts w:ascii="仿宋_GB2312" w:eastAsia="宋体"/>
      <w:b/>
      <w:sz w:val="21"/>
      <w:szCs w:val="32"/>
      <w:lang w:val="en-US" w:eastAsia="zh-CN" w:bidi="ar-SA"/>
    </w:rPr>
  </w:style>
  <w:style w:type="character" w:customStyle="1" w:styleId="206">
    <w:name w:val="heading 7 Char1"/>
    <w:qFormat/>
    <w:uiPriority w:val="0"/>
    <w:rPr>
      <w:rFonts w:ascii="Arial" w:hAnsi="Arial" w:eastAsia="黑体"/>
      <w:sz w:val="21"/>
      <w:szCs w:val="21"/>
      <w:lang w:val="en-US" w:eastAsia="zh-CN" w:bidi="ar-SA"/>
    </w:rPr>
  </w:style>
  <w:style w:type="character" w:customStyle="1" w:styleId="207">
    <w:name w:val="_Style 206"/>
    <w:qFormat/>
    <w:uiPriority w:val="0"/>
    <w:rPr>
      <w:b/>
      <w:bCs/>
      <w:smallCaps/>
      <w:spacing w:val="5"/>
    </w:rPr>
  </w:style>
  <w:style w:type="paragraph" w:customStyle="1" w:styleId="208">
    <w:name w:val="Char Char Char Char Char Char Char"/>
    <w:basedOn w:val="1"/>
    <w:qFormat/>
    <w:uiPriority w:val="0"/>
    <w:rPr>
      <w:rFonts w:ascii="仿宋_GB2312" w:eastAsia="仿宋_GB2312"/>
      <w:b/>
      <w:sz w:val="32"/>
      <w:szCs w:val="32"/>
    </w:rPr>
  </w:style>
  <w:style w:type="paragraph" w:customStyle="1" w:styleId="209">
    <w:name w:val="ÕýÎÄÊ×ÐÐËõ½ø"/>
    <w:basedOn w:val="1"/>
    <w:qFormat/>
    <w:uiPriority w:val="0"/>
    <w:pPr>
      <w:widowControl/>
      <w:overflowPunct w:val="0"/>
      <w:autoSpaceDE w:val="0"/>
      <w:autoSpaceDN w:val="0"/>
      <w:adjustRightInd w:val="0"/>
      <w:spacing w:line="360" w:lineRule="auto"/>
      <w:ind w:left="1134"/>
      <w:jc w:val="left"/>
      <w:textAlignment w:val="baseline"/>
    </w:pPr>
    <w:rPr>
      <w:rFonts w:eastAsia="Times New Roman"/>
      <w:kern w:val="0"/>
      <w:sz w:val="20"/>
      <w:szCs w:val="20"/>
    </w:rPr>
  </w:style>
  <w:style w:type="paragraph" w:customStyle="1" w:styleId="210">
    <w:name w:val="小标题"/>
    <w:basedOn w:val="1"/>
    <w:qFormat/>
    <w:uiPriority w:val="0"/>
    <w:pPr>
      <w:autoSpaceDE w:val="0"/>
      <w:autoSpaceDN w:val="0"/>
      <w:adjustRightInd w:val="0"/>
      <w:spacing w:before="120" w:beforeLines="0" w:line="360" w:lineRule="atLeast"/>
      <w:ind w:left="1134"/>
      <w:jc w:val="left"/>
      <w:textAlignment w:val="baseline"/>
    </w:pPr>
    <w:rPr>
      <w:rFonts w:eastAsia="黑体"/>
      <w:kern w:val="0"/>
      <w:sz w:val="20"/>
      <w:szCs w:val="20"/>
    </w:rPr>
  </w:style>
  <w:style w:type="paragraph" w:customStyle="1" w:styleId="211">
    <w:name w:val=" Char Char Char Char Char Char Char"/>
    <w:basedOn w:val="1"/>
    <w:qFormat/>
    <w:uiPriority w:val="0"/>
    <w:rPr>
      <w:rFonts w:ascii="仿宋_GB2312" w:eastAsia="仿宋_GB2312"/>
      <w:b/>
      <w:sz w:val="32"/>
      <w:szCs w:val="32"/>
    </w:rPr>
  </w:style>
  <w:style w:type="paragraph" w:customStyle="1" w:styleId="212">
    <w:name w:val="Char"/>
    <w:basedOn w:val="1"/>
    <w:qFormat/>
    <w:uiPriority w:val="0"/>
    <w:rPr>
      <w:rFonts w:ascii="仿宋_GB2312" w:eastAsia="仿宋_GB2312"/>
      <w:b/>
      <w:sz w:val="32"/>
      <w:szCs w:val="32"/>
    </w:rPr>
  </w:style>
  <w:style w:type="paragraph" w:customStyle="1" w:styleId="213">
    <w:name w:val="三级条标题"/>
    <w:basedOn w:val="214"/>
    <w:next w:val="1"/>
    <w:qFormat/>
    <w:uiPriority w:val="0"/>
    <w:pPr>
      <w:numPr>
        <w:ilvl w:val="4"/>
        <w:numId w:val="2"/>
      </w:numPr>
      <w:tabs>
        <w:tab w:val="left" w:pos="3889"/>
        <w:tab w:val="left" w:pos="4309"/>
      </w:tabs>
      <w:outlineLvl w:val="4"/>
    </w:pPr>
  </w:style>
  <w:style w:type="paragraph" w:customStyle="1" w:styleId="214">
    <w:name w:val="二级条标题"/>
    <w:basedOn w:val="215"/>
    <w:next w:val="1"/>
    <w:qFormat/>
    <w:uiPriority w:val="0"/>
    <w:pPr>
      <w:numPr>
        <w:ilvl w:val="3"/>
        <w:numId w:val="2"/>
      </w:numPr>
      <w:tabs>
        <w:tab w:val="left" w:pos="3889"/>
      </w:tabs>
      <w:outlineLvl w:val="3"/>
    </w:pPr>
  </w:style>
  <w:style w:type="paragraph" w:customStyle="1" w:styleId="215">
    <w:name w:val="一级条标题"/>
    <w:next w:val="1"/>
    <w:qFormat/>
    <w:uiPriority w:val="0"/>
    <w:pPr>
      <w:numPr>
        <w:ilvl w:val="2"/>
        <w:numId w:val="2"/>
      </w:numPr>
      <w:outlineLvl w:val="2"/>
    </w:pPr>
    <w:rPr>
      <w:rFonts w:ascii="Times New Roman" w:hAnsi="Times New Roman" w:eastAsia="黑体" w:cs="Times New Roman"/>
      <w:sz w:val="21"/>
      <w:lang w:val="en-US" w:eastAsia="zh-CN" w:bidi="ar-SA"/>
    </w:rPr>
  </w:style>
  <w:style w:type="paragraph" w:customStyle="1" w:styleId="216">
    <w:name w:val="xl88"/>
    <w:basedOn w:val="1"/>
    <w:qFormat/>
    <w:uiPriority w:val="0"/>
    <w:pPr>
      <w:widowControl/>
      <w:pBdr>
        <w:top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17">
    <w:name w:val="xl77"/>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b/>
      <w:bCs/>
      <w:kern w:val="0"/>
      <w:sz w:val="28"/>
      <w:szCs w:val="28"/>
    </w:rPr>
  </w:style>
  <w:style w:type="paragraph" w:customStyle="1" w:styleId="218">
    <w:name w:val="部分1"/>
    <w:basedOn w:val="1"/>
    <w:qFormat/>
    <w:uiPriority w:val="0"/>
    <w:pPr>
      <w:keepNext/>
      <w:pageBreakBefore/>
      <w:tabs>
        <w:tab w:val="left" w:pos="720"/>
      </w:tabs>
      <w:autoSpaceDE w:val="0"/>
      <w:autoSpaceDN w:val="0"/>
      <w:adjustRightInd w:val="0"/>
      <w:spacing w:line="360" w:lineRule="auto"/>
      <w:jc w:val="center"/>
      <w:outlineLvl w:val="0"/>
    </w:pPr>
    <w:rPr>
      <w:rFonts w:eastAsia="黑体"/>
      <w:b/>
      <w:kern w:val="44"/>
      <w:sz w:val="36"/>
      <w:szCs w:val="20"/>
    </w:rPr>
  </w:style>
  <w:style w:type="paragraph" w:customStyle="1" w:styleId="21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20">
    <w:name w:val="正文字缩2字"/>
    <w:basedOn w:val="1"/>
    <w:qFormat/>
    <w:uiPriority w:val="0"/>
    <w:pPr>
      <w:spacing w:before="60" w:beforeLines="0" w:after="60" w:afterLines="0" w:line="360" w:lineRule="auto"/>
      <w:ind w:left="200" w:leftChars="200" w:firstLine="200" w:firstLineChars="200"/>
    </w:pPr>
    <w:rPr>
      <w:sz w:val="24"/>
    </w:rPr>
  </w:style>
  <w:style w:type="paragraph" w:customStyle="1" w:styleId="221">
    <w:name w:val="font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22">
    <w:name w:val="xl83"/>
    <w:basedOn w:val="1"/>
    <w:qFormat/>
    <w:uiPriority w:val="0"/>
    <w:pPr>
      <w:widowControl/>
      <w:pBdr>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23">
    <w:name w:val="xl9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24">
    <w:name w:val="1.1.1"/>
    <w:basedOn w:val="1"/>
    <w:qFormat/>
    <w:uiPriority w:val="0"/>
    <w:pPr>
      <w:tabs>
        <w:tab w:val="left" w:pos="0"/>
        <w:tab w:val="left" w:pos="1134"/>
        <w:tab w:val="left" w:pos="8505"/>
      </w:tabs>
      <w:autoSpaceDE w:val="0"/>
      <w:autoSpaceDN w:val="0"/>
      <w:adjustRightInd w:val="0"/>
      <w:spacing w:before="240" w:beforeLines="0" w:after="60" w:afterLines="0" w:line="360" w:lineRule="atLeast"/>
    </w:pPr>
    <w:rPr>
      <w:rFonts w:ascii="宋体"/>
      <w:b/>
      <w:kern w:val="0"/>
      <w:sz w:val="24"/>
      <w:szCs w:val="20"/>
    </w:rPr>
  </w:style>
  <w:style w:type="paragraph" w:customStyle="1" w:styleId="225">
    <w:name w:val="Char Char1 Char Char Char Char Char Char Char Char Char Char Char Char Char Char"/>
    <w:basedOn w:val="1"/>
    <w:qFormat/>
    <w:uiPriority w:val="0"/>
    <w:pPr>
      <w:widowControl/>
      <w:autoSpaceDE w:val="0"/>
      <w:autoSpaceDN w:val="0"/>
      <w:adjustRightInd w:val="0"/>
      <w:spacing w:after="160" w:afterLines="0" w:line="240" w:lineRule="exact"/>
      <w:jc w:val="left"/>
    </w:pPr>
    <w:rPr>
      <w:kern w:val="0"/>
      <w:sz w:val="20"/>
      <w:szCs w:val="20"/>
    </w:rPr>
  </w:style>
  <w:style w:type="paragraph" w:customStyle="1" w:styleId="2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27">
    <w:name w:val="xl89"/>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28">
    <w:name w:val="tabletext"/>
    <w:basedOn w:val="1"/>
    <w:qFormat/>
    <w:uiPriority w:val="0"/>
    <w:pPr>
      <w:widowControl/>
      <w:spacing w:line="300" w:lineRule="atLeast"/>
      <w:jc w:val="left"/>
    </w:pPr>
    <w:rPr>
      <w:rFonts w:ascii="宋体" w:hAnsi="宋体" w:cs="宋体"/>
      <w:kern w:val="0"/>
      <w:sz w:val="18"/>
      <w:szCs w:val="18"/>
    </w:rPr>
  </w:style>
  <w:style w:type="paragraph" w:customStyle="1" w:styleId="229">
    <w:name w:val="_Style 3"/>
    <w:basedOn w:val="1"/>
    <w:qFormat/>
    <w:uiPriority w:val="34"/>
    <w:pPr>
      <w:ind w:firstLine="420" w:firstLineChars="200"/>
    </w:pPr>
    <w:rPr>
      <w:rFonts w:ascii="Calibri" w:hAnsi="Calibri"/>
      <w:szCs w:val="22"/>
    </w:rPr>
  </w:style>
  <w:style w:type="paragraph" w:customStyle="1" w:styleId="230">
    <w:name w:val="NICMAN Body Text"/>
    <w:basedOn w:val="1"/>
    <w:next w:val="21"/>
    <w:qFormat/>
    <w:uiPriority w:val="0"/>
    <w:pPr>
      <w:autoSpaceDE w:val="0"/>
      <w:autoSpaceDN w:val="0"/>
      <w:adjustRightInd w:val="0"/>
      <w:spacing w:after="120" w:afterLines="0"/>
      <w:jc w:val="left"/>
    </w:pPr>
    <w:rPr>
      <w:kern w:val="0"/>
      <w:sz w:val="20"/>
      <w:szCs w:val="20"/>
    </w:rPr>
  </w:style>
  <w:style w:type="paragraph" w:customStyle="1" w:styleId="231">
    <w:name w:val="正文－恩普"/>
    <w:basedOn w:val="8"/>
    <w:qFormat/>
    <w:uiPriority w:val="0"/>
    <w:pPr>
      <w:adjustRightInd/>
      <w:spacing w:line="360" w:lineRule="auto"/>
      <w:ind w:firstLine="200" w:firstLineChars="200"/>
      <w:textAlignment w:val="auto"/>
    </w:pPr>
    <w:rPr>
      <w:kern w:val="2"/>
      <w:sz w:val="24"/>
      <w:szCs w:val="24"/>
    </w:rPr>
  </w:style>
  <w:style w:type="paragraph" w:customStyle="1" w:styleId="232">
    <w:name w:val="列出段落1"/>
    <w:basedOn w:val="1"/>
    <w:qFormat/>
    <w:uiPriority w:val="0"/>
    <w:pPr>
      <w:ind w:firstLine="420" w:firstLineChars="200"/>
    </w:pPr>
    <w:rPr>
      <w:szCs w:val="20"/>
    </w:rPr>
  </w:style>
  <w:style w:type="paragraph" w:customStyle="1" w:styleId="233">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34">
    <w:name w:val="Char Char Char Char Char Char Char Char Char Char"/>
    <w:basedOn w:val="1"/>
    <w:qFormat/>
    <w:uiPriority w:val="0"/>
    <w:pPr>
      <w:autoSpaceDE w:val="0"/>
      <w:autoSpaceDN w:val="0"/>
      <w:adjustRightInd w:val="0"/>
      <w:jc w:val="left"/>
    </w:pPr>
    <w:rPr>
      <w:rFonts w:ascii="仿宋_GB2312" w:eastAsia="仿宋_GB2312"/>
      <w:b/>
      <w:kern w:val="0"/>
      <w:sz w:val="32"/>
      <w:szCs w:val="32"/>
    </w:rPr>
  </w:style>
  <w:style w:type="paragraph" w:customStyle="1" w:styleId="235">
    <w:name w:val="正文2"/>
    <w:basedOn w:val="1"/>
    <w:qFormat/>
    <w:uiPriority w:val="0"/>
    <w:pPr>
      <w:autoSpaceDE w:val="0"/>
      <w:autoSpaceDN w:val="0"/>
      <w:adjustRightInd w:val="0"/>
      <w:spacing w:before="156" w:beforeLines="0" w:line="360" w:lineRule="auto"/>
      <w:ind w:firstLine="510" w:firstLineChars="200"/>
      <w:jc w:val="left"/>
    </w:pPr>
    <w:rPr>
      <w:kern w:val="0"/>
      <w:sz w:val="24"/>
      <w:szCs w:val="20"/>
    </w:rPr>
  </w:style>
  <w:style w:type="paragraph" w:customStyle="1" w:styleId="236">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新宋体" w:hAnsi="新宋体" w:eastAsia="新宋体" w:cs="宋体"/>
      <w:b/>
      <w:bCs/>
      <w:color w:val="000000"/>
      <w:kern w:val="0"/>
      <w:sz w:val="24"/>
    </w:rPr>
  </w:style>
  <w:style w:type="paragraph" w:customStyle="1" w:styleId="237">
    <w:name w:val="xl29"/>
    <w:basedOn w:val="1"/>
    <w:qFormat/>
    <w:uiPriority w:val="0"/>
    <w:pPr>
      <w:widowControl/>
      <w:autoSpaceDE w:val="0"/>
      <w:autoSpaceDN w:val="0"/>
      <w:adjustRightInd w:val="0"/>
      <w:spacing w:before="100" w:beforeLines="0" w:beforeAutospacing="1" w:after="100" w:afterLines="0" w:afterAutospacing="1"/>
      <w:jc w:val="center"/>
    </w:pPr>
    <w:rPr>
      <w:rFonts w:ascii="Arial Unicode MS" w:hAnsi="Arial Unicode MS" w:eastAsia="Arial Unicode MS"/>
      <w:kern w:val="0"/>
      <w:sz w:val="24"/>
      <w:szCs w:val="20"/>
    </w:rPr>
  </w:style>
  <w:style w:type="paragraph" w:customStyle="1" w:styleId="238">
    <w:name w:val="四级条标题"/>
    <w:basedOn w:val="213"/>
    <w:next w:val="1"/>
    <w:qFormat/>
    <w:uiPriority w:val="0"/>
    <w:pPr>
      <w:numPr>
        <w:ilvl w:val="5"/>
        <w:numId w:val="2"/>
      </w:numPr>
      <w:tabs>
        <w:tab w:val="clear" w:pos="4729"/>
      </w:tabs>
      <w:outlineLvl w:val="5"/>
    </w:pPr>
  </w:style>
  <w:style w:type="paragraph" w:customStyle="1" w:styleId="239">
    <w:name w:val="1 Char"/>
    <w:basedOn w:val="8"/>
    <w:qFormat/>
    <w:uiPriority w:val="0"/>
    <w:pPr>
      <w:adjustRightInd/>
      <w:spacing w:line="360" w:lineRule="auto"/>
      <w:ind w:firstLine="200" w:firstLineChars="200"/>
      <w:textAlignment w:val="auto"/>
    </w:pPr>
    <w:rPr>
      <w:kern w:val="2"/>
    </w:rPr>
  </w:style>
  <w:style w:type="paragraph" w:customStyle="1" w:styleId="240">
    <w:name w:val="xl90"/>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41">
    <w:name w:val="List Paragraph1"/>
    <w:basedOn w:val="1"/>
    <w:qFormat/>
    <w:uiPriority w:val="0"/>
    <w:pPr>
      <w:ind w:firstLine="420" w:firstLineChars="200"/>
    </w:pPr>
  </w:style>
  <w:style w:type="paragraph" w:customStyle="1" w:styleId="242">
    <w:name w:val="xl55"/>
    <w:basedOn w:val="1"/>
    <w:qFormat/>
    <w:uiPriority w:val="0"/>
    <w:pPr>
      <w:widowControl/>
      <w:spacing w:before="100" w:beforeAutospacing="1" w:after="100" w:afterAutospacing="1"/>
      <w:jc w:val="center"/>
      <w:textAlignment w:val="center"/>
    </w:pPr>
    <w:rPr>
      <w:rFonts w:ascii="Arial Unicode MS" w:hAnsi="Arial Unicode MS" w:eastAsia="宋体" w:cs="Times New Roman"/>
      <w:kern w:val="0"/>
      <w:sz w:val="24"/>
    </w:rPr>
  </w:style>
  <w:style w:type="paragraph" w:customStyle="1" w:styleId="243">
    <w:name w:val="Table Contents"/>
    <w:basedOn w:val="1"/>
    <w:qFormat/>
    <w:uiPriority w:val="0"/>
    <w:pPr>
      <w:suppressAutoHyphens/>
      <w:autoSpaceDE w:val="0"/>
      <w:autoSpaceDN w:val="0"/>
      <w:adjustRightInd w:val="0"/>
      <w:spacing w:after="120" w:afterLines="0"/>
      <w:jc w:val="left"/>
    </w:pPr>
    <w:rPr>
      <w:rFonts w:ascii="Helvetica" w:hAnsi="Helvetica"/>
      <w:kern w:val="1"/>
      <w:sz w:val="20"/>
      <w:szCs w:val="20"/>
    </w:rPr>
  </w:style>
  <w:style w:type="paragraph" w:customStyle="1" w:styleId="244">
    <w:name w:val="a"/>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245">
    <w:name w:val="Item List in Table"/>
    <w:qFormat/>
    <w:uiPriority w:val="0"/>
    <w:pPr>
      <w:tabs>
        <w:tab w:val="left" w:pos="284"/>
        <w:tab w:val="left" w:pos="720"/>
      </w:tabs>
      <w:spacing w:before="40" w:after="40"/>
      <w:ind w:left="720" w:hanging="720"/>
      <w:jc w:val="both"/>
    </w:pPr>
    <w:rPr>
      <w:rFonts w:ascii="Times New Roman" w:hAnsi="Times New Roman" w:eastAsia="宋体" w:cs="Arial"/>
      <w:kern w:val="2"/>
      <w:sz w:val="18"/>
      <w:szCs w:val="18"/>
      <w:lang w:val="en-US" w:eastAsia="zh-CN" w:bidi="ar-SA"/>
    </w:rPr>
  </w:style>
  <w:style w:type="paragraph" w:customStyle="1" w:styleId="246">
    <w:name w:val="xl78"/>
    <w:basedOn w:val="1"/>
    <w:qFormat/>
    <w:uiPriority w:val="0"/>
    <w:pPr>
      <w:widowControl/>
      <w:pBdr>
        <w:top w:val="single" w:color="auto" w:sz="4" w:space="0"/>
        <w:left w:val="single" w:color="auto" w:sz="4" w:space="0"/>
        <w:bottom w:val="single" w:color="auto" w:sz="4" w:space="0"/>
      </w:pBdr>
      <w:spacing w:before="100" w:beforeLines="0" w:beforeAutospacing="1" w:after="100" w:afterLines="0" w:afterAutospacing="1"/>
      <w:jc w:val="left"/>
    </w:pPr>
    <w:rPr>
      <w:rFonts w:ascii="新宋体" w:hAnsi="新宋体" w:eastAsia="新宋体" w:cs="宋体"/>
      <w:b/>
      <w:bCs/>
      <w:color w:val="FF0000"/>
      <w:kern w:val="0"/>
      <w:sz w:val="24"/>
    </w:rPr>
  </w:style>
  <w:style w:type="paragraph" w:customStyle="1" w:styleId="247">
    <w:name w:val="样式"/>
    <w:basedOn w:val="1"/>
    <w:qFormat/>
    <w:uiPriority w:val="0"/>
    <w:pPr>
      <w:autoSpaceDE w:val="0"/>
      <w:autoSpaceDN w:val="0"/>
      <w:adjustRightInd w:val="0"/>
      <w:snapToGrid w:val="0"/>
      <w:spacing w:before="120" w:beforeLines="0" w:after="120" w:afterLines="0" w:line="360" w:lineRule="auto"/>
      <w:jc w:val="left"/>
    </w:pPr>
    <w:rPr>
      <w:rFonts w:ascii="宋体"/>
      <w:kern w:val="0"/>
      <w:sz w:val="24"/>
      <w:szCs w:val="20"/>
    </w:rPr>
  </w:style>
  <w:style w:type="paragraph" w:customStyle="1" w:styleId="2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新宋体" w:hAnsi="新宋体" w:eastAsia="新宋体" w:cs="宋体"/>
      <w:b/>
      <w:bCs/>
      <w:color w:val="000000"/>
      <w:kern w:val="0"/>
      <w:sz w:val="24"/>
    </w:rPr>
  </w:style>
  <w:style w:type="paragraph" w:customStyle="1" w:styleId="24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新宋体" w:hAnsi="新宋体" w:eastAsia="新宋体" w:cs="宋体"/>
      <w:color w:val="000000"/>
      <w:kern w:val="0"/>
      <w:sz w:val="24"/>
    </w:rPr>
  </w:style>
  <w:style w:type="paragraph" w:customStyle="1" w:styleId="25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51">
    <w:name w:val=" Char1"/>
    <w:basedOn w:val="1"/>
    <w:qFormat/>
    <w:uiPriority w:val="0"/>
    <w:rPr>
      <w:rFonts w:ascii="仿宋_GB2312" w:eastAsia="仿宋_GB2312"/>
      <w:b/>
      <w:sz w:val="32"/>
      <w:szCs w:val="32"/>
    </w:rPr>
  </w:style>
  <w:style w:type="paragraph" w:customStyle="1" w:styleId="252">
    <w:name w:val="_Style 1"/>
    <w:qFormat/>
    <w:uiPriority w:val="0"/>
    <w:pPr>
      <w:widowControl w:val="0"/>
      <w:jc w:val="both"/>
    </w:pPr>
    <w:rPr>
      <w:rFonts w:ascii="Times New Roman" w:hAnsi="Times New Roman" w:eastAsia="宋体" w:cs="Calibri"/>
      <w:kern w:val="2"/>
      <w:sz w:val="21"/>
      <w:szCs w:val="22"/>
      <w:lang w:val="en-US" w:eastAsia="zh-CN" w:bidi="ar-SA"/>
    </w:rPr>
  </w:style>
  <w:style w:type="paragraph" w:customStyle="1" w:styleId="253">
    <w:name w:val="xl80"/>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54">
    <w:name w:val=" Char Char Char Char"/>
    <w:basedOn w:val="17"/>
    <w:qFormat/>
    <w:uiPriority w:val="0"/>
    <w:rPr>
      <w:rFonts w:ascii="Tahoma" w:hAnsi="Tahoma"/>
      <w:sz w:val="24"/>
    </w:rPr>
  </w:style>
  <w:style w:type="paragraph" w:customStyle="1" w:styleId="255">
    <w:name w:val="xl35"/>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eastAsia="Arial Unicode MS"/>
      <w:kern w:val="0"/>
      <w:szCs w:val="22"/>
    </w:rPr>
  </w:style>
  <w:style w:type="paragraph" w:customStyle="1" w:styleId="256">
    <w:name w:val="排列"/>
    <w:basedOn w:val="1"/>
    <w:qFormat/>
    <w:uiPriority w:val="0"/>
    <w:pPr>
      <w:widowControl/>
      <w:autoSpaceDE w:val="0"/>
      <w:autoSpaceDN w:val="0"/>
      <w:adjustRightInd w:val="0"/>
      <w:spacing w:line="360" w:lineRule="auto"/>
      <w:jc w:val="left"/>
    </w:pPr>
    <w:rPr>
      <w:rFonts w:ascii="宋体" w:hAnsi="宋体"/>
      <w:kern w:val="0"/>
      <w:sz w:val="20"/>
      <w:szCs w:val="20"/>
      <w:lang w:val="zh-CN"/>
    </w:rPr>
  </w:style>
  <w:style w:type="paragraph" w:customStyle="1" w:styleId="25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58">
    <w:name w:val="正文 首行缩进:  2 字符 Char"/>
    <w:basedOn w:val="1"/>
    <w:qFormat/>
    <w:uiPriority w:val="0"/>
    <w:pPr>
      <w:spacing w:line="360" w:lineRule="auto"/>
      <w:ind w:firstLine="480"/>
    </w:pPr>
    <w:rPr>
      <w:rFonts w:cs="宋体"/>
      <w:sz w:val="24"/>
      <w:szCs w:val="20"/>
    </w:rPr>
  </w:style>
  <w:style w:type="paragraph" w:customStyle="1" w:styleId="259">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60">
    <w:name w:val="14"/>
    <w:basedOn w:val="1"/>
    <w:qFormat/>
    <w:uiPriority w:val="0"/>
    <w:pPr>
      <w:snapToGrid w:val="0"/>
      <w:spacing w:before="93" w:beforeLines="30" w:line="288" w:lineRule="auto"/>
      <w:ind w:left="852" w:leftChars="355" w:firstLine="420" w:firstLineChars="175"/>
    </w:pPr>
    <w:rPr>
      <w:rFonts w:ascii="新宋体" w:hAnsi="新宋体"/>
      <w:sz w:val="24"/>
      <w:szCs w:val="20"/>
    </w:rPr>
  </w:style>
  <w:style w:type="paragraph" w:customStyle="1" w:styleId="261">
    <w:name w:val="表格文字（大）"/>
    <w:basedOn w:val="1"/>
    <w:qFormat/>
    <w:uiPriority w:val="0"/>
    <w:pPr>
      <w:autoSpaceDE w:val="0"/>
      <w:autoSpaceDN w:val="0"/>
      <w:adjustRightInd w:val="0"/>
      <w:spacing w:before="20" w:beforeLines="0" w:after="20" w:afterLines="0"/>
      <w:jc w:val="left"/>
    </w:pPr>
    <w:rPr>
      <w:rFonts w:ascii="Century Gothic" w:hAnsi="Century Gothic" w:cs="Century Gothic"/>
      <w:kern w:val="0"/>
      <w:sz w:val="24"/>
      <w:szCs w:val="20"/>
    </w:rPr>
  </w:style>
  <w:style w:type="paragraph" w:customStyle="1" w:styleId="262">
    <w:name w:val="文字"/>
    <w:basedOn w:val="1"/>
    <w:qFormat/>
    <w:uiPriority w:val="0"/>
    <w:pPr>
      <w:tabs>
        <w:tab w:val="left" w:pos="8520"/>
      </w:tabs>
      <w:spacing w:line="312" w:lineRule="auto"/>
      <w:ind w:right="-210" w:firstLine="556"/>
    </w:pPr>
    <w:rPr>
      <w:rFonts w:ascii="宋体"/>
      <w:sz w:val="28"/>
      <w:szCs w:val="20"/>
    </w:rPr>
  </w:style>
  <w:style w:type="paragraph" w:customStyle="1" w:styleId="26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color w:val="000000"/>
      <w:kern w:val="0"/>
      <w:sz w:val="24"/>
    </w:rPr>
  </w:style>
  <w:style w:type="paragraph" w:customStyle="1" w:styleId="264">
    <w:name w:val="五级条标题"/>
    <w:basedOn w:val="238"/>
    <w:next w:val="1"/>
    <w:qFormat/>
    <w:uiPriority w:val="0"/>
    <w:pPr>
      <w:numPr>
        <w:ilvl w:val="6"/>
        <w:numId w:val="2"/>
      </w:numPr>
      <w:tabs>
        <w:tab w:val="clear" w:pos="5149"/>
      </w:tabs>
      <w:outlineLvl w:val="6"/>
    </w:pPr>
  </w:style>
  <w:style w:type="paragraph" w:customStyle="1" w:styleId="265">
    <w:name w:val="标准段落"/>
    <w:basedOn w:val="1"/>
    <w:qFormat/>
    <w:uiPriority w:val="0"/>
    <w:pPr>
      <w:spacing w:after="120" w:afterLines="0" w:line="360" w:lineRule="auto"/>
      <w:ind w:firstLine="420"/>
    </w:pPr>
    <w:rPr>
      <w:rFonts w:ascii="黑体" w:hAnsi="宋体" w:eastAsia="黑体"/>
      <w:b/>
      <w:spacing w:val="6"/>
      <w:szCs w:val="22"/>
    </w:rPr>
  </w:style>
  <w:style w:type="paragraph" w:customStyle="1" w:styleId="266">
    <w:name w:val="xl81"/>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6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268">
    <w:name w:val="正文-宋体四号"/>
    <w:basedOn w:val="1"/>
    <w:qFormat/>
    <w:uiPriority w:val="0"/>
    <w:pPr>
      <w:spacing w:line="360" w:lineRule="auto"/>
      <w:ind w:firstLine="560" w:firstLineChars="200"/>
    </w:pPr>
    <w:rPr>
      <w:rFonts w:cs="宋体"/>
      <w:sz w:val="28"/>
      <w:szCs w:val="20"/>
    </w:rPr>
  </w:style>
  <w:style w:type="paragraph" w:styleId="269">
    <w:name w:val="List Paragraph"/>
    <w:basedOn w:val="1"/>
    <w:qFormat/>
    <w:uiPriority w:val="0"/>
    <w:pPr>
      <w:ind w:firstLine="420" w:firstLineChars="200"/>
    </w:pPr>
    <w:rPr>
      <w:rFonts w:ascii="Calibri" w:hAnsi="Calibri"/>
      <w:szCs w:val="22"/>
    </w:rPr>
  </w:style>
  <w:style w:type="paragraph" w:customStyle="1" w:styleId="27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textAlignment w:val="top"/>
    </w:pPr>
    <w:rPr>
      <w:rFonts w:ascii="新宋体" w:hAnsi="新宋体" w:eastAsia="新宋体" w:cs="宋体"/>
      <w:color w:val="000000"/>
      <w:kern w:val="0"/>
      <w:sz w:val="24"/>
    </w:rPr>
  </w:style>
  <w:style w:type="paragraph" w:customStyle="1" w:styleId="271">
    <w:name w:val="button"/>
    <w:basedOn w:val="1"/>
    <w:qFormat/>
    <w:uiPriority w:val="0"/>
    <w:pPr>
      <w:widowControl/>
      <w:autoSpaceDE w:val="0"/>
      <w:autoSpaceDN w:val="0"/>
      <w:adjustRightInd w:val="0"/>
      <w:spacing w:before="100" w:beforeLines="0" w:beforeAutospacing="1" w:after="100" w:afterLines="0" w:afterAutospacing="1"/>
      <w:jc w:val="left"/>
    </w:pPr>
    <w:rPr>
      <w:rFonts w:ascii="Arial Unicode MS" w:hAnsi="Arial Unicode MS"/>
      <w:color w:val="000000"/>
      <w:kern w:val="0"/>
      <w:sz w:val="24"/>
      <w:szCs w:val="20"/>
    </w:rPr>
  </w:style>
  <w:style w:type="paragraph" w:customStyle="1" w:styleId="272">
    <w:name w:val="Char Char"/>
    <w:basedOn w:val="1"/>
    <w:qFormat/>
    <w:uiPriority w:val="0"/>
    <w:rPr>
      <w:rFonts w:ascii="仿宋_GB2312" w:eastAsia="仿宋_GB2312"/>
      <w:b/>
      <w:sz w:val="32"/>
      <w:szCs w:val="32"/>
    </w:rPr>
  </w:style>
  <w:style w:type="paragraph" w:customStyle="1" w:styleId="273">
    <w:name w:val="样式 标题 3 + 黑色 段前: 5 磅 段后: 5 磅 行距: 1.5 倍行距"/>
    <w:basedOn w:val="1"/>
    <w:qFormat/>
    <w:uiPriority w:val="0"/>
    <w:pPr>
      <w:ind w:left="855" w:hanging="855"/>
    </w:pPr>
    <w:rPr>
      <w:sz w:val="24"/>
      <w:szCs w:val="20"/>
    </w:rPr>
  </w:style>
  <w:style w:type="paragraph" w:customStyle="1" w:styleId="274">
    <w:name w:val="Char Char Char Char Char Char Char Char Char Char Char Char Char Char Char Char Char Char Char1"/>
    <w:basedOn w:val="1"/>
    <w:qFormat/>
    <w:uiPriority w:val="0"/>
    <w:rPr>
      <w:rFonts w:ascii="仿宋_GB2312" w:eastAsia="仿宋_GB2312"/>
      <w:b/>
      <w:sz w:val="32"/>
      <w:szCs w:val="32"/>
    </w:rPr>
  </w:style>
  <w:style w:type="paragraph" w:customStyle="1" w:styleId="275">
    <w:name w:val="样式 标题 3 + 黑体 小四 非加粗"/>
    <w:basedOn w:val="5"/>
    <w:qFormat/>
    <w:uiPriority w:val="0"/>
    <w:pPr>
      <w:numPr>
        <w:ilvl w:val="2"/>
        <w:numId w:val="0"/>
      </w:numPr>
      <w:tabs>
        <w:tab w:val="clear" w:pos="1530"/>
      </w:tabs>
      <w:spacing w:before="260" w:beforeLines="0" w:after="260" w:afterLines="0" w:line="415" w:lineRule="auto"/>
    </w:pPr>
    <w:rPr>
      <w:rFonts w:ascii="黑体" w:hAnsi="黑体"/>
      <w:b w:val="0"/>
      <w:kern w:val="0"/>
      <w:sz w:val="24"/>
      <w:szCs w:val="32"/>
    </w:rPr>
  </w:style>
  <w:style w:type="paragraph" w:customStyle="1" w:styleId="276">
    <w:name w:val="简单回函地址"/>
    <w:basedOn w:val="1"/>
    <w:qFormat/>
    <w:uiPriority w:val="0"/>
  </w:style>
  <w:style w:type="paragraph" w:customStyle="1" w:styleId="277">
    <w:name w:val="样式 样式 正文文本缩进 + 仿宋_GB2312 小四 首行缩进:  0 厘米 行距: 1.5 倍行距 + (中文) 仿宋_GB... Char Char"/>
    <w:basedOn w:val="1"/>
    <w:qFormat/>
    <w:uiPriority w:val="0"/>
    <w:pPr>
      <w:autoSpaceDE w:val="0"/>
      <w:autoSpaceDN w:val="0"/>
      <w:adjustRightInd w:val="0"/>
      <w:spacing w:line="360" w:lineRule="auto"/>
      <w:ind w:firstLine="480" w:firstLineChars="200"/>
      <w:jc w:val="left"/>
    </w:pPr>
    <w:rPr>
      <w:rFonts w:ascii="仿宋_GB2312" w:eastAsia="新宋体"/>
      <w:kern w:val="0"/>
      <w:sz w:val="24"/>
      <w:szCs w:val="20"/>
    </w:rPr>
  </w:style>
  <w:style w:type="paragraph" w:customStyle="1" w:styleId="278">
    <w:name w:val="xl91"/>
    <w:basedOn w:val="1"/>
    <w:qFormat/>
    <w:uiPriority w:val="0"/>
    <w:pPr>
      <w:widowControl/>
      <w:pBdr>
        <w:left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79">
    <w:name w:val=" Char Char Char Char Char Char Char Char Char Char Char Char Char"/>
    <w:basedOn w:val="1"/>
    <w:qFormat/>
    <w:uiPriority w:val="0"/>
  </w:style>
  <w:style w:type="paragraph" w:customStyle="1" w:styleId="280">
    <w:name w:val="p0"/>
    <w:basedOn w:val="1"/>
    <w:qFormat/>
    <w:uiPriority w:val="0"/>
    <w:pPr>
      <w:widowControl/>
    </w:pPr>
    <w:rPr>
      <w:kern w:val="0"/>
      <w:szCs w:val="21"/>
    </w:rPr>
  </w:style>
  <w:style w:type="paragraph" w:customStyle="1" w:styleId="281">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宋体" w:hAnsi="宋体" w:cs="宋体"/>
      <w:b/>
      <w:bCs/>
      <w:color w:val="000000"/>
      <w:kern w:val="0"/>
      <w:sz w:val="24"/>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83">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284">
    <w:name w:val="标题五"/>
    <w:basedOn w:val="1"/>
    <w:qFormat/>
    <w:uiPriority w:val="0"/>
    <w:pPr>
      <w:tabs>
        <w:tab w:val="left" w:pos="1440"/>
      </w:tabs>
      <w:autoSpaceDE w:val="0"/>
      <w:autoSpaceDN w:val="0"/>
      <w:adjustRightInd w:val="0"/>
      <w:spacing w:before="156" w:beforeLines="50" w:line="360" w:lineRule="auto"/>
      <w:ind w:left="1440" w:hanging="420"/>
      <w:jc w:val="left"/>
    </w:pPr>
    <w:rPr>
      <w:b/>
      <w:kern w:val="0"/>
      <w:sz w:val="24"/>
      <w:szCs w:val="20"/>
    </w:rPr>
  </w:style>
  <w:style w:type="paragraph" w:customStyle="1" w:styleId="285">
    <w:name w:val="Table Heading"/>
    <w:qFormat/>
    <w:uiPriority w:val="0"/>
    <w:pPr>
      <w:keepNext/>
      <w:snapToGrid w:val="0"/>
      <w:spacing w:before="80" w:after="80"/>
      <w:jc w:val="center"/>
    </w:pPr>
    <w:rPr>
      <w:rFonts w:ascii="Times New Roman" w:hAnsi="Times New Roman" w:eastAsia="黑体" w:cs="Arial"/>
      <w:kern w:val="2"/>
      <w:sz w:val="18"/>
      <w:szCs w:val="18"/>
      <w:lang w:val="en-US" w:eastAsia="zh-CN" w:bidi="ar-SA"/>
    </w:rPr>
  </w:style>
  <w:style w:type="paragraph" w:customStyle="1" w:styleId="286">
    <w:name w:val="Plain Text"/>
    <w:basedOn w:val="1"/>
    <w:qFormat/>
    <w:uiPriority w:val="0"/>
    <w:pPr>
      <w:adjustRightInd w:val="0"/>
      <w:textAlignment w:val="baseline"/>
    </w:pPr>
    <w:rPr>
      <w:rFonts w:ascii="宋体" w:hAnsi="Courier New" w:eastAsia="楷体_GB2312"/>
      <w:sz w:val="28"/>
      <w:szCs w:val="20"/>
    </w:rPr>
  </w:style>
  <w:style w:type="paragraph" w:customStyle="1" w:styleId="287">
    <w:name w:val="xl76"/>
    <w:basedOn w:val="1"/>
    <w:qFormat/>
    <w:uiPriority w:val="0"/>
    <w:pPr>
      <w:widowControl/>
      <w:pBdr>
        <w:top w:val="single" w:color="auto" w:sz="4" w:space="0"/>
        <w:bottom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88">
    <w:name w:val="Char1 Char Char Char Char Char Char"/>
    <w:basedOn w:val="1"/>
    <w:qFormat/>
    <w:uiPriority w:val="0"/>
    <w:rPr>
      <w:rFonts w:ascii="宋体" w:hAnsi="宋体"/>
      <w:color w:val="000000"/>
      <w:sz w:val="24"/>
    </w:rPr>
  </w:style>
  <w:style w:type="paragraph" w:customStyle="1" w:styleId="28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新宋体" w:hAnsi="新宋体" w:eastAsia="新宋体" w:cs="宋体"/>
      <w:color w:val="000000"/>
      <w:kern w:val="0"/>
      <w:sz w:val="24"/>
    </w:rPr>
  </w:style>
  <w:style w:type="paragraph" w:customStyle="1" w:styleId="290">
    <w:name w:val="样式5"/>
    <w:basedOn w:val="8"/>
    <w:qFormat/>
    <w:uiPriority w:val="0"/>
    <w:pPr>
      <w:adjustRightInd/>
      <w:spacing w:line="360" w:lineRule="auto"/>
      <w:ind w:firstLine="200" w:firstLineChars="200"/>
      <w:textAlignment w:val="auto"/>
    </w:pPr>
    <w:rPr>
      <w:sz w:val="28"/>
      <w:szCs w:val="21"/>
    </w:rPr>
  </w:style>
  <w:style w:type="paragraph" w:customStyle="1" w:styleId="29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292">
    <w:name w:val="xl82"/>
    <w:basedOn w:val="1"/>
    <w:qFormat/>
    <w:uiPriority w:val="0"/>
    <w:pPr>
      <w:widowControl/>
      <w:pBdr>
        <w:top w:val="single" w:color="auto" w:sz="4" w:space="0"/>
        <w:left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293">
    <w:name w:val="保留正文"/>
    <w:basedOn w:val="21"/>
    <w:qFormat/>
    <w:uiPriority w:val="0"/>
    <w:pPr>
      <w:keepNext/>
      <w:spacing w:after="160" w:afterLines="0"/>
    </w:pPr>
    <w:rPr>
      <w:szCs w:val="20"/>
    </w:rPr>
  </w:style>
  <w:style w:type="paragraph" w:customStyle="1" w:styleId="294">
    <w:name w:val="Char Char Char Char"/>
    <w:basedOn w:val="1"/>
    <w:qFormat/>
    <w:uiPriority w:val="0"/>
    <w:pPr>
      <w:autoSpaceDE w:val="0"/>
      <w:autoSpaceDN w:val="0"/>
      <w:adjustRightInd w:val="0"/>
      <w:jc w:val="left"/>
    </w:pPr>
    <w:rPr>
      <w:rFonts w:ascii="Tahoma" w:hAnsi="Tahoma"/>
      <w:kern w:val="0"/>
      <w:sz w:val="24"/>
      <w:szCs w:val="20"/>
    </w:rPr>
  </w:style>
  <w:style w:type="paragraph" w:customStyle="1" w:styleId="295">
    <w:name w:val="标书正文带编号"/>
    <w:basedOn w:val="1"/>
    <w:qFormat/>
    <w:uiPriority w:val="0"/>
    <w:pPr>
      <w:tabs>
        <w:tab w:val="left" w:pos="397"/>
      </w:tabs>
      <w:autoSpaceDE w:val="0"/>
      <w:autoSpaceDN w:val="0"/>
      <w:adjustRightInd w:val="0"/>
      <w:ind w:firstLine="397"/>
      <w:jc w:val="left"/>
    </w:pPr>
    <w:rPr>
      <w:rFonts w:cs="宋体"/>
      <w:kern w:val="0"/>
      <w:sz w:val="20"/>
      <w:szCs w:val="21"/>
    </w:rPr>
  </w:style>
  <w:style w:type="paragraph" w:customStyle="1" w:styleId="296">
    <w:name w:val="Char Char1"/>
    <w:basedOn w:val="1"/>
    <w:qFormat/>
    <w:uiPriority w:val="0"/>
    <w:pPr>
      <w:widowControl/>
      <w:spacing w:after="160" w:afterLines="0" w:line="240" w:lineRule="exact"/>
      <w:jc w:val="left"/>
    </w:pPr>
    <w:rPr>
      <w:rFonts w:ascii="Verdana" w:hAnsi="Verdana" w:eastAsia="楷体_GB2312"/>
      <w:b/>
      <w:i/>
      <w:iCs/>
      <w:color w:val="000000"/>
      <w:kern w:val="0"/>
      <w:sz w:val="20"/>
      <w:szCs w:val="20"/>
      <w:lang w:eastAsia="en-US"/>
    </w:rPr>
  </w:style>
  <w:style w:type="paragraph" w:customStyle="1" w:styleId="297">
    <w:name w:val="标准小四"/>
    <w:basedOn w:val="1"/>
    <w:qFormat/>
    <w:uiPriority w:val="0"/>
    <w:pPr>
      <w:autoSpaceDE w:val="0"/>
      <w:autoSpaceDN w:val="0"/>
      <w:adjustRightInd w:val="0"/>
      <w:spacing w:line="360" w:lineRule="auto"/>
      <w:ind w:firstLine="480" w:firstLineChars="200"/>
      <w:jc w:val="left"/>
    </w:pPr>
    <w:rPr>
      <w:rFonts w:ascii="Arial" w:hAnsi="Arial"/>
      <w:kern w:val="0"/>
      <w:sz w:val="24"/>
      <w:szCs w:val="21"/>
    </w:rPr>
  </w:style>
  <w:style w:type="paragraph" w:customStyle="1" w:styleId="298">
    <w:name w:val="font6"/>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29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pPr>
    <w:rPr>
      <w:rFonts w:ascii="新宋体" w:hAnsi="新宋体" w:eastAsia="新宋体" w:cs="宋体"/>
      <w:color w:val="000000"/>
      <w:kern w:val="0"/>
      <w:sz w:val="24"/>
    </w:rPr>
  </w:style>
  <w:style w:type="paragraph" w:customStyle="1" w:styleId="300">
    <w:name w:val="Char1"/>
    <w:basedOn w:val="1"/>
    <w:qFormat/>
    <w:uiPriority w:val="0"/>
    <w:pPr>
      <w:autoSpaceDE w:val="0"/>
      <w:autoSpaceDN w:val="0"/>
      <w:adjustRightInd w:val="0"/>
      <w:jc w:val="left"/>
    </w:pPr>
    <w:rPr>
      <w:rFonts w:ascii="仿宋_GB2312" w:eastAsia="仿宋_GB2312"/>
      <w:b/>
      <w:kern w:val="0"/>
      <w:sz w:val="32"/>
      <w:szCs w:val="32"/>
    </w:rPr>
  </w:style>
  <w:style w:type="paragraph" w:customStyle="1" w:styleId="301">
    <w:name w:val="Char Char Char Char Char Char Char Char Char Char Char Char Char"/>
    <w:basedOn w:val="1"/>
    <w:qFormat/>
    <w:uiPriority w:val="0"/>
    <w:rPr>
      <w:rFonts w:ascii="Tahoma" w:hAnsi="Tahoma"/>
      <w:sz w:val="24"/>
      <w:szCs w:val="20"/>
    </w:rPr>
  </w:style>
  <w:style w:type="paragraph" w:customStyle="1" w:styleId="302">
    <w:name w:val="VIT-Text"/>
    <w:basedOn w:val="1"/>
    <w:qFormat/>
    <w:uiPriority w:val="0"/>
    <w:pPr>
      <w:widowControl/>
      <w:tabs>
        <w:tab w:val="left" w:pos="709"/>
        <w:tab w:val="left" w:pos="3402"/>
        <w:tab w:val="left" w:pos="4536"/>
        <w:tab w:val="left" w:pos="5670"/>
        <w:tab w:val="decimal" w:pos="6804"/>
        <w:tab w:val="right" w:pos="9072"/>
      </w:tabs>
      <w:jc w:val="left"/>
    </w:pPr>
    <w:rPr>
      <w:rFonts w:ascii="Arial" w:hAnsi="Arial" w:eastAsia="PMingLiU"/>
      <w:kern w:val="0"/>
      <w:sz w:val="22"/>
      <w:szCs w:val="20"/>
      <w:lang w:val="de-DE" w:eastAsia="zh-TW"/>
    </w:rPr>
  </w:style>
  <w:style w:type="paragraph" w:customStyle="1" w:styleId="303">
    <w:name w:val="列表内容"/>
    <w:basedOn w:val="1"/>
    <w:next w:val="1"/>
    <w:qFormat/>
    <w:uiPriority w:val="0"/>
    <w:pPr>
      <w:widowControl/>
      <w:autoSpaceDE w:val="0"/>
      <w:autoSpaceDN w:val="0"/>
      <w:adjustRightInd w:val="0"/>
      <w:ind w:firstLine="200"/>
      <w:jc w:val="left"/>
    </w:pPr>
    <w:rPr>
      <w:kern w:val="0"/>
      <w:sz w:val="18"/>
      <w:szCs w:val="20"/>
    </w:rPr>
  </w:style>
  <w:style w:type="paragraph" w:customStyle="1" w:styleId="304">
    <w:name w:val="Test2"/>
    <w:basedOn w:val="2"/>
    <w:qFormat/>
    <w:uiPriority w:val="0"/>
    <w:pPr>
      <w:keepNext w:val="0"/>
      <w:widowControl/>
      <w:numPr>
        <w:ilvl w:val="1"/>
        <w:numId w:val="0"/>
      </w:numPr>
      <w:tabs>
        <w:tab w:val="left" w:pos="774"/>
        <w:tab w:val="clear" w:pos="1110"/>
      </w:tabs>
      <w:autoSpaceDE w:val="0"/>
      <w:autoSpaceDN w:val="0"/>
      <w:adjustRightInd w:val="0"/>
      <w:snapToGrid w:val="0"/>
      <w:spacing w:before="360" w:beforeLines="0" w:after="360" w:afterLines="0" w:line="240" w:lineRule="atLeast"/>
      <w:ind w:left="774" w:hanging="576"/>
      <w:jc w:val="left"/>
    </w:pPr>
    <w:rPr>
      <w:rFonts w:ascii="宋体" w:hAnsi="Arial"/>
      <w:snapToGrid w:val="0"/>
      <w:kern w:val="0"/>
      <w:szCs w:val="32"/>
    </w:rPr>
  </w:style>
  <w:style w:type="paragraph" w:customStyle="1" w:styleId="305">
    <w:name w:val="正文（首行缩进）"/>
    <w:basedOn w:val="22"/>
    <w:qFormat/>
    <w:uiPriority w:val="0"/>
    <w:pPr>
      <w:widowControl/>
      <w:overflowPunct w:val="0"/>
      <w:autoSpaceDE w:val="0"/>
      <w:autoSpaceDN w:val="0"/>
      <w:adjustRightInd w:val="0"/>
      <w:spacing w:before="156" w:beforeLines="50" w:after="120" w:afterLines="0" w:line="400" w:lineRule="exact"/>
      <w:ind w:left="200" w:leftChars="200" w:firstLine="200" w:firstLineChars="200"/>
      <w:jc w:val="left"/>
      <w:textAlignment w:val="baseline"/>
    </w:pPr>
    <w:rPr>
      <w:spacing w:val="10"/>
      <w:kern w:val="0"/>
      <w:szCs w:val="20"/>
    </w:rPr>
  </w:style>
  <w:style w:type="paragraph" w:customStyle="1" w:styleId="306">
    <w:name w:val="正文缩进1"/>
    <w:basedOn w:val="1"/>
    <w:next w:val="22"/>
    <w:qFormat/>
    <w:uiPriority w:val="0"/>
    <w:pPr>
      <w:autoSpaceDE w:val="0"/>
      <w:autoSpaceDN w:val="0"/>
      <w:adjustRightInd w:val="0"/>
      <w:snapToGrid w:val="0"/>
      <w:spacing w:after="120" w:afterLines="0" w:line="360" w:lineRule="auto"/>
      <w:ind w:left="420" w:leftChars="200" w:firstLine="480" w:firstLineChars="200"/>
      <w:jc w:val="left"/>
    </w:pPr>
    <w:rPr>
      <w:kern w:val="0"/>
      <w:sz w:val="24"/>
      <w:szCs w:val="21"/>
    </w:rPr>
  </w:style>
  <w:style w:type="paragraph" w:customStyle="1" w:styleId="30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8">
    <w:name w:val="此正文"/>
    <w:basedOn w:val="1"/>
    <w:qFormat/>
    <w:uiPriority w:val="0"/>
    <w:pPr>
      <w:autoSpaceDE w:val="0"/>
      <w:autoSpaceDN w:val="0"/>
      <w:adjustRightInd w:val="0"/>
      <w:spacing w:line="360" w:lineRule="auto"/>
      <w:ind w:firstLine="200" w:firstLineChars="200"/>
      <w:jc w:val="left"/>
    </w:pPr>
    <w:rPr>
      <w:kern w:val="0"/>
      <w:sz w:val="24"/>
      <w:szCs w:val="20"/>
    </w:rPr>
  </w:style>
  <w:style w:type="paragraph" w:customStyle="1" w:styleId="309">
    <w:name w:val="features1"/>
    <w:basedOn w:val="1"/>
    <w:qFormat/>
    <w:uiPriority w:val="0"/>
    <w:pPr>
      <w:widowControl/>
      <w:spacing w:before="100" w:beforeLines="0" w:beforeAutospacing="1" w:after="100" w:afterLines="0" w:afterAutospacing="1"/>
      <w:jc w:val="left"/>
    </w:pPr>
    <w:rPr>
      <w:rFonts w:ascii="宋体" w:hAnsi="宋体" w:cs="宋体"/>
      <w:b/>
      <w:bCs/>
      <w:kern w:val="0"/>
      <w:sz w:val="18"/>
      <w:szCs w:val="18"/>
    </w:rPr>
  </w:style>
  <w:style w:type="paragraph" w:customStyle="1" w:styleId="310">
    <w:name w:val="正文文字表格居中"/>
    <w:basedOn w:val="1"/>
    <w:next w:val="45"/>
    <w:qFormat/>
    <w:uiPriority w:val="0"/>
    <w:pPr>
      <w:autoSpaceDE w:val="0"/>
      <w:autoSpaceDN w:val="0"/>
      <w:adjustRightInd w:val="0"/>
      <w:snapToGrid w:val="0"/>
      <w:spacing w:line="360" w:lineRule="auto"/>
      <w:jc w:val="left"/>
    </w:pPr>
    <w:rPr>
      <w:rFonts w:ascii="宋体"/>
      <w:b/>
      <w:kern w:val="0"/>
      <w:sz w:val="24"/>
      <w:szCs w:val="20"/>
    </w:rPr>
  </w:style>
  <w:style w:type="paragraph" w:customStyle="1" w:styleId="311">
    <w:name w:val="xl84"/>
    <w:basedOn w:val="1"/>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left"/>
    </w:pPr>
    <w:rPr>
      <w:rFonts w:ascii="新宋体" w:hAnsi="新宋体" w:eastAsia="新宋体" w:cs="宋体"/>
      <w:color w:val="000000"/>
      <w:kern w:val="0"/>
      <w:sz w:val="24"/>
    </w:rPr>
  </w:style>
  <w:style w:type="paragraph" w:customStyle="1" w:styleId="31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313">
    <w:name w:val="正文样式 首行缩进:  0.74 厘米"/>
    <w:basedOn w:val="1"/>
    <w:qFormat/>
    <w:uiPriority w:val="0"/>
    <w:pPr>
      <w:autoSpaceDE w:val="0"/>
      <w:autoSpaceDN w:val="0"/>
      <w:adjustRightInd w:val="0"/>
      <w:spacing w:before="156" w:beforeLines="50" w:line="360" w:lineRule="auto"/>
      <w:ind w:firstLine="420"/>
      <w:jc w:val="left"/>
    </w:pPr>
    <w:rPr>
      <w:rFonts w:cs="宋体"/>
      <w:kern w:val="0"/>
      <w:sz w:val="24"/>
      <w:szCs w:val="20"/>
    </w:rPr>
  </w:style>
  <w:style w:type="paragraph" w:customStyle="1" w:styleId="314">
    <w:name w:val=" Char13"/>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315">
    <w:name w:val="样式 左侧:  0.85 厘米 首行缩进:  0.85 厘米"/>
    <w:basedOn w:val="1"/>
    <w:qFormat/>
    <w:uiPriority w:val="0"/>
    <w:pPr>
      <w:autoSpaceDE w:val="0"/>
      <w:autoSpaceDN w:val="0"/>
      <w:adjustRightInd w:val="0"/>
      <w:spacing w:line="360" w:lineRule="auto"/>
      <w:ind w:firstLine="482"/>
      <w:jc w:val="left"/>
    </w:pPr>
    <w:rPr>
      <w:rFonts w:cs="宋体"/>
      <w:kern w:val="0"/>
      <w:sz w:val="24"/>
      <w:szCs w:val="20"/>
    </w:rPr>
  </w:style>
  <w:style w:type="paragraph" w:customStyle="1" w:styleId="316">
    <w:name w:val="列出段落3"/>
    <w:basedOn w:val="1"/>
    <w:semiHidden/>
    <w:qFormat/>
    <w:uiPriority w:val="0"/>
    <w:pPr>
      <w:ind w:firstLine="420" w:firstLineChars="200"/>
    </w:pPr>
    <w:rPr>
      <w:szCs w:val="21"/>
    </w:rPr>
  </w:style>
  <w:style w:type="paragraph" w:customStyle="1" w:styleId="317">
    <w:name w:val="Char Char Char Char Char Char Char Char Char Char Char Char Char Char Char Char Char Char Char"/>
    <w:basedOn w:val="1"/>
    <w:qFormat/>
    <w:uiPriority w:val="0"/>
    <w:rPr>
      <w:rFonts w:ascii="仿宋_GB2312" w:eastAsia="仿宋_GB2312"/>
      <w:b/>
      <w:sz w:val="32"/>
      <w:szCs w:val="32"/>
    </w:rPr>
  </w:style>
  <w:style w:type="paragraph" w:customStyle="1" w:styleId="318">
    <w:name w:val="WW-正文文字缩进 2"/>
    <w:basedOn w:val="1"/>
    <w:qFormat/>
    <w:uiPriority w:val="0"/>
    <w:pPr>
      <w:suppressAutoHyphens/>
      <w:autoSpaceDE w:val="0"/>
      <w:autoSpaceDN w:val="0"/>
      <w:adjustRightInd w:val="0"/>
      <w:ind w:firstLine="420"/>
      <w:jc w:val="left"/>
    </w:pPr>
    <w:rPr>
      <w:kern w:val="1"/>
      <w:sz w:val="20"/>
      <w:szCs w:val="20"/>
    </w:rPr>
  </w:style>
  <w:style w:type="paragraph" w:customStyle="1" w:styleId="319">
    <w:name w:val="_Style 318"/>
    <w:basedOn w:val="4"/>
    <w:next w:val="1"/>
    <w:qFormat/>
    <w:uiPriority w:val="0"/>
    <w:pPr>
      <w:keepLines/>
      <w:widowControl/>
      <w:numPr>
        <w:ilvl w:val="0"/>
        <w:numId w:val="0"/>
      </w:numPr>
      <w:spacing w:before="480" w:beforeLines="0" w:line="276" w:lineRule="auto"/>
      <w:jc w:val="left"/>
      <w:outlineLvl w:val="9"/>
    </w:pPr>
    <w:rPr>
      <w:rFonts w:ascii="Cambria" w:hAnsi="Cambria" w:eastAsia="宋体"/>
      <w:bCs/>
      <w:color w:val="365F91"/>
      <w:kern w:val="0"/>
      <w:sz w:val="28"/>
      <w:szCs w:val="28"/>
    </w:rPr>
  </w:style>
  <w:style w:type="paragraph" w:customStyle="1" w:styleId="320">
    <w:name w:val="xl25"/>
    <w:basedOn w:val="1"/>
    <w:qFormat/>
    <w:uiPriority w:val="0"/>
    <w:pPr>
      <w:widowControl/>
      <w:autoSpaceDE w:val="0"/>
      <w:autoSpaceDN w:val="0"/>
      <w:adjustRightInd w:val="0"/>
      <w:spacing w:before="100" w:beforeLines="0" w:beforeAutospacing="1" w:after="100" w:afterLines="0" w:afterAutospacing="1"/>
      <w:jc w:val="center"/>
      <w:textAlignment w:val="center"/>
    </w:pPr>
    <w:rPr>
      <w:rFonts w:hint="eastAsia" w:ascii="楷体_GB2312" w:hAnsi="宋体" w:eastAsia="楷体_GB2312"/>
      <w:kern w:val="0"/>
      <w:sz w:val="24"/>
      <w:szCs w:val="20"/>
    </w:rPr>
  </w:style>
  <w:style w:type="paragraph" w:customStyle="1" w:styleId="321">
    <w:name w:val="_Style 2"/>
    <w:basedOn w:val="1"/>
    <w:qFormat/>
    <w:uiPriority w:val="34"/>
    <w:pPr>
      <w:ind w:firstLine="420" w:firstLineChars="200"/>
    </w:pPr>
    <w:rPr>
      <w:rFonts w:ascii="Calibri" w:hAnsi="Calibri"/>
      <w:szCs w:val="22"/>
    </w:rPr>
  </w:style>
  <w:style w:type="paragraph" w:customStyle="1" w:styleId="322">
    <w:name w:val="列项——（一级）"/>
    <w:qFormat/>
    <w:uiPriority w:val="0"/>
    <w:pPr>
      <w:widowControl w:val="0"/>
      <w:tabs>
        <w:tab w:val="left" w:pos="854"/>
        <w:tab w:val="left" w:pos="1260"/>
      </w:tabs>
      <w:ind w:left="1260" w:hanging="420"/>
      <w:jc w:val="both"/>
    </w:pPr>
    <w:rPr>
      <w:rFonts w:ascii="宋体" w:hAnsi="Times New Roman" w:eastAsia="宋体" w:cs="Times New Roman"/>
      <w:sz w:val="21"/>
      <w:lang w:val="en-US" w:eastAsia="zh-CN" w:bidi="ar-SA"/>
    </w:rPr>
  </w:style>
  <w:style w:type="paragraph" w:customStyle="1" w:styleId="323">
    <w:name w:val="正文文字样式"/>
    <w:basedOn w:val="1"/>
    <w:qFormat/>
    <w:uiPriority w:val="0"/>
    <w:pPr>
      <w:spacing w:beforeLines="50" w:after="200" w:line="480" w:lineRule="exact"/>
      <w:ind w:firstLine="480" w:firstLineChars="200"/>
    </w:pPr>
    <w:rPr>
      <w:sz w:val="24"/>
    </w:rPr>
  </w:style>
  <w:style w:type="paragraph" w:customStyle="1" w:styleId="324">
    <w:name w:val="章标题"/>
    <w:next w:val="1"/>
    <w:qFormat/>
    <w:uiPriority w:val="0"/>
    <w:pPr>
      <w:numPr>
        <w:ilvl w:val="1"/>
        <w:numId w:val="2"/>
      </w:numPr>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325">
    <w:name w:val="文档正文"/>
    <w:basedOn w:val="1"/>
    <w:qFormat/>
    <w:uiPriority w:val="0"/>
    <w:pPr>
      <w:adjustRightInd w:val="0"/>
      <w:spacing w:line="300" w:lineRule="auto"/>
      <w:ind w:firstLine="567"/>
      <w:textAlignment w:val="baseline"/>
    </w:pPr>
    <w:rPr>
      <w:kern w:val="0"/>
      <w:sz w:val="24"/>
      <w:szCs w:val="20"/>
    </w:rPr>
  </w:style>
  <w:style w:type="paragraph" w:customStyle="1" w:styleId="326">
    <w:name w:val="默认段落字体 Para Char Char Char Char Char Char Char"/>
    <w:basedOn w:val="1"/>
    <w:qFormat/>
    <w:uiPriority w:val="0"/>
  </w:style>
  <w:style w:type="paragraph" w:customStyle="1" w:styleId="327">
    <w:name w:val="技术报告正文"/>
    <w:basedOn w:val="1"/>
    <w:qFormat/>
    <w:uiPriority w:val="0"/>
    <w:pPr>
      <w:autoSpaceDE w:val="0"/>
      <w:autoSpaceDN w:val="0"/>
      <w:adjustRightInd w:val="0"/>
      <w:spacing w:before="156" w:beforeLines="50" w:line="440" w:lineRule="exact"/>
      <w:ind w:firstLine="538" w:firstLineChars="192"/>
      <w:jc w:val="left"/>
    </w:pPr>
    <w:rPr>
      <w:rFonts w:cs="Arial"/>
      <w:bCs/>
      <w:kern w:val="0"/>
      <w:sz w:val="28"/>
      <w:szCs w:val="20"/>
    </w:rPr>
  </w:style>
  <w:style w:type="paragraph" w:customStyle="1" w:styleId="32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Lines="0" w:beforeAutospacing="1" w:after="100" w:afterLines="0" w:afterAutospacing="1"/>
      <w:jc w:val="center"/>
    </w:pPr>
    <w:rPr>
      <w:rFonts w:ascii="宋体" w:hAnsi="宋体" w:cs="宋体"/>
      <w:b/>
      <w:bCs/>
      <w:color w:val="000000"/>
      <w:kern w:val="0"/>
      <w:sz w:val="24"/>
    </w:rPr>
  </w:style>
  <w:style w:type="paragraph" w:customStyle="1" w:styleId="329">
    <w:name w:val="表内文字"/>
    <w:basedOn w:val="1"/>
    <w:qFormat/>
    <w:uiPriority w:val="0"/>
    <w:pPr>
      <w:spacing w:line="240" w:lineRule="atLeast"/>
      <w:jc w:val="center"/>
    </w:pPr>
    <w:rPr>
      <w:rFonts w:ascii="Arial" w:hAnsi="Arial" w:eastAsia="宋体" w:cs="Arial"/>
      <w:b/>
      <w:bCs/>
    </w:rPr>
  </w:style>
  <w:style w:type="paragraph" w:customStyle="1" w:styleId="330">
    <w:name w:val="Char2"/>
    <w:basedOn w:val="1"/>
    <w:qFormat/>
    <w:uiPriority w:val="0"/>
    <w:pPr>
      <w:autoSpaceDE w:val="0"/>
      <w:autoSpaceDN w:val="0"/>
      <w:adjustRightInd w:val="0"/>
      <w:jc w:val="left"/>
    </w:pPr>
    <w:rPr>
      <w:rFonts w:ascii="仿宋_GB2312" w:eastAsia="仿宋_GB2312"/>
      <w:b/>
      <w:kern w:val="0"/>
      <w:sz w:val="32"/>
      <w:szCs w:val="32"/>
    </w:rPr>
  </w:style>
  <w:style w:type="paragraph" w:customStyle="1" w:styleId="331">
    <w:name w:val="样式 标题 1Level 1Level 11h1II+IHeading1H1-Heading 1Header 1..."/>
    <w:basedOn w:val="4"/>
    <w:qFormat/>
    <w:uiPriority w:val="0"/>
    <w:pPr>
      <w:keepLines/>
      <w:pageBreakBefore/>
      <w:numPr>
        <w:ilvl w:val="0"/>
        <w:numId w:val="0"/>
      </w:numPr>
      <w:spacing w:before="100" w:beforeLines="0" w:after="100" w:afterLines="0" w:line="360" w:lineRule="auto"/>
      <w:ind w:left="1680" w:hanging="420"/>
      <w:jc w:val="left"/>
    </w:pPr>
    <w:rPr>
      <w:rFonts w:ascii="Arial" w:hAnsi="Arial" w:cs="宋体"/>
      <w:bCs/>
      <w:kern w:val="44"/>
      <w:sz w:val="44"/>
    </w:rPr>
  </w:style>
  <w:style w:type="paragraph" w:customStyle="1" w:styleId="332">
    <w:name w:val="正文文本 21"/>
    <w:basedOn w:val="1"/>
    <w:qFormat/>
    <w:uiPriority w:val="0"/>
    <w:pPr>
      <w:widowControl/>
      <w:overflowPunct w:val="0"/>
      <w:autoSpaceDE w:val="0"/>
      <w:autoSpaceDN w:val="0"/>
      <w:adjustRightInd w:val="0"/>
      <w:ind w:left="720" w:hanging="720"/>
      <w:jc w:val="left"/>
      <w:textAlignment w:val="baseline"/>
    </w:pPr>
    <w:rPr>
      <w:kern w:val="0"/>
      <w:sz w:val="24"/>
      <w:szCs w:val="20"/>
      <w:lang w:val="en-GB"/>
    </w:rPr>
  </w:style>
  <w:style w:type="table" w:customStyle="1" w:styleId="333">
    <w:name w:val="Tabela com grade"/>
    <w:basedOn w:val="50"/>
    <w:qFormat/>
    <w:uiPriority w:val="0"/>
    <w:rPr>
      <w:rFonts w:ascii="Times New Roman" w:hAnsi="Times New Roman" w:eastAsia="Times New Roman" w:cs="Times New Roman"/>
      <w:kern w:val="0"/>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4">
    <w:name w:val="表格文字"/>
    <w:basedOn w:val="1"/>
    <w:next w:val="21"/>
    <w:qFormat/>
    <w:uiPriority w:val="0"/>
    <w:pPr>
      <w:widowControl/>
      <w:adjustRightInd w:val="0"/>
      <w:spacing w:line="420" w:lineRule="atLeast"/>
      <w:jc w:val="left"/>
      <w:textAlignment w:val="baseline"/>
    </w:pPr>
    <w:rPr>
      <w:rFonts w:ascii="Times New Roman" w:hAnsi="Times New Roman" w:cs="Times New Roman"/>
      <w:kern w:val="0"/>
    </w:rPr>
  </w:style>
  <w:style w:type="paragraph" w:customStyle="1" w:styleId="335">
    <w:name w:val="WPSOffice手动目录 1"/>
    <w:qFormat/>
    <w:uiPriority w:val="0"/>
    <w:pPr>
      <w:ind w:leftChars="0"/>
    </w:pPr>
    <w:rPr>
      <w:rFonts w:ascii="Times New Roman" w:hAnsi="Times New Roman" w:eastAsia="宋体" w:cs="Times New Roman"/>
      <w:sz w:val="20"/>
      <w:szCs w:val="20"/>
    </w:rPr>
  </w:style>
  <w:style w:type="paragraph" w:customStyle="1" w:styleId="336">
    <w:name w:val="WPSOffice手动目录 2"/>
    <w:qFormat/>
    <w:uiPriority w:val="0"/>
    <w:pPr>
      <w:ind w:leftChars="200"/>
    </w:pPr>
    <w:rPr>
      <w:rFonts w:ascii="Times New Roman" w:hAnsi="Times New Roman" w:eastAsia="宋体" w:cs="Times New Roman"/>
      <w:sz w:val="20"/>
      <w:szCs w:val="20"/>
    </w:rPr>
  </w:style>
  <w:style w:type="paragraph" w:customStyle="1" w:styleId="337">
    <w:name w:val="WPSOffice手动目录 3"/>
    <w:qFormat/>
    <w:uiPriority w:val="0"/>
    <w:pPr>
      <w:ind w:leftChars="400"/>
    </w:pPr>
    <w:rPr>
      <w:rFonts w:ascii="Times New Roman" w:hAnsi="Times New Roman" w:eastAsia="宋体" w:cs="Times New Roman"/>
      <w:sz w:val="20"/>
      <w:szCs w:val="20"/>
    </w:rPr>
  </w:style>
  <w:style w:type="character" w:customStyle="1" w:styleId="338">
    <w:name w:val="标题 1 字符"/>
    <w:link w:val="4"/>
    <w:qFormat/>
    <w:uiPriority w:val="0"/>
    <w:rPr>
      <w:rFonts w:eastAsia="黑体"/>
      <w:b/>
      <w:kern w:val="2"/>
      <w:sz w:val="32"/>
      <w:lang w:val="en-US" w:eastAsia="zh-CN" w:bidi="ar-SA"/>
    </w:rPr>
  </w:style>
  <w:style w:type="paragraph" w:customStyle="1" w:styleId="339">
    <w:name w:val="列出段落2"/>
    <w:basedOn w:val="1"/>
    <w:qFormat/>
    <w:uiPriority w:val="34"/>
    <w:pPr>
      <w:ind w:firstLine="420" w:firstLineChars="200"/>
    </w:pPr>
  </w:style>
  <w:style w:type="character" w:customStyle="1" w:styleId="340">
    <w:name w:val="font21"/>
    <w:basedOn w:val="52"/>
    <w:qFormat/>
    <w:uiPriority w:val="0"/>
    <w:rPr>
      <w:rFonts w:ascii="Wingdings 2" w:hAnsi="Wingdings 2" w:eastAsia="Wingdings 2" w:cs="Wingdings 2"/>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中国远东国际贸易总公司</Company>
  <Pages>58</Pages>
  <Words>30211</Words>
  <Characters>31867</Characters>
  <Lines>222</Lines>
  <Paragraphs>62</Paragraphs>
  <TotalTime>17</TotalTime>
  <ScaleCrop>false</ScaleCrop>
  <LinksUpToDate>false</LinksUpToDate>
  <CharactersWithSpaces>34376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2019-05-10T02:28:00Z</dcterms:created>
  <dc:creator>zyq</dc:creator>
  <cp:lastModifiedBy>乐圣天</cp:lastModifiedBy>
  <cp:lastPrinted>2022-04-01T02:06:00Z</cp:lastPrinted>
  <dcterms:modified xsi:type="dcterms:W3CDTF">2022-08-15T03:49:38Z</dcterms:modified>
  <dc:title>招标文件目录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A349740A269F471ABB93710AD05F115A</vt:lpwstr>
  </property>
</Properties>
</file>