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 w:hAnsi="仿宋" w:eastAsia="仿宋" w:cs="仿宋"/>
          <w:b/>
          <w:color w:val="auto"/>
          <w:sz w:val="24"/>
          <w:highlight w:val="none"/>
        </w:rPr>
      </w:pPr>
      <w:bookmarkStart w:id="524" w:name="_GoBack"/>
      <w:bookmarkEnd w:id="524"/>
    </w:p>
    <w:p>
      <w:pPr>
        <w:spacing w:line="360" w:lineRule="auto"/>
        <w:jc w:val="center"/>
        <w:rPr>
          <w:rFonts w:hint="eastAsia" w:ascii="仿宋" w:hAnsi="仿宋" w:eastAsia="仿宋" w:cs="仿宋"/>
          <w:b/>
          <w:color w:val="auto"/>
          <w:sz w:val="24"/>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sz w:val="112"/>
          <w:szCs w:val="112"/>
          <w:highlight w:val="none"/>
        </w:rPr>
      </w:pPr>
      <w:r>
        <w:rPr>
          <w:rFonts w:hint="eastAsia" w:ascii="仿宋" w:hAnsi="仿宋" w:eastAsia="仿宋" w:cs="仿宋"/>
          <w:color w:val="auto"/>
          <w:sz w:val="112"/>
          <w:szCs w:val="112"/>
          <w:highlight w:val="none"/>
        </w:rPr>
        <w:t>温州市公安局</w:t>
      </w:r>
    </w:p>
    <w:p>
      <w:pPr>
        <w:jc w:val="center"/>
        <w:rPr>
          <w:rFonts w:hint="eastAsia" w:ascii="仿宋" w:hAnsi="仿宋" w:eastAsia="仿宋" w:cs="仿宋"/>
          <w:color w:val="auto"/>
          <w:sz w:val="52"/>
          <w:szCs w:val="52"/>
          <w:highlight w:val="none"/>
        </w:rPr>
      </w:pPr>
    </w:p>
    <w:p>
      <w:pPr>
        <w:pStyle w:val="2"/>
        <w:rPr>
          <w:rFonts w:hint="eastAsia" w:ascii="仿宋" w:hAnsi="仿宋" w:eastAsia="仿宋" w:cs="仿宋"/>
          <w:color w:val="auto"/>
          <w:highlight w:val="none"/>
        </w:rPr>
      </w:pPr>
    </w:p>
    <w:p>
      <w:pPr>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政府采购文件</w:t>
      </w:r>
    </w:p>
    <w:p>
      <w:pPr>
        <w:pStyle w:val="470"/>
        <w:spacing w:line="360" w:lineRule="auto"/>
        <w:rPr>
          <w:rFonts w:hint="eastAsia" w:ascii="仿宋" w:hAnsi="仿宋" w:eastAsia="仿宋" w:cs="仿宋"/>
          <w:color w:val="auto"/>
          <w:sz w:val="36"/>
          <w:szCs w:val="36"/>
          <w:highlight w:val="none"/>
        </w:rPr>
      </w:pPr>
    </w:p>
    <w:p>
      <w:pPr>
        <w:widowControl/>
        <w:adjustRightInd/>
        <w:spacing w:line="720" w:lineRule="auto"/>
        <w:rPr>
          <w:rFonts w:hint="eastAsia" w:ascii="仿宋" w:hAnsi="仿宋" w:eastAsia="仿宋" w:cs="仿宋"/>
          <w:color w:val="auto"/>
          <w:sz w:val="36"/>
          <w:szCs w:val="36"/>
          <w:highlight w:val="none"/>
        </w:rPr>
      </w:pPr>
    </w:p>
    <w:p>
      <w:pPr>
        <w:widowControl/>
        <w:rPr>
          <w:rFonts w:hint="eastAsia" w:ascii="仿宋" w:hAnsi="仿宋" w:eastAsia="仿宋" w:cs="仿宋"/>
          <w:color w:val="auto"/>
          <w:sz w:val="36"/>
          <w:szCs w:val="36"/>
          <w:highlight w:val="none"/>
        </w:rPr>
      </w:pPr>
    </w:p>
    <w:p>
      <w:pPr>
        <w:widowControl/>
        <w:rPr>
          <w:rFonts w:hint="eastAsia" w:ascii="仿宋" w:hAnsi="仿宋" w:eastAsia="仿宋" w:cs="仿宋"/>
          <w:color w:val="auto"/>
          <w:sz w:val="36"/>
          <w:szCs w:val="36"/>
          <w:highlight w:val="none"/>
        </w:rPr>
      </w:pPr>
    </w:p>
    <w:p>
      <w:pPr>
        <w:widowControl/>
        <w:rPr>
          <w:rFonts w:hint="eastAsia" w:ascii="仿宋" w:hAnsi="仿宋" w:eastAsia="仿宋" w:cs="仿宋"/>
          <w:color w:val="auto"/>
          <w:sz w:val="36"/>
          <w:szCs w:val="36"/>
          <w:highlight w:val="none"/>
        </w:rPr>
      </w:pPr>
    </w:p>
    <w:p>
      <w:pPr>
        <w:widowControl/>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mc:AlternateContent>
          <mc:Choice Requires="wps">
            <w:drawing>
              <wp:anchor distT="0" distB="0" distL="114300" distR="114300" simplePos="0" relativeHeight="251661312" behindDoc="0" locked="0" layoutInCell="1" allowOverlap="1">
                <wp:simplePos x="0" y="0"/>
                <wp:positionH relativeFrom="margin">
                  <wp:posOffset>-782955</wp:posOffset>
                </wp:positionH>
                <wp:positionV relativeFrom="margin">
                  <wp:posOffset>3815715</wp:posOffset>
                </wp:positionV>
                <wp:extent cx="7813675" cy="1619885"/>
                <wp:effectExtent l="0" t="0" r="4445" b="10795"/>
                <wp:wrapNone/>
                <wp:docPr id="3" name="矩形 3"/>
                <wp:cNvGraphicFramePr/>
                <a:graphic xmlns:a="http://schemas.openxmlformats.org/drawingml/2006/main">
                  <a:graphicData uri="http://schemas.microsoft.com/office/word/2010/wordprocessingShape">
                    <wps:wsp>
                      <wps:cNvSpPr/>
                      <wps:spPr>
                        <a:xfrm>
                          <a:off x="0" y="0"/>
                          <a:ext cx="7813675" cy="1619885"/>
                        </a:xfrm>
                        <a:prstGeom prst="rect">
                          <a:avLst/>
                        </a:prstGeom>
                        <a:solidFill>
                          <a:srgbClr val="D64F53"/>
                        </a:solidFill>
                        <a:ln>
                          <a:noFill/>
                        </a:ln>
                        <a:effectLst/>
                      </wps:spPr>
                      <wps:txbx>
                        <w:txbxContent>
                          <w:p>
                            <w:pPr>
                              <w:spacing w:line="400" w:lineRule="exact"/>
                              <w:jc w:val="center"/>
                              <w:rPr>
                                <w:rFonts w:hint="eastAsia" w:ascii="楷体" w:hAnsi="楷体" w:eastAsia="楷体"/>
                                <w:color w:val="FFFFFF"/>
                                <w:sz w:val="110"/>
                                <w:szCs w:val="110"/>
                              </w:rPr>
                            </w:pPr>
                          </w:p>
                          <w:p>
                            <w:pPr>
                              <w:jc w:val="center"/>
                              <w:rPr>
                                <w:rFonts w:ascii="楷体" w:hAnsi="楷体" w:eastAsia="楷体"/>
                                <w:color w:val="FFFFFF"/>
                                <w:sz w:val="110"/>
                                <w:szCs w:val="110"/>
                              </w:rPr>
                            </w:pPr>
                            <w:r>
                              <w:rPr>
                                <w:rFonts w:hint="eastAsia" w:ascii="楷体" w:hAnsi="楷体" w:eastAsia="楷体"/>
                                <w:color w:val="FFFFFF"/>
                                <w:sz w:val="96"/>
                                <w:szCs w:val="96"/>
                              </w:rPr>
                              <w:t>竞争性谈判</w:t>
                            </w:r>
                          </w:p>
                        </w:txbxContent>
                      </wps:txbx>
                      <wps:bodyPr vert="horz" wrap="square" anchor="t" anchorCtr="0" upright="1"/>
                    </wps:wsp>
                  </a:graphicData>
                </a:graphic>
              </wp:anchor>
            </w:drawing>
          </mc:Choice>
          <mc:Fallback>
            <w:pict>
              <v:rect id="_x0000_s1026" o:spid="_x0000_s1026" o:spt="1" style="position:absolute;left:0pt;margin-left:-61.65pt;margin-top:300.45pt;height:127.55pt;width:615.25pt;mso-position-horizontal-relative:margin;mso-position-vertical-relative:margin;z-index:251661312;mso-width-relative:page;mso-height-relative:page;" fillcolor="#D64F53" filled="t" stroked="f" coordsize="21600,21600" o:gfxdata="UEsDBAoAAAAAAIdO4kAAAAAAAAAAAAAAAAAEAAAAZHJzL1BLAwQUAAAACACHTuJA1D1w5t0AAAAN AQAADwAAAGRycy9kb3ducmV2LnhtbE2PwWrDMBBE74X+g9hCb4lkm7qp63UggRCanuyE0qNiKbap tTKWEqd/H+XUHpd5zLzNl1fTs4seXWcJIZoLYJpqqzpqEA77zWwBzHlJSvaWNMKvdrAsHh9ymSk7 UakvlW9YKCGXSYTW+yHj3NWtNtLN7aApZCc7GunDOTZcjXIK5abnsRApN7KjsNDKQa9bXf9UZ4NQ Hrarzelrvf1M+up7/7FbxZMqEZ+fIvEOzOur/4Phrh/UoQhOR3sm5ViPMIviJAksQirEG7A7EonX GNgRYfGSCuBFzv9/UdwAUEsDBBQAAAAIAIdO4kDqHl6Q3QEAAKwDAAAOAAAAZHJzL2Uyb0RvYy54 bWytU82O0zAQviPxDpbvNM2WdkvVdA9blQuClRYewHWcxpL/mHGblJdB4sZD8DiI12DsZMuyXPbA JZkZj7+Z75vx+qa3hp0UoPau4uVkyply0tfaHSr+6ePu1ZIzjMLVwninKn5WyG82L1+su7BSV771 plbACMThqgsVb2MMq6JA2SorcOKDcnTYeLAikguHogbREbo1xdV0uig6D3UALxUiRbfDIR8R4TmA vmm0VFsvj1a5OKCCMiISJWx1QL7J3TaNkvFD06CKzFScmMb8pSJk79O32KzF6gAitFqOLYjntPCE kxXaUdEL1FZEwY6g/4GyWoJH38SJ9LYYiGRFiEU5faLNfSuCylxIagwX0fH/wcr3pztguq74jDMn LA3819fvP398Y7OkTRdwRSn34Q5GD8lMRPsGbPoTBdZnPc8XPVUfmaTg9bKcLa7nnEk6Kxflm+Vy nlCLP9cDYHyrvGXJqDjQwLKO4vQO45D6kJKqoTe63mljsgOH/a0BdhI03O3i9W6eeyb0v9KMS8nO p2sD4hBReT3GMonoQC1Zsd/3I9+9r8+kED0Yaq/18IWzjtal4vj5KEBxJpykcMXjg3kbh/06BtCH lm6VmXPCpSFm9uPCpS157JP9+JFtfgN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DUPXDm3QAAAA0B AAAPAAAAAAAAAAEAIAAAACIAAABkcnMvZG93bnJldi54bWxQSwECFAAUAAAACACHTuJA6h5ekN0B AACsAwAADgAAAAAAAAABACAAAAAsAQAAZHJzL2Uyb0RvYy54bWxQSwUGAAAAAAYABgBZAQAAewUA AAAA ">
                <v:fill on="t" focussize="0,0"/>
                <v:stroke on="f"/>
                <v:imagedata o:title=""/>
                <o:lock v:ext="edit" aspectratio="f"/>
                <v:textbox>
                  <w:txbxContent>
                    <w:p>
                      <w:pPr>
                        <w:spacing w:line="400" w:lineRule="exact"/>
                        <w:jc w:val="center"/>
                        <w:rPr>
                          <w:rFonts w:hint="eastAsia" w:ascii="楷体" w:hAnsi="楷体" w:eastAsia="楷体"/>
                          <w:color w:val="FFFFFF"/>
                          <w:sz w:val="110"/>
                          <w:szCs w:val="110"/>
                        </w:rPr>
                      </w:pPr>
                    </w:p>
                    <w:p>
                      <w:pPr>
                        <w:jc w:val="center"/>
                        <w:rPr>
                          <w:rFonts w:ascii="楷体" w:hAnsi="楷体" w:eastAsia="楷体"/>
                          <w:color w:val="FFFFFF"/>
                          <w:sz w:val="110"/>
                          <w:szCs w:val="110"/>
                        </w:rPr>
                      </w:pPr>
                      <w:r>
                        <w:rPr>
                          <w:rFonts w:hint="eastAsia" w:ascii="楷体" w:hAnsi="楷体" w:eastAsia="楷体"/>
                          <w:color w:val="FFFFFF"/>
                          <w:sz w:val="96"/>
                          <w:szCs w:val="96"/>
                        </w:rPr>
                        <w:t>竞争性谈判</w:t>
                      </w:r>
                    </w:p>
                  </w:txbxContent>
                </v:textbox>
              </v:rect>
            </w:pict>
          </mc:Fallback>
        </mc:AlternateContent>
      </w:r>
    </w:p>
    <w:p>
      <w:pPr>
        <w:widowControl/>
        <w:rPr>
          <w:rFonts w:hint="eastAsia" w:ascii="仿宋" w:hAnsi="仿宋" w:eastAsia="仿宋" w:cs="仿宋"/>
          <w:color w:val="auto"/>
          <w:sz w:val="36"/>
          <w:szCs w:val="36"/>
          <w:highlight w:val="none"/>
        </w:rPr>
      </w:pPr>
    </w:p>
    <w:p>
      <w:pPr>
        <w:widowControl/>
        <w:rPr>
          <w:rFonts w:hint="eastAsia" w:ascii="仿宋" w:hAnsi="仿宋" w:eastAsia="仿宋" w:cs="仿宋"/>
          <w:color w:val="auto"/>
          <w:sz w:val="36"/>
          <w:szCs w:val="36"/>
          <w:highlight w:val="none"/>
        </w:rPr>
      </w:pPr>
    </w:p>
    <w:p>
      <w:pPr>
        <w:pStyle w:val="60"/>
        <w:rPr>
          <w:rFonts w:hint="eastAsia" w:ascii="仿宋" w:hAnsi="仿宋" w:eastAsia="仿宋" w:cs="仿宋"/>
          <w:color w:val="auto"/>
          <w:highlight w:val="none"/>
          <w:lang w:val="en-US" w:eastAsia="zh-CN"/>
        </w:rPr>
      </w:pPr>
    </w:p>
    <w:p>
      <w:pPr>
        <w:pStyle w:val="50"/>
        <w:rPr>
          <w:rFonts w:hint="eastAsia" w:ascii="仿宋" w:hAnsi="仿宋" w:eastAsia="仿宋" w:cs="仿宋"/>
          <w:color w:val="auto"/>
          <w:highlight w:val="none"/>
        </w:rPr>
      </w:pPr>
    </w:p>
    <w:p>
      <w:pPr>
        <w:rPr>
          <w:rFonts w:hint="eastAsia"/>
          <w:color w:val="auto"/>
          <w:highlight w:val="none"/>
        </w:rPr>
      </w:pPr>
    </w:p>
    <w:p>
      <w:pPr>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温州市公安局</w:t>
      </w:r>
    </w:p>
    <w:p>
      <w:pPr>
        <w:pStyle w:val="2"/>
        <w:rPr>
          <w:rFonts w:hint="eastAsia" w:ascii="仿宋" w:hAnsi="仿宋" w:eastAsia="仿宋" w:cs="仿宋"/>
          <w:color w:val="auto"/>
          <w:sz w:val="22"/>
          <w:szCs w:val="20"/>
          <w:highlight w:val="none"/>
          <w:lang w:val="en-US"/>
        </w:rPr>
      </w:pPr>
    </w:p>
    <w:p>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二零二二年</w:t>
      </w:r>
      <w:r>
        <w:rPr>
          <w:rFonts w:hint="eastAsia" w:ascii="仿宋" w:hAnsi="仿宋" w:eastAsia="仿宋" w:cs="仿宋"/>
          <w:color w:val="auto"/>
          <w:sz w:val="44"/>
          <w:szCs w:val="44"/>
          <w:highlight w:val="none"/>
          <w:lang w:val="en-US" w:eastAsia="zh-CN"/>
        </w:rPr>
        <w:t>十二</w:t>
      </w:r>
      <w:r>
        <w:rPr>
          <w:rFonts w:hint="eastAsia" w:ascii="仿宋" w:hAnsi="仿宋" w:eastAsia="仿宋" w:cs="仿宋"/>
          <w:color w:val="auto"/>
          <w:sz w:val="44"/>
          <w:szCs w:val="44"/>
          <w:highlight w:val="none"/>
        </w:rPr>
        <w:t>月制</w:t>
      </w:r>
    </w:p>
    <w:p>
      <w:pPr>
        <w:spacing w:line="500" w:lineRule="exact"/>
        <w:rPr>
          <w:rFonts w:hint="eastAsia" w:ascii="仿宋" w:hAnsi="仿宋" w:eastAsia="仿宋" w:cs="仿宋"/>
          <w:color w:val="auto"/>
          <w:highlight w:val="none"/>
        </w:rPr>
      </w:pPr>
    </w:p>
    <w:p>
      <w:pPr>
        <w:spacing w:line="400" w:lineRule="exact"/>
        <w:jc w:val="center"/>
        <w:rPr>
          <w:rFonts w:hint="eastAsia" w:ascii="仿宋" w:hAnsi="仿宋" w:eastAsia="仿宋" w:cs="仿宋"/>
          <w:color w:val="auto"/>
          <w:sz w:val="44"/>
          <w:szCs w:val="44"/>
          <w:highlight w:val="none"/>
        </w:rPr>
      </w:pPr>
      <w:bookmarkStart w:id="0" w:name="_Toc491959005"/>
      <w:r>
        <w:rPr>
          <w:rFonts w:hint="eastAsia" w:ascii="仿宋" w:hAnsi="仿宋" w:eastAsia="仿宋" w:cs="仿宋"/>
          <w:color w:val="auto"/>
          <w:sz w:val="44"/>
          <w:szCs w:val="44"/>
          <w:highlight w:val="none"/>
        </w:rPr>
        <w:br w:type="page"/>
      </w:r>
      <w:r>
        <w:rPr>
          <w:rFonts w:hint="eastAsia" w:ascii="仿宋" w:hAnsi="仿宋" w:eastAsia="仿宋" w:cs="仿宋"/>
          <w:color w:val="auto"/>
          <w:sz w:val="40"/>
          <w:szCs w:val="40"/>
          <w:highlight w:val="none"/>
        </w:rPr>
        <w:t>使用说明和指南</w:t>
      </w:r>
      <w:bookmarkEnd w:id="0"/>
    </w:p>
    <w:p>
      <w:pPr>
        <w:spacing w:line="4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一、说明</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1、适用范围</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公安局政府采购竞争性谈判文件示范文本》（以下简称“本示范文本”）以《杭州市政府采购采购文件示范文本（试行）》为基础，结合现行主要政府采购相关法律法规、省财政厅、市财政局有关政策文件及《温州市公安局采购管理办法》等相关规定及管理需要编制而成，适用于温州市公安局及及下属单位政府采购项目。</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温州市公安局关于对市局重点信息化项目采购采购文件实行专家论证制度有关规定的通知》，重点信息化项目在采购人提交采购需求，报市招投标中心报批或采购代理完成采购采购文件初稿后，在招标前需组织专家对采购采购文件（初稿）特别是采购需求、供应商的资格条件、评分标准等内容进行论证。</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3、“本示范文本”除本使用说明和指南规定外，原则上采购人、采购代理机构(以下简称“招标采购单位”）不得改动其他文字：</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有下划线、下划线加括号等空白部分由供应商根据国家有关法律法规和项目实际情况进行填写，填写的内容招标采购单位应根据采购项目具体特点和采购需求具体化，确实没有需要填写的，用“/”标示或写“无”；</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（2）斜体字或括号加斜体字部分为提示性内容，采购人可以选择、填写或删除相关内容；</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（3）以“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”前缀部分为选择性内容，“</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系指不适用本项目的要求，招标采购单位选择使用本项目要求的内容后，可删除未选择的内容；</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4、项目特殊情况需要在采购文件中增加约定情况，请在供应商须知前附表第34项开始另行约定。</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5、采购文件应由具备编制采购文件相应能力的专业人员撰写。</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6、采购文件编制完成后，本使用说明和指南删除，不出现在发布版本的采购文件中。</w:t>
      </w:r>
    </w:p>
    <w:p>
      <w:pPr>
        <w:spacing w:line="4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二、使用指南</w:t>
      </w:r>
    </w:p>
    <w:p>
      <w:pPr>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第一部分  采购公告部分</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（1）采购单位名称、项目名称、标项名称、采购预算金额、采购数量的填写。</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以上内容应与政府采购计划书相一致。</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（2）采购需求的填写。采购公告中展示的采购需求内容应与政府采购计划书或采购人提供的采购需求中的主要技术规格或者服务内容相适应项目概况，采购需求应当清楚明了、表述规范、含义准确。</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最高限价。最高限价原则上以财政部门审批的政府采购计划书中的采购预算金额作为最高限价。若采购人要求按照采购前审计部门出具的审计意见中规定的最高限价或第三方咨询机构有出具的项目招标控制价（或限价）作为本项目最高限价的，则以采购人要求为准。最高限价不得超过政府采购计划书中审批的预算金额。</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（4）采购人。即采购项目的法人或其他组织，一般是采购项目采购单位。</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（5）采购代理机构。为本次招标提供采购人的机构。自行招标的，相关的代理内容应删除。</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申请人的资格要求。第2点“落实政府采购政策需满足的资格要求”中勾选资格要后，须删除其他不相适应的资格要求内容。第3点“本项目的特定资格要求”按项目采购需求填写，没有特定资格要求则填写“无”。</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（7）联合体。如完成本次采购需要供应商同时具备2项或以上资质或者特定资格要求时，不得排斥联合体供应商。</w:t>
      </w:r>
    </w:p>
    <w:p>
      <w:pPr>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第二部分  供应商须知及前附表部分</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（1）须知前附表第1、2、3、5、6、10、20项内容的填写应与采购公告相关内容填写一致。</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（2）须知前附表第11、12、13、14、15、16、25、29项内容根据本次招标的具体情况和要求，按示范文本中提示内容进行选择或填写。</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（3）提交响应文件开启时间截止时间、响应文件开启时间的填写。应与采购公告规定的响应截止时间一致。</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（4）评审专家抽取与使用。按照《中华人民共和国政府采购法》、《政府采购非招标采购方式管理办法》（财政部第74号令）相关规定组建。</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（5）评审办法。应根据本次招标的实际情况合理选用评审办法。</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（6）使用电子招投标如遇政策、平台更新等，本采购文件范本程序应及时进行更新。</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（5）响应文件开启时间的组成。响应文件开启时间的组成部分“资格文件”、“商务技术</w:t>
      </w:r>
      <w:r>
        <w:rPr>
          <w:rFonts w:hint="eastAsia" w:ascii="仿宋" w:hAnsi="仿宋" w:eastAsia="仿宋" w:cs="仿宋"/>
          <w:color w:val="auto"/>
          <w:sz w:val="24"/>
          <w:highlight w:val="none"/>
          <w:lang w:val="zh-CN"/>
        </w:rPr>
        <w:t>文件</w:t>
      </w:r>
      <w:r>
        <w:rPr>
          <w:rFonts w:hint="eastAsia" w:ascii="仿宋" w:hAnsi="仿宋" w:eastAsia="仿宋" w:cs="仿宋"/>
          <w:color w:val="auto"/>
          <w:sz w:val="24"/>
          <w:highlight w:val="none"/>
        </w:rPr>
        <w:t xml:space="preserve">”、“报价文件”文件格式可根据采购项目需求、评审办法、报价要求作出相适应的格式调整或编排。  </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（6）谈判报价。14.</w:t>
      </w:r>
      <w:r>
        <w:rPr>
          <w:rFonts w:hint="eastAsia" w:ascii="仿宋" w:hAnsi="仿宋" w:eastAsia="仿宋" w:cs="仿宋"/>
          <w:color w:val="auto"/>
          <w:sz w:val="24"/>
          <w:highlight w:val="none"/>
          <w:lang w:val="zh-CN"/>
        </w:rPr>
        <w:t>1款</w:t>
      </w:r>
      <w:r>
        <w:rPr>
          <w:rFonts w:hint="eastAsia" w:ascii="仿宋" w:hAnsi="仿宋" w:eastAsia="仿宋" w:cs="仿宋"/>
          <w:color w:val="auto"/>
          <w:sz w:val="24"/>
          <w:highlight w:val="none"/>
        </w:rPr>
        <w:t xml:space="preserve">谈判报价形式选用后，对应保留14.2款的报价要求，其他删除。 </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（7）备份响应文件开启时间。提交形式可同时勾选；只勾选其中一项时另一项备选文件提交方案删除。            </w:t>
      </w:r>
    </w:p>
    <w:p>
      <w:pPr>
        <w:spacing w:line="42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第三部分 采购需求部分</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（1）拟采购的标的及其需要满足的技术、商务要求应该按照财政部《政府采购需求管理办法》财库〔2021〕22号文件办法进行编制。</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应当清楚明了、表述规范、含义准确。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采购需求可以直接引用相关国家标准、行业标准、地方标准等标准、规范，也可以根据项目目标提出更高的技术要求。</w:t>
      </w:r>
    </w:p>
    <w:p>
      <w:pPr>
        <w:numPr>
          <w:ilvl w:val="0"/>
          <w:numId w:val="1"/>
        </w:numPr>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评审办法部分</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（1）本评审办法前附表条款号与评审办法部分正文条款号对应。</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（2）评审办法。应根据本次招标的实际情况合理选用评审办法；勾选适用于本项目评审办法后，未选择的内容删除。</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（3）资格审查。按照响应文件开启时间组成中的资格文件内容编制内容填写。</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（4）符合性审查。如有符合性审查补充内容，补充后作为符合性审查条款；如没有填写“/”或“无”   </w:t>
      </w:r>
    </w:p>
    <w:p>
      <w:pPr>
        <w:spacing w:line="42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第五部分  合同部分</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采购文件合同格式作为参考范本。招标采购单位可根据项目实际情况选择和使用相适应的合同范本，并予以补充。</w:t>
      </w:r>
    </w:p>
    <w:p>
      <w:pPr>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第六部分 响应文件开启时间的组成格式部分</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响应文件开启时间格式。按照采购文件第六部分规定的格式基础上，</w:t>
      </w:r>
      <w:r>
        <w:rPr>
          <w:rFonts w:hint="eastAsia" w:ascii="仿宋" w:hAnsi="仿宋" w:eastAsia="仿宋" w:cs="仿宋"/>
          <w:color w:val="auto"/>
          <w:sz w:val="24"/>
          <w:highlight w:val="none"/>
        </w:rPr>
        <w:t>招标采购单位可根据采购项目需求、评审办法、报价要求作出相适应的格式调整或编排。</w:t>
      </w:r>
    </w:p>
    <w:p>
      <w:pPr>
        <w:spacing w:line="42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三、其他注意事项</w:t>
      </w:r>
    </w:p>
    <w:p>
      <w:pPr>
        <w:pStyle w:val="60"/>
        <w:rPr>
          <w:rFonts w:hint="eastAsia" w:ascii="仿宋" w:hAnsi="仿宋" w:eastAsia="仿宋" w:cs="仿宋"/>
          <w:color w:val="auto"/>
          <w:highlight w:val="none"/>
          <w:lang w:eastAsia="zh-CN"/>
        </w:rPr>
      </w:pPr>
      <w:r>
        <w:rPr>
          <w:rFonts w:hint="eastAsia" w:ascii="仿宋" w:hAnsi="仿宋" w:eastAsia="仿宋" w:cs="仿宋"/>
          <w:color w:val="auto"/>
          <w:szCs w:val="24"/>
          <w:highlight w:val="none"/>
          <w:lang w:eastAsia="zh-CN"/>
        </w:rPr>
        <w:t>“市公安局采购竞争性谈判范本”为20</w:t>
      </w:r>
      <w:r>
        <w:rPr>
          <w:rFonts w:hint="eastAsia" w:ascii="仿宋" w:hAnsi="仿宋" w:eastAsia="仿宋" w:cs="仿宋"/>
          <w:color w:val="auto"/>
          <w:szCs w:val="24"/>
          <w:highlight w:val="none"/>
          <w:lang w:val="en-US" w:eastAsia="zh-CN"/>
        </w:rPr>
        <w:t>22</w:t>
      </w:r>
      <w:r>
        <w:rPr>
          <w:rFonts w:hint="eastAsia" w:ascii="仿宋" w:hAnsi="仿宋" w:eastAsia="仿宋" w:cs="仿宋"/>
          <w:color w:val="auto"/>
          <w:szCs w:val="24"/>
          <w:highlight w:val="none"/>
          <w:lang w:eastAsia="zh-CN"/>
        </w:rPr>
        <w:t>年版，将根据实际执行过程中出现的问题及最新政策进行修改。各使用单位或个人对“市公安局采购竞争性谈判范本”的修改意见和建议，可采用按以下联系方式向警保部进行反馈：</w:t>
      </w:r>
      <w:r>
        <w:rPr>
          <w:rFonts w:hint="eastAsia" w:ascii="仿宋" w:hAnsi="仿宋" w:eastAsia="仿宋" w:cs="仿宋"/>
          <w:color w:val="auto"/>
          <w:highlight w:val="none"/>
        </w:rPr>
        <w:t>0577-89980212，联系人：方彬彬</w:t>
      </w:r>
      <w:r>
        <w:rPr>
          <w:rFonts w:hint="eastAsia" w:ascii="仿宋" w:hAnsi="仿宋" w:eastAsia="仿宋" w:cs="仿宋"/>
          <w:color w:val="auto"/>
          <w:highlight w:val="none"/>
          <w:lang w:eastAsia="zh-CN"/>
        </w:rPr>
        <w:t>。</w:t>
      </w:r>
    </w:p>
    <w:p>
      <w:pPr>
        <w:pStyle w:val="60"/>
        <w:rPr>
          <w:rFonts w:hint="eastAsia" w:ascii="仿宋" w:hAnsi="仿宋" w:eastAsia="仿宋" w:cs="仿宋"/>
          <w:color w:val="auto"/>
          <w:highlight w:val="none"/>
          <w:lang w:val="en-US" w:eastAsia="zh-CN"/>
        </w:rPr>
        <w:sectPr>
          <w:headerReference r:id="rId4" w:type="first"/>
          <w:footerReference r:id="rId6" w:type="first"/>
          <w:headerReference r:id="rId3" w:type="default"/>
          <w:footerReference r:id="rId5" w:type="default"/>
          <w:pgSz w:w="11906" w:h="16838"/>
          <w:pgMar w:top="1276" w:right="1276" w:bottom="1276" w:left="1276" w:header="851" w:footer="200" w:gutter="0"/>
          <w:pgNumType w:start="1"/>
          <w:cols w:space="720" w:num="1"/>
          <w:titlePg/>
          <w:docGrid w:linePitch="312" w:charSpace="0"/>
        </w:sectPr>
      </w:pPr>
    </w:p>
    <w:p>
      <w:pPr>
        <w:adjustRightInd/>
        <w:spacing w:line="360" w:lineRule="auto"/>
        <w:jc w:val="center"/>
        <w:rPr>
          <w:rFonts w:hint="eastAsia" w:ascii="仿宋" w:hAnsi="仿宋" w:eastAsia="仿宋" w:cs="仿宋"/>
          <w:color w:val="auto"/>
          <w:sz w:val="40"/>
          <w:szCs w:val="40"/>
          <w:highlight w:val="none"/>
          <w:lang w:eastAsia="zh-CN"/>
        </w:rPr>
      </w:pPr>
    </w:p>
    <w:p>
      <w:pPr>
        <w:adjustRightInd/>
        <w:spacing w:line="360" w:lineRule="auto"/>
        <w:jc w:val="center"/>
        <w:rPr>
          <w:rFonts w:hint="eastAsia" w:ascii="仿宋" w:hAnsi="仿宋" w:eastAsia="仿宋" w:cs="仿宋"/>
          <w:color w:val="auto"/>
          <w:sz w:val="40"/>
          <w:szCs w:val="40"/>
          <w:highlight w:val="none"/>
          <w:lang w:eastAsia="zh-CN"/>
        </w:rPr>
      </w:pPr>
    </w:p>
    <w:p>
      <w:pPr>
        <w:adjustRightInd/>
        <w:spacing w:line="360" w:lineRule="auto"/>
        <w:jc w:val="center"/>
        <w:rPr>
          <w:rFonts w:hint="eastAsia" w:ascii="仿宋" w:hAnsi="仿宋" w:eastAsia="仿宋" w:cs="仿宋"/>
          <w:color w:val="auto"/>
          <w:sz w:val="40"/>
          <w:szCs w:val="40"/>
          <w:highlight w:val="none"/>
          <w:lang w:eastAsia="zh-CN"/>
        </w:rPr>
      </w:pPr>
      <w:r>
        <w:rPr>
          <w:rFonts w:hint="eastAsia" w:ascii="仿宋" w:hAnsi="仿宋" w:eastAsia="仿宋" w:cs="仿宋"/>
          <w:color w:val="auto"/>
          <w:sz w:val="40"/>
          <w:szCs w:val="40"/>
          <w:highlight w:val="none"/>
          <w:lang w:eastAsia="zh-CN"/>
        </w:rPr>
        <w:t>市本级2018年“雪亮工程”建设项目（雪亮一期）标段四（2022-2023年）运维服务</w:t>
      </w:r>
    </w:p>
    <w:p>
      <w:pPr>
        <w:adjustRightInd/>
        <w:spacing w:line="360" w:lineRule="auto"/>
        <w:jc w:val="center"/>
        <w:rPr>
          <w:rFonts w:hint="eastAsia" w:ascii="仿宋" w:hAnsi="仿宋" w:eastAsia="仿宋" w:cs="仿宋"/>
          <w:color w:val="auto"/>
          <w:sz w:val="40"/>
          <w:szCs w:val="40"/>
          <w:highlight w:val="none"/>
          <w:lang w:eastAsia="zh-CN"/>
        </w:rPr>
      </w:pPr>
    </w:p>
    <w:p>
      <w:pPr>
        <w:adjustRightInd/>
        <w:jc w:val="center"/>
        <w:rPr>
          <w:rFonts w:hint="eastAsia" w:ascii="仿宋" w:hAnsi="仿宋" w:eastAsia="仿宋" w:cs="仿宋"/>
          <w:color w:val="auto"/>
          <w:sz w:val="96"/>
          <w:szCs w:val="96"/>
          <w:highlight w:val="none"/>
        </w:rPr>
      </w:pPr>
      <w:r>
        <w:rPr>
          <w:rFonts w:hint="eastAsia" w:ascii="仿宋" w:hAnsi="仿宋" w:eastAsia="仿宋" w:cs="仿宋"/>
          <w:color w:val="auto"/>
          <w:sz w:val="104"/>
          <w:szCs w:val="104"/>
          <w:highlight w:val="none"/>
        </w:rPr>
        <w:t>采购文件</w:t>
      </w:r>
      <w:r>
        <w:rPr>
          <w:rFonts w:hint="eastAsia" w:ascii="仿宋" w:hAnsi="仿宋" w:eastAsia="仿宋" w:cs="仿宋"/>
          <w:color w:val="auto"/>
          <w:sz w:val="96"/>
          <w:szCs w:val="96"/>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p>
    <w:p>
      <w:pPr>
        <w:tabs>
          <w:tab w:val="left" w:pos="432"/>
        </w:tabs>
        <w:ind w:left="0" w:leftChars="0" w:firstLine="0" w:firstLineChars="0"/>
        <w:outlineLvl w:val="9"/>
        <w:rPr>
          <w:rFonts w:hint="eastAsia" w:ascii="仿宋" w:eastAsia="仿宋" w:cs="仿宋"/>
          <w:color w:val="auto"/>
          <w:highlight w:val="none"/>
          <w:lang w:eastAsia="zh-CN"/>
        </w:rPr>
      </w:pP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采购方式：竞争性谈判</w:t>
      </w:r>
    </w:p>
    <w:p>
      <w:pPr>
        <w:snapToGrid w:val="0"/>
        <w:spacing w:line="360" w:lineRule="auto"/>
        <w:jc w:val="cente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WZLCZB-2022-11591</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napToGrid w:val="0"/>
        <w:spacing w:line="360" w:lineRule="auto"/>
        <w:ind w:firstLine="2240" w:firstLineChars="7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采   购  人：</w:t>
      </w:r>
      <w:r>
        <w:rPr>
          <w:rFonts w:hint="eastAsia" w:ascii="仿宋" w:hAnsi="仿宋" w:eastAsia="仿宋" w:cs="仿宋"/>
          <w:color w:val="auto"/>
          <w:sz w:val="32"/>
          <w:szCs w:val="32"/>
          <w:highlight w:val="none"/>
          <w:lang w:eastAsia="zh-CN"/>
        </w:rPr>
        <w:t>温州市公安局</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采购代理机构</w:t>
      </w:r>
      <w:r>
        <w:rPr>
          <w:rFonts w:hint="eastAsia" w:ascii="仿宋" w:hAnsi="仿宋" w:eastAsia="仿宋" w:cs="仿宋"/>
          <w:color w:val="auto"/>
          <w:sz w:val="32"/>
          <w:szCs w:val="32"/>
          <w:highlight w:val="none"/>
        </w:rPr>
        <w:t>：</w:t>
      </w:r>
      <w:bookmarkStart w:id="1" w:name="B38_采购代理机构名称"/>
      <w:r>
        <w:rPr>
          <w:rFonts w:hint="eastAsia" w:ascii="仿宋" w:hAnsi="仿宋" w:eastAsia="仿宋" w:cs="仿宋"/>
          <w:color w:val="auto"/>
          <w:sz w:val="32"/>
          <w:szCs w:val="32"/>
          <w:highlight w:val="none"/>
        </w:rPr>
        <w:t>温州历程招标有限公司</w:t>
      </w:r>
      <w:bookmarkEnd w:id="1"/>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bookmarkStart w:id="2" w:name="_Hlt67893495"/>
      <w:bookmarkEnd w:id="2"/>
      <w:r>
        <w:rPr>
          <w:rFonts w:hint="eastAsia" w:ascii="仿宋" w:hAnsi="仿宋" w:eastAsia="仿宋" w:cs="仿宋"/>
          <w:b/>
          <w:color w:val="auto"/>
          <w:sz w:val="48"/>
          <w:szCs w:val="48"/>
          <w:highlight w:val="none"/>
        </w:rPr>
        <w:br w:type="page"/>
      </w:r>
      <w:r>
        <w:rPr>
          <w:rFonts w:hint="eastAsia" w:ascii="仿宋" w:hAnsi="仿宋" w:eastAsia="仿宋" w:cs="仿宋"/>
          <w:b/>
          <w:color w:val="auto"/>
          <w:sz w:val="48"/>
          <w:szCs w:val="48"/>
          <w:highlight w:val="none"/>
        </w:rPr>
        <w:t>目  录</w:t>
      </w:r>
    </w:p>
    <w:p>
      <w:pPr>
        <w:pStyle w:val="42"/>
        <w:tabs>
          <w:tab w:val="right" w:leader="dot" w:pos="9070"/>
        </w:tabs>
        <w:spacing w:line="360" w:lineRule="auto"/>
        <w:rPr>
          <w:color w:val="auto"/>
          <w:sz w:val="24"/>
          <w:szCs w:val="3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"1-3"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_Toc19983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第一部分 采购公告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_Toc19983 \h </w:instrText>
      </w:r>
      <w:r>
        <w:rPr>
          <w:color w:val="auto"/>
          <w:sz w:val="24"/>
          <w:szCs w:val="32"/>
          <w:highlight w:val="none"/>
        </w:rPr>
        <w:fldChar w:fldCharType="separate"/>
      </w:r>
      <w:r>
        <w:rPr>
          <w:color w:val="auto"/>
          <w:sz w:val="24"/>
          <w:szCs w:val="32"/>
          <w:highlight w:val="none"/>
        </w:rPr>
        <w:t>3</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2"/>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_Toc26716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第二部分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_Toc26716 \h </w:instrText>
      </w:r>
      <w:r>
        <w:rPr>
          <w:color w:val="auto"/>
          <w:sz w:val="24"/>
          <w:szCs w:val="32"/>
          <w:highlight w:val="none"/>
        </w:rPr>
        <w:fldChar w:fldCharType="separate"/>
      </w:r>
      <w:r>
        <w:rPr>
          <w:color w:val="auto"/>
          <w:sz w:val="24"/>
          <w:szCs w:val="32"/>
          <w:highlight w:val="none"/>
        </w:rPr>
        <w:t>7</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2"/>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_Toc3019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前附表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_Toc3019 \h </w:instrText>
      </w:r>
      <w:r>
        <w:rPr>
          <w:color w:val="auto"/>
          <w:sz w:val="24"/>
          <w:szCs w:val="32"/>
          <w:highlight w:val="none"/>
        </w:rPr>
        <w:fldChar w:fldCharType="separate"/>
      </w:r>
      <w:r>
        <w:rPr>
          <w:color w:val="auto"/>
          <w:sz w:val="24"/>
          <w:szCs w:val="32"/>
          <w:highlight w:val="none"/>
        </w:rPr>
        <w:t>7</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2"/>
        <w:tabs>
          <w:tab w:val="right" w:leader="dot" w:pos="9070"/>
        </w:tabs>
        <w:spacing w:line="360" w:lineRule="auto"/>
        <w:ind w:firstLine="480" w:firstLineChars="20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_Toc18105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lang w:val="zh-CN"/>
        </w:rPr>
        <w:t>一、总则</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_Toc18105 \h </w:instrText>
      </w:r>
      <w:r>
        <w:rPr>
          <w:color w:val="auto"/>
          <w:sz w:val="24"/>
          <w:szCs w:val="32"/>
          <w:highlight w:val="none"/>
        </w:rPr>
        <w:fldChar w:fldCharType="separate"/>
      </w:r>
      <w:r>
        <w:rPr>
          <w:color w:val="auto"/>
          <w:sz w:val="24"/>
          <w:szCs w:val="32"/>
          <w:highlight w:val="none"/>
        </w:rPr>
        <w:t>12</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2"/>
        <w:tabs>
          <w:tab w:val="right" w:leader="dot" w:pos="9070"/>
        </w:tabs>
        <w:spacing w:line="360" w:lineRule="auto"/>
        <w:ind w:firstLine="480" w:firstLineChars="20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_Toc13895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lang w:val="zh-CN"/>
        </w:rPr>
        <w:t>二、采购文件的构成、澄清、修改</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_Toc13895 \h </w:instrText>
      </w:r>
      <w:r>
        <w:rPr>
          <w:color w:val="auto"/>
          <w:sz w:val="24"/>
          <w:szCs w:val="32"/>
          <w:highlight w:val="none"/>
        </w:rPr>
        <w:fldChar w:fldCharType="separate"/>
      </w:r>
      <w:r>
        <w:rPr>
          <w:color w:val="auto"/>
          <w:sz w:val="24"/>
          <w:szCs w:val="32"/>
          <w:highlight w:val="none"/>
        </w:rPr>
        <w:t>16</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ind w:left="0" w:leftChars="0" w:firstLine="480" w:firstLineChars="20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_Toc22850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lang w:val="zh-CN"/>
        </w:rPr>
        <w:t>三、谈判响应</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_Toc22850 \h </w:instrText>
      </w:r>
      <w:r>
        <w:rPr>
          <w:color w:val="auto"/>
          <w:sz w:val="24"/>
          <w:szCs w:val="32"/>
          <w:highlight w:val="none"/>
        </w:rPr>
        <w:fldChar w:fldCharType="separate"/>
      </w:r>
      <w:r>
        <w:rPr>
          <w:color w:val="auto"/>
          <w:sz w:val="24"/>
          <w:szCs w:val="32"/>
          <w:highlight w:val="none"/>
        </w:rPr>
        <w:t>17</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_Toc9641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四、响应文件开启、资格审查与信用信息查询</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_Toc9641 \h </w:instrText>
      </w:r>
      <w:r>
        <w:rPr>
          <w:color w:val="auto"/>
          <w:sz w:val="24"/>
          <w:szCs w:val="32"/>
          <w:highlight w:val="none"/>
        </w:rPr>
        <w:fldChar w:fldCharType="separate"/>
      </w:r>
      <w:r>
        <w:rPr>
          <w:color w:val="auto"/>
          <w:sz w:val="24"/>
          <w:szCs w:val="32"/>
          <w:highlight w:val="none"/>
        </w:rPr>
        <w:t>20</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_Toc4576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五、评审</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_Toc4576 \h </w:instrText>
      </w:r>
      <w:r>
        <w:rPr>
          <w:color w:val="auto"/>
          <w:sz w:val="24"/>
          <w:szCs w:val="32"/>
          <w:highlight w:val="none"/>
        </w:rPr>
        <w:fldChar w:fldCharType="separate"/>
      </w:r>
      <w:r>
        <w:rPr>
          <w:color w:val="auto"/>
          <w:sz w:val="24"/>
          <w:szCs w:val="32"/>
          <w:highlight w:val="none"/>
        </w:rPr>
        <w:t>21</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_Toc29955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六、评审结果确定</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_Toc29955 \h </w:instrText>
      </w:r>
      <w:r>
        <w:rPr>
          <w:color w:val="auto"/>
          <w:sz w:val="24"/>
          <w:szCs w:val="32"/>
          <w:highlight w:val="none"/>
        </w:rPr>
        <w:fldChar w:fldCharType="separate"/>
      </w:r>
      <w:r>
        <w:rPr>
          <w:color w:val="auto"/>
          <w:sz w:val="24"/>
          <w:szCs w:val="32"/>
          <w:highlight w:val="none"/>
        </w:rPr>
        <w:t>22</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_Toc11698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七、合同授予</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_Toc11698 \h </w:instrText>
      </w:r>
      <w:r>
        <w:rPr>
          <w:color w:val="auto"/>
          <w:sz w:val="24"/>
          <w:szCs w:val="32"/>
          <w:highlight w:val="none"/>
        </w:rPr>
        <w:fldChar w:fldCharType="separate"/>
      </w:r>
      <w:r>
        <w:rPr>
          <w:color w:val="auto"/>
          <w:sz w:val="24"/>
          <w:szCs w:val="32"/>
          <w:highlight w:val="none"/>
        </w:rPr>
        <w:t>22</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_Toc4363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八、电子交易活动的中止</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_Toc4363 \h </w:instrText>
      </w:r>
      <w:r>
        <w:rPr>
          <w:color w:val="auto"/>
          <w:sz w:val="24"/>
          <w:szCs w:val="32"/>
          <w:highlight w:val="none"/>
        </w:rPr>
        <w:fldChar w:fldCharType="separate"/>
      </w:r>
      <w:r>
        <w:rPr>
          <w:color w:val="auto"/>
          <w:sz w:val="24"/>
          <w:szCs w:val="32"/>
          <w:highlight w:val="none"/>
        </w:rPr>
        <w:t>23</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_Toc25540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九、验收</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_Toc25540 \h </w:instrText>
      </w:r>
      <w:r>
        <w:rPr>
          <w:color w:val="auto"/>
          <w:sz w:val="24"/>
          <w:szCs w:val="32"/>
          <w:highlight w:val="none"/>
        </w:rPr>
        <w:fldChar w:fldCharType="separate"/>
      </w:r>
      <w:r>
        <w:rPr>
          <w:color w:val="auto"/>
          <w:sz w:val="24"/>
          <w:szCs w:val="32"/>
          <w:highlight w:val="none"/>
        </w:rPr>
        <w:t>24</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_Toc18048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第三部分   采购需求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_Toc18048 \h </w:instrText>
      </w:r>
      <w:r>
        <w:rPr>
          <w:color w:val="auto"/>
          <w:sz w:val="24"/>
          <w:szCs w:val="32"/>
          <w:highlight w:val="none"/>
        </w:rPr>
        <w:fldChar w:fldCharType="separate"/>
      </w:r>
      <w:r>
        <w:rPr>
          <w:color w:val="auto"/>
          <w:sz w:val="24"/>
          <w:szCs w:val="32"/>
          <w:highlight w:val="none"/>
        </w:rPr>
        <w:t>25</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_Toc23043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第四部分   评审办法</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_Toc23043 \h </w:instrText>
      </w:r>
      <w:r>
        <w:rPr>
          <w:color w:val="auto"/>
          <w:sz w:val="24"/>
          <w:szCs w:val="32"/>
          <w:highlight w:val="none"/>
        </w:rPr>
        <w:fldChar w:fldCharType="separate"/>
      </w:r>
      <w:r>
        <w:rPr>
          <w:color w:val="auto"/>
          <w:sz w:val="24"/>
          <w:szCs w:val="32"/>
          <w:highlight w:val="none"/>
        </w:rPr>
        <w:t>47</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_Toc18180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评审办法前附表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_Toc18180 \h </w:instrText>
      </w:r>
      <w:r>
        <w:rPr>
          <w:color w:val="auto"/>
          <w:sz w:val="24"/>
          <w:szCs w:val="32"/>
          <w:highlight w:val="none"/>
        </w:rPr>
        <w:fldChar w:fldCharType="separate"/>
      </w:r>
      <w:r>
        <w:rPr>
          <w:color w:val="auto"/>
          <w:sz w:val="24"/>
          <w:szCs w:val="32"/>
          <w:highlight w:val="none"/>
        </w:rPr>
        <w:t>47</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_Toc26288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1.评审方法</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_Toc26288 \h </w:instrText>
      </w:r>
      <w:r>
        <w:rPr>
          <w:color w:val="auto"/>
          <w:sz w:val="24"/>
          <w:szCs w:val="32"/>
          <w:highlight w:val="none"/>
        </w:rPr>
        <w:fldChar w:fldCharType="separate"/>
      </w:r>
      <w:r>
        <w:rPr>
          <w:color w:val="auto"/>
          <w:sz w:val="24"/>
          <w:szCs w:val="32"/>
          <w:highlight w:val="none"/>
        </w:rPr>
        <w:t>50</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_Toc307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2.评审程序及标准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_Toc307 \h </w:instrText>
      </w:r>
      <w:r>
        <w:rPr>
          <w:color w:val="auto"/>
          <w:sz w:val="24"/>
          <w:szCs w:val="32"/>
          <w:highlight w:val="none"/>
        </w:rPr>
        <w:fldChar w:fldCharType="separate"/>
      </w:r>
      <w:r>
        <w:rPr>
          <w:color w:val="auto"/>
          <w:sz w:val="24"/>
          <w:szCs w:val="32"/>
          <w:highlight w:val="none"/>
        </w:rPr>
        <w:t>50</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_Toc25603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3.评审结果</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_Toc25603 \h </w:instrText>
      </w:r>
      <w:r>
        <w:rPr>
          <w:color w:val="auto"/>
          <w:sz w:val="24"/>
          <w:szCs w:val="32"/>
          <w:highlight w:val="none"/>
        </w:rPr>
        <w:fldChar w:fldCharType="separate"/>
      </w:r>
      <w:r>
        <w:rPr>
          <w:color w:val="auto"/>
          <w:sz w:val="24"/>
          <w:szCs w:val="32"/>
          <w:highlight w:val="none"/>
        </w:rPr>
        <w:t>53</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_Toc12976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4.其他</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_Toc12976 \h </w:instrText>
      </w:r>
      <w:r>
        <w:rPr>
          <w:color w:val="auto"/>
          <w:sz w:val="24"/>
          <w:szCs w:val="32"/>
          <w:highlight w:val="none"/>
        </w:rPr>
        <w:fldChar w:fldCharType="separate"/>
      </w:r>
      <w:r>
        <w:rPr>
          <w:color w:val="auto"/>
          <w:sz w:val="24"/>
          <w:szCs w:val="32"/>
          <w:highlight w:val="none"/>
        </w:rPr>
        <w:t>53</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ind w:left="0" w:leftChars="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_Toc9682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第五部分 拟签订的合同文本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_Toc9682 \h </w:instrText>
      </w:r>
      <w:r>
        <w:rPr>
          <w:color w:val="auto"/>
          <w:sz w:val="24"/>
          <w:szCs w:val="32"/>
          <w:highlight w:val="none"/>
        </w:rPr>
        <w:fldChar w:fldCharType="separate"/>
      </w:r>
      <w:r>
        <w:rPr>
          <w:color w:val="auto"/>
          <w:sz w:val="24"/>
          <w:szCs w:val="32"/>
          <w:highlight w:val="none"/>
        </w:rPr>
        <w:t>54</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ind w:left="0" w:leftChars="0"/>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_Toc12650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第六部分 应提交的有关格式范例</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_Toc12650 \h </w:instrText>
      </w:r>
      <w:r>
        <w:rPr>
          <w:color w:val="auto"/>
          <w:sz w:val="24"/>
          <w:szCs w:val="32"/>
          <w:highlight w:val="none"/>
        </w:rPr>
        <w:fldChar w:fldCharType="separate"/>
      </w:r>
      <w:r>
        <w:rPr>
          <w:color w:val="auto"/>
          <w:sz w:val="24"/>
          <w:szCs w:val="32"/>
          <w:highlight w:val="none"/>
        </w:rPr>
        <w:t>76</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_Toc13322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资格文件部分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_Toc13322 \h </w:instrText>
      </w:r>
      <w:r>
        <w:rPr>
          <w:color w:val="auto"/>
          <w:sz w:val="24"/>
          <w:szCs w:val="32"/>
          <w:highlight w:val="none"/>
        </w:rPr>
        <w:fldChar w:fldCharType="separate"/>
      </w:r>
      <w:r>
        <w:rPr>
          <w:color w:val="auto"/>
          <w:sz w:val="24"/>
          <w:szCs w:val="32"/>
          <w:highlight w:val="none"/>
        </w:rPr>
        <w:t>76</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_Toc31209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商务技术文件部分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_Toc31209 \h </w:instrText>
      </w:r>
      <w:r>
        <w:rPr>
          <w:color w:val="auto"/>
          <w:sz w:val="24"/>
          <w:szCs w:val="32"/>
          <w:highlight w:val="none"/>
        </w:rPr>
        <w:fldChar w:fldCharType="separate"/>
      </w:r>
      <w:r>
        <w:rPr>
          <w:color w:val="auto"/>
          <w:sz w:val="24"/>
          <w:szCs w:val="32"/>
          <w:highlight w:val="none"/>
        </w:rPr>
        <w:t>82</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3"/>
        <w:tabs>
          <w:tab w:val="right" w:leader="dot" w:pos="9070"/>
        </w:tabs>
        <w:spacing w:line="360" w:lineRule="auto"/>
        <w:rPr>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_Toc29762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报价文件部分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_Toc29762 \h </w:instrText>
      </w:r>
      <w:r>
        <w:rPr>
          <w:color w:val="auto"/>
          <w:sz w:val="24"/>
          <w:szCs w:val="32"/>
          <w:highlight w:val="none"/>
        </w:rPr>
        <w:fldChar w:fldCharType="separate"/>
      </w:r>
      <w:r>
        <w:rPr>
          <w:color w:val="auto"/>
          <w:sz w:val="24"/>
          <w:szCs w:val="32"/>
          <w:highlight w:val="none"/>
        </w:rPr>
        <w:t>89</w:t>
      </w:r>
      <w:r>
        <w:rPr>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2"/>
        <w:tabs>
          <w:tab w:val="right" w:leader="dot" w:pos="9070"/>
        </w:tabs>
        <w:rPr>
          <w:color w:val="auto"/>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szCs w:val="22"/>
          <w:highlight w:val="none"/>
        </w:rPr>
        <w:fldChar w:fldCharType="end"/>
      </w:r>
      <w:bookmarkStart w:id="3" w:name="第一部分"/>
      <w:bookmarkStart w:id="4" w:name="_Toc91899869"/>
      <w:bookmarkStart w:id="5" w:name="_Toc19983"/>
      <w:r>
        <w:rPr>
          <w:rFonts w:hint="eastAsia" w:ascii="仿宋" w:hAnsi="仿宋" w:eastAsia="仿宋" w:cs="仿宋"/>
          <w:b/>
          <w:color w:val="auto"/>
          <w:sz w:val="36"/>
          <w:szCs w:val="36"/>
          <w:highlight w:val="none"/>
        </w:rPr>
        <w:br w:type="page"/>
      </w:r>
      <w:bookmarkEnd w:id="3"/>
      <w:bookmarkEnd w:id="4"/>
      <w:bookmarkStart w:id="6" w:name="_Hlt74707423"/>
      <w:bookmarkEnd w:id="6"/>
      <w:bookmarkStart w:id="7" w:name="_Hlt74729822"/>
      <w:bookmarkEnd w:id="7"/>
      <w:bookmarkStart w:id="8" w:name="_Hlt74649545"/>
      <w:bookmarkEnd w:id="8"/>
      <w:bookmarkStart w:id="9" w:name="_Hlt74728647"/>
      <w:bookmarkEnd w:id="9"/>
      <w:bookmarkStart w:id="10" w:name="第二部分"/>
      <w:bookmarkStart w:id="11" w:name="_Toc91899870"/>
      <w:bookmarkStart w:id="12" w:name="_Toc91899871"/>
      <w:r>
        <w:rPr>
          <w:rStyle w:val="81"/>
          <w:rFonts w:hint="eastAsia" w:ascii="仿宋" w:eastAsia="仿宋" w:cs="仿宋"/>
          <w:color w:val="auto"/>
          <w:highlight w:val="none"/>
        </w:rPr>
        <w:t xml:space="preserve">第一部分 </w:t>
      </w:r>
      <w:bookmarkEnd w:id="5"/>
      <w:r>
        <w:rPr>
          <w:rStyle w:val="81"/>
          <w:rFonts w:hint="eastAsia" w:ascii="仿宋" w:eastAsia="仿宋" w:cs="仿宋"/>
          <w:color w:val="auto"/>
          <w:highlight w:val="none"/>
        </w:rPr>
        <w:t>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市本级2018年“雪亮工程”建设项目（雪亮一期）标段四（2022-2023年）运维服务</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color w:val="auto"/>
          <w:sz w:val="24"/>
          <w:highlight w:val="none"/>
          <w:u w:val="single"/>
          <w:lang w:val="en-US" w:eastAsia="zh-CN"/>
        </w:rPr>
        <w:t>2022年12月12日09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递交（上传）响应文件开启时间。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0"/>
        <w:rPr>
          <w:rFonts w:hint="eastAsia" w:ascii="仿宋" w:hAnsi="仿宋" w:eastAsia="仿宋" w:cs="仿宋"/>
          <w:color w:val="auto"/>
          <w:highlight w:val="none"/>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WZLCZB-2022-11591</w:t>
      </w:r>
    </w:p>
    <w:p>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b/>
          <w:bCs/>
          <w:snapToGrid w:val="0"/>
          <w:color w:val="auto"/>
          <w:kern w:val="28"/>
          <w:sz w:val="24"/>
          <w:szCs w:val="20"/>
          <w:highlight w:val="none"/>
          <w:lang w:eastAsia="zh-CN"/>
        </w:rPr>
        <w:t>市本级2018年“雪亮工程”建设项目（雪亮一期）标段四（2022-2023年）运维服务</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highlight w:val="none"/>
          <w:u w:val="single"/>
        </w:rPr>
        <w:t xml:space="preserve"> </w:t>
      </w:r>
      <w:r>
        <w:rPr>
          <w:rFonts w:hint="eastAsia" w:ascii="仿宋" w:hAnsi="仿宋" w:eastAsia="仿宋" w:cs="仿宋"/>
          <w:b/>
          <w:color w:val="auto"/>
          <w:sz w:val="24"/>
          <w:highlight w:val="none"/>
          <w:u w:val="single"/>
          <w:lang w:val="en-US" w:eastAsia="zh-CN"/>
        </w:rPr>
        <w:t>6913600</w:t>
      </w:r>
      <w:r>
        <w:rPr>
          <w:rFonts w:hint="eastAsia" w:ascii="仿宋" w:hAnsi="仿宋" w:eastAsia="仿宋" w:cs="仿宋"/>
          <w:color w:val="auto"/>
          <w:highlight w:val="none"/>
          <w:u w:val="singl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highlight w:val="none"/>
          <w:u w:val="single"/>
        </w:rPr>
        <w:t xml:space="preserve"> </w:t>
      </w:r>
      <w:r>
        <w:rPr>
          <w:rFonts w:hint="eastAsia" w:ascii="仿宋" w:hAnsi="仿宋" w:eastAsia="仿宋" w:cs="仿宋"/>
          <w:b/>
          <w:color w:val="auto"/>
          <w:sz w:val="24"/>
          <w:highlight w:val="none"/>
          <w:u w:val="single"/>
          <w:lang w:val="en-US" w:eastAsia="zh-CN"/>
        </w:rPr>
        <w:t>6913600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pStyle w:val="16"/>
        <w:spacing w:line="360" w:lineRule="auto"/>
        <w:ind w:firstLine="480"/>
        <w:rPr>
          <w:rFonts w:hint="eastAsia" w:ascii="仿宋" w:hAnsi="仿宋" w:eastAsia="仿宋" w:cs="仿宋"/>
          <w:b/>
          <w:color w:val="auto"/>
          <w:highlight w:val="none"/>
          <w:lang w:val="en-US" w:eastAsia="zh-CN"/>
        </w:rPr>
      </w:pPr>
      <w:r>
        <w:rPr>
          <w:rFonts w:hint="eastAsia" w:ascii="仿宋" w:hAnsi="仿宋" w:eastAsia="仿宋" w:cs="仿宋"/>
          <w:b/>
          <w:color w:val="auto"/>
          <w:sz w:val="24"/>
          <w:highlight w:val="none"/>
        </w:rPr>
        <w:t>采购需求：</w:t>
      </w:r>
      <w:bookmarkStart w:id="13" w:name="_Toc26996"/>
      <w:bookmarkStart w:id="14" w:name="_Toc142"/>
      <w:bookmarkStart w:id="15" w:name="_Toc28404"/>
    </w:p>
    <w:p>
      <w:pPr>
        <w:pStyle w:val="16"/>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标项四</w:t>
      </w:r>
    </w:p>
    <w:p>
      <w:pPr>
        <w:spacing w:line="360" w:lineRule="auto"/>
        <w:ind w:firstLine="48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标项名称:</w:t>
      </w:r>
      <w:r>
        <w:rPr>
          <w:rFonts w:hint="eastAsia" w:ascii="仿宋" w:hAnsi="仿宋" w:eastAsia="仿宋" w:cs="仿宋"/>
          <w:b/>
          <w:bCs/>
          <w:snapToGrid w:val="0"/>
          <w:color w:val="auto"/>
          <w:kern w:val="28"/>
          <w:sz w:val="24"/>
          <w:szCs w:val="20"/>
          <w:highlight w:val="none"/>
          <w:lang w:eastAsia="zh-CN"/>
        </w:rPr>
        <w:t>市本级2018年“雪亮工程”建设项目（雪亮一期）标段四（2022-2023年）运维服务</w:t>
      </w:r>
      <w:r>
        <w:rPr>
          <w:rFonts w:hint="eastAsia" w:ascii="仿宋" w:hAnsi="仿宋" w:eastAsia="仿宋" w:cs="仿宋"/>
          <w:b/>
          <w:bCs/>
          <w:snapToGrid w:val="0"/>
          <w:color w:val="auto"/>
          <w:kern w:val="28"/>
          <w:sz w:val="24"/>
          <w:szCs w:val="20"/>
          <w:highlight w:val="none"/>
        </w:rPr>
        <w:t>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数量:</w:t>
      </w:r>
      <w:r>
        <w:rPr>
          <w:rFonts w:hint="eastAsia" w:ascii="仿宋" w:hAnsi="仿宋" w:eastAsia="仿宋" w:cs="仿宋"/>
          <w:b/>
          <w:bCs/>
          <w:snapToGrid w:val="0"/>
          <w:color w:val="auto"/>
          <w:kern w:val="28"/>
          <w:sz w:val="24"/>
          <w:szCs w:val="20"/>
          <w:highlight w:val="none"/>
          <w:u w:val="single"/>
        </w:rPr>
        <w:t xml:space="preserve">  </w:t>
      </w:r>
      <w:r>
        <w:rPr>
          <w:rFonts w:hint="eastAsia" w:ascii="仿宋" w:hAnsi="仿宋" w:eastAsia="仿宋" w:cs="仿宋"/>
          <w:b/>
          <w:bCs/>
          <w:snapToGrid w:val="0"/>
          <w:color w:val="auto"/>
          <w:kern w:val="28"/>
          <w:sz w:val="24"/>
          <w:szCs w:val="20"/>
          <w:highlight w:val="none"/>
          <w:u w:val="single"/>
          <w:lang w:val="en-US" w:eastAsia="zh-CN"/>
        </w:rPr>
        <w:t>1项</w:t>
      </w:r>
      <w:r>
        <w:rPr>
          <w:rFonts w:hint="eastAsia" w:ascii="仿宋" w:hAnsi="仿宋" w:eastAsia="仿宋" w:cs="仿宋"/>
          <w:b/>
          <w:bCs/>
          <w:snapToGrid w:val="0"/>
          <w:color w:val="auto"/>
          <w:kern w:val="28"/>
          <w:sz w:val="24"/>
          <w:szCs w:val="20"/>
          <w:highlight w:val="none"/>
          <w:u w:val="single"/>
        </w:rPr>
        <w:t xml:space="preserve">   </w:t>
      </w:r>
      <w:r>
        <w:rPr>
          <w:rFonts w:hint="eastAsia" w:ascii="仿宋" w:hAnsi="仿宋" w:eastAsia="仿宋" w:cs="仿宋"/>
          <w:b/>
          <w:bCs/>
          <w:snapToGrid w:val="0"/>
          <w:color w:val="auto"/>
          <w:kern w:val="28"/>
          <w:sz w:val="24"/>
          <w:szCs w:val="20"/>
          <w:highlight w:val="none"/>
        </w:rPr>
        <w:t>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预算金额（元）: </w:t>
      </w:r>
      <w:r>
        <w:rPr>
          <w:rFonts w:hint="eastAsia" w:ascii="仿宋" w:hAnsi="仿宋" w:eastAsia="仿宋" w:cs="仿宋"/>
          <w:b/>
          <w:bCs/>
          <w:snapToGrid w:val="0"/>
          <w:color w:val="auto"/>
          <w:kern w:val="28"/>
          <w:sz w:val="24"/>
          <w:szCs w:val="20"/>
          <w:highlight w:val="none"/>
          <w:u w:val="single"/>
        </w:rPr>
        <w:t xml:space="preserve"> </w:t>
      </w:r>
      <w:r>
        <w:rPr>
          <w:rFonts w:hint="eastAsia" w:ascii="仿宋" w:hAnsi="仿宋" w:eastAsia="仿宋" w:cs="仿宋"/>
          <w:b/>
          <w:bCs/>
          <w:snapToGrid w:val="0"/>
          <w:color w:val="auto"/>
          <w:kern w:val="28"/>
          <w:sz w:val="24"/>
          <w:szCs w:val="20"/>
          <w:highlight w:val="none"/>
          <w:u w:val="single"/>
          <w:lang w:val="en-US" w:eastAsia="zh-CN"/>
        </w:rPr>
        <w:t>6913600</w:t>
      </w:r>
      <w:r>
        <w:rPr>
          <w:rFonts w:hint="eastAsia" w:ascii="仿宋" w:hAnsi="仿宋" w:eastAsia="仿宋" w:cs="仿宋"/>
          <w:b/>
          <w:bCs/>
          <w:snapToGrid w:val="0"/>
          <w:color w:val="auto"/>
          <w:kern w:val="28"/>
          <w:sz w:val="24"/>
          <w:szCs w:val="20"/>
          <w:highlight w:val="none"/>
          <w:u w:val="singl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简要规格描述或项目基本概况介绍、用途：</w:t>
      </w:r>
      <w:r>
        <w:rPr>
          <w:rFonts w:hint="eastAsia" w:ascii="仿宋" w:hAnsi="仿宋" w:eastAsia="仿宋" w:cs="仿宋"/>
          <w:b/>
          <w:bCs/>
          <w:snapToGrid w:val="0"/>
          <w:color w:val="auto"/>
          <w:kern w:val="28"/>
          <w:sz w:val="24"/>
          <w:szCs w:val="20"/>
          <w:highlight w:val="none"/>
          <w:u w:val="single"/>
        </w:rPr>
        <w:t xml:space="preserve"> </w:t>
      </w:r>
      <w:r>
        <w:rPr>
          <w:rFonts w:hint="eastAsia" w:ascii="仿宋" w:hAnsi="仿宋" w:eastAsia="仿宋" w:cs="仿宋"/>
          <w:b/>
          <w:bCs/>
          <w:snapToGrid w:val="0"/>
          <w:color w:val="auto"/>
          <w:kern w:val="28"/>
          <w:sz w:val="24"/>
          <w:szCs w:val="20"/>
          <w:highlight w:val="none"/>
          <w:u w:val="single"/>
          <w:lang w:eastAsia="zh-CN"/>
        </w:rPr>
        <w:t xml:space="preserve">“温州市公安局2018年‘雪亮工程’建设项目标段四：高清智能卡口子系统”（2022-2023年）系统运维服务，采购前端设备运维、网络链路租赁等服务 </w:t>
      </w:r>
      <w:r>
        <w:rPr>
          <w:rFonts w:hint="eastAsia" w:ascii="仿宋" w:hAnsi="仿宋" w:eastAsia="仿宋" w:cs="仿宋"/>
          <w:b/>
          <w:bCs/>
          <w:snapToGrid w:val="0"/>
          <w:color w:val="auto"/>
          <w:kern w:val="28"/>
          <w:sz w:val="24"/>
          <w:szCs w:val="20"/>
          <w:highlight w:val="none"/>
        </w:rPr>
        <w:t xml:space="preserve"> </w:t>
      </w:r>
    </w:p>
    <w:p>
      <w:pPr>
        <w:spacing w:line="360" w:lineRule="auto"/>
        <w:ind w:firstLine="48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备注：</w:t>
      </w:r>
      <w:r>
        <w:rPr>
          <w:rFonts w:hint="eastAsia" w:ascii="仿宋" w:hAnsi="仿宋" w:eastAsia="仿宋" w:cs="仿宋"/>
          <w:b/>
          <w:bCs/>
          <w:snapToGrid w:val="0"/>
          <w:color w:val="auto"/>
          <w:kern w:val="28"/>
          <w:sz w:val="24"/>
          <w:szCs w:val="20"/>
          <w:highlight w:val="none"/>
          <w:u w:val="single"/>
        </w:rPr>
        <w:t xml:space="preserve">  </w:t>
      </w:r>
      <w:r>
        <w:rPr>
          <w:rFonts w:hint="eastAsia" w:ascii="仿宋" w:hAnsi="仿宋" w:eastAsia="仿宋" w:cs="仿宋"/>
          <w:b/>
          <w:bCs/>
          <w:snapToGrid w:val="0"/>
          <w:color w:val="auto"/>
          <w:kern w:val="28"/>
          <w:sz w:val="24"/>
          <w:szCs w:val="20"/>
          <w:highlight w:val="none"/>
          <w:u w:val="single"/>
          <w:lang w:val="en-US" w:eastAsia="zh-CN"/>
        </w:rPr>
        <w:t>无</w:t>
      </w:r>
      <w:r>
        <w:rPr>
          <w:rFonts w:hint="eastAsia" w:ascii="仿宋" w:hAnsi="仿宋" w:eastAsia="仿宋" w:cs="仿宋"/>
          <w:b/>
          <w:bCs/>
          <w:snapToGrid w:val="0"/>
          <w:color w:val="auto"/>
          <w:kern w:val="28"/>
          <w:sz w:val="24"/>
          <w:szCs w:val="20"/>
          <w:highlight w:val="none"/>
          <w:u w:val="single"/>
        </w:rPr>
        <w:t xml:space="preserve">    </w:t>
      </w:r>
      <w:r>
        <w:rPr>
          <w:rFonts w:hint="eastAsia" w:ascii="仿宋" w:hAnsi="仿宋" w:eastAsia="仿宋" w:cs="仿宋"/>
          <w:b/>
          <w:bCs/>
          <w:snapToGrid w:val="0"/>
          <w:color w:val="auto"/>
          <w:kern w:val="28"/>
          <w:sz w:val="24"/>
          <w:szCs w:val="20"/>
          <w:highlight w:val="none"/>
        </w:rPr>
        <w:t xml:space="preserve"> </w:t>
      </w:r>
    </w:p>
    <w:p>
      <w:pPr>
        <w:pStyle w:val="325"/>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bookmarkEnd w:id="13"/>
      <w:bookmarkEnd w:id="14"/>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本次运维周期为合同签订后12月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bookmarkEnd w:id="15"/>
      <w:r>
        <w:rPr>
          <w:rFonts w:hint="eastAsia" w:ascii="仿宋" w:hAnsi="仿宋" w:eastAsia="仿宋" w:cs="仿宋"/>
          <w:color w:val="auto"/>
          <w:highlight w:val="none"/>
        </w:rPr>
        <w:t xml:space="preserve"> </w:t>
      </w:r>
    </w:p>
    <w:p>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否）接受联合体响应</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p>
    <w:p>
      <w:pPr>
        <w:numPr>
          <w:ilvl w:val="0"/>
          <w:numId w:val="2"/>
        </w:num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本项目的特定资格要求： </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2022年12月12日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四、提交响应文件开启时间截止时间、开启时间和地点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提交响应文件开启时间截止时间：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2022年12月12日09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lang w:val="en-US" w:eastAsia="zh-CN"/>
        </w:rPr>
        <w:t>2022年12月12日09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eastAsia="zh-CN"/>
        </w:rPr>
        <w:t>，温州市政务服务管理中心温州市会展路1268号A座3楼</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事项：电子招投标的说明：①电子招投标：本项目以数据电文形式，依托“政府采购云平台（www.zcygov.cn）”进行招投标活动，不接受纸质响应文件开启时间；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开启时间的制作：在“政采云电子交易客户端”中完成“填写基本信息”、“导入响应文件开启时间”、“标书关联”、“标书检查”、“电子签名”、“生成电子标书”等操作；⑤响应文件开启时间的传输递交：供应商在响应截止时间前将加密的响应文件开启时间上传至政府采购云平台； ⑥响应文件开启时间的解密：供应商按照平台提示和采购文件的规定在半小时内完成在线解密；⑦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u w:val="single"/>
          <w:lang w:eastAsia="zh-CN"/>
        </w:rPr>
        <w:t>温州市公安局</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lang w:val="en-US" w:eastAsia="zh-CN"/>
        </w:rPr>
        <w:t>温州市鹿城区惠民路温州公安科技大楼</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highlight w:val="none"/>
          <w:u w:val="single"/>
          <w:lang w:val="en-US" w:eastAsia="zh-CN"/>
        </w:rPr>
        <w:t>0577-89980024</w:t>
      </w:r>
      <w:r>
        <w:rPr>
          <w:rFonts w:hint="eastAsia" w:ascii="仿宋" w:hAnsi="仿宋" w:eastAsia="仿宋" w:cs="仿宋"/>
          <w:color w:val="auto"/>
          <w:highlight w:val="none"/>
          <w:u w:val="singl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u w:val="single"/>
          <w:lang w:val="en-US" w:eastAsia="zh-CN"/>
        </w:rPr>
        <w:t>邹先生</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u w:val="single"/>
          <w:lang w:val="en-US" w:eastAsia="zh-CN"/>
        </w:rPr>
        <w:t>0577-89980310</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邹先生</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lang w:val="en-US" w:eastAsia="zh-CN"/>
        </w:rPr>
        <w:t>0577-89980310</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称：温州历程招标有限公司</w:t>
      </w:r>
      <w:r>
        <w:rPr>
          <w:rFonts w:hint="eastAsia" w:ascii="仿宋" w:hAnsi="仿宋" w:eastAsia="仿宋" w:cs="仿宋"/>
          <w:color w:val="auto"/>
          <w:sz w:val="24"/>
          <w:highlight w:val="none"/>
          <w:u w:val="singl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址：温州市鹿城区学院中路229号三想集团5楼</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highlight w:val="none"/>
          <w:u w:val="single"/>
        </w:rPr>
        <w:tab/>
      </w:r>
      <w:r>
        <w:rPr>
          <w:rFonts w:hint="eastAsia" w:ascii="仿宋" w:hAnsi="仿宋" w:eastAsia="仿宋" w:cs="仿宋"/>
          <w:color w:val="auto"/>
          <w:sz w:val="24"/>
          <w:highlight w:val="none"/>
          <w:u w:val="single"/>
          <w:lang w:val="en-US" w:eastAsia="zh-CN"/>
        </w:rPr>
        <w:t>0577-89887255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highlight w:val="none"/>
          <w:u w:val="singl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u w:val="single"/>
        </w:rPr>
        <w:t xml:space="preserve"> 郑永强 </w:t>
      </w:r>
      <w:r>
        <w:rPr>
          <w:rFonts w:hint="eastAsia" w:ascii="仿宋" w:hAnsi="仿宋" w:eastAsia="仿宋" w:cs="仿宋"/>
          <w:color w:val="auto"/>
          <w:highlight w:val="none"/>
          <w:u w:val="single"/>
        </w:rPr>
        <w:t xml:space="preserve">  </w:t>
      </w:r>
    </w:p>
    <w:p>
      <w:pPr>
        <w:spacing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sz w:val="24"/>
          <w:highlight w:val="none"/>
        </w:rPr>
        <w:t>项目联系方式（询问）：</w:t>
      </w:r>
      <w:r>
        <w:rPr>
          <w:rFonts w:hint="eastAsia" w:ascii="仿宋" w:hAnsi="仿宋" w:eastAsia="仿宋" w:cs="仿宋"/>
          <w:color w:val="auto"/>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13757727199</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0577-89887322</w:t>
      </w:r>
      <w:r>
        <w:rPr>
          <w:rFonts w:hint="eastAsia" w:ascii="仿宋" w:hAnsi="仿宋" w:eastAsia="仿宋" w:cs="仿宋"/>
          <w:color w:val="auto"/>
          <w:highlight w:val="none"/>
          <w:u w:val="singl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u w:val="single"/>
          <w:lang w:val="en-US" w:eastAsia="zh-CN"/>
        </w:rPr>
        <w:t xml:space="preserve">肖忠文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sz w:val="24"/>
          <w:highlight w:val="none"/>
        </w:rPr>
        <w:t>质疑联系方式：</w:t>
      </w:r>
      <w:r>
        <w:rPr>
          <w:rFonts w:hint="eastAsia" w:ascii="仿宋" w:hAnsi="仿宋" w:eastAsia="仿宋" w:cs="仿宋"/>
          <w:color w:val="auto"/>
          <w:highlight w:val="none"/>
          <w:u w:val="single"/>
        </w:rPr>
        <w:tab/>
      </w:r>
      <w:r>
        <w:rPr>
          <w:rFonts w:hint="eastAsia" w:ascii="仿宋" w:hAnsi="仿宋" w:eastAsia="仿宋" w:cs="仿宋"/>
          <w:color w:val="auto"/>
          <w:sz w:val="24"/>
          <w:highlight w:val="none"/>
          <w:u w:val="single"/>
          <w:lang w:val="en-US" w:eastAsia="zh-CN"/>
        </w:rPr>
        <w:t xml:space="preserve">0577-89887232  </w:t>
      </w:r>
      <w:r>
        <w:rPr>
          <w:rFonts w:hint="eastAsia" w:ascii="仿宋" w:hAnsi="仿宋" w:eastAsia="仿宋" w:cs="仿宋"/>
          <w:color w:val="auto"/>
          <w:highlight w:val="none"/>
          <w:u w:val="singl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highlight w:val="none"/>
          <w:u w:val="single"/>
        </w:rPr>
        <w:tab/>
      </w:r>
      <w:r>
        <w:rPr>
          <w:rFonts w:hint="eastAsia" w:ascii="仿宋" w:hAnsi="仿宋" w:eastAsia="仿宋" w:cs="仿宋"/>
          <w:color w:val="auto"/>
          <w:sz w:val="24"/>
          <w:highlight w:val="none"/>
          <w:u w:val="single"/>
          <w:lang w:val="en-US" w:eastAsia="zh-CN"/>
        </w:rPr>
        <w:t xml:space="preserve">温州市财政局政府采购监管处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highlight w:val="none"/>
          <w:u w:val="single"/>
        </w:rPr>
        <w:tab/>
      </w:r>
      <w:r>
        <w:rPr>
          <w:rFonts w:hint="eastAsia" w:ascii="仿宋" w:hAnsi="仿宋" w:eastAsia="仿宋" w:cs="仿宋"/>
          <w:color w:val="auto"/>
          <w:sz w:val="24"/>
          <w:highlight w:val="none"/>
          <w:u w:val="single"/>
          <w:lang w:val="en-US" w:eastAsia="zh-CN"/>
        </w:rPr>
        <w:t>温州市鹿城区绣山路299号</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highlight w:val="none"/>
          <w:u w:val="single"/>
        </w:rPr>
        <w:tab/>
      </w:r>
      <w:r>
        <w:rPr>
          <w:rFonts w:hint="eastAsia" w:ascii="仿宋" w:hAnsi="仿宋" w:eastAsia="仿宋" w:cs="仿宋"/>
          <w:color w:val="auto"/>
          <w:sz w:val="24"/>
          <w:highlight w:val="none"/>
          <w:u w:val="single"/>
          <w:lang w:val="en-US" w:eastAsia="zh-CN"/>
        </w:rPr>
        <w:t>0577-88532725、88521948</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u w:val="single"/>
          <w:lang w:val="en-US" w:eastAsia="zh-CN"/>
        </w:rPr>
        <w:t>项先生、蔡女士</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color w:val="auto"/>
          <w:highlight w:val="none"/>
          <w:u w:val="single"/>
        </w:rPr>
        <w:tab/>
      </w:r>
      <w:r>
        <w:rPr>
          <w:rFonts w:hint="eastAsia" w:ascii="仿宋" w:hAnsi="仿宋" w:eastAsia="仿宋" w:cs="仿宋"/>
          <w:color w:val="auto"/>
          <w:sz w:val="24"/>
          <w:highlight w:val="none"/>
          <w:u w:val="single"/>
          <w:lang w:val="en-US" w:eastAsia="zh-CN"/>
        </w:rPr>
        <w:t>0577-88532725、88521948</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numPr>
          <w:ilvl w:val="0"/>
          <w:numId w:val="3"/>
        </w:numPr>
        <w:adjustRightInd/>
        <w:spacing w:line="360" w:lineRule="auto"/>
        <w:jc w:val="center"/>
        <w:outlineLvl w:val="0"/>
        <w:rPr>
          <w:rStyle w:val="81"/>
          <w:rFonts w:hint="eastAsia" w:ascii="仿宋" w:eastAsia="仿宋" w:cs="仿宋"/>
          <w:color w:val="auto"/>
          <w:highlight w:val="none"/>
        </w:rPr>
      </w:pPr>
      <w:r>
        <w:rPr>
          <w:rFonts w:hint="eastAsia" w:ascii="仿宋" w:hAnsi="仿宋" w:eastAsia="仿宋" w:cs="仿宋"/>
          <w:b/>
          <w:color w:val="auto"/>
          <w:sz w:val="36"/>
          <w:szCs w:val="20"/>
          <w:highlight w:val="none"/>
        </w:rPr>
        <w:br w:type="page"/>
      </w:r>
      <w:bookmarkEnd w:id="10"/>
      <w:bookmarkStart w:id="16" w:name="_Toc26716"/>
      <w:r>
        <w:rPr>
          <w:rStyle w:val="81"/>
          <w:rFonts w:hint="eastAsia" w:ascii="仿宋" w:eastAsia="仿宋" w:cs="仿宋"/>
          <w:color w:val="auto"/>
          <w:highlight w:val="none"/>
        </w:rPr>
        <w:t>供应商须知</w:t>
      </w:r>
      <w:bookmarkEnd w:id="11"/>
      <w:bookmarkEnd w:id="16"/>
    </w:p>
    <w:p>
      <w:pPr>
        <w:adjustRightInd/>
        <w:spacing w:line="360" w:lineRule="auto"/>
        <w:jc w:val="center"/>
        <w:outlineLvl w:val="0"/>
        <w:rPr>
          <w:rStyle w:val="81"/>
          <w:rFonts w:hint="eastAsia" w:ascii="仿宋" w:eastAsia="仿宋" w:cs="仿宋"/>
          <w:color w:val="auto"/>
          <w:highlight w:val="none"/>
        </w:rPr>
      </w:pPr>
      <w:bookmarkStart w:id="17" w:name="_Toc3019"/>
      <w:r>
        <w:rPr>
          <w:rStyle w:val="81"/>
          <w:rFonts w:hint="eastAsia" w:ascii="仿宋" w:eastAsia="仿宋" w:cs="仿宋"/>
          <w:color w:val="auto"/>
          <w:highlight w:val="none"/>
        </w:rPr>
        <w:t>前附表</w:t>
      </w:r>
      <w:bookmarkEnd w:id="17"/>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6"/>
        <w:gridCol w:w="1783"/>
        <w:gridCol w:w="62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786"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783"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   目</w:t>
            </w:r>
          </w:p>
        </w:tc>
        <w:tc>
          <w:tcPr>
            <w:tcW w:w="6262"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262" w:type="dxa"/>
            <w:noWrap w:val="0"/>
            <w:vAlign w:val="center"/>
          </w:tcPr>
          <w:p>
            <w:pPr>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3"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合同履行地点</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p>
        </w:tc>
        <w:tc>
          <w:tcPr>
            <w:tcW w:w="6262" w:type="dxa"/>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tc>
        <w:tc>
          <w:tcPr>
            <w:tcW w:w="6262" w:type="dxa"/>
            <w:noWrap w:val="0"/>
            <w:vAlign w:val="center"/>
          </w:tcPr>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6262"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资金来源</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谈判保证金</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本项目不需缴纳谈判保证金。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详见第三部分“采购需求”商务要求。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83"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▲最高限价</w:t>
            </w:r>
          </w:p>
        </w:tc>
        <w:tc>
          <w:tcPr>
            <w:tcW w:w="6262"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83"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响应文件开启前答疑会或现场踏勘</w:t>
            </w:r>
          </w:p>
        </w:tc>
        <w:tc>
          <w:tcPr>
            <w:tcW w:w="6262"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不组织。</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组织，时间：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83" w:type="dxa"/>
            <w:noWrap w:val="0"/>
            <w:vAlign w:val="center"/>
          </w:tcPr>
          <w:p>
            <w:pPr>
              <w:rPr>
                <w:rFonts w:ascii="仿宋" w:hAnsi="仿宋" w:eastAsia="仿宋" w:cs="仿宋"/>
                <w:bCs/>
                <w:color w:val="auto"/>
                <w:sz w:val="24"/>
                <w:highlight w:val="none"/>
              </w:rPr>
            </w:pPr>
            <w:r>
              <w:rPr>
                <w:rFonts w:hint="eastAsia" w:ascii="仿宋" w:hAnsi="仿宋" w:eastAsia="仿宋" w:cs="仿宋"/>
                <w:bCs/>
                <w:color w:val="auto"/>
                <w:sz w:val="24"/>
                <w:highlight w:val="none"/>
              </w:rPr>
              <w:t>分包与转包</w:t>
            </w:r>
          </w:p>
        </w:tc>
        <w:tc>
          <w:tcPr>
            <w:tcW w:w="6262" w:type="dxa"/>
            <w:noWrap w:val="0"/>
            <w:vAlign w:val="center"/>
          </w:tcPr>
          <w:p>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（1）分包：</w:t>
            </w:r>
          </w:p>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A8"/>
            </w:r>
            <w:r>
              <w:rPr>
                <w:rFonts w:hint="eastAsia" w:ascii="仿宋" w:hAnsi="仿宋" w:eastAsia="仿宋" w:cs="仿宋"/>
                <w:bCs/>
                <w:color w:val="auto"/>
                <w:kern w:val="0"/>
                <w:sz w:val="24"/>
                <w:highlight w:val="none"/>
              </w:rPr>
              <w:t xml:space="preserve"> 同意将非主体、非关键性的</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工作分包。</w:t>
            </w:r>
          </w:p>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FE"/>
            </w:r>
            <w:r>
              <w:rPr>
                <w:rFonts w:hint="eastAsia" w:ascii="仿宋" w:hAnsi="仿宋" w:eastAsia="仿宋" w:cs="仿宋"/>
                <w:bCs/>
                <w:color w:val="auto"/>
                <w:kern w:val="0"/>
                <w:sz w:val="24"/>
                <w:highlight w:val="none"/>
              </w:rPr>
              <w:t xml:space="preserve"> 不同意分包。</w:t>
            </w:r>
          </w:p>
          <w:p>
            <w:pPr>
              <w:numPr>
                <w:ilvl w:val="0"/>
                <w:numId w:val="4"/>
              </w:numPr>
              <w:rPr>
                <w:rFonts w:eastAsia="仿宋_GB2312"/>
                <w:color w:val="auto"/>
                <w:highlight w:val="none"/>
              </w:rPr>
            </w:pPr>
            <w:r>
              <w:rPr>
                <w:rFonts w:hint="eastAsia" w:ascii="仿宋" w:hAnsi="仿宋" w:eastAsia="仿宋" w:cs="仿宋"/>
                <w:bCs/>
                <w:color w:val="auto"/>
                <w:kern w:val="0"/>
                <w:sz w:val="24"/>
                <w:highlight w:val="none"/>
              </w:rPr>
              <w:t>转包：本项目不允许转包。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83"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项目属性与核心产品</w:t>
            </w:r>
          </w:p>
        </w:tc>
        <w:tc>
          <w:tcPr>
            <w:tcW w:w="6262"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货物类，单一产品或核心产品为：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783" w:type="dxa"/>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是否允许采购进口产品</w:t>
            </w:r>
          </w:p>
        </w:tc>
        <w:tc>
          <w:tcPr>
            <w:tcW w:w="6262" w:type="dxa"/>
            <w:noWrap w:val="0"/>
            <w:vAlign w:val="center"/>
          </w:tcPr>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FE"/>
            </w:r>
            <w:r>
              <w:rPr>
                <w:rFonts w:hint="eastAsia" w:ascii="仿宋" w:hAnsi="仿宋" w:eastAsia="仿宋" w:cs="仿宋"/>
                <w:bCs/>
                <w:color w:val="auto"/>
                <w:kern w:val="0"/>
                <w:sz w:val="24"/>
                <w:highlight w:val="none"/>
              </w:rPr>
              <w:t>本项目不允许采购进口产品。</w:t>
            </w:r>
          </w:p>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A8"/>
            </w:r>
            <w:r>
              <w:rPr>
                <w:rFonts w:hint="eastAsia" w:ascii="仿宋" w:hAnsi="仿宋" w:eastAsia="仿宋" w:cs="仿宋"/>
                <w:bCs/>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783" w:type="dxa"/>
            <w:noWrap w:val="0"/>
            <w:vAlign w:val="center"/>
          </w:tcPr>
          <w:p>
            <w:pPr>
              <w:jc w:val="center"/>
              <w:rPr>
                <w:rFonts w:hint="eastAsia" w:ascii="仿宋" w:hAnsi="仿宋" w:eastAsia="仿宋" w:cs="仿宋"/>
                <w:bCs/>
                <w:snapToGrid w:val="0"/>
                <w:color w:val="auto"/>
                <w:kern w:val="0"/>
                <w:sz w:val="24"/>
                <w:highlight w:val="none"/>
              </w:rPr>
            </w:pPr>
            <w:r>
              <w:rPr>
                <w:rFonts w:hint="eastAsia" w:ascii="仿宋" w:hAnsi="仿宋" w:eastAsia="仿宋" w:cs="仿宋"/>
                <w:bCs/>
                <w:color w:val="auto"/>
                <w:sz w:val="24"/>
                <w:highlight w:val="none"/>
              </w:rPr>
              <w:t>样品提供</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不要求提供。</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要求提供：</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评审办法</w:t>
            </w:r>
            <w:r>
              <w:rPr>
                <w:rFonts w:hint="eastAsia" w:ascii="仿宋" w:hAnsi="仿宋" w:eastAsia="仿宋" w:cs="仿宋"/>
                <w:color w:val="auto"/>
                <w:kern w:val="0"/>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（6）样品的标记：</w:t>
            </w:r>
          </w:p>
          <w:p>
            <w:pPr>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样品名称、项目名称以及供应商名称由供应商自行标记。</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样品名称、项目名称以及供应商名称、均不得标注，由采购代理机构对谈判响应样品签收后统一标注。</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（8）制作、运输、安装和保管样品所发生的一切费用由供应商自理。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方案讲解演示</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不组织。</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组织。</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（1）在评审时安排每个供应商进行方案讲解演示。每个供应商时间不超过20分钟，讲解次序以响应文件开启时间解密时间先后次序为准，讲解演示人员不超过3人。讲解演示结束后按要求解答谈判小组提问。</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方式一：政采云平台在线讲解演示。政采云平台在线讲解需供应商根据政采云平台操作要求做好准备工作，提前完善软硬件配置环境。</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，讲解演示所用电脑等设备由供应商自备。现场讲解演示人员进场时提供讲解人员名单（加盖公章）及身份证明，否则不得讲解演示。</w:t>
            </w:r>
          </w:p>
          <w:p>
            <w:pPr>
              <w:rPr>
                <w:rFonts w:hint="eastAsia"/>
                <w:color w:val="auto"/>
                <w:highlight w:val="none"/>
              </w:rPr>
            </w:pPr>
            <w:r>
              <w:rPr>
                <w:rFonts w:hint="eastAsia" w:ascii="仿宋" w:hAnsi="仿宋" w:eastAsia="仿宋" w:cs="仿宋"/>
                <w:color w:val="auto"/>
                <w:kern w:val="0"/>
                <w:sz w:val="24"/>
                <w:highlight w:val="none"/>
              </w:rPr>
              <w:t>方式三：以介质存储（U盘）的数据电文形式的项目演示文件，密封包装后（建议以顺丰快递形式）在</w:t>
            </w:r>
            <w:r>
              <w:rPr>
                <w:rFonts w:hint="eastAsia" w:ascii="仿宋" w:hAnsi="仿宋" w:eastAsia="仿宋" w:cs="仿宋"/>
                <w:color w:val="auto"/>
                <w:kern w:val="0"/>
                <w:sz w:val="24"/>
                <w:highlight w:val="none"/>
                <w:lang w:val="en-US" w:eastAsia="zh-CN"/>
              </w:rPr>
              <w:t>2022年12月12日</w:t>
            </w:r>
            <w:r>
              <w:rPr>
                <w:rFonts w:hint="eastAsia" w:ascii="仿宋" w:hAnsi="仿宋" w:eastAsia="仿宋" w:cs="仿宋"/>
                <w:color w:val="auto"/>
                <w:kern w:val="0"/>
                <w:sz w:val="24"/>
                <w:highlight w:val="none"/>
              </w:rPr>
              <w:t>09时</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0分前由采购代理机构签收，不少于一份，邮寄地址：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，收件人及联系方式：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，供应商应加强U盘的包装与保护，因包装不当而造成项目演示文件损坏或不能在开评审现场设备上正确读取并播放的责任由供应商自负。</w:t>
            </w:r>
          </w:p>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响应文件开启时间的编制</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详见第二部分“</w:t>
            </w:r>
            <w:r>
              <w:rPr>
                <w:rFonts w:hint="eastAsia" w:ascii="仿宋" w:hAnsi="仿宋" w:eastAsia="仿宋" w:cs="仿宋"/>
                <w:color w:val="auto"/>
                <w:sz w:val="24"/>
                <w:highlight w:val="none"/>
                <w:lang w:val="zh-CN"/>
              </w:rPr>
              <w:t>供应商须知</w:t>
            </w:r>
            <w:r>
              <w:rPr>
                <w:rFonts w:hint="eastAsia" w:ascii="仿宋" w:hAnsi="仿宋" w:eastAsia="仿宋" w:cs="仿宋"/>
                <w:bCs/>
                <w:color w:val="auto"/>
                <w:kern w:val="0"/>
                <w:sz w:val="24"/>
                <w:highlight w:val="none"/>
              </w:rPr>
              <w:t>”</w:t>
            </w:r>
            <w:r>
              <w:rPr>
                <w:rFonts w:hint="eastAsia" w:ascii="仿宋" w:hAnsi="仿宋" w:eastAsia="仿宋" w:cs="仿宋"/>
                <w:color w:val="auto"/>
                <w:sz w:val="24"/>
                <w:highlight w:val="none"/>
                <w:lang w:val="zh-CN"/>
              </w:rPr>
              <w:t>第</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zh-CN"/>
              </w:rPr>
              <w:t>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响应文件开启时间的形式</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电子响应文件开启时间（包括“电子加密响应文件开启时间”和“备份响应文件开启时间”，在响应文件开启时间编制完成后同时生成）；</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（1）“电子加密响应文件开启时间”是指通过“政采云电子交易客户端”完成响应文件开启时间编制后生成并加密的数据电文形式的响应文件开启时间。</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响应文件开启时间”是指与“电子加密响应文件开启时间”同时生成的数据电文形式的电子文件（备份标书，用于供应商标书解密异常时应急使用），其他方式编制的备份响应文件开启时间视为无效备份响应文件开启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响应文件开启时间的传输递交</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详见第二部分“供应商须知”第15款</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注：上传、递交过程中如有疑问，可咨询“政采云”客服热线：400-881-7190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86"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7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提交响应文件开启时间截止时间、开启时间和地点</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详见第一部分“采购公告”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jc w:val="center"/>
        </w:trPr>
        <w:tc>
          <w:tcPr>
            <w:tcW w:w="786"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17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谈判小组</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的组建</w:t>
            </w:r>
          </w:p>
        </w:tc>
        <w:tc>
          <w:tcPr>
            <w:tcW w:w="6262" w:type="dxa"/>
            <w:noWrap w:val="0"/>
            <w:vAlign w:val="center"/>
          </w:tcPr>
          <w:p>
            <w:pPr>
              <w:ind w:firstLine="480" w:firstLineChars="200"/>
              <w:rPr>
                <w:rFonts w:hint="eastAsia"/>
                <w:color w:val="auto"/>
                <w:highlight w:val="none"/>
              </w:rPr>
            </w:pPr>
            <w:r>
              <w:rPr>
                <w:rFonts w:hint="eastAsia" w:ascii="仿宋" w:hAnsi="仿宋" w:eastAsia="仿宋" w:cs="仿宋"/>
                <w:color w:val="auto"/>
                <w:sz w:val="24"/>
                <w:highlight w:val="none"/>
              </w:rPr>
              <w:t>谈判小组由采购人代表和评审专家组成，成员人数应当为 3 人以上单数，其中评审专家不得少于成员总数的三分之二。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86"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17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评审办法</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详见第四部分“评审办法前附表”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成交结果公告</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结果经采购人确认后2个工作日内，采购代理机构将对外发布成交公告和成交通知书。采购代理机构按相关政府采购规定将成交结果发布在政府采购网上进行公示，公示期为1个工作日。采购人、采购代理机构及谈判小组对未成交的供应商不作落标原因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成交通知书发出后30日内。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谈判有效期</w:t>
            </w:r>
          </w:p>
        </w:tc>
        <w:tc>
          <w:tcPr>
            <w:tcW w:w="626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谈判有效期为从提交响应文件开启时间的截止之日起</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w:t>
            </w:r>
          </w:p>
        </w:tc>
        <w:tc>
          <w:tcPr>
            <w:tcW w:w="6262"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投诉</w:t>
            </w:r>
          </w:p>
        </w:tc>
        <w:tc>
          <w:tcPr>
            <w:tcW w:w="6262"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根据《政府采购质疑和投诉办法》第十七条的规定，质疑供应商对采购人、采购代理机构的答复不满意，或者采购人、采购代理机构未在规定时间内作出答复的，可以在答复期满后 15 个工作日内向本级财政部门提起投诉。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1783"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u w:val="thick"/>
              </w:rPr>
              <w:t>▲符合性审查、无效标条款</w:t>
            </w:r>
          </w:p>
        </w:tc>
        <w:tc>
          <w:tcPr>
            <w:tcW w:w="6262" w:type="dxa"/>
            <w:noWrap w:val="0"/>
            <w:vAlign w:val="center"/>
          </w:tcPr>
          <w:p>
            <w:pPr>
              <w:pStyle w:val="499"/>
              <w:snapToGrid/>
              <w:spacing w:line="240" w:lineRule="auto"/>
              <w:ind w:firstLine="0"/>
              <w:rPr>
                <w:rFonts w:hint="eastAsia" w:ascii="仿宋" w:hAnsi="仿宋" w:eastAsia="仿宋" w:cs="仿宋"/>
                <w:bCs/>
                <w:snapToGrid w:val="0"/>
                <w:color w:val="auto"/>
                <w:szCs w:val="24"/>
                <w:highlight w:val="none"/>
              </w:rPr>
            </w:pPr>
            <w:r>
              <w:rPr>
                <w:rFonts w:hint="eastAsia" w:ascii="仿宋" w:hAnsi="仿宋" w:eastAsia="仿宋" w:cs="仿宋"/>
                <w:bCs/>
                <w:snapToGrid w:val="0"/>
                <w:color w:val="auto"/>
                <w:szCs w:val="24"/>
                <w:highlight w:val="none"/>
              </w:rPr>
              <w:t>详见招标文件“第四部分 评标办法”2.2款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p>
        </w:tc>
        <w:tc>
          <w:tcPr>
            <w:tcW w:w="1783" w:type="dxa"/>
            <w:noWrap w:val="0"/>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供应商信用信息查询</w:t>
            </w:r>
          </w:p>
        </w:tc>
        <w:tc>
          <w:tcPr>
            <w:tcW w:w="6262" w:type="dxa"/>
            <w:noWrap w:val="0"/>
            <w:vAlign w:val="center"/>
          </w:tcPr>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根据《关于在政府采购活动中查询及使用信用记录有关问题的通知》财库[2016]125号的规定：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1）采购人或采购代理机构将对本项目供应商的信用信息进行查询。</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2）查询渠道为信用中国网站（www.creditchina.gov.cn）、中国政府采购网（www.ccgp.gov.cn）。</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3）信用信息截止时点为从本项目响应截止日往前追溯三年，期间被列入失信被执行人名单、重大税收违法案件当事人名单、政府采购严重违法失信行为记录名单等供应商信用信息均将用于本项目。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4）信用信息查询记录和证据以网页截图等方式留存。</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5）信用信息将作为评审和确定成交供应商的依据。</w:t>
            </w:r>
          </w:p>
          <w:p>
            <w:pPr>
              <w:pStyle w:val="499"/>
              <w:snapToGrid/>
              <w:spacing w:line="240" w:lineRule="auto"/>
              <w:ind w:firstLine="0"/>
              <w:rPr>
                <w:rFonts w:hint="eastAsia" w:ascii="仿宋" w:hAnsi="仿宋" w:eastAsia="仿宋" w:cs="仿宋"/>
                <w:bCs/>
                <w:color w:val="auto"/>
                <w:szCs w:val="24"/>
                <w:highlight w:val="none"/>
              </w:rPr>
            </w:pPr>
            <w:r>
              <w:rPr>
                <w:rFonts w:hint="eastAsia" w:ascii="仿宋" w:hAnsi="仿宋" w:eastAsia="仿宋" w:cs="仿宋"/>
                <w:color w:val="auto"/>
                <w:szCs w:val="24"/>
                <w:highlight w:val="none"/>
              </w:rPr>
              <w:t>6）联合体成员存在不良信用记录的，视同联合体存在不良信用记录。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1783"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本项目扶持中小企业（监狱企业、残疾人福利性单位）有关政策</w:t>
            </w:r>
          </w:p>
        </w:tc>
        <w:tc>
          <w:tcPr>
            <w:tcW w:w="6262" w:type="dxa"/>
            <w:noWrap w:val="0"/>
            <w:vAlign w:val="center"/>
          </w:tcPr>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1、扶持中小企业（监狱企业、残疾人福利性单位）： </w:t>
            </w:r>
          </w:p>
          <w:p>
            <w:pPr>
              <w:rPr>
                <w:rFonts w:ascii="仿宋" w:hAnsi="仿宋" w:eastAsia="仿宋" w:cs="仿宋"/>
                <w:color w:val="auto"/>
                <w:sz w:val="24"/>
                <w:highlight w:val="none"/>
              </w:rPr>
            </w:pPr>
            <w:r>
              <w:rPr>
                <w:rFonts w:hint="eastAsia" w:ascii="仿宋" w:hAnsi="仿宋" w:eastAsia="仿宋" w:cs="仿宋"/>
                <w:color w:val="auto"/>
                <w:sz w:val="24"/>
                <w:highlight w:val="none"/>
              </w:rPr>
              <w:t>（1）根据工信部等部委发布的《关于印发中小企业划型标准规定的通知》（工信部联企业〔2011〕300号），本项目属于</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农、林、牧、渔业，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工业（包括采矿业，制造业，电力、热力、燃气及水生产和供应业），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建筑业，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批发业，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零售业，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交通运输业（不含铁路运输业），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仓储业，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邮政业，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住宿业，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餐饮业，</w:t>
            </w:r>
            <w:r>
              <w:rPr>
                <w:rFonts w:hint="eastAsia" w:ascii="仿宋" w:hAnsi="仿宋" w:eastAsia="仿宋" w:cs="仿宋"/>
                <w:i/>
                <w:iCs/>
                <w:color w:val="auto"/>
                <w:sz w:val="24"/>
                <w:highlight w:val="none"/>
                <w:u w:val="single"/>
              </w:rPr>
              <w:sym w:font="Wingdings" w:char="00FE"/>
            </w:r>
            <w:r>
              <w:rPr>
                <w:rFonts w:hint="eastAsia" w:ascii="仿宋" w:hAnsi="仿宋" w:eastAsia="仿宋" w:cs="仿宋"/>
                <w:i/>
                <w:iCs/>
                <w:color w:val="auto"/>
                <w:sz w:val="24"/>
                <w:highlight w:val="none"/>
                <w:u w:val="single"/>
              </w:rPr>
              <w:t>信息传输业（包括电信、互联网和相关服务），</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软件和信息技术服务业，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房地产开发经营，</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物业管理，</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租赁和商务服务业，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 xml:space="preserve">其他未列明行业（包括科学研究和技术服务业，水利、环境和公共设施管理业，居民服务、修理和其他服务业，社会工作，文化、体育和娱乐业等） </w:t>
            </w:r>
            <w:r>
              <w:rPr>
                <w:rFonts w:hint="eastAsia" w:ascii="仿宋" w:hAnsi="仿宋" w:eastAsia="仿宋" w:cs="仿宋"/>
                <w:color w:val="auto"/>
                <w:sz w:val="24"/>
                <w:highlight w:val="none"/>
              </w:rPr>
              <w:t xml:space="preserve"> 行业。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2、根据财政部发布的《政府采购促进中小企业发展管理办法》财库（2020）46号的相关规定：</w:t>
            </w:r>
          </w:p>
          <w:p>
            <w:pPr>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2.1.是否为预留份额项目：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本项目为预留份额项目，专门面向中小企业采购。</w:t>
            </w:r>
          </w:p>
          <w:p>
            <w:pPr>
              <w:ind w:left="24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本项目为非预留份额项目、非专门面向中小企业的项目</w:t>
            </w:r>
          </w:p>
          <w:p>
            <w:pPr>
              <w:ind w:left="24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在评审时对小型和微型企业报价给予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0%</w:t>
            </w:r>
            <w:r>
              <w:rPr>
                <w:rFonts w:hint="eastAsia" w:ascii="仿宋" w:hAnsi="仿宋" w:eastAsia="仿宋" w:cs="仿宋"/>
                <w:i/>
                <w:iCs/>
                <w:color w:val="auto"/>
                <w:sz w:val="24"/>
                <w:highlight w:val="none"/>
              </w:rPr>
              <w:t>（工程项目为5%）</w:t>
            </w:r>
            <w:r>
              <w:rPr>
                <w:rFonts w:hint="eastAsia" w:ascii="仿宋" w:hAnsi="仿宋" w:eastAsia="仿宋" w:cs="仿宋"/>
                <w:color w:val="auto"/>
                <w:sz w:val="24"/>
                <w:highlight w:val="none"/>
              </w:rPr>
              <w:t>的扣除，用扣除后的价格参加评审。适用招标投标法的政府采购工程建设项目，采用综合评估法但未采用低价优先法计算价格分，评审时在采用原报价进行评分的基础上增加其价格得分的</w:t>
            </w:r>
            <w:r>
              <w:rPr>
                <w:rFonts w:hint="eastAsia" w:ascii="仿宋" w:hAnsi="仿宋" w:eastAsia="仿宋" w:cs="仿宋"/>
                <w:color w:val="auto"/>
                <w:sz w:val="24"/>
                <w:highlight w:val="none"/>
                <w:u w:val="single"/>
              </w:rPr>
              <w:t xml:space="preserve"> 5</w:t>
            </w:r>
            <w:r>
              <w:rPr>
                <w:rFonts w:hint="eastAsia" w:ascii="仿宋" w:hAnsi="仿宋" w:eastAsia="仿宋" w:cs="仿宋"/>
                <w:i/>
                <w:iCs/>
                <w:color w:val="auto"/>
                <w:sz w:val="24"/>
                <w:highlight w:val="none"/>
              </w:rPr>
              <w:t>%</w:t>
            </w:r>
            <w:r>
              <w:rPr>
                <w:rFonts w:hint="eastAsia" w:ascii="仿宋" w:hAnsi="仿宋" w:eastAsia="仿宋" w:cs="仿宋"/>
                <w:color w:val="auto"/>
                <w:sz w:val="24"/>
                <w:highlight w:val="none"/>
              </w:rPr>
              <w:t>作为其价格分。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接受大中型企业与小微企业组成联合体、</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%，工程项目为</w:t>
            </w:r>
            <w:r>
              <w:rPr>
                <w:rFonts w:hint="eastAsia" w:ascii="仿宋" w:hAnsi="仿宋" w:eastAsia="仿宋" w:cs="仿宋"/>
                <w:color w:val="auto"/>
                <w:sz w:val="24"/>
                <w:highlight w:val="none"/>
                <w:u w:val="single"/>
              </w:rPr>
              <w:t xml:space="preserve"> 2</w:t>
            </w:r>
            <w:r>
              <w:rPr>
                <w:rFonts w:hint="eastAsia" w:ascii="仿宋" w:hAnsi="仿宋" w:eastAsia="仿宋" w:cs="仿宋"/>
                <w:i/>
                <w:iCs/>
                <w:color w:val="auto"/>
                <w:sz w:val="24"/>
                <w:highlight w:val="none"/>
                <w:u w:val="single"/>
              </w:rPr>
              <w:t xml:space="preserve"> %</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本项目为适用招标投标法的政府采购工程建设项目，采用综合评估法但未采用低价优先法计算价格分，评审时在采用原报价进行评分的基础上增加其价格得分的</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 xml:space="preserve"> %作为其价格分。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2.2组成联合体或者接受分包的小微企业与联合体内其他企业、分包企业之间存在直接控 股、管理关系的，不享受价格扣除优惠政策。</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2.3价格扣除比例或者价格分加分比例对小型企业和微型企业同等对待，不作区分。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2.5接受分包的项目，享受扶持政策获得政府采购合同的，小微企业不得将合同分包给大中型企业，中型企业不得将合同分包给大型企业。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(注：未提供以上材料的，均不给予价格扣除，以上优惠政策只享受一次）。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p>
        </w:tc>
        <w:tc>
          <w:tcPr>
            <w:tcW w:w="1783"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
                <w:color w:val="auto"/>
                <w:sz w:val="24"/>
                <w:highlight w:val="none"/>
              </w:rPr>
              <w:t>节能产品、环境标志产品</w:t>
            </w:r>
          </w:p>
        </w:tc>
        <w:tc>
          <w:tcPr>
            <w:tcW w:w="6262" w:type="dxa"/>
            <w:noWrap w:val="0"/>
            <w:vAlign w:val="center"/>
          </w:tcPr>
          <w:p>
            <w:pPr>
              <w:pStyle w:val="2"/>
              <w:spacing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8"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1783" w:type="dxa"/>
            <w:noWrap w:val="0"/>
            <w:vAlign w:val="center"/>
          </w:tcPr>
          <w:p>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谈判报价其他要求</w:t>
            </w:r>
          </w:p>
        </w:tc>
        <w:tc>
          <w:tcPr>
            <w:tcW w:w="6262" w:type="dxa"/>
            <w:noWrap w:val="0"/>
            <w:vAlign w:val="center"/>
          </w:tcPr>
          <w:p>
            <w:pPr>
              <w:snapToGrid w:val="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谈判报价包含的内容：</w:t>
            </w:r>
          </w:p>
          <w:p>
            <w:pPr>
              <w:snapToGrid w:val="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sym w:font="Wingdings" w:char="F0FE"/>
            </w:r>
            <w:r>
              <w:rPr>
                <w:rFonts w:hint="eastAsia" w:ascii="仿宋" w:hAnsi="仿宋" w:eastAsia="仿宋" w:cs="仿宋"/>
                <w:snapToGrid w:val="0"/>
                <w:color w:val="auto"/>
                <w:sz w:val="24"/>
                <w:highlight w:val="none"/>
                <w:lang w:val="zh-CN"/>
              </w:rPr>
              <w:t>采购代理服务费，收费标准：</w:t>
            </w:r>
            <w:r>
              <w:rPr>
                <w:rFonts w:hint="eastAsia" w:ascii="仿宋" w:hAnsi="仿宋" w:eastAsia="仿宋" w:cs="仿宋"/>
                <w:snapToGrid w:val="0"/>
                <w:color w:val="auto"/>
                <w:sz w:val="24"/>
                <w:highlight w:val="none"/>
                <w:u w:val="single"/>
                <w:lang w:val="zh-CN"/>
              </w:rPr>
              <w:t>本次招标，采购代理费</w:t>
            </w:r>
            <w:r>
              <w:rPr>
                <w:rFonts w:hint="eastAsia" w:ascii="仿宋" w:hAnsi="仿宋" w:eastAsia="仿宋" w:cs="仿宋"/>
                <w:snapToGrid w:val="0"/>
                <w:color w:val="auto"/>
                <w:sz w:val="24"/>
                <w:highlight w:val="none"/>
                <w:u w:val="single"/>
                <w:lang w:val="en-US" w:eastAsia="zh-CN"/>
              </w:rPr>
              <w:t>由采购人支付</w:t>
            </w:r>
            <w:r>
              <w:rPr>
                <w:rFonts w:hint="eastAsia" w:ascii="仿宋" w:hAnsi="仿宋" w:eastAsia="仿宋" w:cs="仿宋"/>
                <w:snapToGrid w:val="0"/>
                <w:color w:val="auto"/>
                <w:sz w:val="24"/>
                <w:highlight w:val="none"/>
                <w:u w:val="single"/>
                <w:lang w:val="zh-CN"/>
              </w:rPr>
              <w:t>；</w:t>
            </w:r>
          </w:p>
          <w:p>
            <w:pPr>
              <w:snapToGrid w:val="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sym w:font="Wingdings" w:char="F0FE"/>
            </w:r>
            <w:r>
              <w:rPr>
                <w:rFonts w:hint="eastAsia" w:ascii="仿宋" w:hAnsi="仿宋" w:eastAsia="仿宋" w:cs="仿宋"/>
                <w:snapToGrid w:val="0"/>
                <w:color w:val="auto"/>
                <w:sz w:val="24"/>
                <w:highlight w:val="none"/>
              </w:rPr>
              <w:t>政府采购</w:t>
            </w:r>
            <w:r>
              <w:rPr>
                <w:rFonts w:hint="eastAsia" w:ascii="仿宋" w:hAnsi="仿宋" w:eastAsia="仿宋" w:cs="仿宋"/>
                <w:snapToGrid w:val="0"/>
                <w:color w:val="auto"/>
                <w:sz w:val="24"/>
                <w:highlight w:val="none"/>
                <w:lang w:val="zh-CN"/>
              </w:rPr>
              <w:t>履约验收费用（包含第三方检测及评审费用）；</w:t>
            </w:r>
          </w:p>
          <w:p>
            <w:pPr>
              <w:snapToGrid w:val="0"/>
              <w:rPr>
                <w:rFonts w:hint="eastAsia" w:ascii="仿宋" w:hAnsi="仿宋" w:eastAsia="仿宋" w:cs="仿宋"/>
                <w:snapToGrid w:val="0"/>
                <w:color w:val="auto"/>
                <w:sz w:val="24"/>
                <w:highlight w:val="none"/>
              </w:rPr>
            </w:pPr>
            <w:r>
              <w:rPr>
                <w:rFonts w:hint="eastAsia" w:ascii="仿宋" w:hAnsi="仿宋" w:eastAsia="仿宋" w:cs="仿宋"/>
                <w:i/>
                <w:iCs/>
                <w:snapToGrid w:val="0"/>
                <w:color w:val="auto"/>
                <w:sz w:val="24"/>
                <w:highlight w:val="none"/>
                <w:lang w:val="zh-CN"/>
              </w:rPr>
              <w:sym w:font="Wingdings" w:char="00A8"/>
            </w:r>
            <w:r>
              <w:rPr>
                <w:rFonts w:hint="eastAsia" w:ascii="仿宋" w:hAnsi="仿宋" w:eastAsia="仿宋" w:cs="仿宋"/>
                <w:i/>
                <w:iCs/>
                <w:snapToGrid w:val="0"/>
                <w:color w:val="auto"/>
                <w:sz w:val="24"/>
                <w:highlight w:val="none"/>
                <w:u w:val="single"/>
                <w:lang w:val="zh-CN"/>
              </w:rPr>
              <w:t xml:space="preserve"> </w:t>
            </w:r>
            <w:r>
              <w:rPr>
                <w:rFonts w:hint="eastAsia" w:ascii="仿宋" w:hAnsi="仿宋" w:eastAsia="仿宋" w:cs="仿宋"/>
                <w:i/>
                <w:iCs/>
                <w:snapToGrid w:val="0"/>
                <w:color w:val="auto"/>
                <w:sz w:val="24"/>
                <w:highlight w:val="none"/>
                <w:u w:val="single"/>
              </w:rPr>
              <w:t xml:space="preserve">其他：  </w:t>
            </w:r>
            <w:r>
              <w:rPr>
                <w:rFonts w:hint="eastAsia" w:ascii="仿宋" w:hAnsi="仿宋" w:eastAsia="仿宋" w:cs="仿宋"/>
                <w:i/>
                <w:iCs/>
                <w:snapToGrid w:val="0"/>
                <w:color w:val="auto"/>
                <w:sz w:val="24"/>
                <w:highlight w:val="none"/>
                <w:u w:val="single"/>
                <w:lang w:val="zh-CN"/>
              </w:rPr>
              <w:t xml:space="preserve">              </w:t>
            </w:r>
            <w:r>
              <w:rPr>
                <w:rFonts w:hint="eastAsia" w:ascii="仿宋" w:hAnsi="仿宋" w:eastAsia="仿宋" w:cs="仿宋"/>
                <w:i/>
                <w:iCs/>
                <w:snapToGrid w:val="0"/>
                <w:color w:val="auto"/>
                <w:sz w:val="24"/>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5"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1783"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特别说明</w:t>
            </w:r>
          </w:p>
        </w:tc>
        <w:tc>
          <w:tcPr>
            <w:tcW w:w="6262"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如果发现本采购文件中存在含糊不清、相互矛盾、多种含义以及歧视性不公正条款或违法违规等内容时，请供应商在获取采购文件后，答疑截止时间前按要求书面提出，逾期视同自动放弃疑问提出的权利或采购人不作答复。</w:t>
            </w:r>
          </w:p>
          <w:p>
            <w:pPr>
              <w:rPr>
                <w:rFonts w:hint="eastAsia" w:ascii="仿宋" w:hAnsi="仿宋" w:eastAsia="仿宋" w:cs="仿宋"/>
                <w:b/>
                <w:bCs/>
                <w:color w:val="auto"/>
                <w:sz w:val="24"/>
                <w:highlight w:val="none"/>
              </w:rPr>
            </w:pPr>
            <w:r>
              <w:rPr>
                <w:rFonts w:hint="eastAsia" w:ascii="仿宋" w:hAnsi="仿宋" w:eastAsia="仿宋" w:cs="仿宋"/>
                <w:snapToGrid w:val="0"/>
                <w:color w:val="auto"/>
                <w:kern w:val="0"/>
                <w:sz w:val="24"/>
                <w:highlight w:val="none"/>
              </w:rPr>
              <w:t>（2）该项目成交公示期间，供应商不得通过非正当途径、更不得通过非正当手段获取法律法规规定谈判小组（包括其他相关人员）应当保密的相关内容。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78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p>
        </w:tc>
        <w:tc>
          <w:tcPr>
            <w:tcW w:w="178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i/>
                <w:iCs/>
                <w:color w:val="auto"/>
                <w:sz w:val="24"/>
                <w:highlight w:val="none"/>
              </w:rPr>
              <w:t>项目需要增加的其他约定</w:t>
            </w:r>
          </w:p>
        </w:tc>
        <w:tc>
          <w:tcPr>
            <w:tcW w:w="6262" w:type="dxa"/>
            <w:noWrap w:val="0"/>
            <w:vAlign w:val="center"/>
          </w:tcPr>
          <w:p>
            <w:pPr>
              <w:rPr>
                <w:rFonts w:hint="eastAsia" w:ascii="仿宋" w:hAnsi="仿宋" w:eastAsia="仿宋" w:cs="仿宋"/>
                <w:snapToGrid w:val="0"/>
                <w:color w:val="auto"/>
                <w:kern w:val="0"/>
                <w:sz w:val="24"/>
                <w:highlight w:val="none"/>
              </w:rPr>
            </w:pPr>
          </w:p>
        </w:tc>
      </w:tr>
    </w:tbl>
    <w:p>
      <w:pPr>
        <w:adjustRightInd/>
        <w:spacing w:line="360" w:lineRule="auto"/>
        <w:jc w:val="center"/>
        <w:outlineLvl w:val="0"/>
        <w:rPr>
          <w:rStyle w:val="81"/>
          <w:rFonts w:hint="eastAsia" w:ascii="仿宋" w:eastAsia="仿宋" w:cs="仿宋"/>
          <w:color w:val="auto"/>
          <w:highlight w:val="none"/>
        </w:rPr>
      </w:pPr>
      <w:r>
        <w:rPr>
          <w:rStyle w:val="81"/>
          <w:rFonts w:hint="eastAsia" w:ascii="仿宋" w:eastAsia="仿宋" w:cs="仿宋"/>
          <w:color w:val="auto"/>
          <w:highlight w:val="none"/>
        </w:rPr>
        <w:br w:type="page"/>
      </w:r>
      <w:bookmarkEnd w:id="12"/>
      <w:bookmarkStart w:id="18" w:name="_Toc18105"/>
      <w:bookmarkStart w:id="19" w:name="第三部分"/>
      <w:bookmarkStart w:id="20" w:name="_Toc164416483"/>
      <w:r>
        <w:rPr>
          <w:rStyle w:val="81"/>
          <w:rFonts w:hint="eastAsia" w:ascii="仿宋" w:eastAsia="仿宋" w:cs="仿宋"/>
          <w:color w:val="auto"/>
          <w:highlight w:val="none"/>
        </w:rPr>
        <w:t>一、总则</w:t>
      </w:r>
      <w:bookmarkEnd w:id="18"/>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bookmarkStart w:id="21" w:name="_Toc5882"/>
      <w:bookmarkStart w:id="22" w:name="_Toc29857"/>
      <w:r>
        <w:rPr>
          <w:rFonts w:hint="eastAsia" w:ascii="仿宋" w:hAnsi="仿宋" w:eastAsia="仿宋" w:cs="新宋体"/>
          <w:color w:val="auto"/>
          <w:sz w:val="24"/>
          <w:highlight w:val="none"/>
        </w:rPr>
        <w:t>本项目采购是按照</w:t>
      </w:r>
      <w:r>
        <w:rPr>
          <w:rFonts w:hint="eastAsia" w:ascii="仿宋" w:hAnsi="仿宋" w:eastAsia="仿宋" w:cs="仿宋"/>
          <w:color w:val="auto"/>
          <w:sz w:val="24"/>
          <w:highlight w:val="none"/>
        </w:rPr>
        <w:t>《中华人民共和国政府采购法》、《政府采购非招标采购方式管理办法》（财政部第74号令）、《浙江省政府采购项目电子交易管理暂行办法》（浙财采监〔2019〕10号）</w:t>
      </w:r>
      <w:r>
        <w:rPr>
          <w:rFonts w:hint="eastAsia" w:ascii="仿宋" w:hAnsi="仿宋" w:eastAsia="仿宋" w:cs="新宋体"/>
          <w:color w:val="auto"/>
          <w:sz w:val="24"/>
          <w:highlight w:val="none"/>
        </w:rPr>
        <w:t>等法律及有关法规组织和实施的。</w:t>
      </w:r>
    </w:p>
    <w:p>
      <w:pPr>
        <w:snapToGrid w:val="0"/>
        <w:spacing w:line="360" w:lineRule="auto"/>
        <w:ind w:firstLine="361" w:firstLineChars="150"/>
        <w:jc w:val="left"/>
        <w:outlineLvl w:val="1"/>
        <w:rPr>
          <w:rFonts w:hint="eastAsia" w:ascii="仿宋" w:hAnsi="仿宋" w:eastAsia="仿宋" w:cs="仿宋"/>
          <w:b/>
          <w:color w:val="auto"/>
          <w:sz w:val="24"/>
          <w:highlight w:val="none"/>
        </w:rPr>
      </w:pPr>
      <w:bookmarkStart w:id="23" w:name="_Toc27055"/>
      <w:r>
        <w:rPr>
          <w:rFonts w:hint="eastAsia" w:ascii="仿宋" w:hAnsi="仿宋" w:eastAsia="仿宋" w:cs="仿宋"/>
          <w:b/>
          <w:color w:val="auto"/>
          <w:sz w:val="24"/>
          <w:highlight w:val="none"/>
        </w:rPr>
        <w:t>1. 适用范围</w:t>
      </w:r>
      <w:bookmarkEnd w:id="21"/>
      <w:bookmarkEnd w:id="22"/>
      <w:bookmarkEnd w:id="23"/>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本采购文件适用于该项目的组织采购、谈判响应、响应文件开启、资格审查及信用信息查询、评审、评审结果确定、合同、验收等行为（法律、法规另有规定的，从其规定）。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bookmarkStart w:id="24" w:name="_Toc31546"/>
      <w:bookmarkStart w:id="25" w:name="_Toc3235"/>
      <w:bookmarkStart w:id="26" w:name="_Toc19066"/>
      <w:r>
        <w:rPr>
          <w:rFonts w:hint="eastAsia" w:ascii="仿宋" w:hAnsi="仿宋" w:eastAsia="仿宋" w:cs="仿宋"/>
          <w:b/>
          <w:color w:val="auto"/>
          <w:sz w:val="24"/>
          <w:highlight w:val="none"/>
        </w:rPr>
        <w:t>2.定义</w:t>
      </w:r>
      <w:bookmarkEnd w:id="24"/>
      <w:bookmarkEnd w:id="25"/>
      <w:bookmarkEnd w:id="26"/>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“采购人”系指采购公告中载明的本项目的采购人。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“采购代理机构”系指采购公告中载明的本项目的采购代理机构。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“供应商”系指是指响应采购、参加谈判响应竞争的法人、其他组织或者自然人。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谈判响应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w:t>
      </w:r>
      <w:r>
        <w:rPr>
          <w:rFonts w:hint="eastAsia" w:ascii="仿宋" w:hAnsi="仿宋" w:eastAsia="仿宋" w:cs="仿宋"/>
          <w:snapToGrid w:val="0"/>
          <w:color w:val="auto"/>
          <w:kern w:val="28"/>
          <w:sz w:val="24"/>
          <w:szCs w:val="20"/>
          <w:highlight w:val="none"/>
        </w:rPr>
        <w:t>且加下划线的条款</w:t>
      </w:r>
      <w:r>
        <w:rPr>
          <w:rFonts w:hint="eastAsia" w:ascii="仿宋" w:hAnsi="仿宋" w:eastAsia="仿宋" w:cs="仿宋"/>
          <w:color w:val="auto"/>
          <w:sz w:val="24"/>
          <w:highlight w:val="none"/>
        </w:rPr>
        <w:t>系指实质性要求条款，“★”系产品采购项目中单一产品或核心产品，“</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3.合格供应商要求</w:t>
      </w:r>
    </w:p>
    <w:p>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3.1合格的供应商应满足采购文件第一部分“采购公告”对申请人的资格要求。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 w:hAnsi="仿宋" w:eastAsia="仿宋" w:cs="新宋体"/>
          <w:bCs/>
          <w:color w:val="auto"/>
          <w:spacing w:val="6"/>
          <w:sz w:val="24"/>
          <w:highlight w:val="none"/>
        </w:rPr>
        <w:t>。</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供应商可授权供应商代表以供应商名义参加本次采购活动（包括响应文件开启时间的签署、澄清、说明、补正、递交、撤回、修改等以及签订合同和处理有关事宜）。如果供应商代表不是法定代表人(负责人)，须持有《法定代表人(负责人)授权书》。</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3.4采用最低评标价法的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供应商参加同一合同项下谈判响应的，以其中通过资格审查、符合性审查且报价最低的参加评审；报价相同的，由采购人或者采购人委托谈判小组按照采购文件规定的方式确定一个参加评审的供应商，采购文件未规定的采取随机抽取方式确定，其他响应无效。</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非单一产品采购项目，多家供应商提供的核心产品（见</w:t>
      </w:r>
      <w:r>
        <w:rPr>
          <w:rFonts w:hint="eastAsia" w:ascii="仿宋" w:hAnsi="仿宋" w:eastAsia="仿宋"/>
          <w:color w:val="auto"/>
          <w:sz w:val="24"/>
          <w:highlight w:val="none"/>
        </w:rPr>
        <w:t>供应商须知前附表</w:t>
      </w:r>
      <w:r>
        <w:rPr>
          <w:rFonts w:hint="eastAsia" w:ascii="仿宋" w:hAnsi="仿宋" w:eastAsia="仿宋" w:cs="新宋体"/>
          <w:bCs/>
          <w:color w:val="auto"/>
          <w:spacing w:val="6"/>
          <w:sz w:val="24"/>
          <w:highlight w:val="none"/>
        </w:rPr>
        <w:t>）品牌相同的，按前两款规定处理。</w:t>
      </w:r>
    </w:p>
    <w:p>
      <w:pPr>
        <w:snapToGrid w:val="0"/>
        <w:spacing w:line="360" w:lineRule="auto"/>
        <w:ind w:firstLine="480" w:firstLineChars="200"/>
        <w:rPr>
          <w:color w:val="auto"/>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5货物类是否允许采购进口产品、是否要求节能/环境标志产品等情况见供应商须知前附表。</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4、采购项目需要落实的政府采购政策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采购人拟采购的产品属于政府强制采购的节能产品品目清单范围的，供应商未按采购文件要求提供国家确定的认证机构出具的、处于有效期之内的节能产品认证证书的，响应无效。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4.3.2</w:t>
      </w:r>
      <w:r>
        <w:rPr>
          <w:rFonts w:hint="eastAsia" w:ascii="仿宋" w:hAnsi="仿宋" w:eastAsia="仿宋" w:cs="仿宋"/>
          <w:color w:val="auto"/>
          <w:kern w:val="0"/>
          <w:sz w:val="24"/>
          <w:highlight w:val="none"/>
        </w:rPr>
        <w:t>在政府采购活动中，供应商提供的货物、工程或者服务符合下列情形的，享受中小企业扶持政策：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4.3.3对于未预留份额专门面向中小企业的政府采购货物或服务项目，以及预留份额政府采购货物或服务项目中的非预留部分标项，对小型和微型企业的投标报价给予20%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360" w:lineRule="auto"/>
        <w:ind w:firstLine="480" w:firstLineChars="200"/>
        <w:rPr>
          <w:rFonts w:hint="eastAsia"/>
          <w:color w:val="auto"/>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.2供应商质疑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5.2.2.1质疑提交形式：以</w:t>
      </w:r>
      <w:r>
        <w:rPr>
          <w:rFonts w:hint="eastAsia" w:ascii="仿宋" w:hAnsi="仿宋" w:eastAsia="仿宋" w:cs="仿宋"/>
          <w:color w:val="auto"/>
          <w:sz w:val="24"/>
          <w:highlight w:val="none"/>
        </w:rPr>
        <w:t>书面形式</w:t>
      </w:r>
      <w:r>
        <w:rPr>
          <w:rFonts w:hint="eastAsia" w:ascii="仿宋" w:hAnsi="仿宋" w:eastAsia="仿宋" w:cs="仿宋"/>
          <w:snapToGrid/>
          <w:color w:val="auto"/>
          <w:kern w:val="2"/>
          <w:sz w:val="24"/>
          <w:highlight w:val="none"/>
        </w:rPr>
        <w:t>向采购公告中载明的质疑联系人提交</w:t>
      </w:r>
      <w:r>
        <w:rPr>
          <w:rFonts w:hint="eastAsia" w:ascii="仿宋" w:hAnsi="仿宋" w:eastAsia="仿宋" w:cs="仿宋"/>
          <w:color w:val="auto"/>
          <w:sz w:val="24"/>
          <w:highlight w:val="none"/>
        </w:rPr>
        <w:t>或登录政采云平台（https://www.zcygov.cn/）通过“询问质疑投诉”栏向采购机构内设的质疑联系人提交并上传书面质疑材料。</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color w:val="auto"/>
          <w:sz w:val="24"/>
          <w:highlight w:val="none"/>
        </w:rPr>
        <w:t>5.2.2.2</w:t>
      </w:r>
      <w:r>
        <w:rPr>
          <w:rFonts w:hint="eastAsia" w:ascii="仿宋" w:hAnsi="仿宋" w:eastAsia="仿宋" w:cs="仿宋"/>
          <w:snapToGrid/>
          <w:color w:val="auto"/>
          <w:kern w:val="2"/>
          <w:sz w:val="24"/>
          <w:highlight w:val="none"/>
        </w:rPr>
        <w:t>对采购文件提出质疑的，质疑期限为供应商获得采购文件之日或者采购文件公告期限届满之日起计算。</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5.2.2.3对采购过程提出质疑的，质疑期限为各采购程序环节结束之日起计算。对同一采购程序环节的质疑，供应商须一次性提出。</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5.2.2.4对采购结果提出质疑的，质疑期限自采购结果公告期限届满之日起计算。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.2.3.2质疑项目的名称、编号；</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.2.3.4事实依据；</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.2.3.5必要的法律依据；</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.2.3.6提出质疑的日期。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公平竞争打造最优营商环境的通知》（浙财采监〔2021〕22号）,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.2.5询问或者质疑事项可能影响采购结果的，采购人应当暂停签订合同，已经签订合同的，应当中止履行合同。</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.3供应商投诉</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5.3.2供应商投诉的事项不得超出已质疑事项的范围，基于质疑答复内容提出的投诉事项除外。</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5.3.3供应商投诉应当有明确的请求和必要的证明材料。</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5.3.5 以联合体形式参加政府采购活动的，其投诉应当由组成联合体的所有供应商共同提出。</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w:t>
      </w:r>
      <w:r>
        <w:rPr>
          <w:rStyle w:val="81"/>
          <w:rFonts w:hint="eastAsia" w:ascii="仿宋" w:eastAsia="仿宋" w:cs="仿宋"/>
          <w:color w:val="auto"/>
          <w:highlight w:val="none"/>
        </w:rPr>
        <w:t xml:space="preserve">   </w:t>
      </w:r>
      <w:bookmarkStart w:id="27" w:name="_Toc13895"/>
      <w:r>
        <w:rPr>
          <w:rStyle w:val="81"/>
          <w:rFonts w:hint="eastAsia" w:ascii="仿宋" w:eastAsia="仿宋" w:cs="仿宋"/>
          <w:color w:val="auto"/>
          <w:highlight w:val="none"/>
        </w:rPr>
        <w:t>二、采购文件的构成、澄清、修改</w:t>
      </w:r>
      <w:bookmarkEnd w:id="27"/>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6．采购文件的构成</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采购文件包括下列文件及附件：</w:t>
      </w:r>
    </w:p>
    <w:p>
      <w:pPr>
        <w:pStyle w:val="32"/>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6.1.1采购公告；</w:t>
      </w:r>
    </w:p>
    <w:p>
      <w:pPr>
        <w:pStyle w:val="32"/>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6.1.2供应商须知；</w:t>
      </w:r>
    </w:p>
    <w:p>
      <w:pPr>
        <w:pStyle w:val="32"/>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6.1.3采购需求；</w:t>
      </w:r>
    </w:p>
    <w:p>
      <w:pPr>
        <w:pStyle w:val="32"/>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6.1.4评审办法；</w:t>
      </w:r>
    </w:p>
    <w:p>
      <w:pPr>
        <w:pStyle w:val="32"/>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6.1.5拟签订的合同文本；</w:t>
      </w:r>
    </w:p>
    <w:p>
      <w:pPr>
        <w:pStyle w:val="32"/>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6.1.6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采购文件的澄清、修改</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7.1已获取采购文件的潜在供应商，若有问题需要澄清，应于响应截止时间前，以书面形式向采购代理机构提出。</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7.2 采购代理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pStyle w:val="4"/>
        <w:jc w:val="center"/>
        <w:rPr>
          <w:rFonts w:hint="eastAsia" w:ascii="仿宋" w:eastAsia="仿宋" w:cs="仿宋"/>
          <w:color w:val="auto"/>
          <w:highlight w:val="none"/>
          <w:lang w:eastAsia="zh-CN"/>
        </w:rPr>
      </w:pPr>
      <w:bookmarkStart w:id="28" w:name="_Toc22850"/>
      <w:r>
        <w:rPr>
          <w:rFonts w:hint="eastAsia" w:ascii="仿宋" w:eastAsia="仿宋" w:cs="仿宋"/>
          <w:color w:val="auto"/>
          <w:highlight w:val="none"/>
          <w:lang w:eastAsia="zh-CN"/>
        </w:rPr>
        <w:t>三、</w:t>
      </w:r>
      <w:bookmarkEnd w:id="28"/>
      <w:r>
        <w:rPr>
          <w:rFonts w:hint="eastAsia" w:ascii="仿宋" w:eastAsia="仿宋" w:cs="仿宋"/>
          <w:color w:val="auto"/>
          <w:highlight w:val="none"/>
          <w:lang w:eastAsia="zh-CN"/>
        </w:rPr>
        <w:t>谈判响应</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采购文件的获取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详见采购公告中获取采购文件的时间期限、地点、方式及采购文件售价。</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9.响应文件开启前答疑会或现场考察</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10.谈判保证金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本项目不需缴纳谈判保证金。</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响应文件开启时间的语言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响应文件开启时间及供应商与采购有关的来往通知、函件和文件均应使用中文。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 响应文件开启时间的组成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pStyle w:val="499"/>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highlight w:val="none"/>
        </w:rPr>
        <w:t>12.1.1提供符合参加政府采购活动应当具备的一般条件的承诺函及有效的企业营业执照（或事业法人登记证书或其它工商等登记证明材料，自然人提供身份证)复制件（如为联合体，则联合体各方均应提供）</w:t>
      </w:r>
      <w:r>
        <w:rPr>
          <w:rFonts w:hint="eastAsia" w:ascii="仿宋" w:hAnsi="仿宋" w:eastAsia="仿宋" w:cs="仿宋"/>
          <w:color w:val="auto"/>
          <w:szCs w:val="21"/>
          <w:highlight w:val="none"/>
        </w:rPr>
        <w:t>（五选一）：</w:t>
      </w:r>
    </w:p>
    <w:p>
      <w:pPr>
        <w:pStyle w:val="499"/>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①如供应商是企业（包括合伙企业），提供在工商部门注册的有效“企业法人营业执照”或“营业执照”；</w:t>
      </w:r>
    </w:p>
    <w:p>
      <w:pPr>
        <w:pStyle w:val="499"/>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②如供应商是事业单位，提供有效的“事业单位法人证书”；</w:t>
      </w:r>
    </w:p>
    <w:p>
      <w:pPr>
        <w:pStyle w:val="499"/>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③如供应商是非企业专业服务机构的，提供执业许可证等证明文件；</w:t>
      </w:r>
    </w:p>
    <w:p>
      <w:pPr>
        <w:pStyle w:val="499"/>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④如供应商是个体工商户，提供有效的“个体工商户营业执照”；</w:t>
      </w:r>
    </w:p>
    <w:p>
      <w:pPr>
        <w:pStyle w:val="499"/>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⑤如供应商是自然人，提供有效的自然人身份证明（居民身份证正反面或公安机关出具的临时居民身份证正反面或港澳台胞证或护照）。</w:t>
      </w:r>
    </w:p>
    <w:p>
      <w:pPr>
        <w:pStyle w:val="499"/>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12.1.2落实政府采购政策需满足的资格要求</w:t>
      </w:r>
      <w:r>
        <w:rPr>
          <w:rFonts w:hint="eastAsia" w:ascii="仿宋" w:hAnsi="仿宋" w:eastAsia="仿宋" w:cs="仿宋"/>
          <w:color w:val="auto"/>
          <w:sz w:val="24"/>
          <w:highlight w:val="none"/>
          <w:lang w:val="zh-CN"/>
        </w:rPr>
        <w:t>证明材料</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12.1.3本项目的特定资格</w:t>
      </w:r>
      <w:r>
        <w:rPr>
          <w:rFonts w:hint="eastAsia" w:ascii="仿宋" w:hAnsi="仿宋" w:eastAsia="仿宋" w:cs="仿宋"/>
          <w:color w:val="auto"/>
          <w:sz w:val="24"/>
          <w:highlight w:val="none"/>
          <w:lang w:val="zh-CN"/>
        </w:rPr>
        <w:t>证明材料。</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tabs>
          <w:tab w:val="left" w:pos="942"/>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12.2.1报价声明函；</w:t>
      </w:r>
      <w:r>
        <w:rPr>
          <w:rFonts w:hint="eastAsia" w:ascii="仿宋" w:hAnsi="仿宋" w:eastAsia="仿宋" w:cs="仿宋"/>
          <w:color w:val="auto"/>
          <w:sz w:val="24"/>
          <w:highlight w:val="none"/>
          <w:lang w:val="zh-CN"/>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12.2.2授权委托书或法定代表人（单位负责人、自然人本人）身份证明；</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12.2.3联合协议；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12.2.4分包意向协议；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12.2.5评审标准相应的商务技术资料；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12.2.6商务技术偏离表；</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供应商认为需要提供的其他材料。</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12.3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12.3.1报价一览表；</w:t>
      </w:r>
    </w:p>
    <w:p>
      <w:pPr>
        <w:snapToGrid w:val="0"/>
        <w:spacing w:line="360" w:lineRule="auto"/>
        <w:ind w:firstLine="480" w:firstLineChars="200"/>
        <w:rPr>
          <w:rFonts w:hint="eastAsia"/>
          <w:color w:val="auto"/>
          <w:highlight w:val="none"/>
        </w:rPr>
      </w:pPr>
      <w:r>
        <w:rPr>
          <w:rFonts w:hint="eastAsia" w:ascii="仿宋" w:hAnsi="仿宋" w:eastAsia="仿宋" w:cs="仿宋"/>
          <w:color w:val="auto"/>
          <w:sz w:val="24"/>
          <w:highlight w:val="none"/>
        </w:rPr>
        <w:t>12.3.2分项报价表；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12.3.4中小企业声明函（残疾人福利性单位声明函、监狱企业提供的相关证明材料）</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响应文件开启时间含有采购人不能接受的附加条件的，响应无效；</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 xml:space="preserve">供应商提供虚假材料响应的，响应无效。 </w:t>
      </w:r>
    </w:p>
    <w:p>
      <w:pPr>
        <w:pStyle w:val="325"/>
        <w:snapToGrid w:val="0"/>
        <w:spacing w:before="0"/>
        <w:ind w:firstLine="0" w:firstLineChars="0"/>
        <w:outlineLvl w:val="0"/>
        <w:rPr>
          <w:rFonts w:hint="eastAsia" w:ascii="仿宋" w:hAnsi="仿宋" w:eastAsia="仿宋" w:cs="仿宋"/>
          <w:b/>
          <w:color w:val="auto"/>
          <w:szCs w:val="24"/>
          <w:highlight w:val="none"/>
        </w:rPr>
      </w:pPr>
      <w:bookmarkStart w:id="29" w:name="_Toc19035"/>
      <w:bookmarkStart w:id="30" w:name="_Toc6297"/>
      <w:bookmarkStart w:id="31" w:name="_Toc23416"/>
      <w:r>
        <w:rPr>
          <w:rFonts w:hint="eastAsia" w:ascii="仿宋" w:hAnsi="仿宋" w:eastAsia="仿宋" w:cs="仿宋"/>
          <w:b/>
          <w:color w:val="auto"/>
          <w:szCs w:val="24"/>
          <w:highlight w:val="none"/>
        </w:rPr>
        <w:t>13</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响应文件开启时间的编制</w:t>
      </w:r>
      <w:bookmarkEnd w:id="29"/>
      <w:bookmarkEnd w:id="30"/>
      <w:bookmarkEnd w:id="31"/>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响应文件开启时间分为资格文件、商务技术文件、报价文件三部分。各供应商在编制响应文件开启时间时请按照采购文件第六部分规定的格式进行，混乱的编排导致响应文件开启时间被误读或谈判小组查找不到有效文件是供应商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供应商进行电子投标应安装客户端软件—“政采云电子交易客户端”，并按照采购文件和电子交易平台的要求编制并加密响应文件开启时间。供应商未按规定加密的响应文件开启时间，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pStyle w:val="325"/>
        <w:snapToGrid w:val="0"/>
        <w:spacing w:before="0"/>
        <w:ind w:firstLine="482"/>
        <w:rPr>
          <w:rFonts w:hint="eastAsia" w:ascii="仿宋" w:hAnsi="仿宋" w:eastAsia="仿宋" w:cs="仿宋"/>
          <w:b/>
          <w:bCs/>
          <w:color w:val="auto"/>
          <w:highlight w:val="none"/>
          <w:u w:val="single"/>
        </w:rPr>
      </w:pPr>
      <w:bookmarkStart w:id="32" w:name="_Toc1765"/>
      <w:r>
        <w:rPr>
          <w:rFonts w:hint="eastAsia" w:ascii="仿宋" w:hAnsi="仿宋" w:eastAsia="仿宋" w:cs="仿宋"/>
          <w:b/>
          <w:color w:val="auto"/>
          <w:szCs w:val="24"/>
          <w:highlight w:val="none"/>
        </w:rPr>
        <w:t>14</w:t>
      </w:r>
      <w:bookmarkEnd w:id="32"/>
      <w:r>
        <w:rPr>
          <w:rFonts w:hint="eastAsia" w:ascii="仿宋" w:hAnsi="仿宋" w:eastAsia="仿宋" w:cs="仿宋"/>
          <w:b/>
          <w:color w:val="auto"/>
          <w:szCs w:val="24"/>
          <w:highlight w:val="none"/>
        </w:rPr>
        <w:t>谈判报价</w:t>
      </w:r>
    </w:p>
    <w:p>
      <w:pPr>
        <w:pStyle w:val="325"/>
        <w:snapToGrid w:val="0"/>
        <w:spacing w:before="0"/>
        <w:ind w:firstLine="482"/>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14.</w:t>
      </w:r>
      <w:r>
        <w:rPr>
          <w:rFonts w:hint="eastAsia" w:ascii="仿宋" w:hAnsi="仿宋" w:eastAsia="仿宋" w:cs="仿宋"/>
          <w:b/>
          <w:bCs/>
          <w:color w:val="auto"/>
          <w:highlight w:val="none"/>
          <w:u w:val="single"/>
          <w:lang w:val="zh-CN"/>
        </w:rPr>
        <w:t>1 ▲</w:t>
      </w:r>
      <w:r>
        <w:rPr>
          <w:rFonts w:hint="eastAsia" w:ascii="仿宋" w:hAnsi="仿宋" w:eastAsia="仿宋" w:cs="仿宋"/>
          <w:b/>
          <w:bCs/>
          <w:color w:val="auto"/>
          <w:highlight w:val="none"/>
          <w:u w:val="single"/>
        </w:rPr>
        <w:t xml:space="preserve">谈判报价形式: </w:t>
      </w:r>
      <w:r>
        <w:rPr>
          <w:rFonts w:hint="eastAsia" w:ascii="仿宋" w:hAnsi="仿宋" w:eastAsia="仿宋" w:cs="仿宋"/>
          <w:color w:val="auto"/>
          <w:highlight w:val="none"/>
          <w:u w:val="single"/>
        </w:rPr>
        <w:sym w:font="Wingdings" w:char="00FE"/>
      </w:r>
      <w:r>
        <w:rPr>
          <w:rFonts w:hint="eastAsia" w:ascii="仿宋" w:hAnsi="仿宋" w:eastAsia="仿宋" w:cs="仿宋"/>
          <w:b/>
          <w:bCs/>
          <w:color w:val="auto"/>
          <w:highlight w:val="none"/>
          <w:u w:val="single"/>
        </w:rPr>
        <w:t>人民币总价报价</w:t>
      </w:r>
      <w:r>
        <w:rPr>
          <w:rFonts w:hint="eastAsia" w:ascii="仿宋" w:hAnsi="仿宋" w:eastAsia="仿宋" w:cs="仿宋"/>
          <w:color w:val="auto"/>
          <w:highlight w:val="none"/>
          <w:u w:val="single"/>
        </w:rPr>
        <w:sym w:font="Wingdings" w:char="00A8"/>
      </w:r>
      <w:r>
        <w:rPr>
          <w:rFonts w:hint="eastAsia" w:ascii="仿宋" w:hAnsi="仿宋" w:eastAsia="仿宋" w:cs="仿宋"/>
          <w:b/>
          <w:bCs/>
          <w:color w:val="auto"/>
          <w:highlight w:val="none"/>
          <w:u w:val="single"/>
        </w:rPr>
        <w:t>人民币单价报价</w:t>
      </w:r>
      <w:r>
        <w:rPr>
          <w:rFonts w:hint="eastAsia" w:ascii="仿宋" w:hAnsi="仿宋" w:eastAsia="仿宋" w:cs="仿宋"/>
          <w:color w:val="auto"/>
          <w:highlight w:val="none"/>
          <w:u w:val="single"/>
        </w:rPr>
        <w:sym w:font="Wingdings" w:char="00A8"/>
      </w:r>
      <w:r>
        <w:rPr>
          <w:rFonts w:hint="eastAsia" w:ascii="仿宋" w:hAnsi="仿宋" w:eastAsia="仿宋" w:cs="仿宋"/>
          <w:b/>
          <w:bCs/>
          <w:color w:val="auto"/>
          <w:highlight w:val="none"/>
          <w:u w:val="single"/>
        </w:rPr>
        <w:t>折扣率报价</w:t>
      </w:r>
      <w:r>
        <w:rPr>
          <w:rFonts w:hint="eastAsia" w:ascii="仿宋" w:hAnsi="仿宋" w:eastAsia="仿宋" w:cs="仿宋"/>
          <w:color w:val="auto"/>
          <w:highlight w:val="none"/>
          <w:u w:val="single"/>
        </w:rPr>
        <w:sym w:font="Wingdings" w:char="00A8"/>
      </w:r>
      <w:r>
        <w:rPr>
          <w:rFonts w:hint="eastAsia" w:ascii="仿宋" w:hAnsi="仿宋" w:eastAsia="仿宋" w:cs="仿宋"/>
          <w:b/>
          <w:bCs/>
          <w:color w:val="auto"/>
          <w:highlight w:val="none"/>
          <w:u w:val="single"/>
        </w:rPr>
        <w:t xml:space="preserve"> 其他形式报价：       </w:t>
      </w:r>
    </w:p>
    <w:p>
      <w:pPr>
        <w:pStyle w:val="325"/>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 xml:space="preserve">14.2 </w:t>
      </w: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人民币总价报价：</w:t>
      </w:r>
      <w:r>
        <w:rPr>
          <w:rFonts w:hint="eastAsia" w:ascii="仿宋" w:hAnsi="仿宋" w:eastAsia="仿宋" w:cs="仿宋"/>
          <w:color w:val="auto"/>
          <w:highlight w:val="none"/>
          <w:lang w:val="zh-CN"/>
        </w:rPr>
        <w:t>有关本项目实施所需的所有费用（含税费）均计入报价。</w:t>
      </w:r>
      <w:r>
        <w:rPr>
          <w:rFonts w:hint="eastAsia" w:ascii="仿宋" w:hAnsi="仿宋" w:eastAsia="仿宋" w:cs="仿宋"/>
          <w:color w:val="auto"/>
          <w:highlight w:val="none"/>
        </w:rPr>
        <w:t>报价一览表是报价的唯一载体</w:t>
      </w:r>
      <w:r>
        <w:rPr>
          <w:rFonts w:hint="eastAsia" w:ascii="仿宋" w:hAnsi="仿宋" w:eastAsia="仿宋" w:cs="仿宋"/>
          <w:color w:val="auto"/>
          <w:highlight w:val="none"/>
          <w:lang w:val="zh-CN"/>
        </w:rPr>
        <w:t>。响应文件开启时间中价格全部采用人民币报价。采购文件未列明，而供应商认为必需的费用也需列入报价。</w:t>
      </w:r>
    </w:p>
    <w:p>
      <w:pPr>
        <w:pStyle w:val="325"/>
        <w:snapToGrid w:val="0"/>
        <w:spacing w:before="0"/>
        <w:ind w:firstLine="480"/>
        <w:rPr>
          <w:rFonts w:hint="eastAsia" w:ascii="仿宋" w:hAnsi="仿宋" w:eastAsia="仿宋" w:cs="仿宋"/>
          <w:b/>
          <w:bCs/>
          <w:color w:val="auto"/>
          <w:highlight w:val="none"/>
          <w:lang w:val="zh-CN"/>
        </w:rPr>
      </w:pPr>
      <w:r>
        <w:rPr>
          <w:rFonts w:hint="eastAsia" w:ascii="仿宋" w:hAnsi="仿宋" w:eastAsia="仿宋" w:cs="仿宋"/>
          <w:color w:val="auto"/>
          <w:highlight w:val="none"/>
        </w:rPr>
        <w:t>14.3</w:t>
      </w:r>
      <w:r>
        <w:rPr>
          <w:rFonts w:hint="eastAsia" w:ascii="仿宋" w:hAnsi="仿宋" w:eastAsia="仿宋" w:cs="仿宋"/>
          <w:b/>
          <w:bCs/>
          <w:color w:val="auto"/>
          <w:highlight w:val="none"/>
          <w:u w:val="single"/>
        </w:rPr>
        <w:t>▲所响应项只允许有一个报价，不接受有选择报价的响应文件开启时间。</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15.响应文件开启时间的签署、盖章</w:t>
      </w:r>
    </w:p>
    <w:p>
      <w:pPr>
        <w:pStyle w:val="325"/>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15.1响应文件开启时间按照采购文件第六部分格式要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u w:val="single"/>
        </w:rPr>
        <w:t>▲供应商的响应文件开启时间未按照采购文件要求签署、盖章的，其响应无效</w:t>
      </w:r>
      <w:r>
        <w:rPr>
          <w:rFonts w:hint="eastAsia" w:ascii="仿宋" w:hAnsi="仿宋" w:eastAsia="仿宋" w:cs="仿宋"/>
          <w:color w:val="auto"/>
          <w:szCs w:val="24"/>
          <w:highlight w:val="none"/>
          <w:u w:val="single"/>
        </w:rPr>
        <w:t>。</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15.2为确保网上操作合法、有效和安全，供应商应当在响应截止时间前完成在“政府采购云平台”的身份认证，确保在电子投标过程中能够对相关数据电文进行加密和使用电子签名。</w:t>
      </w:r>
    </w:p>
    <w:p>
      <w:pPr>
        <w:pStyle w:val="32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15.3采购文件对响应文件开启时间签署、盖章的要求适用于电子签名。</w:t>
      </w:r>
    </w:p>
    <w:p>
      <w:pPr>
        <w:pStyle w:val="32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 响应文件开启时间的提交、补充、修改、撤回</w:t>
      </w:r>
    </w:p>
    <w:p>
      <w:pPr>
        <w:pStyle w:val="325"/>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 供应商应当在响应截止时间</w:t>
      </w:r>
      <w:r>
        <w:rPr>
          <w:rFonts w:hint="eastAsia" w:ascii="仿宋" w:hAnsi="仿宋" w:eastAsia="仿宋" w:cs="仿宋"/>
          <w:color w:val="auto"/>
          <w:highlight w:val="none"/>
        </w:rPr>
        <w:t>前将加密的响应文件开启时间上传至政府采购云平台，</w:t>
      </w:r>
      <w:r>
        <w:rPr>
          <w:rFonts w:hint="eastAsia" w:ascii="仿宋" w:hAnsi="仿宋" w:eastAsia="仿宋" w:cs="仿宋"/>
          <w:color w:val="auto"/>
          <w:szCs w:val="24"/>
          <w:highlight w:val="none"/>
        </w:rPr>
        <w:t>并可以补充、修改或者撤回响应文件开启时间。补充或者修改响应文件开启时间的，应当先行撤回原文件，补充、修改后重新传输递交。响应截止时间前未完成传输的，视为撤回响应文件开启时间。响应截止时间后递交的响应文件开启时间，电子交易平台将拒收。</w:t>
      </w:r>
    </w:p>
    <w:p>
      <w:pPr>
        <w:pStyle w:val="32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电子交易平台收到响应文件开启时间，将妥善保存并即时向供应商发出确认回执通知。在响应截止时间前，除供应商补充、修改或者撤回响应文件开启时间外，任何单位和个人不得解密或提取响应文件开启时间。</w:t>
      </w:r>
    </w:p>
    <w:p>
      <w:pPr>
        <w:pStyle w:val="32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16.3采购人、采购代理机构可以视情况延长响应文件开启时间提交的截止时间。在上述情况下，采购代理机构与供应商以前在响应截止期方面的全部权利、责任和义务，将适用于延长至新的响应截止期。</w:t>
      </w:r>
    </w:p>
    <w:p>
      <w:pPr>
        <w:pStyle w:val="32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16.4备份响应文件开启时间</w:t>
      </w:r>
    </w:p>
    <w:p>
      <w:pPr>
        <w:pStyle w:val="32"/>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16.4</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备份响应文件开启时间”是指与“电子加密响应文件开启时间”同时生成的数据电文形式的电子文件（备份标书），其他方式编制的备份响应文件开启时间视为无效备份响应文件开启时间。</w:t>
      </w:r>
    </w:p>
    <w:p>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为确保采购项目顺利实施，避免因政采云上电子响应文件开启时间解密失败导致供应商响应无效，</w:t>
      </w:r>
      <w:r>
        <w:rPr>
          <w:rFonts w:hint="eastAsia" w:ascii="仿宋" w:hAnsi="仿宋" w:eastAsia="仿宋" w:cs="仿宋"/>
          <w:color w:val="auto"/>
          <w:sz w:val="24"/>
          <w:szCs w:val="24"/>
          <w:highlight w:val="none"/>
        </w:rPr>
        <w:t>供应商在电子交易平台传输递交响应文件开启时间后，还可以在响应截止时间前提交电文文档形式的备份响应文件开启时间，备份响应文件开启时间提交形式：</w:t>
      </w:r>
    </w:p>
    <w:p>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bCs/>
          <w:color w:val="auto"/>
          <w:kern w:val="0"/>
          <w:sz w:val="24"/>
          <w:szCs w:val="24"/>
          <w:highlight w:val="none"/>
        </w:rPr>
        <w:t>以邮寄形式（建议顺丰快递）将备份响应文件开启时间存入并储存在U盘中，备份在响应截止时间前递交，并需采购代理机构确认是否收到，邮寄地址及收件人：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邮寄地址：温州市鹿城区学院中路229号5楼，收件人：</w:t>
      </w:r>
      <w:r>
        <w:rPr>
          <w:rFonts w:hint="eastAsia" w:ascii="仿宋" w:hAnsi="仿宋" w:eastAsia="仿宋" w:cs="仿宋"/>
          <w:bCs/>
          <w:color w:val="auto"/>
          <w:kern w:val="0"/>
          <w:sz w:val="24"/>
          <w:szCs w:val="24"/>
          <w:highlight w:val="none"/>
          <w:u w:val="single"/>
          <w:lang w:val="en-US" w:eastAsia="zh-CN"/>
        </w:rPr>
        <w:t>肖</w:t>
      </w:r>
      <w:r>
        <w:rPr>
          <w:rFonts w:hint="eastAsia" w:ascii="仿宋" w:hAnsi="仿宋" w:eastAsia="仿宋" w:cs="仿宋"/>
          <w:bCs/>
          <w:color w:val="auto"/>
          <w:kern w:val="0"/>
          <w:sz w:val="24"/>
          <w:szCs w:val="24"/>
          <w:highlight w:val="none"/>
          <w:u w:val="single"/>
          <w:lang w:val="en-US" w:eastAsia="zh-CN"/>
        </w:rPr>
        <w:t>忠文</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w:t>
      </w:r>
      <w:r>
        <w:rPr>
          <w:rFonts w:hint="eastAsia" w:ascii="仿宋" w:hAnsi="仿宋" w:eastAsia="仿宋" w:cs="仿宋_GB2312"/>
          <w:color w:val="auto"/>
          <w:sz w:val="24"/>
          <w:szCs w:val="24"/>
          <w:highlight w:val="none"/>
        </w:rPr>
        <w:t>备份响应文件开启时间应当密封包装并在包装上加盖公章并注明响应项目名称，供应商名称</w:t>
      </w:r>
      <w:r>
        <w:rPr>
          <w:rFonts w:ascii="仿宋" w:hAnsi="仿宋" w:eastAsia="仿宋" w:cs="仿宋_GB2312"/>
          <w:color w:val="auto"/>
          <w:sz w:val="24"/>
          <w:szCs w:val="24"/>
          <w:highlight w:val="none"/>
        </w:rPr>
        <w:t>(</w:t>
      </w:r>
      <w:r>
        <w:rPr>
          <w:rFonts w:hint="eastAsia" w:ascii="仿宋" w:hAnsi="仿宋" w:eastAsia="仿宋" w:cs="仿宋_GB2312"/>
          <w:color w:val="auto"/>
          <w:sz w:val="24"/>
          <w:szCs w:val="24"/>
          <w:highlight w:val="none"/>
        </w:rPr>
        <w:t>联合体响应</w:t>
      </w:r>
      <w:r>
        <w:rPr>
          <w:rFonts w:ascii="仿宋" w:hAnsi="仿宋" w:eastAsia="仿宋" w:cs="仿宋_GB2312"/>
          <w:color w:val="auto"/>
          <w:sz w:val="24"/>
          <w:szCs w:val="24"/>
          <w:highlight w:val="none"/>
        </w:rPr>
        <w:t>的，包装物封面需注明</w:t>
      </w:r>
      <w:r>
        <w:rPr>
          <w:rFonts w:hint="eastAsia" w:ascii="仿宋" w:hAnsi="仿宋" w:eastAsia="仿宋" w:cs="仿宋_GB2312"/>
          <w:color w:val="auto"/>
          <w:sz w:val="24"/>
          <w:szCs w:val="24"/>
          <w:highlight w:val="none"/>
        </w:rPr>
        <w:t>联合体响应</w:t>
      </w:r>
      <w:r>
        <w:rPr>
          <w:rFonts w:ascii="仿宋" w:hAnsi="仿宋" w:eastAsia="仿宋" w:cs="仿宋_GB2312"/>
          <w:color w:val="auto"/>
          <w:sz w:val="24"/>
          <w:szCs w:val="24"/>
          <w:highlight w:val="none"/>
        </w:rPr>
        <w:t>，并注明联合体成员各方的名称和联合体协议中约定的牵头人的名称)。</w:t>
      </w:r>
      <w:r>
        <w:rPr>
          <w:rFonts w:hint="eastAsia" w:ascii="仿宋" w:hAnsi="仿宋" w:eastAsia="仿宋"/>
          <w:b/>
          <w:color w:val="auto"/>
          <w:sz w:val="24"/>
          <w:szCs w:val="24"/>
          <w:highlight w:val="none"/>
        </w:rPr>
        <w:t>不符合上述制作、</w:t>
      </w:r>
      <w:r>
        <w:rPr>
          <w:rFonts w:hint="eastAsia" w:ascii="仿宋" w:hAnsi="仿宋" w:eastAsia="仿宋" w:cs="仿宋_GB2312"/>
          <w:b/>
          <w:color w:val="auto"/>
          <w:sz w:val="24"/>
          <w:szCs w:val="24"/>
          <w:highlight w:val="none"/>
        </w:rPr>
        <w:t>存储、密封规定的备份响应文件开启时间将被视为无效或者被拒绝接收。</w:t>
      </w:r>
    </w:p>
    <w:p>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szCs w:val="24"/>
          <w:highlight w:val="none"/>
        </w:rPr>
        <w:t>以电子邮件形式将生成的备份响应文件开启时间发送到采购代理机构邮箱号：</w:t>
      </w:r>
      <w:r>
        <w:rPr>
          <w:rFonts w:hint="eastAsia" w:ascii="仿宋" w:hAnsi="仿宋" w:eastAsia="仿宋" w:cs="仿宋"/>
          <w:color w:val="auto"/>
          <w:sz w:val="24"/>
          <w:szCs w:val="24"/>
          <w:highlight w:val="none"/>
          <w:u w:val="single"/>
        </w:rPr>
        <w:t>（填写采购代理机构邮箱号），</w:t>
      </w:r>
      <w:r>
        <w:rPr>
          <w:rFonts w:hint="eastAsia" w:ascii="仿宋" w:hAnsi="仿宋" w:eastAsia="仿宋" w:cs="仿宋"/>
          <w:color w:val="auto"/>
          <w:sz w:val="24"/>
          <w:szCs w:val="24"/>
          <w:highlight w:val="none"/>
        </w:rPr>
        <w:t>备份响应文件开启时间签收人员联系方式：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，并注明</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供应商名称、项目编号、项目名称、备份响应文件开启时间</w:t>
      </w:r>
      <w:r>
        <w:rPr>
          <w:rFonts w:hint="eastAsia" w:ascii="仿宋" w:hAnsi="仿宋" w:eastAsia="仿宋" w:cs="仿宋"/>
          <w:color w:val="auto"/>
          <w:sz w:val="24"/>
          <w:szCs w:val="24"/>
          <w:highlight w:val="none"/>
          <w:lang w:val="zh-CN"/>
        </w:rPr>
        <w:t>等”信息，</w:t>
      </w:r>
      <w:r>
        <w:rPr>
          <w:rFonts w:hint="eastAsia" w:ascii="仿宋" w:hAnsi="仿宋" w:eastAsia="仿宋"/>
          <w:b/>
          <w:color w:val="auto"/>
          <w:sz w:val="24"/>
          <w:szCs w:val="24"/>
          <w:highlight w:val="none"/>
        </w:rPr>
        <w:t>不符合上述制作</w:t>
      </w:r>
      <w:r>
        <w:rPr>
          <w:rFonts w:hint="eastAsia" w:ascii="仿宋" w:hAnsi="仿宋" w:eastAsia="仿宋" w:cs="仿宋_GB2312"/>
          <w:b/>
          <w:color w:val="auto"/>
          <w:sz w:val="24"/>
          <w:szCs w:val="24"/>
          <w:highlight w:val="none"/>
        </w:rPr>
        <w:t>规定的备份响应文件开启时间将被视为无效或者被拒绝接收。</w:t>
      </w:r>
    </w:p>
    <w:p>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解密CA必须是上传并制作电子响应文件开启时间CA锁，</w:t>
      </w:r>
      <w:r>
        <w:rPr>
          <w:rFonts w:hint="eastAsia" w:ascii="仿宋" w:hAnsi="仿宋" w:eastAsia="仿宋" w:cs="仿宋"/>
          <w:b/>
          <w:color w:val="auto"/>
          <w:sz w:val="24"/>
          <w:szCs w:val="24"/>
          <w:highlight w:val="none"/>
        </w:rPr>
        <w:t>但采购人、采购代理机构不强制或变相强制供应商提交备份响应文件开启时间。</w:t>
      </w:r>
    </w:p>
    <w:p>
      <w:pPr>
        <w:pStyle w:val="32"/>
        <w:spacing w:line="360" w:lineRule="auto"/>
        <w:ind w:firstLine="477" w:firstLineChars="19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16.4</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供应商仅提交备份响应文件开启时间，没有在电子交易平台传输递交响应文件开启时间的，响应无效。</w:t>
      </w:r>
    </w:p>
    <w:p>
      <w:pPr>
        <w:pStyle w:val="32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17.谈判有效期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17.1谈判有效期详见响应须知前附表。</w:t>
      </w:r>
      <w:r>
        <w:rPr>
          <w:rFonts w:hint="eastAsia" w:ascii="仿宋" w:hAnsi="仿宋" w:eastAsia="仿宋" w:cs="仿宋"/>
          <w:color w:val="auto"/>
          <w:sz w:val="24"/>
          <w:szCs w:val="20"/>
          <w:highlight w:val="none"/>
          <w:u w:val="single"/>
        </w:rPr>
        <w:t>▲</w:t>
      </w:r>
      <w:r>
        <w:rPr>
          <w:rFonts w:hint="eastAsia" w:ascii="仿宋" w:hAnsi="仿宋" w:eastAsia="仿宋" w:cs="仿宋"/>
          <w:b/>
          <w:color w:val="auto"/>
          <w:sz w:val="24"/>
          <w:szCs w:val="20"/>
          <w:highlight w:val="none"/>
          <w:u w:val="single"/>
        </w:rPr>
        <w:t>供应商的响应文件开启时间中承</w:t>
      </w:r>
      <w:r>
        <w:rPr>
          <w:rFonts w:hint="eastAsia" w:ascii="仿宋" w:hAnsi="仿宋" w:eastAsia="仿宋" w:cs="仿宋"/>
          <w:b/>
          <w:color w:val="auto"/>
          <w:sz w:val="24"/>
          <w:szCs w:val="21"/>
          <w:highlight w:val="none"/>
          <w:u w:val="single"/>
        </w:rPr>
        <w:t>诺的谈判有效期少于采购文件中载明的谈判有效期的，响应无效。</w:t>
      </w:r>
    </w:p>
    <w:p>
      <w:pPr>
        <w:pStyle w:val="32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17.2响应文件开启时间合格投递后，自响应截止日期起，在谈判有效期内有效。</w:t>
      </w:r>
    </w:p>
    <w:p>
      <w:pPr>
        <w:pStyle w:val="32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17.3在原定谈判有效期满之前，如果出现特殊情况，采购代理机构可以以书面形式通知供应商延长谈判有效期。供应商同意延长的，不得要求或被允许修改其响应文件开启时间，供应商拒绝延长的，其响应无效。</w:t>
      </w:r>
    </w:p>
    <w:p>
      <w:pPr>
        <w:pStyle w:val="325"/>
        <w:spacing w:before="0"/>
        <w:ind w:firstLine="1063" w:firstLineChars="331"/>
        <w:rPr>
          <w:rFonts w:hint="eastAsia" w:ascii="仿宋" w:hAnsi="仿宋" w:eastAsia="仿宋" w:cs="仿宋"/>
          <w:b/>
          <w:color w:val="auto"/>
          <w:sz w:val="32"/>
          <w:highlight w:val="none"/>
        </w:rPr>
      </w:pPr>
    </w:p>
    <w:p>
      <w:pPr>
        <w:pStyle w:val="4"/>
        <w:jc w:val="center"/>
        <w:rPr>
          <w:rStyle w:val="81"/>
          <w:rFonts w:hint="eastAsia" w:ascii="仿宋" w:eastAsia="仿宋" w:cs="仿宋"/>
          <w:b/>
          <w:bCs/>
          <w:color w:val="auto"/>
          <w:kern w:val="2"/>
          <w:highlight w:val="none"/>
          <w:lang w:eastAsia="zh-CN"/>
        </w:rPr>
      </w:pPr>
      <w:bookmarkStart w:id="33" w:name="_Toc9641"/>
      <w:r>
        <w:rPr>
          <w:rStyle w:val="81"/>
          <w:rFonts w:hint="eastAsia" w:ascii="仿宋" w:eastAsia="仿宋" w:cs="仿宋"/>
          <w:b/>
          <w:bCs/>
          <w:color w:val="auto"/>
          <w:kern w:val="2"/>
          <w:highlight w:val="none"/>
          <w:lang w:eastAsia="zh-CN"/>
        </w:rPr>
        <w:t>四、响应文件开启、资格审查与信用信息查询</w:t>
      </w:r>
      <w:bookmarkEnd w:id="33"/>
    </w:p>
    <w:p>
      <w:pPr>
        <w:pStyle w:val="780"/>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pPr>
        <w:pStyle w:val="78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18.1采购代理机构按照采购文件规定的时间通过电子交易平台组织响应文件开启，所有供应商均应当准时在线参加。供应商不足3家的，不得开标。</w:t>
      </w:r>
    </w:p>
    <w:p>
      <w:pPr>
        <w:pStyle w:val="78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18.2响应文件开启时，电子交易平台按响应文件开启时间自动提取所有响应文件开启时间。采购代理机构依托电子交易平台发起开始解密指令，供应商按照平台提示和采购文件的规定在半小时内完成在线解密。</w:t>
      </w:r>
    </w:p>
    <w:p>
      <w:pPr>
        <w:pStyle w:val="78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响应文件开启时间未按时解密，供应商提供了备份响应文件开启时间的，以备份响应文件开启时间作为依据，否则视为响应文件开启时间撤回。响应文件开启时间已按时解密的，备份响应文件开启时间自动失效。</w:t>
      </w:r>
    </w:p>
    <w:p>
      <w:pPr>
        <w:pStyle w:val="780"/>
        <w:spacing w:before="0" w:line="360" w:lineRule="auto"/>
        <w:ind w:left="0" w:firstLine="241" w:firstLineChars="10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pPr>
        <w:pStyle w:val="32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19.1响应文件开启后，采购人或采购代理机构将依法对供应商的资格进行审查。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采购人或采购代理机构依据法律法规和采购文件的规定，对供应商的基本资格条件、特定资格条件等进行审查。</w:t>
      </w:r>
    </w:p>
    <w:p>
      <w:pPr>
        <w:pStyle w:val="32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供应商不具备采购文件中规定的资格要求，其响应无效。</w:t>
      </w:r>
    </w:p>
    <w:p>
      <w:pPr>
        <w:pStyle w:val="32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4对未通过资格审查的供应商，采购人或采购代理机构告知其未通过的原因。</w:t>
      </w:r>
    </w:p>
    <w:p>
      <w:pPr>
        <w:pStyle w:val="32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5合格供应商不足3家的，不再评标。</w:t>
      </w:r>
    </w:p>
    <w:p>
      <w:pPr>
        <w:pStyle w:val="32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32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20.1信用信息查询渠道及截止时间：采购代理机构将通过“信用中国”网站(www.creditchina.gov.cn)、中国政府采购网(www.ccgp.gov.cn)渠道查询供应商响应截止时间当天的信用记录。</w:t>
      </w:r>
    </w:p>
    <w:p>
      <w:pPr>
        <w:pStyle w:val="32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pPr>
        <w:pStyle w:val="32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32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325"/>
        <w:spacing w:before="0"/>
        <w:ind w:firstLine="0" w:firstLineChars="0"/>
        <w:rPr>
          <w:rFonts w:hint="eastAsia" w:ascii="仿宋" w:hAnsi="仿宋" w:eastAsia="仿宋" w:cs="仿宋"/>
          <w:color w:val="auto"/>
          <w:kern w:val="0"/>
          <w:szCs w:val="24"/>
          <w:highlight w:val="none"/>
        </w:rPr>
      </w:pPr>
    </w:p>
    <w:p>
      <w:pPr>
        <w:pStyle w:val="4"/>
        <w:jc w:val="center"/>
        <w:rPr>
          <w:rStyle w:val="81"/>
          <w:rFonts w:hint="eastAsia" w:ascii="仿宋" w:eastAsia="仿宋" w:cs="仿宋"/>
          <w:b/>
          <w:bCs/>
          <w:color w:val="auto"/>
          <w:kern w:val="2"/>
          <w:highlight w:val="none"/>
          <w:lang w:eastAsia="zh-CN"/>
        </w:rPr>
      </w:pPr>
      <w:bookmarkStart w:id="34" w:name="_Toc4576"/>
      <w:r>
        <w:rPr>
          <w:rStyle w:val="81"/>
          <w:rFonts w:hint="eastAsia" w:ascii="仿宋" w:eastAsia="仿宋" w:cs="仿宋"/>
          <w:b/>
          <w:bCs/>
          <w:color w:val="auto"/>
          <w:kern w:val="2"/>
          <w:highlight w:val="none"/>
          <w:lang w:eastAsia="zh-CN"/>
        </w:rPr>
        <w:t>五、</w:t>
      </w:r>
      <w:bookmarkEnd w:id="34"/>
      <w:r>
        <w:rPr>
          <w:rStyle w:val="81"/>
          <w:rFonts w:hint="eastAsia" w:ascii="仿宋" w:eastAsia="仿宋" w:cs="仿宋"/>
          <w:b/>
          <w:bCs/>
          <w:color w:val="auto"/>
          <w:kern w:val="2"/>
          <w:highlight w:val="none"/>
          <w:lang w:eastAsia="zh-CN"/>
        </w:rPr>
        <w:t>评审</w:t>
      </w:r>
    </w:p>
    <w:p>
      <w:pPr>
        <w:spacing w:line="360" w:lineRule="auto"/>
        <w:rPr>
          <w:rFonts w:hint="eastAsia" w:ascii="仿宋" w:hAnsi="仿宋" w:eastAsia="仿宋" w:cs="仿宋"/>
          <w:bCs/>
          <w:color w:val="auto"/>
          <w:sz w:val="24"/>
          <w:highlight w:val="none"/>
        </w:rPr>
      </w:pPr>
      <w:bookmarkStart w:id="35" w:name="_Toc91899903"/>
      <w:r>
        <w:rPr>
          <w:rFonts w:hint="eastAsia" w:ascii="仿宋" w:hAnsi="仿宋" w:eastAsia="仿宋" w:cs="仿宋"/>
          <w:bCs/>
          <w:color w:val="auto"/>
          <w:sz w:val="24"/>
          <w:highlight w:val="none"/>
        </w:rPr>
        <w:t>21. 谈判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审过程的保密性。响应文件开启后直至向成交供应商授予合同时止，凡与招标有关的资料均不得向供应商及与本次采购无关人员透露。如果供应商在评审过程中试图向招标采购单位和谈判小组成员施加影响，或扰乱响应文件开启和评审秩序，其谈判响应将被拒绝。</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详见采购文件第四部分评审办法。</w:t>
      </w:r>
    </w:p>
    <w:p>
      <w:pPr>
        <w:pStyle w:val="4"/>
        <w:jc w:val="center"/>
        <w:rPr>
          <w:rStyle w:val="81"/>
          <w:rFonts w:hint="eastAsia" w:ascii="仿宋" w:eastAsia="仿宋" w:cs="仿宋"/>
          <w:b/>
          <w:bCs/>
          <w:color w:val="auto"/>
          <w:kern w:val="2"/>
          <w:highlight w:val="none"/>
          <w:lang w:eastAsia="zh-CN"/>
        </w:rPr>
      </w:pPr>
      <w:bookmarkStart w:id="36" w:name="_Toc29955"/>
      <w:r>
        <w:rPr>
          <w:rStyle w:val="81"/>
          <w:rFonts w:hint="eastAsia" w:ascii="仿宋" w:eastAsia="仿宋" w:cs="仿宋"/>
          <w:b/>
          <w:bCs/>
          <w:color w:val="auto"/>
          <w:kern w:val="2"/>
          <w:highlight w:val="none"/>
          <w:lang w:eastAsia="zh-CN"/>
        </w:rPr>
        <w:t>六、</w:t>
      </w:r>
      <w:bookmarkEnd w:id="36"/>
      <w:r>
        <w:rPr>
          <w:rStyle w:val="81"/>
          <w:rFonts w:hint="eastAsia" w:ascii="仿宋" w:eastAsia="仿宋" w:cs="仿宋"/>
          <w:b/>
          <w:bCs/>
          <w:color w:val="auto"/>
          <w:kern w:val="2"/>
          <w:highlight w:val="none"/>
          <w:lang w:eastAsia="zh-CN"/>
        </w:rPr>
        <w:t>评审结果确定</w:t>
      </w:r>
    </w:p>
    <w:p>
      <w:pPr>
        <w:pStyle w:val="24"/>
        <w:spacing w:line="360" w:lineRule="auto"/>
        <w:ind w:left="479" w:hanging="479" w:hangingChars="199"/>
        <w:rPr>
          <w:rFonts w:hint="eastAsia" w:ascii="仿宋" w:hAnsi="仿宋" w:eastAsia="仿宋" w:cs="仿宋"/>
          <w:b/>
          <w:color w:val="auto"/>
          <w:highlight w:val="none"/>
          <w:lang w:eastAsia="zh-CN"/>
        </w:rPr>
      </w:pPr>
      <w:r>
        <w:rPr>
          <w:rFonts w:hint="eastAsia" w:ascii="仿宋" w:hAnsi="仿宋" w:eastAsia="仿宋" w:cs="仿宋"/>
          <w:b/>
          <w:color w:val="auto"/>
          <w:highlight w:val="none"/>
        </w:rPr>
        <w:t>22. 确定</w:t>
      </w:r>
      <w:r>
        <w:rPr>
          <w:rFonts w:hint="eastAsia" w:ascii="仿宋" w:hAnsi="仿宋" w:eastAsia="仿宋" w:cs="仿宋"/>
          <w:b/>
          <w:color w:val="auto"/>
          <w:highlight w:val="none"/>
          <w:lang w:eastAsia="zh-CN"/>
        </w:rPr>
        <w:t>成交供应商</w:t>
      </w:r>
    </w:p>
    <w:p>
      <w:pPr>
        <w:pStyle w:val="32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采购人将自收到评审报告之日起5个工作日内通过电子交易平台在评审报告推荐的成交候选人中按顺序确定成交供应商。</w:t>
      </w:r>
    </w:p>
    <w:p>
      <w:pPr>
        <w:pStyle w:val="32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23.1自成交供应商确定之日起2个工作日内，采购代理机构通过电子交易平台向成交供应商发出成交通知书，同时编制发布采购结果公告。采购代理机构也可以以纸质形式进行成交通知。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启记录、未成交情况说明、成交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pStyle w:val="4"/>
        <w:jc w:val="center"/>
        <w:rPr>
          <w:rStyle w:val="81"/>
          <w:rFonts w:hint="eastAsia" w:ascii="仿宋" w:eastAsia="仿宋" w:cs="仿宋"/>
          <w:b/>
          <w:bCs/>
          <w:color w:val="auto"/>
          <w:kern w:val="2"/>
          <w:highlight w:val="none"/>
          <w:lang w:eastAsia="zh-CN"/>
        </w:rPr>
      </w:pPr>
      <w:bookmarkStart w:id="37" w:name="_Toc11698"/>
      <w:r>
        <w:rPr>
          <w:rStyle w:val="81"/>
          <w:rFonts w:hint="eastAsia" w:ascii="仿宋" w:eastAsia="仿宋" w:cs="仿宋"/>
          <w:b/>
          <w:bCs/>
          <w:color w:val="auto"/>
          <w:kern w:val="2"/>
          <w:highlight w:val="none"/>
          <w:lang w:eastAsia="zh-CN"/>
        </w:rPr>
        <w:t>七、合同授予</w:t>
      </w:r>
      <w:bookmarkEnd w:id="37"/>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采购人与成交供应商应当通过电子交易平台在成交通知书发出之日起三十日内，按照采购文件确定的事项签订政府采购合同，并在合同签订之日起2个工作日内依法发布合同公告。</w:t>
      </w:r>
    </w:p>
    <w:p>
      <w:pPr>
        <w:pStyle w:val="325"/>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25.4成交供应商拒绝与采购人签订合同的，采购人可以按照评审报告推荐的中标或者成交候选人名单排序，确定下一候选人为成交供应商，也可以重新开展政府采购活动。</w:t>
      </w:r>
    </w:p>
    <w:p>
      <w:pPr>
        <w:pStyle w:val="32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25.5采购合同由采购人与成交供应商根据采购文件、响应文件开启时间等内容通过政府采购电子交易平台在线签订，自动备案。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pStyle w:val="32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拟签订的合同文本要求成交供应商/成交供应商提交履约保证金的，供应商应当以支票、汇票、本票或者金融机构、担保机构出具的保函等非现金形式提交。履约保证金的数额不得超过政府采购合同金额的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color w:val="auto"/>
          <w:highlight w:val="none"/>
          <w:lang w:eastAsia="zh-CN"/>
        </w:rPr>
        <w:t>1%</w:t>
      </w:r>
      <w:r>
        <w:rPr>
          <w:rFonts w:hint="eastAsia" w:ascii="仿宋" w:hAnsi="仿宋" w:eastAsia="仿宋" w:cs="仿宋"/>
          <w:color w:val="auto"/>
          <w:highlight w:val="none"/>
        </w:rPr>
        <w:t>，履约保证金用于成交供应商在履行本合同过程中发生违约行为应支付采购人的违约金、赔偿金等费用。如无任何问题，采购人将在成交供应商履行完毕本合同项下全部义务（项目验收合格）之日起5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pPr>
        <w:pStyle w:val="4"/>
        <w:jc w:val="center"/>
        <w:rPr>
          <w:rStyle w:val="81"/>
          <w:rFonts w:hint="eastAsia" w:ascii="仿宋" w:eastAsia="仿宋" w:cs="仿宋"/>
          <w:b/>
          <w:bCs/>
          <w:color w:val="auto"/>
          <w:kern w:val="2"/>
          <w:highlight w:val="none"/>
          <w:lang w:eastAsia="zh-CN"/>
        </w:rPr>
      </w:pPr>
    </w:p>
    <w:p>
      <w:pPr>
        <w:pStyle w:val="4"/>
        <w:jc w:val="center"/>
        <w:rPr>
          <w:rStyle w:val="81"/>
          <w:rFonts w:hint="eastAsia" w:ascii="仿宋" w:eastAsia="仿宋" w:cs="仿宋"/>
          <w:b/>
          <w:bCs/>
          <w:color w:val="auto"/>
          <w:kern w:val="2"/>
          <w:highlight w:val="none"/>
          <w:lang w:eastAsia="zh-CN"/>
        </w:rPr>
      </w:pPr>
      <w:bookmarkStart w:id="38" w:name="_Toc4363"/>
      <w:r>
        <w:rPr>
          <w:rStyle w:val="81"/>
          <w:rFonts w:hint="eastAsia" w:ascii="仿宋" w:eastAsia="仿宋" w:cs="仿宋"/>
          <w:b/>
          <w:bCs/>
          <w:color w:val="auto"/>
          <w:kern w:val="2"/>
          <w:highlight w:val="none"/>
          <w:lang w:eastAsia="zh-CN"/>
        </w:rPr>
        <w:t>八、电子交易活动的中止</w:t>
      </w:r>
      <w:bookmarkEnd w:id="38"/>
    </w:p>
    <w:p>
      <w:pPr>
        <w:pStyle w:val="32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32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32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jc w:val="center"/>
        <w:rPr>
          <w:rStyle w:val="81"/>
          <w:rFonts w:hint="eastAsia" w:ascii="仿宋" w:eastAsia="仿宋" w:cs="仿宋"/>
          <w:b/>
          <w:bCs/>
          <w:color w:val="auto"/>
          <w:kern w:val="2"/>
          <w:highlight w:val="none"/>
          <w:lang w:eastAsia="zh-CN"/>
        </w:rPr>
      </w:pPr>
      <w:bookmarkStart w:id="39" w:name="_Toc25540"/>
      <w:r>
        <w:rPr>
          <w:rStyle w:val="81"/>
          <w:rFonts w:hint="eastAsia" w:ascii="仿宋" w:eastAsia="仿宋" w:cs="仿宋"/>
          <w:b/>
          <w:bCs/>
          <w:color w:val="auto"/>
          <w:kern w:val="2"/>
          <w:highlight w:val="none"/>
          <w:lang w:eastAsia="zh-CN"/>
        </w:rPr>
        <w:t>九、验收</w:t>
      </w:r>
      <w:bookmarkEnd w:id="39"/>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5"/>
    <w:p>
      <w:pPr>
        <w:tabs>
          <w:tab w:val="left" w:pos="0"/>
        </w:tabs>
        <w:spacing w:line="360" w:lineRule="auto"/>
        <w:ind w:firstLine="480"/>
        <w:rPr>
          <w:rFonts w:hint="eastAsia" w:ascii="仿宋" w:hAnsi="仿宋" w:eastAsia="仿宋" w:cs="仿宋"/>
          <w:color w:val="auto"/>
          <w:kern w:val="0"/>
          <w:sz w:val="24"/>
          <w:highlight w:val="none"/>
        </w:rPr>
      </w:pPr>
      <w:bookmarkStart w:id="40" w:name="_Hlt68073093"/>
      <w:bookmarkEnd w:id="40"/>
      <w:bookmarkStart w:id="41" w:name="_Hlt74714665"/>
      <w:bookmarkEnd w:id="41"/>
      <w:bookmarkStart w:id="42" w:name="_Hlt68072990"/>
      <w:bookmarkEnd w:id="42"/>
      <w:bookmarkStart w:id="43" w:name="_Hlt75236290"/>
      <w:bookmarkEnd w:id="43"/>
      <w:bookmarkStart w:id="44" w:name="_Hlt74729768"/>
      <w:bookmarkEnd w:id="44"/>
      <w:bookmarkStart w:id="45" w:name="_Hlt75236011"/>
      <w:bookmarkEnd w:id="45"/>
      <w:bookmarkStart w:id="46" w:name="_Hlt68403820"/>
      <w:bookmarkEnd w:id="46"/>
      <w:bookmarkStart w:id="47" w:name="_Hlt68072998"/>
      <w:bookmarkEnd w:id="47"/>
      <w:bookmarkStart w:id="48" w:name="_Hlt74707468"/>
      <w:bookmarkEnd w:id="48"/>
      <w:bookmarkStart w:id="49" w:name="_Hlt74730295"/>
      <w:bookmarkEnd w:id="49"/>
      <w:bookmarkStart w:id="50" w:name="_Hlt75236101"/>
      <w:bookmarkEnd w:id="50"/>
      <w:bookmarkStart w:id="51" w:name="_Hlt68057669"/>
      <w:bookmarkEnd w:id="51"/>
      <w:r>
        <w:rPr>
          <w:rFonts w:hint="eastAsia" w:ascii="仿宋" w:hAnsi="仿宋" w:eastAsia="仿宋" w:cs="仿宋"/>
          <w:color w:val="auto"/>
          <w:kern w:val="0"/>
          <w:sz w:val="24"/>
          <w:highlight w:val="none"/>
        </w:rPr>
        <w:t>29.5履约验收费用由供应商承担，因供应商原因造成验收不通过的，再次验收的费用仍由供应商承担。</w:t>
      </w:r>
    </w:p>
    <w:p>
      <w:pPr>
        <w:pStyle w:val="4"/>
        <w:rPr>
          <w:rFonts w:hint="eastAsia"/>
          <w:color w:val="auto"/>
          <w:highlight w:val="none"/>
        </w:rPr>
        <w:sectPr>
          <w:footerReference r:id="rId8" w:type="first"/>
          <w:footerReference r:id="rId7" w:type="default"/>
          <w:pgSz w:w="11906" w:h="16838"/>
          <w:pgMar w:top="1276" w:right="1276" w:bottom="1276" w:left="1276" w:header="851" w:footer="850" w:gutter="0"/>
          <w:pgNumType w:start="1"/>
          <w:cols w:space="720" w:num="1"/>
          <w:titlePg/>
          <w:docGrid w:linePitch="312" w:charSpace="0"/>
        </w:sectPr>
      </w:pPr>
    </w:p>
    <w:bookmarkEnd w:id="19"/>
    <w:bookmarkEnd w:id="20"/>
    <w:p>
      <w:pPr>
        <w:pStyle w:val="4"/>
        <w:jc w:val="center"/>
        <w:rPr>
          <w:rStyle w:val="81"/>
          <w:rFonts w:hint="eastAsia" w:ascii="仿宋" w:eastAsia="仿宋" w:cs="仿宋"/>
          <w:b/>
          <w:bCs/>
          <w:color w:val="auto"/>
          <w:kern w:val="2"/>
          <w:highlight w:val="none"/>
          <w:lang w:eastAsia="zh-CN"/>
        </w:rPr>
      </w:pPr>
      <w:bookmarkStart w:id="52" w:name="_Toc18048"/>
      <w:bookmarkStart w:id="53" w:name="第四部分"/>
      <w:r>
        <w:rPr>
          <w:rStyle w:val="81"/>
          <w:rFonts w:hint="eastAsia" w:ascii="仿宋" w:eastAsia="仿宋" w:cs="仿宋"/>
          <w:b/>
          <w:bCs/>
          <w:color w:val="auto"/>
          <w:kern w:val="2"/>
          <w:highlight w:val="none"/>
          <w:lang w:eastAsia="zh-CN"/>
        </w:rPr>
        <w:t>第三部分   采购需求</w:t>
      </w:r>
      <w:bookmarkEnd w:id="52"/>
    </w:p>
    <w:p>
      <w:pPr>
        <w:snapToGrid w:val="0"/>
        <w:spacing w:line="360" w:lineRule="auto"/>
        <w:jc w:val="lef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第</w:t>
      </w:r>
      <w:r>
        <w:rPr>
          <w:rFonts w:hint="eastAsia" w:ascii="仿宋" w:hAnsi="仿宋" w:eastAsia="仿宋" w:cs="仿宋"/>
          <w:b/>
          <w:color w:val="auto"/>
          <w:sz w:val="24"/>
          <w:highlight w:val="none"/>
        </w:rPr>
        <w:t>一</w:t>
      </w:r>
      <w:r>
        <w:rPr>
          <w:rFonts w:hint="eastAsia" w:ascii="仿宋" w:hAnsi="仿宋" w:eastAsia="仿宋" w:cs="仿宋"/>
          <w:b/>
          <w:color w:val="auto"/>
          <w:sz w:val="24"/>
          <w:highlight w:val="none"/>
          <w:lang w:val="en-US" w:eastAsia="zh-CN"/>
        </w:rPr>
        <w:t>条</w:t>
      </w:r>
      <w:r>
        <w:rPr>
          <w:rFonts w:hint="eastAsia" w:ascii="仿宋" w:hAnsi="仿宋" w:eastAsia="仿宋" w:cs="仿宋"/>
          <w:b/>
          <w:color w:val="auto"/>
          <w:sz w:val="24"/>
          <w:highlight w:val="none"/>
        </w:rPr>
        <w:t>、标的需求概况</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1.背景介绍。</w:t>
      </w:r>
    </w:p>
    <w:p>
      <w:pPr>
        <w:snapToGrid w:val="0"/>
        <w:spacing w:line="360" w:lineRule="auto"/>
        <w:ind w:firstLine="480" w:firstLineChars="200"/>
        <w:jc w:val="lef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该项目采购需求编制符合财政部《政府采购需求管理办法》相关要求，需求内容按照财政批复的预算要求编制，不存在歧视性设置，具有充分的竞争性。</w:t>
      </w:r>
    </w:p>
    <w:p>
      <w:pPr>
        <w:numPr>
          <w:ilvl w:val="0"/>
          <w:numId w:val="5"/>
        </w:numPr>
        <w:snapToGrid w:val="0"/>
        <w:spacing w:line="360" w:lineRule="auto"/>
        <w:ind w:firstLine="480" w:firstLineChars="200"/>
        <w:jc w:val="left"/>
        <w:rPr>
          <w:color w:val="auto"/>
          <w:highlight w:val="none"/>
        </w:rPr>
      </w:pPr>
      <w:r>
        <w:rPr>
          <w:rFonts w:hint="eastAsia" w:ascii="仿宋" w:hAnsi="仿宋" w:eastAsia="仿宋" w:cs="仿宋"/>
          <w:color w:val="auto"/>
          <w:sz w:val="24"/>
          <w:highlight w:val="none"/>
        </w:rPr>
        <w:t>其他相关情况。</w:t>
      </w:r>
    </w:p>
    <w:p>
      <w:pPr>
        <w:snapToGrid w:val="0"/>
        <w:spacing w:line="360" w:lineRule="auto"/>
        <w:ind w:firstLine="480" w:firstLineChars="200"/>
        <w:jc w:val="left"/>
        <w:rPr>
          <w:color w:val="auto"/>
          <w:highlight w:val="none"/>
        </w:rPr>
      </w:pPr>
      <w:r>
        <w:rPr>
          <w:rFonts w:hint="eastAsia" w:ascii="仿宋" w:hAnsi="仿宋" w:eastAsia="仿宋" w:cs="仿宋"/>
          <w:color w:val="auto"/>
          <w:sz w:val="24"/>
          <w:highlight w:val="none"/>
        </w:rPr>
        <w:t>属于公安信息化项目</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否</w:t>
      </w:r>
      <w:r>
        <w:rPr>
          <w:rFonts w:hint="eastAsia" w:asci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根据《温州公安信息化项目管理办法》（温公通【2016】23号）要求，公安信息化项目成交供应商应提供项目编制软件源代码。按照项目合同完成的与研究开发标的有关的知识产权（包括专利、专利申请权、非专利技术使用权、著作权、版权、发明权及其他成果权）归温州市公安局所有。</w:t>
      </w:r>
    </w:p>
    <w:p>
      <w:pPr>
        <w:snapToGrid w:val="0"/>
        <w:spacing w:line="360" w:lineRule="auto"/>
        <w:jc w:val="lef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第</w:t>
      </w: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条</w:t>
      </w:r>
      <w:r>
        <w:rPr>
          <w:rFonts w:hint="eastAsia" w:ascii="仿宋" w:hAnsi="仿宋" w:eastAsia="仿宋" w:cs="仿宋"/>
          <w:b/>
          <w:color w:val="auto"/>
          <w:sz w:val="24"/>
          <w:highlight w:val="none"/>
        </w:rPr>
        <w:t>、需求清单</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确定采购需求应当明确实现项目目标的所有技术、商务要求，功能和质量指标的设置要充分考虑可能影响供应商报价和项目实施风险的因素。</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采购需求应当符合法律法规、政府采购政策和国家有关规定，符合国家强制性标准，遵循预算、资产和财务等相关管理制度规定，符合采购项目特点和实际需要。</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采购需求的内容应完整、明确，并考虑后续采购竞争性。采购项目涉及后续采购的，如大型装备等，要考虑兼容性要求。</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采购项目预（概）算</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总预算：</w:t>
      </w:r>
      <w:r>
        <w:rPr>
          <w:rFonts w:hint="eastAsia" w:ascii="仿宋" w:hAnsi="仿宋" w:eastAsia="仿宋" w:cs="仿宋"/>
          <w:color w:val="auto"/>
          <w:sz w:val="24"/>
          <w:highlight w:val="none"/>
          <w:u w:val="single"/>
          <w:lang w:val="en-US" w:eastAsia="zh-CN"/>
        </w:rPr>
        <w:t>人民币陆佰玖拾壹万叁仟陆佰元整（¥6913600.00元）</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标项1预算：</w:t>
      </w:r>
      <w:r>
        <w:rPr>
          <w:rFonts w:hint="eastAsia" w:ascii="仿宋" w:hAnsi="仿宋" w:eastAsia="仿宋" w:cs="仿宋"/>
          <w:color w:val="auto"/>
          <w:sz w:val="24"/>
          <w:highlight w:val="none"/>
          <w:u w:val="single"/>
          <w:lang w:val="en-US" w:eastAsia="zh-CN"/>
        </w:rPr>
        <w:t>人民币陆佰玖拾壹万叁仟陆佰元整（¥6913600.00元）</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技术商务要求</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采购需求可以直接引用相关国家标准、行业标准、地方标准等标准、规范，也可以根据项目目标提出更高的技术要求。</w:t>
      </w:r>
    </w:p>
    <w:p>
      <w:pPr>
        <w:snapToGrid w:val="0"/>
        <w:spacing w:line="360" w:lineRule="auto"/>
        <w:ind w:firstLine="480" w:firstLineChars="200"/>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）技术要求</w:t>
      </w:r>
    </w:p>
    <w:p>
      <w:pPr>
        <w:snapToGrid w:val="0"/>
        <w:spacing w:line="360" w:lineRule="auto"/>
        <w:ind w:firstLine="480" w:firstLineChars="200"/>
        <w:jc w:val="left"/>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市本级2018年“雪亮工程”建设项目（雪亮一期）标段四（2022-2023年）运维服务 </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一、项目背景</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共视频监控系统是安全防范系统的重要组成部分，视频监控以其直观、方便、信息内容丰富而广泛应用于许多场合，逐渐成为各级政府增强管理服务能力、构建现代治安防控体系的重要支撑和保障，视频监控作为社会公共安全中重要的取证手段和管理手段，在防范打击犯罪、**以及突发事件应急管理等方面发挥着非常重要的作用。</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作为政府信息化基础设施建设的一个重要组成部分，公共视频监控系统建设经历了从点到面的过程，视频监控的广泛应用、深度应用，为侦破案件、服务群众提供了有力的支撑，大大提升了政府信息化水平，提高了城市公共安全的保障能力，如何做好数量庞大的公共视频监控系统的运维工作，确保已投入使用的视频监控能够长期稳定在线运行，保证其充分发挥在公安各项业务开展上的高效作用，成为新的挑战。</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温州市本级2018年“雪亮工程”建设项目自2019年11月开始建设，至2022年9月建设和运维的合同到期，如果不建立起相应的运维保养机制，监控系统设备损坏、链路故障等问题得不到及时解决，无法发挥监控系统在社会治安管理中的效能，因此亟需引入运维机制，对监控系统故障定期排查、监控系统安全定期防护、监控系统前端设备定期保养，支撑视频监控系统运行环境的可视、可控、可管理，保证系统运行的高可靠性，更好地发挥系统在维稳处突、打击犯罪、治安防控、社会管理、服务民生等方面的突出作用。</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持续深化公共视频监控建设与运维，实现最大化集约建设、最大化节约成本、最大化提升效率、最大化安全应用，进一步发挥视频图像数据资源在决策指挥、治安防控、侦查破案、应急处置、城市治理、公共卫生事件等方面的强大优势，推动我市公共视频监控建设的发展。</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bookmarkStart w:id="54" w:name="_Toc1240"/>
      <w:r>
        <w:rPr>
          <w:rFonts w:hint="eastAsia" w:ascii="仿宋" w:hAnsi="仿宋" w:eastAsia="仿宋" w:cs="仿宋"/>
          <w:color w:val="auto"/>
          <w:sz w:val="24"/>
          <w:highlight w:val="none"/>
          <w:lang w:val="en-US" w:eastAsia="zh-CN"/>
        </w:rPr>
        <w:t>二、编制依据</w:t>
      </w:r>
      <w:bookmarkEnd w:id="54"/>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系统设计依据国家相关法律规章、国家和行业相关标准、相关研究成果等资料进行规划设计，具体如下：</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《公共安全视频监控联网系统信息传输、交换、控制技术要求》（GBT 28181-2016）</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《安全防范工程技术规范》（GB50348-2018）</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《视频安防监控系统工程设计规范》（GB 50395-2015）</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《公共安全重点区域视频图像信息采集规范》（GB37300-2018）</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《公共安全视频监控联网信息安全技术要求》（GB35114-2017）</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《IP网络技术要求-网络总体》（YD/T 1170-2001）</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《IP网络技术要求 网络性能参数与指标》（YD/T 1171-2015）</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《公共安全社会视频资源安全联网设备技术要求》（GAT1781-2021）</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《公安交通管理外场设备基础施工通用要求》（GAT652-2006）</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《中华人民共和国公安部行业标准》（GA/70-94）</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《公安视频图像分析/应用系统相关要求》（GA/1400.4）</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《公安视频图像分析系统 》（GA/T1399）</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《安全防范系统雷电浪涌防护技术要求》（GA/T670-2006）</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《视频图像文字标注规范》（GA/T751-2008）</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《基于公共运营商的社会治安动态视频监控系统技术规范》（Q/GAT 002-2006）</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《社会治安动态视频监控系统技术规范》（DB 33/T 502-2004）</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《跨区域视频监控联网共享技术规范》（DB 33/T 629-2007）</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《关于加强公共视频监控运维联网应用工作的若干意见》（发改高技〔2015〕996号）</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《浙江省人民政府办公厅关于全省公共视频监控建设一体化改革的指导意见》</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《浙江省数字化改革整体方案》</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bookmarkStart w:id="55" w:name="_Toc16073"/>
      <w:r>
        <w:rPr>
          <w:rFonts w:hint="eastAsia" w:ascii="仿宋" w:hAnsi="仿宋" w:eastAsia="仿宋" w:cs="仿宋"/>
          <w:color w:val="auto"/>
          <w:sz w:val="24"/>
          <w:highlight w:val="none"/>
          <w:lang w:val="en-US" w:eastAsia="zh-CN"/>
        </w:rPr>
        <w:t>三、运维目标、范围、周期</w:t>
      </w:r>
      <w:bookmarkEnd w:id="55"/>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 运维目标</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通过对公安部门已建在用公共视频监控进行统一运维，优化运维技术团队，完善考核机制，提高运维效率，加强监督管理，实现公共视频监控最大化节约成本、最大化提升效率、最大化安全应用。</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通过运维服务使温州市本级2018年“雪亮工程”建设项目运行情况符合上级单位的考核指标，通过运维服务保障系统的视频监控点位月出图/录像完好率不低于98％，卡口抓拍设备月出图/录像完好率不低于98%，必须安排专用车辆和人员作为日常运维力量。</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 运维内容</w:t>
      </w:r>
    </w:p>
    <w:tbl>
      <w:tblPr>
        <w:tblStyle w:val="62"/>
        <w:tblW w:w="1002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173"/>
        <w:gridCol w:w="4116"/>
        <w:gridCol w:w="10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000000" w:fill="FFFFFF"/>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3173" w:type="dxa"/>
            <w:shd w:val="clear" w:color="000000" w:fill="FFFFFF"/>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维护项目</w:t>
            </w:r>
          </w:p>
        </w:tc>
        <w:tc>
          <w:tcPr>
            <w:tcW w:w="4116" w:type="dxa"/>
            <w:shd w:val="clear" w:color="000000" w:fill="FFFFFF"/>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具体维护内容</w:t>
            </w:r>
          </w:p>
        </w:tc>
        <w:tc>
          <w:tcPr>
            <w:tcW w:w="1008" w:type="dxa"/>
            <w:shd w:val="clear" w:color="000000" w:fill="FFFFFF"/>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008" w:type="dxa"/>
            <w:shd w:val="clear" w:color="000000" w:fill="FFFFFF"/>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26" w:type="dxa"/>
            <w:gridSpan w:val="5"/>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一、高清智能卡口子系统（道路卡口到期续建、改建647路）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17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高清智能卡口子系统（道路卡口到期续建、改建647路）运维</w:t>
            </w:r>
          </w:p>
        </w:tc>
        <w:tc>
          <w:tcPr>
            <w:tcW w:w="4116"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900万像素卡口抓拍单元、900万电警抓拍单元、400万8寸星光级红外违章检测一体球、300万像素卡口抓拍单元、400万全景枪机、400万星光球机、红绿灯检测器、电警补光灯（常亮频闪爆闪）、光网设备、智能网络箱（电警）等设备运维。</w:t>
            </w:r>
          </w:p>
        </w:tc>
        <w:tc>
          <w:tcPr>
            <w:tcW w:w="1008"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647</w:t>
            </w:r>
          </w:p>
        </w:tc>
        <w:tc>
          <w:tcPr>
            <w:tcW w:w="1008"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17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光纤链路服务费</w:t>
            </w:r>
          </w:p>
        </w:tc>
        <w:tc>
          <w:tcPr>
            <w:tcW w:w="4116"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不低于100M</w:t>
            </w:r>
          </w:p>
        </w:tc>
        <w:tc>
          <w:tcPr>
            <w:tcW w:w="1008"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164</w:t>
            </w:r>
          </w:p>
        </w:tc>
        <w:tc>
          <w:tcPr>
            <w:tcW w:w="1008"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17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前端设备电费</w:t>
            </w:r>
          </w:p>
        </w:tc>
        <w:tc>
          <w:tcPr>
            <w:tcW w:w="4116"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定制</w:t>
            </w:r>
          </w:p>
        </w:tc>
        <w:tc>
          <w:tcPr>
            <w:tcW w:w="1008"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647</w:t>
            </w:r>
          </w:p>
        </w:tc>
        <w:tc>
          <w:tcPr>
            <w:tcW w:w="1008"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路/年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17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电警卡口优化点位运维</w:t>
            </w:r>
          </w:p>
        </w:tc>
        <w:tc>
          <w:tcPr>
            <w:tcW w:w="4116"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900万像素卡口抓拍单元、900万电警抓拍单元、400万8寸星光级红外违章检测一体球、300万像素卡口抓拍单元、400万全景枪机、400万星光球机、红绿灯检测器、电警补光灯（常亮频闪爆闪）、光网设备、智能网络箱（电警）等设备运维。</w:t>
            </w:r>
          </w:p>
        </w:tc>
        <w:tc>
          <w:tcPr>
            <w:tcW w:w="1008"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w:t>
            </w:r>
          </w:p>
        </w:tc>
        <w:tc>
          <w:tcPr>
            <w:tcW w:w="1008"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17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电警卡口优化点位电费</w:t>
            </w:r>
          </w:p>
        </w:tc>
        <w:tc>
          <w:tcPr>
            <w:tcW w:w="4116"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定制</w:t>
            </w:r>
          </w:p>
        </w:tc>
        <w:tc>
          <w:tcPr>
            <w:tcW w:w="1008"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w:t>
            </w:r>
          </w:p>
        </w:tc>
        <w:tc>
          <w:tcPr>
            <w:tcW w:w="1008"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路/年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26" w:type="dxa"/>
            <w:gridSpan w:val="5"/>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二、应急保障服务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17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专线延伸链路服务</w:t>
            </w:r>
          </w:p>
        </w:tc>
        <w:tc>
          <w:tcPr>
            <w:tcW w:w="4116"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7×24小时专用应急号码，12小时内确定安保场所打通公安视频专网链路（不低于100兆），并同时安排不少于1名技术人员在现场值守维护，直至安保结束。一年内服务不少于6次,每次链路不少于2条,连续服务不超过5天。根据安保需求，就近从现场安保指挥部周边已建监控点或线路分线箱临时拉通视频专网专线链路到指挥部，确保现场指挥部视频平台延伸搭建工作。同时还要确保安保现场专线链路运行正常，同时现场配备备品备件，一旦出现故障，应在30分钟内修复完毕。</w:t>
            </w:r>
          </w:p>
        </w:tc>
        <w:tc>
          <w:tcPr>
            <w:tcW w:w="1008"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008"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26" w:type="dxa"/>
            <w:gridSpan w:val="5"/>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三、实验室服务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17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实验室基础设施租赁服务</w:t>
            </w:r>
          </w:p>
        </w:tc>
        <w:tc>
          <w:tcPr>
            <w:tcW w:w="4116"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提供300平方以上的场地、按要求进行装修、配置相应的办公、空调、安全等设备，以及电费、水费、物业管理费等。具体清单见附件</w:t>
            </w:r>
          </w:p>
        </w:tc>
        <w:tc>
          <w:tcPr>
            <w:tcW w:w="1008"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08"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17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实验室专用设备租赁服务</w:t>
            </w:r>
          </w:p>
        </w:tc>
        <w:tc>
          <w:tcPr>
            <w:tcW w:w="4116"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具体清单见附件</w:t>
            </w:r>
          </w:p>
        </w:tc>
        <w:tc>
          <w:tcPr>
            <w:tcW w:w="1008"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08"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26" w:type="dxa"/>
            <w:gridSpan w:val="5"/>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四、机房电费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17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机房电费</w:t>
            </w:r>
          </w:p>
        </w:tc>
        <w:tc>
          <w:tcPr>
            <w:tcW w:w="4116"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后端设备机房的电费</w:t>
            </w:r>
          </w:p>
        </w:tc>
        <w:tc>
          <w:tcPr>
            <w:tcW w:w="1008"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08"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r>
    </w:tbl>
    <w:p>
      <w:pPr>
        <w:snapToGrid w:val="0"/>
        <w:spacing w:line="360" w:lineRule="auto"/>
        <w:ind w:firstLine="480" w:firstLineChars="200"/>
        <w:jc w:val="left"/>
        <w:rPr>
          <w:rFonts w:hint="eastAsia" w:ascii="仿宋" w:hAnsi="仿宋" w:eastAsia="仿宋" w:cs="仿宋"/>
          <w:color w:val="auto"/>
          <w:sz w:val="24"/>
          <w:highlight w:val="none"/>
          <w:lang w:val="en-US" w:eastAsia="zh-CN"/>
        </w:rPr>
      </w:pP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 运维周期：</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本次运维周期为合同签订后12个月。</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bookmarkStart w:id="56" w:name="_Toc7581"/>
      <w:r>
        <w:rPr>
          <w:rFonts w:hint="eastAsia" w:ascii="仿宋" w:hAnsi="仿宋" w:eastAsia="仿宋" w:cs="仿宋"/>
          <w:color w:val="auto"/>
          <w:sz w:val="24"/>
          <w:highlight w:val="none"/>
          <w:lang w:val="en-US" w:eastAsia="zh-CN"/>
        </w:rPr>
        <w:t>四、运行维护要求</w:t>
      </w:r>
      <w:bookmarkEnd w:id="56"/>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 总体要求</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项目的日常运维范围包括所有前端点位的设备、网络传输、取电和辅助设施。中标单位在运维期内需提供如下运维服务：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1）必须保证在运维期间除去地震、洪水、战争因素外，视频监控点位月出图/录像完好率不低于98％，卡口抓拍设备月出图/录像完好率不低于98%。</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设备维修和故障件替换服务，确保系统处于正常工作状态。运维服务方应提供快速技术服务，接到报修电话后，服务响应时间为30分钟，在4小时内解决问题，重大故障应在12小时内解决。若故障无法在12小时内解决的，中标单位应提供备品备件进行临时更换，待维修设备维修完成后更换，以保证系统正常运行。</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当前端设备或系统因恶意破坏(不可追溯）、自然灾难（例如地震、洪水、台风、海啸等）或其他不可抗力（例如恐怖活动、战争、不能预见或不能抗拒的政府命令等）造成财产损失或人身伤害时，业主单位不承担相关赔偿责任。投标人可购买安全责任制保险，项目运维单位应根据保险条款提供对应的损失赔偿。</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4）投标人每周7×24小时技术支持，包括但不限于系统管理、运行维护、系统保障、性能调优、故障排除、例行巡检、应急抢修、技术支持等。</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5）配合业主单位的重大活动的技术保障工作。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6）在运维期内，根据业主实际提出来的要求，可以免费提供数量不低于5%的摄像点位的迁移服务。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7）维护点位数量汇总详见：《附件：点位清单》，运维服务方在完成招标文件下载后，向温州市公安局自行领取；联系人：李警官，联系电话：0577-89980309。</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投标人可自行依据点位清单自行前往现场踏勘，了解各点位现场情况及环境。</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 运维服务主要内容 </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176"/>
        <w:gridCol w:w="7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运维内容</w:t>
            </w:r>
          </w:p>
        </w:tc>
        <w:tc>
          <w:tcPr>
            <w:tcW w:w="408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前端点位维护</w:t>
            </w:r>
          </w:p>
        </w:tc>
        <w:tc>
          <w:tcPr>
            <w:tcW w:w="40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日对前端689路视频（道路卡口到期续建、改建647路，电警卡口优化点位42路，纳入本次运维周期）开展实时监控、日常巡检、故障响应等工作。每季对前端视频点位杆件、机箱、管网管线、摄像机镜头进行清洁保养，及对各种遮挡和监控角度的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传输网络维护</w:t>
            </w:r>
          </w:p>
        </w:tc>
        <w:tc>
          <w:tcPr>
            <w:tcW w:w="40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164条传输线路的实时监控、对网络设备及链路的日常巡检、对故障的及时响应恢复、对网络系统的升级维护。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网络安全</w:t>
            </w:r>
          </w:p>
        </w:tc>
        <w:tc>
          <w:tcPr>
            <w:tcW w:w="40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配合业主单位做好各级部门组织的护网工作以及重大活动的保障工作。配合业主单位进行硬件设备故障或网络安全事件应急演练。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运维保障</w:t>
            </w:r>
          </w:p>
        </w:tc>
        <w:tc>
          <w:tcPr>
            <w:tcW w:w="681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备路锥桶、日夜间导向车道牌需（LED）、应急闪光灯及相关警戒标志，配备调试笔记本、网络测试仪、接地电阻测试仪等运维工具，配备专业登高作业车和专业工程抢修车全天24小时随时响应，车辆车况良好并购买相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人员投入</w:t>
            </w:r>
          </w:p>
        </w:tc>
        <w:tc>
          <w:tcPr>
            <w:tcW w:w="40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配备专职维保人员24小时全天候响应，相关员运维人员需具备相关从业资格证书。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备品备件</w:t>
            </w:r>
          </w:p>
        </w:tc>
        <w:tc>
          <w:tcPr>
            <w:tcW w:w="40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提供足够的前端主要设备（摄像机+稳压电源+补光灯）备品备件。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耗材更换</w:t>
            </w:r>
          </w:p>
        </w:tc>
        <w:tc>
          <w:tcPr>
            <w:tcW w:w="40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在运维期间对故障管线、管网更换，对无法维修的设备进行更换并更换后的设备总体性能不低于原设备标准。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前端主要设备更换</w:t>
            </w:r>
          </w:p>
        </w:tc>
        <w:tc>
          <w:tcPr>
            <w:tcW w:w="40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前端主要设备更换：在运维期间对无法维修的摄像机、传输设备、电源及补光灯等设备进行更换，更换后的设备总体性能不低于原设备标准。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应急保障</w:t>
            </w:r>
          </w:p>
        </w:tc>
        <w:tc>
          <w:tcPr>
            <w:tcW w:w="40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重大安保活动应急保障、疫情防控应急响应、重大庆典应急保障、自然灾害应急保障等专线延伸链路服务，全年不高于6次应急链路保障，带宽不低于100M/条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3"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系统优化</w:t>
            </w:r>
          </w:p>
        </w:tc>
        <w:tc>
          <w:tcPr>
            <w:tcW w:w="40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提供不高于总点位数5%的免费迁移。</w:t>
            </w:r>
          </w:p>
        </w:tc>
      </w:tr>
    </w:tbl>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 运维服务具体措施</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 调研评估服务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对前端设备、传输网络以及后端的运行状况、运行环境进行现状调研、系统分析和评估并提出相应的建议和服务方案。</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 例行运维服务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1、系统保障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7*24小时对前端设备运作情况（比如图像清晰度、监控方位、图像遮挡、人脸车脸识别率、时钟同步等），进行实时监控，获取各类告警、故障信息，实时响应并及时恢复、解决。</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2、日常巡检及保养</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前端治安监控点位相关设备进行日常巡检。每季度完成一轮所有设施、设备的巡检。运维人员根据分工，按计划对所有点位进行巡检，查看各系统设备的运行情况、设备配置情况、视频存储完好情况等。对存在设备异常情况的应及时维修处理，并对每次巡检、故障处理结果进行记录。</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每季度对运维范围内的所有设备进行一次清洁保养，包括设备清洁、除尘，设备标签检查、线缆标签检查等。并清洁保养结果进行记录。</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每半年对前端立杆、机箱定期清除小广告、对腐蚀杆体及时刷漆处理，定期剪枝等，确保前端系统的设备完好。</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4.3.3 故障响应服务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故障响应服务是运维服务方接到用户方服务请求或故障申告后，在承诺范围内尽快降低和消除对用户方业务的影响。根据响应的前提不同，分为故障驱动响应、服务请求响应和应急响应。</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1、故障驱动响应</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系统运行过程中由运维服务方提供专业运维队伍向业主单位提供故障件更换、返修，以保证设备或业务使用持续可用的服务。在现场不能修复的设备立即更换代用设备。例如运维服务方巡检时发现某点位的抱杆损坏，需要更换，此时运维服务方将向业主报备，并在经得业主同意后进行更换。</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2、服务请求响应</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由于业主方提出各类服务请求，引发的需要针对服务对象、服务等级做出调整或修改的响应型服务。例如，业主在实际使用监控系统中发现某点位的摄像机角度需要调整，此时向运维服务方提出服务请求，运维服务方应在规定的时间内完成业主的服务请求。</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3、应急响应</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指在服务范围出现跨越预定的应急响应阈值的重大事件、发生重大自然灾害、由于政府部门发出行政指令或用户方提出要求时，应当启动应急处理程序。例如，政府发布台风预警，此时运维服务方应及时对视频监控系统进行巡检、加固危险隐患点位、做好防雨防风措施。</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4.3.4 主动监测服务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1、运维服务方应建立设备管理监控体系，有效地对系统的所有设备运行情况和传输线路的性能、通断情况进行实施监控，及早发现问题，排除故障。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2、运维服务方应安排运维工作组对路面设施情况进行巡检，发现问题及时上报和处理。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3、运维服务方对每个系统的设备是否正常进行主动监测，以缩短故障发现时间。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4.3.5 故障修复服务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1、紧急抢修</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运维服务方承担运维期内系统发生任何故障的抢修任务。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2、备用方案</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如特殊原因造成系统无法正常使用的，运维服务方提供备用方案和措施确保系统运行正常。</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3、备品备件</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运维服务方应建立备品仓库，储存足够的备品备件，保证满足故障抢修的要求。备品仓库应定期进行检查，并提供备品备件清单。</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4、更换设备</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若某个设备在1个月内连续发生3次及以上故障，运维服务方应更换使用新的同型号或者性能不低于原型号的替代产品，以保障设备的连续正常使用。</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4.3.6 优化完善服务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优化改善服务是运维服务方为适应用户方业务要求，通过提供调优改进服务，达到提高运行维护服务对象性能或管理能力的目的。</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包括适应性改进、增强性改进和预防性改进三种类型。</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1、适应性改进</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为保持视频监控系统在已变化或正在变化的环境中可持续运行而实施的改造。例如，某点位需要移位，此时运维服务方应提供相应的优化改善服务完成业主要求。</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2、增强性改进</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视频监控系统的运行需求或由于视频监控系统的缺陷，采取相应改进措施增强视频监控系统的安全性、可用性和可靠性；例如，上级单位要求的对视频监控系统的升级、补丁，运维服务方需要及时提供改进服务并保障系统不间断工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3、预防性改进</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检测和纠正视频监控系统运行过程中潜在的问题或缺陷，以降低系统风险，满足视频监控系统未来可靠运行的需求。例如，运维服务方应定期对后端设备的健康状况进行检测，硬盘损耗、网络丢包等进行评估，及时排查系统潜在问题和缺陷。</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4.3.7 更新升级服务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1、基础资料更新</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运维服务方在链路资料、装机地址、备份情况、应用特性以及用户配置等方面建立资料库，作为系统运维，用户了解信息的途径。一旦资料进行了更新，运维服务方应在3天内向业主单位提供最新的资料。</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2、基础信息维护</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根据业主单位提供的基础信息录入表，在点位基础信息变化且确定相关信息后的3个工作日内，须新增或更新相应字段，包含但不限于IP、账号密码、时间标注、辖区标注、地点标注、时差、经纬度等信息。</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3、系统优化</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运维服务方根据日常收集的系统动态运行信息认真分析，视运行情况和业主单位要求定期提供系统优化、使用优化和管理优化建议，确保系统以最优状态运行。</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4.3.8 特殊保障服务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1、重大保障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重大会议、活动、指挥演练，运维服务方应按照业主单位要求组成运维服务小组，并提供应急方案，派遣技术人员现场提供保障服务。重大活动开始之前，提前做好系统的检验工作，测试报警、监控、控制、供电等多环节功能是否出现异常，制定相关的保障预案，安排专人负责核心设备和易发生故障设备的现场运维和技术保障；突发事件期间，做好重要部位的安全保障工作，加大系统巡检次数，出现问题，立即排查，恢复使用功能。</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2、临时保障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业主单位如有领导视察、重大事件、现场指挥等较特殊的保障要求，运维服务方应组织应急小组，7*24小时待命，并派遣有经验的工程师前往现场，提供保障服务。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4.3.9 应急保障服务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1、应急事件分类</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应急预防主要针对突发性事件、灾害性天气等制定的管理办法。应急事件分为I类、II类、III类三个等级，具体如下：</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I类事件</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节假日、灾害性天气发生的故障事件管理范畴。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II类事件</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业主单位举行防恐、主题活动等视频监控演练工作，要求提供技术保障工作。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III类事件</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系统运行过程中，出现核心设备或软件故障，造成系统功能性瘫痪的事件。</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2、处理原则</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I、II类应急事件发生后，运维应在20分钟内响应，1小时内到达故障现场，4小时内修复故障；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III类应急事件发生后，运维应在20分钟内响应，40分钟内到达故障现场，2小时内修复故障。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3、通信保障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运维服务方应收集、建立项目故障应急处理小组内部及其他相关部门的应急联络信息，保证全天24小时通讯畅通。</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4、装备保障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运维服务方运维团队应建立并保持电力、空调、机房等网络安全运行基本环境，备用一定数量的网络硬件设备，指定专人保管和运维。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5、数据保障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重要信息系统均建立备份系统，保证重要数据在受到破坏后可紧急恢复。</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6、应急结束</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应急事件解决后运维服务方应及时填写资料，并向业主单位反馈信息，应急事件处理完毕。</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7、事件评估</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建立应急事件处理档案，包括事件原因、处理方法、处理时间、设备故障原因、故障现象、设备故障数量进行统计、分析，检查薄弱环节，加强防范，积累经验，提高处理应急事件的能力。</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4.3.10 网络安全服务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配合业主单位做好各级部门组织的护网工作以及重大活动的保障工作。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配合业主单位进行硬件设备故障或网络安全事件应急演练。</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针对市局、省厅网络安全攻防演练结果，进行整改策略、及日志巡检、日常网络安全运维。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 运维服务标准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4.4.1 前端设备运维标准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端设备（应包括但不限于摄像机、光收发器、立杆、设备箱体及附件、混凝土基础、受电设施、电源适配器、补光设施等）及连接线缆的日常运维、巡检、故障处理及其它保障监控系统正常运行的运维服务工作。每年重要节假日（“五一”、“十一”、“春节”等）、大型活动期间，特定巡检、维修、运维、清洁、保养。</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4.4.1.1 例行运维服务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1、系统监控</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对前端设备的系统监控服务指通过运维管理平台7*24小时对前端设备运作情况（比如图像清晰度，监控方位等），进行实时监控，获取各类告警、故障信息，实时响应并及时恢复、解决。</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2、日常巡检</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（1）前端摄像机的镜头清理、设备除尘、位置调整、设备维修及更换、故障排除等；</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（2）球机外罩是否清洁、除尘；</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（3）检查杆件是否存在、损坏和有故障；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（4）检查支架、护罩、控制箱是否存在、损坏；</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（5）立杆定期清除小广告；</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（6）检查周边的树木、建筑物及电缆是否遮挡镜头；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（7）对立杆、设备箱等设施的损坏和自然锈迹在必要时进行修复和表面翻新。</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前端摄像机点位每天平台巡检一次，摄像机和镜头清晰率需月均达到98%以上，立杆腐蚀需要及时进行防锈处理，根据需要定期剪枝。其它设备每季度测试检查一遍，确保完好。</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4.4.1.2 故障响应服务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运维服务方需提供7×24小时响应服务，具体响应方式及响应时间具体内容如下：</w:t>
      </w:r>
    </w:p>
    <w:tbl>
      <w:tblPr>
        <w:tblStyle w:val="63"/>
        <w:tblW w:w="51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3483"/>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8" w:type="pct"/>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故障类型</w:t>
            </w:r>
          </w:p>
        </w:tc>
        <w:tc>
          <w:tcPr>
            <w:tcW w:w="1836" w:type="pct"/>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故障内容</w:t>
            </w:r>
          </w:p>
        </w:tc>
        <w:tc>
          <w:tcPr>
            <w:tcW w:w="2365" w:type="pct"/>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8" w:type="pct"/>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故障驱动响应</w:t>
            </w:r>
          </w:p>
        </w:tc>
        <w:tc>
          <w:tcPr>
            <w:tcW w:w="1836" w:type="pct"/>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前端设备出现警告，不影响系统运行</w:t>
            </w:r>
          </w:p>
        </w:tc>
        <w:tc>
          <w:tcPr>
            <w:tcW w:w="2365" w:type="pct"/>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7×24小时电话咨询，8小时内到达现场并修复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8" w:type="pct"/>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服务请求响应</w:t>
            </w:r>
          </w:p>
        </w:tc>
        <w:tc>
          <w:tcPr>
            <w:tcW w:w="1836" w:type="pct"/>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前端部分设备损坏，但系统正常运行</w:t>
            </w:r>
          </w:p>
        </w:tc>
        <w:tc>
          <w:tcPr>
            <w:tcW w:w="2365" w:type="pct"/>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7×24小时电话咨询，4小时内到达现场并修复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8" w:type="pct"/>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应急响应</w:t>
            </w:r>
          </w:p>
        </w:tc>
        <w:tc>
          <w:tcPr>
            <w:tcW w:w="1836" w:type="pct"/>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前端设备故障</w:t>
            </w:r>
          </w:p>
        </w:tc>
        <w:tc>
          <w:tcPr>
            <w:tcW w:w="2365" w:type="pct"/>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7×24小时电话咨询，2小时内到达现场并修复。</w:t>
            </w:r>
          </w:p>
        </w:tc>
      </w:tr>
    </w:tbl>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到达现场后，前端设备需8小时内修复，不能修复需要更换设备的，运维服务方需要免费更换故障设备，故障修复时间均以业主单位申报开始计时，若有特殊情况须经业主单位书面同意方可延长故障排除时间。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4.4.1.3 优化完善服务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期间内，运维服务方应根据前端系统实际运行环境情况，提出相关点位迁移、杆件复用、功能升级等优化服务。根据业主单位实际需要，运维服务方对前端抓拍设备的安装位置进行改进和调整，包括角度的调整、方向调整和点位位置的调整等。</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4.4.2 传输网络运维标准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4.4.2.1 例行运维服务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1、系统监控</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对传输网络的系统监控服务指通过运维管理平台7*24小时对传输线路的性能、通断情况进行实时监控，获取各类告警、故障信息，实时响应并及时恢复、解决。</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2、日常巡检</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光纤链路、摄像机控制线路的检测、故障排除、隐患排查；</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电缆和光缆线路是否裸露、破损；</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所有接口、线路接口的检测；</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传输设备如光纤收发器，交换机等是否损坏。</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4.4.2.2 故障响应服务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运维服务方需提供7×24小时响应服务，具体响应方式及响应时间根据故障类型而定，其具体内容如下：</w:t>
      </w:r>
    </w:p>
    <w:tbl>
      <w:tblPr>
        <w:tblStyle w:val="63"/>
        <w:tblW w:w="51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484"/>
        <w:gridCol w:w="4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6"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故障类型</w:t>
            </w:r>
          </w:p>
        </w:tc>
        <w:tc>
          <w:tcPr>
            <w:tcW w:w="370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故障内容</w:t>
            </w:r>
          </w:p>
        </w:tc>
        <w:tc>
          <w:tcPr>
            <w:tcW w:w="4712"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6"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故障驱动响应</w:t>
            </w:r>
          </w:p>
        </w:tc>
        <w:tc>
          <w:tcPr>
            <w:tcW w:w="370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传输网络出现警告，不影响系统运行</w:t>
            </w:r>
          </w:p>
        </w:tc>
        <w:tc>
          <w:tcPr>
            <w:tcW w:w="4712"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7×24小时电话咨询，8小时内到达现场并修复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6"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服务请求响应</w:t>
            </w:r>
          </w:p>
        </w:tc>
        <w:tc>
          <w:tcPr>
            <w:tcW w:w="370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传输网络部分损坏，但系统正常运行</w:t>
            </w:r>
          </w:p>
        </w:tc>
        <w:tc>
          <w:tcPr>
            <w:tcW w:w="4712"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7×24小时电话咨询，4小时内到达现场并修复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6" w:type="dxa"/>
            <w:noWrap w:val="0"/>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应急响应</w:t>
            </w:r>
          </w:p>
        </w:tc>
        <w:tc>
          <w:tcPr>
            <w:tcW w:w="3703"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传输网络故障</w:t>
            </w:r>
          </w:p>
        </w:tc>
        <w:tc>
          <w:tcPr>
            <w:tcW w:w="4712" w:type="dxa"/>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7×24小时电话咨询，2小时内到达现场并修复</w:t>
            </w:r>
          </w:p>
        </w:tc>
      </w:tr>
    </w:tbl>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响应时间：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到达现场后，需8小时内修复，不能修复的，运维服务方需要负责免费更换。故障修复时间均以业主单位申报开始计时，若有特殊情况须经业主单位书面同意方可延长故障排除时间。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4.4.2.3 优化完善服务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运维期间内，运维服务方应根据网络环境，提出相关链路复用等增强网络安全性、可用性和可靠性等相关服务。能够适应业务发展，灵活地设计、调整服务支持流程和组织结构，适应未来的发展变化。</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4.4.3 光缆线路运维标准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光缆线路（及其附属设备）是公共视频监控系统工程的重要组成部分，是承载统一视频资源接入和支持系统运行的基础网络。因此，为加强光缆线路的运维和管理工作尤其重要。</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光缆线路设备运维范围：（1）中继光缆、主干光缆、配线光缆、联络光缆、局内光缆；（2）光缆所经过沿线管道、杆路；（3）光缆交接设备：光交接箱、接头盒、光分纤盒、光缆终端盒等；（4）附属设施：包括标石、标志牌、宣传牌、三线保护设施等。</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4.4.4 例行运维服务标准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光缆运维部门应备有下列资料：</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光缆线路工程的设计文件，竣工资料和文件，工程遗留问题处理意见；光缆线路设备的线路拓扑图、路由图、配线图、路由变更记录、光交接设备端面图、光交接设备纤序对照图、管道光缆占孔图、光缆纤芯分配图，应急调度预案；光缆的传输性能测试资料和其它相关资料；光缆线路故障登记表、光缆接割记录表、质量报表及月、季、年运维工作计划及重大故障专题分析报告。</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1、日常巡检</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1）运维人员必须掌握所运维的光缆线路名称、路由走向、重点资料等相关信息。</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2）每季对关键的路由巡查不少于1次，前端监控点每半年路由巡查不少于1次。随时掌握路由动态信息，做好记录，确保光缆安全畅通，出现问题，应及时解决，并上报业主方。</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对易发生外力因素影响的段落，光缆过河（沟）、外力施工工地、城乡结合部的桥涵、架空的特殊杆及光缆引上（下）等地段必须作为日常巡查重点，认真落实巡查，及时发现不安全隐患。当遇台风季节，在暴雨过后要及时安排特殊巡查，以利于及时发现路由上的问题，排除故障隐患。</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4）在巡查中应发现并消除各种隐患，如外力施工迹象、火烧、车撞等。当发现有异常迹象时，应及时采取有效措施，并落实人员跟踪处理。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5）在巡查中必须掌握外力施工工地的施工情况，对原有停工工地，必须掌握复工时间、施工方案变更情况。对新建工地，应仔细分析机械挖土、顶管、打桩等施工是否危害光缆安全。</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2、季节性运维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1）在汛期、台风、冰凌季节及法定节假日到来之前，应对线路设备的关键部位和薄弱环节进行加固、检修等，并制定应急预案。</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2）在汛期、台风、冰凌季节及法定节假日期间，应加强对线路设备运行情况的监视和线路设备的巡查。</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3）应定期检查仓库，做到故障抢修所需材料、备用缆线及仪表、工具齐全，状况良好。</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3、线路故障处理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光缆线路故障是指由于光缆线路原因而造成的通信阻断故障。光缆故障处理应遵循“先抢通，后修复”的原则，线路故障未排除之前，查修不得终止。</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发生光缆故障时，应迅速判明故障段落和故障性质，迅速组织应急调度处理，并尽快修复，故障正式修复后须经测试确认，链路恢复正常后可清理现场；应按月把本月光缆故障情况上报业主方；</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应根据光缆所承载的业务重要性落实网络层面的保护措施，制定应急预案，明确职责分工，尽可能避免业务中断和压缩系统故障历时。</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光缆线路设备运维分为日常运维、故障查修及相关配合工作。对光缆线路设备的技术和质量状况，应按规定的要求进行科学运维。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光缆发生线路故障导致系统中断至系统抢通时止为系统故障历时，也即抢通时间；运维部门自受障后至光缆完全修复时止为光缆修复时间；超过故障规定时限故障为超时故障。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应随时做好光缆故障抢修的准备，做到在任何时间、任何情况下都能迅速抢修；抢修专用器材、仪表、机具及车辆等应处于可使用状态。</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纤芯可用率指标要求：前端监控点光缆线路、光缆纤芯平均可用率达到99.95%。</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4、应急预案</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对于重大保障任务和突发应急事件，前端监控点光缆线路应结合业务和网络设备的具体情况按照一点一案的原则制定全程光路的应急恢复预案，确保在最短时间内恢复业务。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5、故障响应服务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核心网光纤链路平均抢通时间小于2小时，最长不超过4小时，并在故障发生12小时内修复光缆；前端接入点光缆平均抢通时间小于4小时，最长不超过6小时，并在故障发生24小时内修复光缆。由于自然灾害，不可抗力造成的故障经与业主单位协商同意后，可适当延长光缆抢通时间。</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4.4.5 公交4G车载监控运维标准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1、提供公交4G车载监控设备维护服务及备件的更换；</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2、每季度对清单中维护的设备进行巡检一次，并提交巡检登记表。</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3、提供专职维修保养队伍，并保持7*24小时响应，对一般性故障须在24小时内解决。如遇到紧急情况，可在2小时内到达现场。</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4、如遇到设备需要返厂维修或4GSIM卡问题，则以设备被返回（厂家维修时间）或4GSIM故障解决（运营商修复时间）时间为准。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4.4.6 运维数据安全标准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所运维的公共视频监控系统包含的数据和资料等有涉及敏感信息。因此项目有必要具有比较严密保密措施，保密措施的顺利执行，有赖于要求明确、职责分明的责任体系，有赖于有严密的组织的监督执行体系、有良好的培训和动态检查来运维保密工作的维持。</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包括前端设备的安装点位、网络拓扑结构、分析应用软件、存储设备、技术报告、测试报告、检测报告、存储数据、操作手册、技术文档等。</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1、遵守保密的各项管理规定；</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2、未经业主单位书面许可，不得将所知的业主单位秘密以任何方式提供给任何第三方，也不得擅自披露这些信息；</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3、未经业主单位许可，不得擅自查阅、复制业主单位的文件、文档和其它保密资料；</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4、未经业主单位书面许可，不得带走从业主单位得到的任何形式的文档、图纸、资料、磁盘等载有用户机密的介质；</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5、在工作完成离开时，将包含业主单位上述秘密的一切资料及其复制件如数交还业主单位，不得擅自保留。</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4.4.7 运维服务报告标准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在整个运维服务周期内，运维服务方应与业主单位建立完善的沟通协调机制，应及时提供运维服务的各种报告。其中包括每日运维服务日志、工程联系单、重大故障维修报告、月度考核表等。</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运维服务方应提供各种设备管理的原始数据(包括设备故障数据)，接受用户的独立检查。</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4.4.8 运维安全保险标准</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期内政策性规定的强制性险种及运维服务方的施工运维人员和所有财物均由运维服务方自行办理人身保险、财产保险、第三人人员生命财产保险，对不可抗力可能引起的设备损坏、人员伤损及第三人人员生命财产伤损，费用由运维服务方自行承担。前端设备或系统因恶意破坏(不可追溯）、自然灾难（例如地震、洪水、台风、海啸等）或其他不可抗力（例如恐怖活动、战争、不能预见或不能抗拒的政府命令等）造成财产损失或人身伤害时，业主单位不承担相关赔偿责任。投标人可购买安全责任制保险，项目运维单位应根据保险条款提供对应的损失赔偿。</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 运维服务保障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4.5.1 机构保障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运维服务方应根据运维服务要求，参照国家有关通信和信息系统运行服务标准的要求建立完善的公共视频监控系统运维服务管理体系，保障承诺的运维服务内容的实施。</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有关要求如下:</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1、运维服务组织机构</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drawing>
          <wp:inline distT="0" distB="0" distL="114300" distR="114300">
            <wp:extent cx="4358640" cy="3268980"/>
            <wp:effectExtent l="0" t="0" r="0" b="762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27"/>
                    <a:stretch>
                      <a:fillRect/>
                    </a:stretch>
                  </pic:blipFill>
                  <pic:spPr>
                    <a:xfrm>
                      <a:off x="0" y="0"/>
                      <a:ext cx="4358640" cy="3268980"/>
                    </a:xfrm>
                    <a:prstGeom prst="rect">
                      <a:avLst/>
                    </a:prstGeom>
                    <a:noFill/>
                    <a:ln>
                      <a:noFill/>
                    </a:ln>
                  </pic:spPr>
                </pic:pic>
              </a:graphicData>
            </a:graphic>
          </wp:inline>
        </w:drawing>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运维服务方应建立专门的运维服务管理机构，设立运维服务中心，设立专门的技术服务队伍，配备包括视频监控、光纤管道、电气设备、电力和网络等各类运维工程师。</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服务咨询人员和运维工程师应经过专门的培训，具备相应的沟通能力、业务能力和技术能力。</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运维服务方要有完善明确的运维服务方案，明确规范的运维组织架构及运维人员；运维小组主要成员在项目实施期间维持不变。</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季节性预防运维，如汛期、台风、重要通信保障时期等予以重点优先保障，需要提供相应的人员派驻。</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立运维服务中心，提供免费的服务热线电话。该服务咨询中心应该在全年日历天内全天候（7*24小时）运行，热线电话的拨通率应达到100%以上。在热线电话发生故障情况下，应提供其它备份的方便和迅速的联系方式。</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2、运维服务流程</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运维服务方应参照国标运维服务标准体系，建立各项运维服务标准流程，制定服务规章制度，应按照流程要求提供高质量、响应快的服务。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服务流程应该包括服务台管理、事件管理、问题管理、配置管理、服务质量管理、服务考核评估等。</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运维服务方需要具有完善明确的故障报修及处理流程；建立完善的安全施工规范，确保安全运维、文明运维，并符合相关安全施工规范；提供365天免费技术咨询、故障解决办法的意见及操作方法征询。</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4.5.2 人员保障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人员方面：设立专门的技术服务队伍，配备包括视频监控、通信光缆、电气设备、电力和计算机网等各类专业运维工程师并提供免费的服务热线电话。配备相关员运维人员需具有电工证及本行业颁发的从业资格证书。</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4.5.3 车辆保障</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专用设备方面：配备专业登高作业车和专业工程抢修车全天24小时随时响应，车辆车况良好并购买相关保险。</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4.6 运维效能要求</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1"/>
        <w:gridCol w:w="2251"/>
        <w:gridCol w:w="1510"/>
        <w:gridCol w:w="1140"/>
        <w:gridCol w:w="1762"/>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考核内容及标准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类型</w:t>
            </w:r>
          </w:p>
        </w:tc>
        <w:tc>
          <w:tcPr>
            <w:tcW w:w="2376" w:type="pct"/>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内容</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基础信息</w:t>
            </w:r>
          </w:p>
        </w:tc>
        <w:tc>
          <w:tcPr>
            <w:tcW w:w="2376" w:type="pct"/>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校验合格率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视频监控</w:t>
            </w:r>
          </w:p>
        </w:tc>
        <w:tc>
          <w:tcPr>
            <w:tcW w:w="2376" w:type="pct"/>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出图/录像完好率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12" w:type="pct"/>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卡口</w:t>
            </w:r>
          </w:p>
        </w:tc>
        <w:tc>
          <w:tcPr>
            <w:tcW w:w="2376" w:type="pct"/>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出图/录像完好率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427"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车辆抓拍率</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日</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427"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夜</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813" w:type="pct"/>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识别率</w:t>
            </w:r>
          </w:p>
        </w:tc>
        <w:tc>
          <w:tcPr>
            <w:tcW w:w="614" w:type="pct"/>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车辆</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日</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813"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614"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夜</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813"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56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人脸（环保）</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212" w:type="pct"/>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人脸抓拍机</w:t>
            </w:r>
          </w:p>
        </w:tc>
        <w:tc>
          <w:tcPr>
            <w:tcW w:w="2376" w:type="pct"/>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出图/录像完好率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2376"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数据接入率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42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应用平台（人脸）</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建档率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42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画面质量</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12" w:type="pct"/>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车载</w:t>
            </w:r>
          </w:p>
        </w:tc>
        <w:tc>
          <w:tcPr>
            <w:tcW w:w="2376" w:type="pct"/>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出图率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2376"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数据接入率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42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应用平台（车辆）</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建档率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42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画面质量</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42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应用平台（人脸）</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建档率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212"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142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画面质量</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专网链路</w:t>
            </w:r>
          </w:p>
        </w:tc>
        <w:tc>
          <w:tcPr>
            <w:tcW w:w="2376" w:type="pct"/>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完好率</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≥99%</w:t>
            </w:r>
          </w:p>
        </w:tc>
      </w:tr>
    </w:tbl>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4.7 运维考核指标</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运维工作的考核是为了确保温州市本级2018年“雪亮工程”建设项目公共安全视频系统运行情况满足上级部门考核要求并符合公安日常业务实战化开展的需要，同时延长系统使用寿命降低后续新建项目建设投入。通过设置科学合理的考核指标体系，使运维工作过程中的约束管理措施有效，考核督查结果有力。</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运维技术考核指标</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业主单位通过视频监控网管平台发现业务点发生故障向运维服务方提出申告时，运维服务方承诺：经故障判断后确认是系统平台（包括存储，下同）和光纤链路故障（确认时间为申告后2小时），在4小时内恢复；确认是前端设备如摄像机被盗或损坏、线缆被剪断等故障，在12小时内恢复。如超过承诺恢复时间，每超过1小时运维服务方将减免该业务点当月使用费的1%直至该业务点恢复为止。运维服务方承诺每个业务点每月的累计故障时间不超过36小时，超过36小时的，每超过1小时运维服务方将减免该业务点当月使用费的2%直至该业务点恢复为止（未恢复前，减免费用将一直累加，不受单个点位的月使用费或年使用费限制）。</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业主单位通过卡口网管平台发现业务点发生故障向运维服务方提出申告时，运维服务方承诺：经故障判断后确认是系统平台（包括存储，下同）和光纤链路故障（确认时间为申告后2小时），在4小时内恢复；确认是前端设备如抓拍摄像机抓拍角度不佳、被盗或损坏、线缆被剪断等故障，在24小时内恢复。如超过承诺恢复时间，每超过24小时运维服务方将减免该业务点当月使用费的1%直至该业务点恢复为止.</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业主单位对运维服务方的平台不能正常运行或因平台技术维护原因造成图像数据丢失有权要求运维服务方及时改进和承担违约责任。如遇运维服务方平台技术升级、承载网链路割接等，并在征得业主单位同意的基础上，运维服务方应提前48小时通知业主单位，说明可能造成的影响和范围，并确保每次平台技术升级和承载网链路割接在6小时内完成，在此时间内所造成的图像数据丢失，运维服务方不承担违约责任。如超过6小时，每超过1小时（不满1小时按1小时计算，下同）运维服务方将被扣除被影响范围内当月使用费的1%直至被影响范围恢复为止。</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4、运维技术考核指标</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（1）基础信息校验合格率不低于100％，每低1％扣除月服务费的5％；</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（2）视频监控点位、卡口抓拍设备、人脸抓拍机月出图、录像完好率不低于98％，每低1％扣除月服务费的5％；车载出图率不低于98％，每低1％扣除月服务费的5％；</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卡口抓拍率白天不低于99%，每低1％扣除月服务费的5％，抓拍率晚上不低于95%，每低1％扣除月服务费的5％；识别率白天不低于95%，每低1％扣除月服务费的5％；晚上不低于90%，每低1％扣除月服务费的5％；人脸（环保）识别率不低于95%，每低1％扣除月服务费的5％；</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人脸抓拍机、车载数据接入率不低于100％，每低1％扣除月服务费的5％；人脸抓拍机、车载建档率不低于100％，每低1％扣除月服务费的5％，人脸抓拍机、车载画面质量不低于98%，每低1％扣除月服务费的5％；</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（5）专网链路完好率不低于99%，每低1％扣除月服务费的5％；</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（6）以上服务费扣款不重复计算。</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（7）其他非系统软硬件自身原因导致无法达到指标且可以不纳入考核范围的情况由双方另行协商。</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）商务要求</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商务要求是指取得采购标的的时间、地点、财务和服务要求，包括交付（实施）的时间（期限）和地点（范围），付款条件（进度和方式），包装和运输，售后服务，保险以及可能涉及的运行维护、升级更新、备品备件、耗材等后续采购情况等。</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履约保函（或履约保证金）：乙方根据甲乙双方协议，在合同签订后15个工作日内，乙方向甲方提供合同总金额1%的履约保函（或履约保证金）</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款项支付：</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（1）第一笔款：合同签订生效后，甲方在收到乙方提供的下列单据7个工作日内，向乙方支付合同总价的70%，</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下列单据包括：</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1.等额   (普通或者专用)商业发票一份；</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2、履约保函(或履约保证金)支付凭证。</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（2）第二笔款：项目完成阶段性考核（完成      后），甲方在收到乙方提供的下列单据7个工作日内，向乙方支付合同总价的30%；</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下列单据包括：</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1、等额   (普通或者专用)商业发票一份；</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2、甲方出具的项目阶段性考核。</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履约保函（或履约保证金）的退还：维护服务期满，完成项目验收后，甲方收到乙方提供的下列单5个工作日内，履约保函自动解除或无息向乙方退还履约保证金；</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下列单据包括：</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1、履约保函（或履约保证金）收款凭证；</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2、项目验收报告。</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第</w:t>
      </w: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条</w:t>
      </w:r>
      <w:r>
        <w:rPr>
          <w:rFonts w:hint="eastAsia" w:ascii="仿宋" w:hAnsi="仿宋" w:eastAsia="仿宋" w:cs="仿宋"/>
          <w:b/>
          <w:color w:val="auto"/>
          <w:sz w:val="24"/>
          <w:highlight w:val="none"/>
        </w:rPr>
        <w:t>、履约验收要求</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（一）是否适用采购项目</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货物、服务类项目。工程类项目按建设主管部门相关规定执行。</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（二）履约验收的相关费用</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明确是否委托履约验收代理组织验收，明确代理服务费、专家劳务费、是否需要专业验收检测机构出具报告及承担由此产生的检验（监测）费等费用。</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（三）项目验收工作组织程序</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1、供应商根据采购文件、响应文件、采购合同、封存样品等约定的质量、数量、技术指标或者服务要求设置验收指标及其标准，制定验收指标及标准。</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2、确定项目采用简易程序验收或一般程序验收的方式以及采用一次性验收、分段验收或分期验收的方法。</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3、验收小组拟组成情况。</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4、启动项目验收的时间。</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5、组织验收的程序和内容：供应商提供项目验收相关技术资料、合格证明以及验收所必须具备的其他材料，并协助验收组织机构开展验收。验收组织机构准备采购文件、封存样品，根据验收方案组织现场查验。标准定制的货物和通用的服务采购项目可以采用抽检方式进行验收。验收时，应当按照采购合同的约定对每一项技术、服务、安全标准的履约情况进行确认。验收小组必须做好验收记录。验收记录要准确、详细记载采购项目重要事项的履约情况。需分段验收的履约环节在结束以前，供应商应当通知验收组织机构。验收组织机构应当及时查验，未及时查验的，供应商可以顺延项目交付日期，并有权按照合同约定要求赔偿停工、窝工损失。 </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出具验收书。验收书的内容应包括：实施验收过程基本情况陈述，供应商对合同规定的每一项技术、服务、安全标准等履行情况，与政府采购合同约定的权利义务比较情况，验收结论性意见等。验收小组签字确认。委托第三方检测的，附检测报告。分段验收、分期验收的项目，附相应资料。采购人及供应商对验收意见予以确认。</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7、验收结果公告：采购人对验收项目作出整体评价和分类评价。除涉密情形外，在评价后2个工作日内在浙江政府采购网发布验收结果。</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8、验收资料归档。</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9、如验收不合格的，供应商应采取补救措施，及时处理。整改结束后，由供应商通知验收组织机构重新验收。</w:t>
      </w:r>
    </w:p>
    <w:p>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未尽事宜，按《中华人民共和国政府采购法》及其实施条例、《中华人民共和国合同法》、《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第</w:t>
      </w:r>
      <w:r>
        <w:rPr>
          <w:rFonts w:hint="eastAsia" w:ascii="仿宋" w:hAnsi="仿宋" w:eastAsia="仿宋" w:cs="仿宋"/>
          <w:b/>
          <w:color w:val="auto"/>
          <w:sz w:val="24"/>
          <w:highlight w:val="none"/>
        </w:rPr>
        <w:t>四</w:t>
      </w:r>
      <w:r>
        <w:rPr>
          <w:rFonts w:hint="eastAsia" w:ascii="仿宋" w:hAnsi="仿宋" w:eastAsia="仿宋" w:cs="仿宋"/>
          <w:b/>
          <w:color w:val="auto"/>
          <w:sz w:val="24"/>
          <w:highlight w:val="none"/>
          <w:lang w:val="en-US" w:eastAsia="zh-CN"/>
        </w:rPr>
        <w:t>条</w:t>
      </w:r>
      <w:r>
        <w:rPr>
          <w:rFonts w:hint="eastAsia" w:ascii="仿宋" w:hAnsi="仿宋" w:eastAsia="仿宋" w:cs="仿宋"/>
          <w:b/>
          <w:color w:val="auto"/>
          <w:sz w:val="24"/>
          <w:highlight w:val="none"/>
        </w:rPr>
        <w:t>、其他要求</w:t>
      </w:r>
    </w:p>
    <w:p>
      <w:pPr>
        <w:rPr>
          <w:rFonts w:hint="eastAsia" w:ascii="仿宋" w:hAnsi="仿宋" w:eastAsia="仿宋" w:cs="仿宋"/>
          <w:color w:val="auto"/>
          <w:sz w:val="22"/>
          <w:szCs w:val="22"/>
          <w:highlight w:val="none"/>
        </w:rPr>
      </w:pPr>
    </w:p>
    <w:p>
      <w:pPr>
        <w:pStyle w:val="2"/>
        <w:rPr>
          <w:rFonts w:hint="eastAsia" w:ascii="仿宋" w:hAnsi="仿宋" w:eastAsia="仿宋" w:cs="仿宋"/>
          <w:color w:val="auto"/>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numPr>
          <w:ilvl w:val="0"/>
          <w:numId w:val="3"/>
        </w:numPr>
        <w:snapToGrid w:val="0"/>
        <w:spacing w:line="360" w:lineRule="auto"/>
        <w:jc w:val="center"/>
        <w:rPr>
          <w:rStyle w:val="81"/>
          <w:rFonts w:hint="eastAsia" w:ascii="仿宋" w:eastAsia="仿宋" w:cs="仿宋"/>
          <w:color w:val="auto"/>
          <w:highlight w:val="none"/>
        </w:rPr>
      </w:pPr>
      <w:r>
        <w:rPr>
          <w:rFonts w:hint="eastAsia" w:ascii="仿宋" w:hAnsi="仿宋" w:eastAsia="仿宋" w:cs="仿宋"/>
          <w:b/>
          <w:color w:val="auto"/>
          <w:sz w:val="24"/>
          <w:highlight w:val="none"/>
        </w:rPr>
        <w:br w:type="page"/>
      </w:r>
      <w:bookmarkStart w:id="57" w:name="_Toc23043"/>
      <w:r>
        <w:rPr>
          <w:rStyle w:val="81"/>
          <w:rFonts w:hint="eastAsia" w:ascii="仿宋" w:eastAsia="仿宋" w:cs="仿宋"/>
          <w:color w:val="auto"/>
          <w:highlight w:val="none"/>
        </w:rPr>
        <w:t xml:space="preserve">  </w:t>
      </w:r>
      <w:bookmarkEnd w:id="57"/>
      <w:bookmarkStart w:id="58" w:name="_Toc184312094"/>
      <w:bookmarkEnd w:id="58"/>
      <w:bookmarkStart w:id="59" w:name="_Toc184312117"/>
      <w:bookmarkEnd w:id="59"/>
      <w:bookmarkStart w:id="60" w:name="_Toc184313291"/>
      <w:bookmarkEnd w:id="60"/>
      <w:bookmarkStart w:id="61" w:name="_Toc184308107"/>
      <w:bookmarkEnd w:id="61"/>
      <w:bookmarkStart w:id="62" w:name="_Toc184312118"/>
      <w:bookmarkEnd w:id="62"/>
      <w:bookmarkStart w:id="63" w:name="_Toc184310293"/>
      <w:bookmarkEnd w:id="63"/>
      <w:bookmarkStart w:id="64" w:name="_Toc184314471"/>
      <w:bookmarkEnd w:id="64"/>
      <w:bookmarkStart w:id="65" w:name="_Toc184310327"/>
      <w:bookmarkEnd w:id="65"/>
      <w:bookmarkStart w:id="66" w:name="_Toc184308056"/>
      <w:bookmarkEnd w:id="66"/>
      <w:bookmarkStart w:id="67" w:name="_Toc184312126"/>
      <w:bookmarkEnd w:id="67"/>
      <w:bookmarkStart w:id="68" w:name="_Toc184313292"/>
      <w:bookmarkEnd w:id="68"/>
      <w:bookmarkStart w:id="69" w:name="_Toc184312132"/>
      <w:bookmarkEnd w:id="69"/>
      <w:bookmarkStart w:id="70" w:name="_Toc184313258"/>
      <w:bookmarkEnd w:id="70"/>
      <w:bookmarkStart w:id="71" w:name="_Toc184313307"/>
      <w:bookmarkEnd w:id="71"/>
      <w:bookmarkStart w:id="72" w:name="_Toc184308091"/>
      <w:bookmarkEnd w:id="72"/>
      <w:bookmarkStart w:id="73" w:name="_Toc184314465"/>
      <w:bookmarkEnd w:id="73"/>
      <w:bookmarkStart w:id="74" w:name="_Toc184314464"/>
      <w:bookmarkEnd w:id="74"/>
      <w:bookmarkStart w:id="75" w:name="_Toc184313266"/>
      <w:bookmarkEnd w:id="75"/>
      <w:bookmarkStart w:id="76" w:name="_Toc184312107"/>
      <w:bookmarkEnd w:id="76"/>
      <w:bookmarkStart w:id="77" w:name="_Toc184313286"/>
      <w:bookmarkEnd w:id="77"/>
      <w:bookmarkStart w:id="78" w:name="_Toc184312080"/>
      <w:bookmarkEnd w:id="78"/>
      <w:bookmarkStart w:id="79" w:name="_Toc184308103"/>
      <w:bookmarkEnd w:id="79"/>
      <w:bookmarkStart w:id="80" w:name="_Toc184313267"/>
      <w:bookmarkEnd w:id="80"/>
      <w:bookmarkStart w:id="81" w:name="_Toc184312138"/>
      <w:bookmarkEnd w:id="81"/>
      <w:bookmarkStart w:id="82" w:name="_Toc184308070"/>
      <w:bookmarkEnd w:id="82"/>
      <w:bookmarkStart w:id="83" w:name="_Toc184314449"/>
      <w:bookmarkEnd w:id="83"/>
      <w:bookmarkStart w:id="84" w:name="_Toc184314453"/>
      <w:bookmarkEnd w:id="84"/>
      <w:bookmarkStart w:id="85" w:name="_Toc184310297"/>
      <w:bookmarkEnd w:id="85"/>
      <w:bookmarkStart w:id="86" w:name="_Toc184310332"/>
      <w:bookmarkEnd w:id="86"/>
      <w:bookmarkStart w:id="87" w:name="_Toc184310298"/>
      <w:bookmarkEnd w:id="87"/>
      <w:bookmarkStart w:id="88" w:name="_Toc184310283"/>
      <w:bookmarkEnd w:id="88"/>
      <w:bookmarkStart w:id="89" w:name="_Toc184308105"/>
      <w:bookmarkEnd w:id="89"/>
      <w:bookmarkStart w:id="90" w:name="_Toc184314482"/>
      <w:bookmarkEnd w:id="90"/>
      <w:bookmarkStart w:id="91" w:name="_Toc184308044"/>
      <w:bookmarkEnd w:id="91"/>
      <w:bookmarkStart w:id="92" w:name="_Toc184312077"/>
      <w:bookmarkEnd w:id="92"/>
      <w:bookmarkStart w:id="93" w:name="_Toc184312123"/>
      <w:bookmarkEnd w:id="93"/>
      <w:bookmarkStart w:id="94" w:name="_Toc184312092"/>
      <w:bookmarkEnd w:id="94"/>
      <w:bookmarkStart w:id="95" w:name="_Toc184308099"/>
      <w:bookmarkEnd w:id="95"/>
      <w:bookmarkStart w:id="96" w:name="_Toc184313309"/>
      <w:bookmarkEnd w:id="96"/>
      <w:bookmarkStart w:id="97" w:name="_Toc184314430"/>
      <w:bookmarkEnd w:id="97"/>
      <w:bookmarkStart w:id="98" w:name="_Toc184312091"/>
      <w:bookmarkEnd w:id="98"/>
      <w:bookmarkStart w:id="99" w:name="_Toc184308083"/>
      <w:bookmarkEnd w:id="99"/>
      <w:bookmarkStart w:id="100" w:name="_Toc184314444"/>
      <w:bookmarkEnd w:id="100"/>
      <w:bookmarkStart w:id="101" w:name="_Toc184310308"/>
      <w:bookmarkEnd w:id="101"/>
      <w:bookmarkStart w:id="102" w:name="_Toc184312110"/>
      <w:bookmarkEnd w:id="102"/>
      <w:bookmarkStart w:id="103" w:name="_Toc184308084"/>
      <w:bookmarkEnd w:id="103"/>
      <w:bookmarkStart w:id="104" w:name="_Toc184310335"/>
      <w:bookmarkEnd w:id="104"/>
      <w:bookmarkStart w:id="105" w:name="_Toc184310322"/>
      <w:bookmarkEnd w:id="105"/>
      <w:bookmarkStart w:id="106" w:name="_Toc184314411"/>
      <w:bookmarkEnd w:id="106"/>
      <w:bookmarkStart w:id="107" w:name="_Toc184314462"/>
      <w:bookmarkEnd w:id="107"/>
      <w:bookmarkStart w:id="108" w:name="_Toc184308062"/>
      <w:bookmarkEnd w:id="108"/>
      <w:bookmarkStart w:id="109" w:name="_Toc184313273"/>
      <w:bookmarkEnd w:id="109"/>
      <w:bookmarkStart w:id="110" w:name="_Toc184312090"/>
      <w:bookmarkEnd w:id="110"/>
      <w:bookmarkStart w:id="111" w:name="_Toc184312130"/>
      <w:bookmarkEnd w:id="111"/>
      <w:bookmarkStart w:id="112" w:name="_Toc184312086"/>
      <w:bookmarkEnd w:id="112"/>
      <w:bookmarkStart w:id="113" w:name="_Toc184310289"/>
      <w:bookmarkEnd w:id="113"/>
      <w:bookmarkStart w:id="114" w:name="_Toc184313241"/>
      <w:bookmarkEnd w:id="114"/>
      <w:bookmarkStart w:id="115" w:name="_Toc184308065"/>
      <w:bookmarkEnd w:id="115"/>
      <w:bookmarkStart w:id="116" w:name="_Toc184313244"/>
      <w:bookmarkEnd w:id="116"/>
      <w:bookmarkStart w:id="117" w:name="_Toc184308075"/>
      <w:bookmarkEnd w:id="117"/>
      <w:bookmarkStart w:id="118" w:name="_Toc184308100"/>
      <w:bookmarkEnd w:id="118"/>
      <w:bookmarkStart w:id="119" w:name="_Toc184312085"/>
      <w:bookmarkEnd w:id="119"/>
      <w:bookmarkStart w:id="120" w:name="_Toc184312115"/>
      <w:bookmarkEnd w:id="120"/>
      <w:bookmarkStart w:id="121" w:name="_Toc184312136"/>
      <w:bookmarkEnd w:id="121"/>
      <w:bookmarkStart w:id="122" w:name="_Toc184313252"/>
      <w:bookmarkEnd w:id="122"/>
      <w:bookmarkStart w:id="123" w:name="_Toc184310307"/>
      <w:bookmarkEnd w:id="123"/>
      <w:bookmarkStart w:id="124" w:name="_Toc184308082"/>
      <w:bookmarkEnd w:id="124"/>
      <w:bookmarkStart w:id="125" w:name="_Toc184312129"/>
      <w:bookmarkEnd w:id="125"/>
      <w:bookmarkStart w:id="126" w:name="_Toc184313243"/>
      <w:bookmarkEnd w:id="126"/>
      <w:bookmarkStart w:id="127" w:name="_Toc184310303"/>
      <w:bookmarkEnd w:id="127"/>
      <w:bookmarkStart w:id="128" w:name="_Toc184310314"/>
      <w:bookmarkEnd w:id="128"/>
      <w:bookmarkStart w:id="129" w:name="_Toc184313290"/>
      <w:bookmarkEnd w:id="129"/>
      <w:bookmarkStart w:id="130" w:name="_Toc184314472"/>
      <w:bookmarkEnd w:id="130"/>
      <w:bookmarkStart w:id="131" w:name="_Toc184313282"/>
      <w:bookmarkEnd w:id="131"/>
      <w:bookmarkStart w:id="132" w:name="_Toc184314423"/>
      <w:bookmarkEnd w:id="132"/>
      <w:bookmarkStart w:id="133" w:name="_Toc184312139"/>
      <w:bookmarkEnd w:id="133"/>
      <w:bookmarkStart w:id="134" w:name="_Toc184313306"/>
      <w:bookmarkEnd w:id="134"/>
      <w:bookmarkStart w:id="135" w:name="_Toc184308095"/>
      <w:bookmarkEnd w:id="135"/>
      <w:bookmarkStart w:id="136" w:name="_Toc184313250"/>
      <w:bookmarkEnd w:id="136"/>
      <w:bookmarkStart w:id="137" w:name="_Toc184308060"/>
      <w:bookmarkEnd w:id="137"/>
      <w:bookmarkStart w:id="138" w:name="_Toc184313288"/>
      <w:bookmarkEnd w:id="138"/>
      <w:bookmarkStart w:id="139" w:name="_Toc184308068"/>
      <w:bookmarkEnd w:id="139"/>
      <w:bookmarkStart w:id="140" w:name="_Toc184314415"/>
      <w:bookmarkEnd w:id="140"/>
      <w:bookmarkStart w:id="141" w:name="_Toc184313248"/>
      <w:bookmarkEnd w:id="141"/>
      <w:bookmarkStart w:id="142" w:name="_Toc184310334"/>
      <w:bookmarkEnd w:id="142"/>
      <w:bookmarkStart w:id="143" w:name="_Toc184308059"/>
      <w:bookmarkEnd w:id="143"/>
      <w:bookmarkStart w:id="144" w:name="_Toc184313294"/>
      <w:bookmarkEnd w:id="144"/>
      <w:bookmarkStart w:id="145" w:name="_Toc184314480"/>
      <w:bookmarkEnd w:id="145"/>
      <w:bookmarkStart w:id="146" w:name="_Toc184310344"/>
      <w:bookmarkEnd w:id="146"/>
      <w:bookmarkStart w:id="147" w:name="_Toc184314452"/>
      <w:bookmarkEnd w:id="147"/>
      <w:bookmarkStart w:id="148" w:name="_Toc184314476"/>
      <w:bookmarkEnd w:id="148"/>
      <w:bookmarkStart w:id="149" w:name="_Toc184314448"/>
      <w:bookmarkEnd w:id="149"/>
      <w:bookmarkStart w:id="150" w:name="_Toc184314447"/>
      <w:bookmarkEnd w:id="150"/>
      <w:bookmarkStart w:id="151" w:name="_Toc184314413"/>
      <w:bookmarkEnd w:id="151"/>
      <w:bookmarkStart w:id="152" w:name="_Toc184308039"/>
      <w:bookmarkEnd w:id="152"/>
      <w:bookmarkStart w:id="153" w:name="_Toc184308047"/>
      <w:bookmarkEnd w:id="153"/>
      <w:bookmarkStart w:id="154" w:name="_Toc184310333"/>
      <w:bookmarkEnd w:id="154"/>
      <w:bookmarkStart w:id="155" w:name="_Toc184314460"/>
      <w:bookmarkEnd w:id="155"/>
      <w:bookmarkStart w:id="156" w:name="_Toc184310284"/>
      <w:bookmarkEnd w:id="156"/>
      <w:bookmarkStart w:id="157" w:name="_Toc184312096"/>
      <w:bookmarkEnd w:id="157"/>
      <w:bookmarkStart w:id="158" w:name="_Toc184312068"/>
      <w:bookmarkEnd w:id="158"/>
      <w:bookmarkStart w:id="159" w:name="_Toc184313253"/>
      <w:bookmarkEnd w:id="159"/>
      <w:bookmarkStart w:id="160" w:name="_Toc184310325"/>
      <w:bookmarkEnd w:id="160"/>
      <w:bookmarkStart w:id="161" w:name="_Toc184313284"/>
      <w:bookmarkEnd w:id="161"/>
      <w:bookmarkStart w:id="162" w:name="_Toc184310323"/>
      <w:bookmarkEnd w:id="162"/>
      <w:bookmarkStart w:id="163" w:name="_Toc184308048"/>
      <w:bookmarkEnd w:id="163"/>
      <w:bookmarkStart w:id="164" w:name="_Toc184308106"/>
      <w:bookmarkEnd w:id="164"/>
      <w:bookmarkStart w:id="165" w:name="_Toc184310301"/>
      <w:bookmarkEnd w:id="165"/>
      <w:bookmarkStart w:id="166" w:name="_Toc184308037"/>
      <w:bookmarkEnd w:id="166"/>
      <w:bookmarkStart w:id="167" w:name="_Toc184308098"/>
      <w:bookmarkEnd w:id="167"/>
      <w:bookmarkStart w:id="168" w:name="_Toc184312084"/>
      <w:bookmarkEnd w:id="168"/>
      <w:bookmarkStart w:id="169" w:name="_Toc184308049"/>
      <w:bookmarkEnd w:id="169"/>
      <w:bookmarkStart w:id="170" w:name="_Toc184313280"/>
      <w:bookmarkEnd w:id="170"/>
      <w:bookmarkStart w:id="171" w:name="_Toc184314437"/>
      <w:bookmarkEnd w:id="171"/>
      <w:bookmarkStart w:id="172" w:name="_Toc184310286"/>
      <w:bookmarkEnd w:id="172"/>
      <w:bookmarkStart w:id="173" w:name="_Toc184310315"/>
      <w:bookmarkEnd w:id="173"/>
      <w:bookmarkStart w:id="174" w:name="_Toc184313277"/>
      <w:bookmarkEnd w:id="174"/>
      <w:bookmarkStart w:id="175" w:name="_Toc184312081"/>
      <w:bookmarkEnd w:id="175"/>
      <w:bookmarkStart w:id="176" w:name="_Toc184312122"/>
      <w:bookmarkEnd w:id="176"/>
      <w:bookmarkStart w:id="177" w:name="_Toc184310299"/>
      <w:bookmarkEnd w:id="177"/>
      <w:bookmarkStart w:id="178" w:name="_Toc184308076"/>
      <w:bookmarkEnd w:id="178"/>
      <w:bookmarkStart w:id="179" w:name="_Toc184312100"/>
      <w:bookmarkEnd w:id="179"/>
      <w:bookmarkStart w:id="180" w:name="_Toc184308040"/>
      <w:bookmarkEnd w:id="180"/>
      <w:bookmarkStart w:id="181" w:name="_Toc184308057"/>
      <w:bookmarkEnd w:id="181"/>
      <w:bookmarkStart w:id="182" w:name="_Toc184312067"/>
      <w:bookmarkEnd w:id="182"/>
      <w:bookmarkStart w:id="183" w:name="_Toc184313276"/>
      <w:bookmarkEnd w:id="183"/>
      <w:bookmarkStart w:id="184" w:name="_Toc184308097"/>
      <w:bookmarkEnd w:id="184"/>
      <w:bookmarkStart w:id="185" w:name="_Toc184312095"/>
      <w:bookmarkEnd w:id="185"/>
      <w:bookmarkStart w:id="186" w:name="_Toc184314416"/>
      <w:bookmarkEnd w:id="186"/>
      <w:bookmarkStart w:id="187" w:name="_Toc184314414"/>
      <w:bookmarkEnd w:id="187"/>
      <w:bookmarkStart w:id="188" w:name="_Toc184313249"/>
      <w:bookmarkEnd w:id="188"/>
      <w:bookmarkStart w:id="189" w:name="_Toc184314425"/>
      <w:bookmarkEnd w:id="189"/>
      <w:bookmarkStart w:id="190" w:name="_Toc184310279"/>
      <w:bookmarkEnd w:id="190"/>
      <w:bookmarkStart w:id="191" w:name="_Toc184312075"/>
      <w:bookmarkEnd w:id="191"/>
      <w:bookmarkStart w:id="192" w:name="_Toc184314450"/>
      <w:bookmarkEnd w:id="192"/>
      <w:bookmarkStart w:id="193" w:name="_Toc184312119"/>
      <w:bookmarkEnd w:id="193"/>
      <w:bookmarkStart w:id="194" w:name="_Toc184313297"/>
      <w:bookmarkEnd w:id="194"/>
      <w:bookmarkStart w:id="195" w:name="_Toc184308050"/>
      <w:bookmarkEnd w:id="195"/>
      <w:bookmarkStart w:id="196" w:name="_Toc184312108"/>
      <w:bookmarkEnd w:id="196"/>
      <w:bookmarkStart w:id="197" w:name="_Toc184310274"/>
      <w:bookmarkEnd w:id="197"/>
      <w:bookmarkStart w:id="198" w:name="_Toc184314422"/>
      <w:bookmarkEnd w:id="198"/>
      <w:bookmarkStart w:id="199" w:name="_Toc184308080"/>
      <w:bookmarkEnd w:id="199"/>
      <w:bookmarkStart w:id="200" w:name="_Toc184308071"/>
      <w:bookmarkEnd w:id="200"/>
      <w:bookmarkStart w:id="201" w:name="_Toc184313301"/>
      <w:bookmarkEnd w:id="201"/>
      <w:bookmarkStart w:id="202" w:name="_Toc184314456"/>
      <w:bookmarkEnd w:id="202"/>
      <w:bookmarkStart w:id="203" w:name="_Toc184308063"/>
      <w:bookmarkEnd w:id="203"/>
      <w:bookmarkStart w:id="204" w:name="_Toc184312098"/>
      <w:bookmarkEnd w:id="204"/>
      <w:bookmarkStart w:id="205" w:name="_Toc184308085"/>
      <w:bookmarkEnd w:id="205"/>
      <w:bookmarkStart w:id="206" w:name="_Toc184313242"/>
      <w:bookmarkEnd w:id="206"/>
      <w:bookmarkStart w:id="207" w:name="_Toc184314438"/>
      <w:bookmarkEnd w:id="207"/>
      <w:bookmarkStart w:id="208" w:name="_Toc184308101"/>
      <w:bookmarkEnd w:id="208"/>
      <w:bookmarkStart w:id="209" w:name="_Toc184312127"/>
      <w:bookmarkEnd w:id="209"/>
      <w:bookmarkStart w:id="210" w:name="_Toc184314426"/>
      <w:bookmarkEnd w:id="210"/>
      <w:bookmarkStart w:id="211" w:name="_Toc184312137"/>
      <w:bookmarkEnd w:id="211"/>
      <w:bookmarkStart w:id="212" w:name="_Toc184313289"/>
      <w:bookmarkEnd w:id="212"/>
      <w:bookmarkStart w:id="213" w:name="_Toc184308058"/>
      <w:bookmarkEnd w:id="213"/>
      <w:bookmarkStart w:id="214" w:name="_Toc184308077"/>
      <w:bookmarkEnd w:id="214"/>
      <w:bookmarkStart w:id="215" w:name="_Toc184313268"/>
      <w:bookmarkEnd w:id="215"/>
      <w:bookmarkStart w:id="216" w:name="_Toc184314431"/>
      <w:bookmarkEnd w:id="216"/>
      <w:bookmarkStart w:id="217" w:name="_Toc184310319"/>
      <w:bookmarkEnd w:id="217"/>
      <w:bookmarkStart w:id="218" w:name="_Toc184310326"/>
      <w:bookmarkEnd w:id="218"/>
      <w:bookmarkStart w:id="219" w:name="_Toc184312079"/>
      <w:bookmarkEnd w:id="219"/>
      <w:bookmarkStart w:id="220" w:name="_Toc184312133"/>
      <w:bookmarkEnd w:id="220"/>
      <w:bookmarkStart w:id="221" w:name="_Toc184310280"/>
      <w:bookmarkEnd w:id="221"/>
      <w:bookmarkStart w:id="222" w:name="_Toc184312069"/>
      <w:bookmarkEnd w:id="222"/>
      <w:bookmarkStart w:id="223" w:name="_Toc184310316"/>
      <w:bookmarkEnd w:id="223"/>
      <w:bookmarkStart w:id="224" w:name="_Toc184310311"/>
      <w:bookmarkEnd w:id="224"/>
      <w:bookmarkStart w:id="225" w:name="_Toc184313239"/>
      <w:bookmarkEnd w:id="225"/>
      <w:bookmarkStart w:id="226" w:name="_Toc184314469"/>
      <w:bookmarkEnd w:id="226"/>
      <w:bookmarkStart w:id="227" w:name="_Toc184310306"/>
      <w:bookmarkEnd w:id="227"/>
      <w:bookmarkStart w:id="228" w:name="_Toc184314428"/>
      <w:bookmarkEnd w:id="228"/>
      <w:bookmarkStart w:id="229" w:name="_Toc184308087"/>
      <w:bookmarkEnd w:id="229"/>
      <w:bookmarkStart w:id="230" w:name="_Toc184312135"/>
      <w:bookmarkEnd w:id="230"/>
      <w:bookmarkStart w:id="231" w:name="_Toc184308043"/>
      <w:bookmarkEnd w:id="231"/>
      <w:bookmarkStart w:id="232" w:name="_Toc184312088"/>
      <w:bookmarkEnd w:id="232"/>
      <w:bookmarkStart w:id="233" w:name="_Toc184314433"/>
      <w:bookmarkEnd w:id="233"/>
      <w:bookmarkStart w:id="234" w:name="_Toc184314420"/>
      <w:bookmarkEnd w:id="234"/>
      <w:bookmarkStart w:id="235" w:name="_Toc184313295"/>
      <w:bookmarkEnd w:id="235"/>
      <w:bookmarkStart w:id="236" w:name="_Toc184312076"/>
      <w:bookmarkEnd w:id="236"/>
      <w:bookmarkStart w:id="237" w:name="_Toc184310342"/>
      <w:bookmarkEnd w:id="237"/>
      <w:bookmarkStart w:id="238" w:name="_Toc184312113"/>
      <w:bookmarkEnd w:id="238"/>
      <w:bookmarkStart w:id="239" w:name="_Toc184313278"/>
      <w:bookmarkEnd w:id="239"/>
      <w:bookmarkStart w:id="240" w:name="_Toc184314454"/>
      <w:bookmarkEnd w:id="240"/>
      <w:bookmarkStart w:id="241" w:name="_Toc184312114"/>
      <w:bookmarkEnd w:id="241"/>
      <w:bookmarkStart w:id="242" w:name="_Toc184314419"/>
      <w:bookmarkEnd w:id="242"/>
      <w:bookmarkStart w:id="243" w:name="_Toc184314457"/>
      <w:bookmarkEnd w:id="243"/>
      <w:bookmarkStart w:id="244" w:name="_Toc184308055"/>
      <w:bookmarkEnd w:id="244"/>
      <w:bookmarkStart w:id="245" w:name="_Toc184313285"/>
      <w:bookmarkEnd w:id="245"/>
      <w:bookmarkStart w:id="246" w:name="_Toc184313300"/>
      <w:bookmarkEnd w:id="246"/>
      <w:bookmarkStart w:id="247" w:name="_Toc184314440"/>
      <w:bookmarkEnd w:id="247"/>
      <w:bookmarkStart w:id="248" w:name="_Toc184310329"/>
      <w:bookmarkEnd w:id="248"/>
      <w:bookmarkStart w:id="249" w:name="_Toc184308094"/>
      <w:bookmarkEnd w:id="249"/>
      <w:bookmarkStart w:id="250" w:name="_Toc184310281"/>
      <w:bookmarkEnd w:id="250"/>
      <w:bookmarkStart w:id="251" w:name="_Toc184312121"/>
      <w:bookmarkEnd w:id="251"/>
      <w:bookmarkStart w:id="252" w:name="_Toc184313298"/>
      <w:bookmarkEnd w:id="252"/>
      <w:bookmarkStart w:id="253" w:name="_Toc184310320"/>
      <w:bookmarkEnd w:id="253"/>
      <w:bookmarkStart w:id="254" w:name="_Toc184314477"/>
      <w:bookmarkEnd w:id="254"/>
      <w:bookmarkStart w:id="255" w:name="_Toc184314466"/>
      <w:bookmarkEnd w:id="255"/>
      <w:bookmarkStart w:id="256" w:name="_Toc184308086"/>
      <w:bookmarkEnd w:id="256"/>
      <w:bookmarkStart w:id="257" w:name="_Toc184314439"/>
      <w:bookmarkEnd w:id="257"/>
      <w:bookmarkStart w:id="258" w:name="_Toc184314470"/>
      <w:bookmarkEnd w:id="258"/>
      <w:bookmarkStart w:id="259" w:name="_Toc184313274"/>
      <w:bookmarkEnd w:id="259"/>
      <w:bookmarkStart w:id="260" w:name="_Toc184313283"/>
      <w:bookmarkEnd w:id="260"/>
      <w:bookmarkStart w:id="261" w:name="_Toc184313240"/>
      <w:bookmarkEnd w:id="261"/>
      <w:bookmarkStart w:id="262" w:name="_Toc184310305"/>
      <w:bookmarkEnd w:id="262"/>
      <w:bookmarkStart w:id="263" w:name="_Toc184310336"/>
      <w:bookmarkEnd w:id="263"/>
      <w:bookmarkStart w:id="264" w:name="_Toc184312125"/>
      <w:bookmarkEnd w:id="264"/>
      <w:bookmarkStart w:id="265" w:name="_Toc184312111"/>
      <w:bookmarkEnd w:id="265"/>
      <w:bookmarkStart w:id="266" w:name="_Toc184313251"/>
      <w:bookmarkEnd w:id="266"/>
      <w:bookmarkStart w:id="267" w:name="_Toc184310328"/>
      <w:bookmarkEnd w:id="267"/>
      <w:bookmarkStart w:id="268" w:name="_Toc184308089"/>
      <w:bookmarkEnd w:id="268"/>
      <w:bookmarkStart w:id="269" w:name="_Toc184308061"/>
      <w:bookmarkEnd w:id="269"/>
      <w:bookmarkStart w:id="270" w:name="_Toc184313279"/>
      <w:bookmarkEnd w:id="270"/>
      <w:bookmarkStart w:id="271" w:name="_Toc184312131"/>
      <w:bookmarkEnd w:id="271"/>
      <w:bookmarkStart w:id="272" w:name="_Toc184312072"/>
      <w:bookmarkEnd w:id="272"/>
      <w:bookmarkStart w:id="273" w:name="_Toc184312070"/>
      <w:bookmarkEnd w:id="273"/>
      <w:bookmarkStart w:id="274" w:name="_Toc184310343"/>
      <w:bookmarkEnd w:id="274"/>
      <w:bookmarkStart w:id="275" w:name="_Toc184308102"/>
      <w:bookmarkEnd w:id="275"/>
      <w:bookmarkStart w:id="276" w:name="_Toc184313247"/>
      <w:bookmarkEnd w:id="276"/>
      <w:bookmarkStart w:id="277" w:name="_Toc184312074"/>
      <w:bookmarkEnd w:id="277"/>
      <w:bookmarkStart w:id="278" w:name="_Toc184314458"/>
      <w:bookmarkEnd w:id="278"/>
      <w:bookmarkStart w:id="279" w:name="_Toc184313303"/>
      <w:bookmarkEnd w:id="279"/>
      <w:bookmarkStart w:id="280" w:name="_Toc184310287"/>
      <w:bookmarkEnd w:id="280"/>
      <w:bookmarkStart w:id="281" w:name="_Toc184308064"/>
      <w:bookmarkEnd w:id="281"/>
      <w:bookmarkStart w:id="282" w:name="_Toc184308042"/>
      <w:bookmarkEnd w:id="282"/>
      <w:bookmarkStart w:id="283" w:name="_Toc184314417"/>
      <w:bookmarkEnd w:id="283"/>
      <w:bookmarkStart w:id="284" w:name="_Toc184313254"/>
      <w:bookmarkEnd w:id="284"/>
      <w:bookmarkStart w:id="285" w:name="_Toc184313255"/>
      <w:bookmarkEnd w:id="285"/>
      <w:bookmarkStart w:id="286" w:name="_Toc184310285"/>
      <w:bookmarkEnd w:id="286"/>
      <w:bookmarkStart w:id="287" w:name="_Toc184310296"/>
      <w:bookmarkEnd w:id="287"/>
      <w:bookmarkStart w:id="288" w:name="_Toc184310304"/>
      <w:bookmarkEnd w:id="288"/>
      <w:bookmarkStart w:id="289" w:name="_Toc184313238"/>
      <w:bookmarkEnd w:id="289"/>
      <w:bookmarkStart w:id="290" w:name="_Toc184314436"/>
      <w:bookmarkEnd w:id="290"/>
      <w:bookmarkStart w:id="291" w:name="_Toc184313287"/>
      <w:bookmarkEnd w:id="291"/>
      <w:bookmarkStart w:id="292" w:name="_Toc184310273"/>
      <w:bookmarkEnd w:id="292"/>
      <w:bookmarkStart w:id="293" w:name="_Toc184310294"/>
      <w:bookmarkEnd w:id="293"/>
      <w:bookmarkStart w:id="294" w:name="_Toc184308066"/>
      <w:bookmarkEnd w:id="294"/>
      <w:bookmarkStart w:id="295" w:name="_Toc184314463"/>
      <w:bookmarkEnd w:id="295"/>
      <w:bookmarkStart w:id="296" w:name="_Toc184310292"/>
      <w:bookmarkEnd w:id="296"/>
      <w:bookmarkStart w:id="297" w:name="_Toc184314459"/>
      <w:bookmarkEnd w:id="297"/>
      <w:bookmarkStart w:id="298" w:name="_Toc184314473"/>
      <w:bookmarkEnd w:id="298"/>
      <w:bookmarkStart w:id="299" w:name="_Toc184308051"/>
      <w:bookmarkEnd w:id="299"/>
      <w:bookmarkStart w:id="300" w:name="_Toc184313257"/>
      <w:bookmarkEnd w:id="300"/>
      <w:bookmarkStart w:id="301" w:name="_Toc184313269"/>
      <w:bookmarkEnd w:id="301"/>
      <w:bookmarkStart w:id="302" w:name="_Toc184310331"/>
      <w:bookmarkEnd w:id="302"/>
      <w:bookmarkStart w:id="303" w:name="_Toc184313304"/>
      <w:bookmarkEnd w:id="303"/>
      <w:bookmarkStart w:id="304" w:name="_Toc184314429"/>
      <w:bookmarkEnd w:id="304"/>
      <w:bookmarkStart w:id="305" w:name="_Toc184312073"/>
      <w:bookmarkEnd w:id="305"/>
      <w:bookmarkStart w:id="306" w:name="_Toc184310324"/>
      <w:bookmarkEnd w:id="306"/>
      <w:bookmarkStart w:id="307" w:name="_Toc184310339"/>
      <w:bookmarkEnd w:id="307"/>
      <w:bookmarkStart w:id="308" w:name="_Toc184314418"/>
      <w:bookmarkEnd w:id="308"/>
      <w:bookmarkStart w:id="309" w:name="_Toc184313262"/>
      <w:bookmarkEnd w:id="309"/>
      <w:bookmarkStart w:id="310" w:name="_Toc184312106"/>
      <w:bookmarkEnd w:id="310"/>
      <w:bookmarkStart w:id="311" w:name="_Toc184314467"/>
      <w:bookmarkEnd w:id="311"/>
      <w:bookmarkStart w:id="312" w:name="_Toc184313308"/>
      <w:bookmarkEnd w:id="312"/>
      <w:bookmarkStart w:id="313" w:name="_Toc184312105"/>
      <w:bookmarkEnd w:id="313"/>
      <w:bookmarkStart w:id="314" w:name="_Toc184313272"/>
      <w:bookmarkEnd w:id="314"/>
      <w:bookmarkStart w:id="315" w:name="_Toc184312071"/>
      <w:bookmarkEnd w:id="315"/>
      <w:bookmarkStart w:id="316" w:name="_Toc184308093"/>
      <w:bookmarkEnd w:id="316"/>
      <w:bookmarkStart w:id="317" w:name="_Toc184314427"/>
      <w:bookmarkEnd w:id="317"/>
      <w:bookmarkStart w:id="318" w:name="_Toc184312102"/>
      <w:bookmarkEnd w:id="318"/>
      <w:bookmarkStart w:id="319" w:name="_Toc184310317"/>
      <w:bookmarkEnd w:id="319"/>
      <w:bookmarkStart w:id="320" w:name="_Toc184310275"/>
      <w:bookmarkEnd w:id="320"/>
      <w:bookmarkStart w:id="321" w:name="_Toc184313265"/>
      <w:bookmarkEnd w:id="321"/>
      <w:bookmarkStart w:id="322" w:name="_Toc184308088"/>
      <w:bookmarkEnd w:id="322"/>
      <w:bookmarkStart w:id="323" w:name="_Toc184310337"/>
      <w:bookmarkEnd w:id="323"/>
      <w:bookmarkStart w:id="324" w:name="_Toc184313261"/>
      <w:bookmarkEnd w:id="324"/>
      <w:bookmarkStart w:id="325" w:name="_Toc184314441"/>
      <w:bookmarkEnd w:id="325"/>
      <w:bookmarkStart w:id="326" w:name="_Toc184314445"/>
      <w:bookmarkEnd w:id="326"/>
      <w:bookmarkStart w:id="327" w:name="_Toc184312103"/>
      <w:bookmarkEnd w:id="327"/>
      <w:bookmarkStart w:id="328" w:name="_Toc184310321"/>
      <w:bookmarkEnd w:id="328"/>
      <w:bookmarkStart w:id="329" w:name="_Toc184314435"/>
      <w:bookmarkEnd w:id="329"/>
      <w:bookmarkStart w:id="330" w:name="_Toc184310291"/>
      <w:bookmarkEnd w:id="330"/>
      <w:bookmarkStart w:id="331" w:name="_Toc184314442"/>
      <w:bookmarkEnd w:id="331"/>
      <w:bookmarkStart w:id="332" w:name="_Toc184310309"/>
      <w:bookmarkEnd w:id="332"/>
      <w:bookmarkStart w:id="333" w:name="_Toc184314455"/>
      <w:bookmarkEnd w:id="333"/>
      <w:bookmarkStart w:id="334" w:name="_Toc184308041"/>
      <w:bookmarkEnd w:id="334"/>
      <w:bookmarkStart w:id="335" w:name="_Toc184308053"/>
      <w:bookmarkEnd w:id="335"/>
      <w:bookmarkStart w:id="336" w:name="_Toc184313246"/>
      <w:bookmarkEnd w:id="336"/>
      <w:bookmarkStart w:id="337" w:name="_Toc184314481"/>
      <w:bookmarkEnd w:id="337"/>
      <w:bookmarkStart w:id="338" w:name="_Toc184314446"/>
      <w:bookmarkEnd w:id="338"/>
      <w:bookmarkStart w:id="339" w:name="_Toc184313260"/>
      <w:bookmarkEnd w:id="339"/>
      <w:bookmarkStart w:id="340" w:name="_Toc184308074"/>
      <w:bookmarkEnd w:id="340"/>
      <w:bookmarkStart w:id="341" w:name="_Toc184312099"/>
      <w:bookmarkEnd w:id="341"/>
      <w:bookmarkStart w:id="342" w:name="_Toc184313264"/>
      <w:bookmarkEnd w:id="342"/>
      <w:bookmarkStart w:id="343" w:name="_Toc184308038"/>
      <w:bookmarkEnd w:id="343"/>
      <w:bookmarkStart w:id="344" w:name="_Toc184310318"/>
      <w:bookmarkEnd w:id="344"/>
      <w:bookmarkStart w:id="345" w:name="_Toc184314443"/>
      <w:bookmarkEnd w:id="345"/>
      <w:bookmarkStart w:id="346" w:name="_Toc184310288"/>
      <w:bookmarkEnd w:id="346"/>
      <w:bookmarkStart w:id="347" w:name="_Toc184312134"/>
      <w:bookmarkEnd w:id="347"/>
      <w:bookmarkStart w:id="348" w:name="_Toc184308081"/>
      <w:bookmarkEnd w:id="348"/>
      <w:bookmarkStart w:id="349" w:name="_Toc184310312"/>
      <w:bookmarkEnd w:id="349"/>
      <w:bookmarkStart w:id="350" w:name="_Toc184313281"/>
      <w:bookmarkEnd w:id="350"/>
      <w:bookmarkStart w:id="351" w:name="_Toc184310295"/>
      <w:bookmarkEnd w:id="351"/>
      <w:bookmarkStart w:id="352" w:name="_Toc184312128"/>
      <w:bookmarkEnd w:id="352"/>
      <w:bookmarkStart w:id="353" w:name="_Toc184312083"/>
      <w:bookmarkEnd w:id="353"/>
      <w:bookmarkStart w:id="354" w:name="_Toc184312120"/>
      <w:bookmarkEnd w:id="354"/>
      <w:bookmarkStart w:id="355" w:name="_Toc184308090"/>
      <w:bookmarkEnd w:id="355"/>
      <w:bookmarkStart w:id="356" w:name="_Toc184314451"/>
      <w:bookmarkEnd w:id="356"/>
      <w:bookmarkStart w:id="357" w:name="_Toc184308036"/>
      <w:bookmarkEnd w:id="357"/>
      <w:bookmarkStart w:id="358" w:name="_Toc184313296"/>
      <w:bookmarkEnd w:id="358"/>
      <w:bookmarkStart w:id="359" w:name="_Toc184308045"/>
      <w:bookmarkEnd w:id="359"/>
      <w:bookmarkStart w:id="360" w:name="_Toc184310341"/>
      <w:bookmarkEnd w:id="360"/>
      <w:bookmarkStart w:id="361" w:name="_Toc184314410"/>
      <w:bookmarkEnd w:id="361"/>
      <w:bookmarkStart w:id="362" w:name="_Toc184308073"/>
      <w:bookmarkEnd w:id="362"/>
      <w:bookmarkStart w:id="363" w:name="_Toc184314475"/>
      <w:bookmarkEnd w:id="363"/>
      <w:bookmarkStart w:id="364" w:name="_Toc184308108"/>
      <w:bookmarkEnd w:id="364"/>
      <w:bookmarkStart w:id="365" w:name="_Toc184313263"/>
      <w:bookmarkEnd w:id="365"/>
      <w:bookmarkStart w:id="366" w:name="_Toc184313299"/>
      <w:bookmarkEnd w:id="366"/>
      <w:bookmarkStart w:id="367" w:name="_Toc184308078"/>
      <w:bookmarkEnd w:id="367"/>
      <w:bookmarkStart w:id="368" w:name="_Toc184310282"/>
      <w:bookmarkEnd w:id="368"/>
      <w:bookmarkStart w:id="369" w:name="_Toc184310300"/>
      <w:bookmarkEnd w:id="369"/>
      <w:bookmarkStart w:id="370" w:name="_Toc184314474"/>
      <w:bookmarkEnd w:id="370"/>
      <w:bookmarkStart w:id="371" w:name="_Toc184313275"/>
      <w:bookmarkEnd w:id="371"/>
      <w:bookmarkStart w:id="372" w:name="_Toc184314412"/>
      <w:bookmarkEnd w:id="372"/>
      <w:bookmarkStart w:id="373" w:name="_Toc184313305"/>
      <w:bookmarkEnd w:id="373"/>
      <w:bookmarkStart w:id="374" w:name="_Toc184313293"/>
      <w:bookmarkEnd w:id="374"/>
      <w:bookmarkStart w:id="375" w:name="_Toc184313259"/>
      <w:bookmarkEnd w:id="375"/>
      <w:bookmarkStart w:id="376" w:name="_Toc184310277"/>
      <w:bookmarkEnd w:id="376"/>
      <w:bookmarkStart w:id="377" w:name="_Toc184314478"/>
      <w:bookmarkEnd w:id="377"/>
      <w:bookmarkStart w:id="378" w:name="_Toc184314468"/>
      <w:bookmarkEnd w:id="378"/>
      <w:bookmarkStart w:id="379" w:name="_Toc184310340"/>
      <w:bookmarkEnd w:id="379"/>
      <w:bookmarkStart w:id="380" w:name="_Toc184310272"/>
      <w:bookmarkEnd w:id="380"/>
      <w:bookmarkStart w:id="381" w:name="_Toc184308054"/>
      <w:bookmarkEnd w:id="381"/>
      <w:bookmarkStart w:id="382" w:name="_Toc184310276"/>
      <w:bookmarkEnd w:id="382"/>
      <w:bookmarkStart w:id="383" w:name="_Toc184314424"/>
      <w:bookmarkEnd w:id="383"/>
      <w:bookmarkStart w:id="384" w:name="_Toc184310290"/>
      <w:bookmarkEnd w:id="384"/>
      <w:bookmarkStart w:id="385" w:name="_Toc184310310"/>
      <w:bookmarkEnd w:id="385"/>
      <w:bookmarkStart w:id="386" w:name="_Toc184310313"/>
      <w:bookmarkEnd w:id="386"/>
      <w:bookmarkStart w:id="387" w:name="_Toc184312112"/>
      <w:bookmarkEnd w:id="387"/>
      <w:bookmarkStart w:id="388" w:name="_Toc184310330"/>
      <w:bookmarkEnd w:id="388"/>
      <w:bookmarkStart w:id="389" w:name="_Toc184310278"/>
      <w:bookmarkEnd w:id="389"/>
      <w:bookmarkStart w:id="390" w:name="_Toc184308052"/>
      <w:bookmarkEnd w:id="390"/>
      <w:bookmarkStart w:id="391" w:name="_Toc184313256"/>
      <w:bookmarkEnd w:id="391"/>
      <w:bookmarkStart w:id="392" w:name="_Toc184308092"/>
      <w:bookmarkEnd w:id="392"/>
      <w:bookmarkStart w:id="393" w:name="_Toc184313271"/>
      <w:bookmarkEnd w:id="393"/>
      <w:bookmarkStart w:id="394" w:name="_Toc184312101"/>
      <w:bookmarkEnd w:id="394"/>
      <w:bookmarkStart w:id="395" w:name="_Toc184308096"/>
      <w:bookmarkEnd w:id="395"/>
      <w:bookmarkStart w:id="396" w:name="_Toc184308067"/>
      <w:bookmarkEnd w:id="396"/>
      <w:bookmarkStart w:id="397" w:name="_Toc184308069"/>
      <w:bookmarkEnd w:id="397"/>
      <w:bookmarkStart w:id="398" w:name="_Toc184308079"/>
      <w:bookmarkEnd w:id="398"/>
      <w:bookmarkStart w:id="399" w:name="_Toc184310302"/>
      <w:bookmarkEnd w:id="399"/>
      <w:bookmarkStart w:id="400" w:name="_Toc184312124"/>
      <w:bookmarkEnd w:id="400"/>
      <w:bookmarkStart w:id="401" w:name="_Toc184312104"/>
      <w:bookmarkEnd w:id="401"/>
      <w:bookmarkStart w:id="402" w:name="_Toc184314479"/>
      <w:bookmarkEnd w:id="402"/>
      <w:bookmarkStart w:id="403" w:name="_Toc184314434"/>
      <w:bookmarkEnd w:id="403"/>
      <w:bookmarkStart w:id="404" w:name="_Toc184313310"/>
      <w:bookmarkEnd w:id="404"/>
      <w:bookmarkStart w:id="405" w:name="_Toc184312116"/>
      <w:bookmarkEnd w:id="405"/>
      <w:bookmarkStart w:id="406" w:name="_Toc184312093"/>
      <w:bookmarkEnd w:id="406"/>
      <w:bookmarkStart w:id="407" w:name="_Toc184314461"/>
      <w:bookmarkEnd w:id="407"/>
      <w:bookmarkStart w:id="408" w:name="_Toc184312109"/>
      <w:bookmarkEnd w:id="408"/>
      <w:bookmarkStart w:id="409" w:name="_Toc184312078"/>
      <w:bookmarkEnd w:id="409"/>
      <w:bookmarkStart w:id="410" w:name="_Toc184312082"/>
      <w:bookmarkEnd w:id="410"/>
      <w:bookmarkStart w:id="411" w:name="_Toc184312089"/>
      <w:bookmarkEnd w:id="411"/>
      <w:bookmarkStart w:id="412" w:name="_Toc184308072"/>
      <w:bookmarkEnd w:id="412"/>
      <w:bookmarkStart w:id="413" w:name="_Toc184314432"/>
      <w:bookmarkEnd w:id="413"/>
      <w:bookmarkStart w:id="414" w:name="_Toc184310338"/>
      <w:bookmarkEnd w:id="414"/>
      <w:bookmarkStart w:id="415" w:name="_Toc184313302"/>
      <w:bookmarkEnd w:id="415"/>
      <w:bookmarkStart w:id="416" w:name="_Toc184312087"/>
      <w:bookmarkEnd w:id="416"/>
      <w:bookmarkStart w:id="417" w:name="_Toc184312097"/>
      <w:bookmarkEnd w:id="417"/>
      <w:bookmarkStart w:id="418" w:name="_Toc184308104"/>
      <w:bookmarkEnd w:id="418"/>
      <w:bookmarkStart w:id="419" w:name="_Toc184308046"/>
      <w:bookmarkEnd w:id="419"/>
      <w:bookmarkStart w:id="420" w:name="_Toc184314421"/>
      <w:bookmarkEnd w:id="420"/>
      <w:bookmarkStart w:id="421" w:name="_Toc184313245"/>
      <w:bookmarkEnd w:id="421"/>
      <w:bookmarkStart w:id="422" w:name="_Toc184313270"/>
      <w:bookmarkEnd w:id="422"/>
      <w:r>
        <w:rPr>
          <w:rStyle w:val="81"/>
          <w:rFonts w:hint="eastAsia" w:ascii="仿宋" w:eastAsia="仿宋" w:cs="仿宋"/>
          <w:color w:val="auto"/>
          <w:highlight w:val="none"/>
        </w:rPr>
        <w:t>评审办法</w:t>
      </w:r>
    </w:p>
    <w:p>
      <w:pPr>
        <w:pStyle w:val="113"/>
        <w:ind w:firstLine="0" w:firstLineChars="0"/>
        <w:jc w:val="center"/>
        <w:rPr>
          <w:rFonts w:hint="eastAsia"/>
          <w:color w:val="auto"/>
          <w:highlight w:val="none"/>
        </w:rPr>
      </w:pPr>
      <w:r>
        <w:rPr>
          <w:rStyle w:val="81"/>
          <w:rFonts w:hint="eastAsia" w:ascii="仿宋" w:eastAsia="仿宋" w:cs="仿宋"/>
          <w:color w:val="auto"/>
          <w:kern w:val="2"/>
          <w:highlight w:val="none"/>
        </w:rPr>
        <w:t>评审办法前附表</w:t>
      </w:r>
    </w:p>
    <w:tbl>
      <w:tblPr>
        <w:tblStyle w:val="62"/>
        <w:tblpPr w:leftFromText="180" w:rightFromText="180" w:vertAnchor="text" w:horzAnchor="page" w:tblpX="1638" w:tblpY="601"/>
        <w:tblOverlap w:val="never"/>
        <w:tblW w:w="93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954"/>
        <w:gridCol w:w="1488"/>
        <w:gridCol w:w="5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blHeader/>
        </w:trPr>
        <w:tc>
          <w:tcPr>
            <w:tcW w:w="1050" w:type="dxa"/>
            <w:tcBorders>
              <w:top w:val="single" w:color="auto" w:sz="4" w:space="0"/>
              <w:bottom w:val="single" w:color="auto" w:sz="4" w:space="0"/>
              <w:right w:val="single" w:color="auto" w:sz="4" w:space="0"/>
            </w:tcBorders>
            <w:noWrap w:val="0"/>
            <w:vAlign w:val="center"/>
          </w:tcPr>
          <w:p>
            <w:pPr>
              <w:jc w:val="center"/>
              <w:rPr>
                <w:rFonts w:ascii="仿宋" w:hAnsi="仿宋" w:eastAsia="仿宋" w:cs="仿宋"/>
                <w:b/>
                <w:bCs/>
                <w:color w:val="auto"/>
                <w:sz w:val="24"/>
                <w:highlight w:val="none"/>
              </w:rPr>
            </w:pPr>
            <w:bookmarkStart w:id="423" w:name="_Toc18180"/>
            <w:bookmarkStart w:id="424" w:name="_Toc18573"/>
            <w:r>
              <w:rPr>
                <w:rFonts w:hint="eastAsia" w:ascii="仿宋" w:hAnsi="仿宋" w:eastAsia="仿宋" w:cs="仿宋"/>
                <w:b/>
                <w:bCs/>
                <w:color w:val="auto"/>
                <w:sz w:val="24"/>
                <w:highlight w:val="none"/>
              </w:rPr>
              <w:t>条款号</w:t>
            </w:r>
          </w:p>
        </w:tc>
        <w:tc>
          <w:tcPr>
            <w:tcW w:w="2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评审因素</w:t>
            </w:r>
          </w:p>
        </w:tc>
        <w:tc>
          <w:tcPr>
            <w:tcW w:w="5827"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050" w:type="dxa"/>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42"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评审办法</w:t>
            </w:r>
          </w:p>
        </w:tc>
        <w:tc>
          <w:tcPr>
            <w:tcW w:w="5827" w:type="dxa"/>
            <w:tcBorders>
              <w:top w:val="single" w:color="auto" w:sz="4" w:space="0"/>
              <w:left w:val="single" w:color="auto" w:sz="4" w:space="0"/>
              <w:bottom w:val="single" w:color="auto" w:sz="4" w:space="0"/>
            </w:tcBorders>
            <w:noWrap w:val="0"/>
            <w:vAlign w:val="center"/>
          </w:tcPr>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最低价法。最低评标价法，指响应文件满足采购文件全部实质性要求，且最终报价最低的供应商为中标候选人的评标方法。技术、服务等标准统一的货物服务项目，应当采用最低评标价法。采用最低评标价法评标时，除了算术修正和落实政府采购政策需进行的价格扣除外，不能对供应商的投标价格进行任何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4" w:hRule="atLeast"/>
        </w:trPr>
        <w:tc>
          <w:tcPr>
            <w:tcW w:w="1050" w:type="dxa"/>
            <w:vMerge w:val="restart"/>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2442"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▲资格审查</w:t>
            </w:r>
          </w:p>
        </w:tc>
        <w:tc>
          <w:tcPr>
            <w:tcW w:w="5827" w:type="dxa"/>
            <w:tcBorders>
              <w:top w:val="single" w:color="auto" w:sz="4" w:space="0"/>
              <w:left w:val="single" w:color="auto" w:sz="4" w:space="0"/>
              <w:bottom w:val="single" w:color="auto" w:sz="4" w:space="0"/>
            </w:tcBorders>
            <w:noWrap w:val="0"/>
            <w:vAlign w:val="center"/>
          </w:tcPr>
          <w:p>
            <w:pPr>
              <w:jc w:val="center"/>
              <w:rPr>
                <w:rFonts w:hint="eastAsia"/>
                <w:color w:val="auto"/>
                <w:highlight w:val="none"/>
              </w:rPr>
            </w:pPr>
            <w:r>
              <w:rPr>
                <w:rFonts w:hint="eastAsia" w:ascii="仿宋" w:hAnsi="仿宋" w:eastAsia="仿宋" w:cs="仿宋"/>
                <w:color w:val="auto"/>
                <w:sz w:val="24"/>
                <w:highlight w:val="none"/>
              </w:rPr>
              <w:t>2.1.1提供符合参加政府采购活动应当具备的一般条件的承诺函及有效的企业营业执照（或事业法人登记证书或其它工商等登记证明材料，自然人提供身份证)复制件（如为联合体，则联合体各方均应提供）；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2442"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5827" w:type="dxa"/>
            <w:tcBorders>
              <w:top w:val="single" w:color="auto" w:sz="4" w:space="0"/>
              <w:left w:val="single" w:color="auto" w:sz="4" w:space="0"/>
              <w:bottom w:val="single" w:color="auto" w:sz="4" w:space="0"/>
            </w:tcBorders>
            <w:noWrap w:val="0"/>
            <w:vAlign w:val="center"/>
          </w:tcPr>
          <w:p>
            <w:pPr>
              <w:rPr>
                <w:rFonts w:eastAsia="仿宋"/>
                <w:color w:val="auto"/>
                <w:highlight w:val="none"/>
                <w:u w:val="single"/>
              </w:rPr>
            </w:pPr>
            <w:r>
              <w:rPr>
                <w:rFonts w:hint="eastAsia" w:ascii="仿宋" w:hAnsi="仿宋" w:eastAsia="仿宋" w:cs="仿宋"/>
                <w:color w:val="auto"/>
                <w:sz w:val="24"/>
                <w:highlight w:val="none"/>
              </w:rPr>
              <w:t>2.1.1落实政府采购政策需满足的资格审查材料：</w:t>
            </w:r>
            <w:r>
              <w:rPr>
                <w:rFonts w:hint="eastAsia" w:ascii="仿宋" w:hAnsi="仿宋" w:eastAsia="仿宋" w:cs="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2442"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5827" w:type="dxa"/>
            <w:tcBorders>
              <w:top w:val="single" w:color="auto" w:sz="4" w:space="0"/>
              <w:left w:val="single" w:color="auto" w:sz="4" w:space="0"/>
              <w:bottom w:val="single" w:color="auto" w:sz="4" w:space="0"/>
            </w:tcBorders>
            <w:noWrap w:val="0"/>
            <w:vAlign w:val="center"/>
          </w:tcPr>
          <w:p>
            <w:pPr>
              <w:rPr>
                <w:color w:val="auto"/>
                <w:highlight w:val="none"/>
                <w:u w:val="single"/>
              </w:rPr>
            </w:pPr>
            <w:r>
              <w:rPr>
                <w:rFonts w:hint="eastAsia" w:ascii="仿宋" w:hAnsi="仿宋" w:eastAsia="仿宋" w:cs="仿宋"/>
                <w:color w:val="auto"/>
                <w:sz w:val="24"/>
                <w:highlight w:val="none"/>
              </w:rPr>
              <w:t>2.1.3本项目的特定资格要求审查材料：</w:t>
            </w:r>
            <w:r>
              <w:rPr>
                <w:rFonts w:hint="eastAsia" w:ascii="仿宋" w:hAnsi="仿宋" w:eastAsia="仿宋" w:cs="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1050" w:type="dxa"/>
            <w:vMerge w:val="continue"/>
            <w:tcBorders>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2442"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5827"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2.1.4商业信誉审查：</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对列入失信被执行人、重大税收违法案件当事人名单、政府采购严重违法失信行为记录名单的供应商，其谈判响应将作无效响应处理。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1050"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2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w:t>
            </w:r>
          </w:p>
        </w:tc>
        <w:tc>
          <w:tcPr>
            <w:tcW w:w="5827"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谈判小组在评审过程中根据本“第四章评审办法”2.2.1~2.2.3条款规定的符合性审查内容要求对响应文件开启时间的有效性、完整性、响应文件开启时间的响应程度审查。</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符合性审查其他要求：</w:t>
            </w:r>
            <w:r>
              <w:rPr>
                <w:rFonts w:hint="eastAsia" w:ascii="仿宋" w:hAnsi="仿宋" w:eastAsia="仿宋" w:cs="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1050"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2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谈判程序及原则</w:t>
            </w:r>
          </w:p>
        </w:tc>
        <w:tc>
          <w:tcPr>
            <w:tcW w:w="5827"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1）谈判小组所有成员将遵循“公开、公平、公正”的原则，通过电子交易平台集中与供应商分别进行谈判，并给予所有参加谈判的供应商平等的谈判机会。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2）在谈判过程中，谈判小组可以根据谈判文件和谈判情况实质性变动采购需求中的技术、服务要求以及合同草案条款，但不得变动谈判文件中的其他内容。实质性变动的内容，须经采购人代表确认。</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3）对谈判文件作出的实质性变动是谈判文件的有效组成部分，谈判小组应当及时通过政采云平台同时通知所有参加谈判的供应商。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当按照谈判文件的变动情况和谈判小组的要求重新提交响应文件，并由其法定代表人或授权代表签字或者加盖公章。由授权代表签字的，应当附法定代表人授权书。供应商为自然人的，应当由本人签字并附身份证明。进行签字或盖章确认的材料将通过“政采云平台”进行，若因“政采云平台”技术问题无法进行签字或盖章确认的，采购组织机构将通过邮件、传真等形式组织确认。</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5）谈判的顺序，按供应商签到的逆顺序进行（如有需要可进行2至3次谈判），并要求供应商提交最后谈判报价。</w:t>
            </w:r>
            <w:r>
              <w:rPr>
                <w:rFonts w:hint="eastAsia" w:ascii="仿宋" w:hAnsi="仿宋" w:eastAsia="仿宋" w:cs="仿宋"/>
                <w:color w:val="auto"/>
                <w:sz w:val="24"/>
                <w:highlight w:val="none"/>
                <w:u w:val="thick"/>
              </w:rPr>
              <w:t>▲在竞争性谈判文件未做任何调整的情况下，参与谈判的供应商如有出现最后谈判报价超过谈判响应文件中初次报价的，则该供应商的最后谈判报价按无效处理。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6）如竞争性谈判文件所列采购内容明确不需要修改的或供应商谈判响应文件清楚明确不需要澄清的，可以不进行谈判环节，直接要求供应商进行最后报价，提交最后报价的供应商不得少于 3 家。</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7）谈判文件不能详细列明采购标的的技术、服务要求，需经谈判由供应商提供最终设计方案或解决方案的，谈判结束后，谈判小组应当按照少数服从多数的原则投票推荐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经本级财政部门批准后的公开招标转竞争性谈判采购情形的，前两款规定的供应商最低数量可以为两家。</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最后报价是供应商响应文件的有效组成部分。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8）已提交响应文件的供应商，在提交最后报价之前，可以根据谈判情况退出谈判。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1050" w:type="dxa"/>
            <w:tcBorders>
              <w:top w:val="single" w:color="auto" w:sz="4" w:space="0"/>
              <w:bottom w:val="single" w:color="auto" w:sz="4" w:space="0"/>
              <w:right w:val="single" w:color="auto" w:sz="4" w:space="0"/>
            </w:tcBorders>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2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比较与评价</w:t>
            </w:r>
          </w:p>
        </w:tc>
        <w:tc>
          <w:tcPr>
            <w:tcW w:w="5827" w:type="dxa"/>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谈判小组应当从质量和服务均能满足采购文件实质性响应要求的供应商中，按照最后报价由低到高的顺序（经本级财政部门批准后的公开招标转竞争性谈判采购情形的，成交候选人数量可以为两家）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2004" w:type="dxa"/>
            <w:gridSpan w:val="2"/>
            <w:tcBorders>
              <w:bottom w:val="single" w:color="auto" w:sz="4" w:space="0"/>
              <w:right w:val="single" w:color="auto" w:sz="4" w:space="0"/>
            </w:tcBorders>
            <w:noWrap w:val="0"/>
            <w:vAlign w:val="center"/>
          </w:tcPr>
          <w:p>
            <w:pPr>
              <w:jc w:val="center"/>
              <w:rPr>
                <w:rFonts w:hint="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落实政府采购政策需进行的价格扣除</w:t>
            </w:r>
          </w:p>
        </w:tc>
        <w:tc>
          <w:tcPr>
            <w:tcW w:w="5827" w:type="dxa"/>
            <w:tcBorders>
              <w:top w:val="single" w:color="auto" w:sz="4" w:space="0"/>
              <w:left w:val="single" w:color="auto" w:sz="4" w:space="0"/>
              <w:bottom w:val="single" w:color="auto" w:sz="4" w:space="0"/>
            </w:tcBorders>
            <w:noWrap w:val="0"/>
            <w:vAlign w:val="center"/>
          </w:tcPr>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1）小微企业（含</w:t>
            </w:r>
            <w:r>
              <w:rPr>
                <w:rFonts w:hint="eastAsia" w:ascii="仿宋" w:hAnsi="仿宋" w:eastAsia="仿宋" w:cs="仿宋"/>
                <w:color w:val="auto"/>
                <w:sz w:val="24"/>
                <w:highlight w:val="none"/>
              </w:rPr>
              <w:t>监狱企业、残疾人福利性单位。</w:t>
            </w:r>
            <w:r>
              <w:rPr>
                <w:rFonts w:hint="eastAsia" w:ascii="仿宋" w:hAnsi="仿宋" w:eastAsia="仿宋" w:cs="仿宋"/>
                <w:bCs/>
                <w:color w:val="auto"/>
                <w:spacing w:val="6"/>
                <w:sz w:val="24"/>
                <w:highlight w:val="none"/>
              </w:rPr>
              <w:t>）报价扣除</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u w:val="single"/>
                <w:lang w:val="en-US" w:eastAsia="zh-CN"/>
              </w:rPr>
              <w:t>20</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%，即评标价=投标报价×</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u w:val="single"/>
                <w:lang w:val="en-US" w:eastAsia="zh-CN"/>
              </w:rPr>
              <w:t>80</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w:t>
            </w:r>
          </w:p>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2</w:t>
            </w:r>
            <w:r>
              <w:rPr>
                <w:rFonts w:hint="eastAsia" w:ascii="仿宋" w:hAnsi="仿宋" w:eastAsia="仿宋" w:cs="仿宋"/>
                <w:bCs/>
                <w:color w:val="auto"/>
                <w:spacing w:val="6"/>
                <w:sz w:val="24"/>
                <w:highlight w:val="none"/>
              </w:rPr>
              <w:t>）</w:t>
            </w:r>
            <w:r>
              <w:rPr>
                <w:rFonts w:hint="eastAsia" w:ascii="仿宋" w:hAnsi="仿宋" w:eastAsia="仿宋" w:cs="仿宋"/>
                <w:color w:val="auto"/>
                <w:sz w:val="24"/>
                <w:highlight w:val="none"/>
              </w:rPr>
              <w:t>价格扣除比例或者价格分加分比例对小型企业和微型企业同等对待，不作区分。小型、微型企业、监狱企业、残疾人福利性单位不重复享受价格扣除政策。</w:t>
            </w:r>
          </w:p>
          <w:p>
            <w:pPr>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）未提供完整证明材料的，</w:t>
            </w:r>
            <w:r>
              <w:rPr>
                <w:rFonts w:hint="eastAsia" w:ascii="仿宋" w:hAnsi="仿宋" w:eastAsia="仿宋" w:cs="仿宋"/>
                <w:bCs/>
                <w:color w:val="auto"/>
                <w:spacing w:val="6"/>
                <w:sz w:val="24"/>
                <w:highlight w:val="none"/>
              </w:rPr>
              <w:t>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2004" w:type="dxa"/>
            <w:gridSpan w:val="2"/>
            <w:vMerge w:val="restart"/>
            <w:tcBorders>
              <w:right w:val="single" w:color="auto" w:sz="4" w:space="0"/>
            </w:tcBorders>
            <w:noWrap w:val="0"/>
            <w:vAlign w:val="center"/>
          </w:tcPr>
          <w:p>
            <w:pPr>
              <w:pStyle w:val="4"/>
              <w:jc w:val="center"/>
              <w:rPr>
                <w:rFonts w:ascii="仿宋" w:eastAsia="仿宋" w:cs="仿宋"/>
                <w:b w:val="0"/>
                <w:bCs w:val="0"/>
                <w:color w:val="auto"/>
                <w:kern w:val="2"/>
                <w:sz w:val="24"/>
                <w:szCs w:val="24"/>
                <w:highlight w:val="none"/>
                <w:lang w:val="en-US" w:eastAsia="zh-CN"/>
              </w:rPr>
            </w:pPr>
            <w:bookmarkStart w:id="425" w:name="_Toc14673"/>
            <w:r>
              <w:rPr>
                <w:rFonts w:hint="eastAsia" w:ascii="仿宋" w:eastAsia="仿宋" w:cs="仿宋"/>
                <w:b w:val="0"/>
                <w:bCs w:val="0"/>
                <w:color w:val="auto"/>
                <w:kern w:val="2"/>
                <w:sz w:val="24"/>
                <w:szCs w:val="24"/>
                <w:highlight w:val="none"/>
                <w:lang w:val="en-US" w:eastAsia="zh-CN"/>
              </w:rPr>
              <w:t>3</w:t>
            </w:r>
            <w:bookmarkEnd w:id="425"/>
          </w:p>
        </w:tc>
        <w:tc>
          <w:tcPr>
            <w:tcW w:w="1488"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评审结果</w:t>
            </w:r>
          </w:p>
        </w:tc>
        <w:tc>
          <w:tcPr>
            <w:tcW w:w="5827" w:type="dxa"/>
            <w:tcBorders>
              <w:top w:val="single" w:color="auto" w:sz="4" w:space="0"/>
              <w:left w:val="single" w:color="auto" w:sz="4" w:space="0"/>
              <w:bottom w:val="single" w:color="auto" w:sz="4" w:space="0"/>
            </w:tcBorders>
            <w:noWrap w:val="0"/>
            <w:vAlign w:val="center"/>
          </w:tcPr>
          <w:p>
            <w:pPr>
              <w:jc w:val="left"/>
              <w:rPr>
                <w:rFonts w:hint="eastAsia" w:ascii="仿宋" w:hAnsi="仿宋" w:eastAsia="仿宋" w:cs="仿宋"/>
                <w:bCs/>
                <w:color w:val="auto"/>
                <w:spacing w:val="6"/>
                <w:sz w:val="24"/>
                <w:highlight w:val="none"/>
              </w:rPr>
            </w:pPr>
            <w:r>
              <w:rPr>
                <w:rFonts w:hint="eastAsia" w:ascii="宋体" w:hAnsi="宋体" w:eastAsia="宋体" w:cs="宋体"/>
                <w:bCs/>
                <w:color w:val="auto"/>
                <w:spacing w:val="6"/>
                <w:sz w:val="24"/>
                <w:highlight w:val="none"/>
                <w:lang w:eastAsia="zh-CN"/>
              </w:rPr>
              <w:t>☑</w:t>
            </w:r>
            <w:r>
              <w:rPr>
                <w:rFonts w:hint="eastAsia" w:ascii="仿宋" w:hAnsi="仿宋" w:eastAsia="仿宋" w:cs="仿宋"/>
                <w:bCs/>
                <w:color w:val="auto"/>
                <w:spacing w:val="6"/>
                <w:sz w:val="24"/>
                <w:highlight w:val="none"/>
              </w:rPr>
              <w:t>采购人委托直接确定的成交供应商</w:t>
            </w:r>
          </w:p>
          <w:p>
            <w:pPr>
              <w:jc w:val="left"/>
              <w:rPr>
                <w:rFonts w:hint="eastAsia" w:ascii="仿宋" w:hAnsi="仿宋" w:eastAsia="仿宋" w:cs="仿宋"/>
                <w:color w:val="auto"/>
                <w:sz w:val="24"/>
                <w:highlight w:val="none"/>
              </w:rPr>
            </w:pPr>
            <w:r>
              <w:rPr>
                <w:rFonts w:hint="eastAsia" w:ascii="宋体" w:hAnsi="宋体" w:eastAsia="宋体" w:cs="宋体"/>
                <w:bCs/>
                <w:color w:val="auto"/>
                <w:spacing w:val="6"/>
                <w:sz w:val="24"/>
                <w:highlight w:val="none"/>
                <w:lang w:eastAsia="zh-CN"/>
              </w:rPr>
              <w:t>□</w:t>
            </w:r>
            <w:r>
              <w:rPr>
                <w:rFonts w:hint="eastAsia" w:ascii="仿宋" w:hAnsi="仿宋" w:eastAsia="仿宋" w:cs="仿宋"/>
                <w:bCs/>
                <w:color w:val="auto"/>
                <w:spacing w:val="6"/>
                <w:sz w:val="24"/>
                <w:highlight w:val="none"/>
              </w:rPr>
              <w:t>按最后报价由低到高的顺序提出 3 名以上成交候选人。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2004" w:type="dxa"/>
            <w:gridSpan w:val="2"/>
            <w:vMerge w:val="continue"/>
            <w:tcBorders>
              <w:bottom w:val="single" w:color="auto" w:sz="4" w:space="0"/>
              <w:right w:val="single" w:color="auto" w:sz="4" w:space="0"/>
            </w:tcBorders>
            <w:noWrap w:val="0"/>
            <w:vAlign w:val="center"/>
          </w:tcPr>
          <w:p>
            <w:pPr>
              <w:pStyle w:val="4"/>
              <w:jc w:val="center"/>
              <w:rPr>
                <w:rFonts w:hint="eastAsia" w:ascii="仿宋" w:eastAsia="仿宋" w:cs="仿宋"/>
                <w:b w:val="0"/>
                <w:bCs w:val="0"/>
                <w:color w:val="auto"/>
                <w:kern w:val="2"/>
                <w:sz w:val="24"/>
                <w:szCs w:val="24"/>
                <w:highlight w:val="none"/>
                <w:lang w:val="en-US" w:eastAsia="zh-CN"/>
              </w:rPr>
            </w:pPr>
          </w:p>
        </w:tc>
        <w:tc>
          <w:tcPr>
            <w:tcW w:w="1488"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5827" w:type="dxa"/>
            <w:tcBorders>
              <w:top w:val="single" w:color="auto" w:sz="4" w:space="0"/>
              <w:left w:val="single" w:color="auto" w:sz="4" w:space="0"/>
              <w:bottom w:val="single" w:color="auto" w:sz="4" w:space="0"/>
            </w:tcBorders>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bCs/>
                <w:color w:val="auto"/>
                <w:spacing w:val="6"/>
                <w:sz w:val="24"/>
                <w:highlight w:val="none"/>
              </w:rPr>
              <w:t>☐谈判小组应当从质量和服务均能满足采购文件实质性响应要求的供应商中，按照最后报价由低到高的顺序（经本级财政部门批准后的公开招标转竞争性谈判采购情形的，成交候选人数量可以为两家）</w:t>
            </w:r>
          </w:p>
        </w:tc>
      </w:tr>
    </w:tbl>
    <w:p>
      <w:pPr>
        <w:snapToGrid w:val="0"/>
        <w:spacing w:line="360" w:lineRule="auto"/>
        <w:jc w:val="center"/>
        <w:rPr>
          <w:rStyle w:val="81"/>
          <w:rFonts w:hint="eastAsia" w:ascii="仿宋" w:eastAsia="仿宋" w:cs="仿宋"/>
          <w:color w:val="auto"/>
          <w:highlight w:val="none"/>
        </w:rPr>
      </w:pPr>
      <w:r>
        <w:rPr>
          <w:rStyle w:val="81"/>
          <w:rFonts w:hint="eastAsia" w:ascii="仿宋" w:eastAsia="仿宋" w:cs="仿宋"/>
          <w:color w:val="auto"/>
          <w:highlight w:val="none"/>
        </w:rPr>
        <w:br w:type="page"/>
      </w:r>
    </w:p>
    <w:bookmarkEnd w:id="423"/>
    <w:p>
      <w:pPr>
        <w:widowControl/>
        <w:adjustRightInd/>
        <w:jc w:val="left"/>
        <w:rPr>
          <w:rFonts w:hint="eastAsia" w:ascii="仿宋" w:hAnsi="仿宋" w:eastAsia="仿宋" w:cs="仿宋"/>
          <w:b/>
          <w:color w:val="auto"/>
          <w:sz w:val="24"/>
          <w:highlight w:val="none"/>
        </w:rPr>
      </w:pPr>
      <w:bookmarkStart w:id="426" w:name="_Hlk93170489"/>
    </w:p>
    <w:p>
      <w:pPr>
        <w:snapToGrid w:val="0"/>
        <w:spacing w:line="360" w:lineRule="auto"/>
        <w:jc w:val="left"/>
        <w:rPr>
          <w:rStyle w:val="81"/>
          <w:rFonts w:hint="eastAsia" w:ascii="仿宋" w:eastAsia="仿宋" w:cs="仿宋"/>
          <w:color w:val="auto"/>
          <w:sz w:val="24"/>
          <w:szCs w:val="24"/>
          <w:highlight w:val="none"/>
        </w:rPr>
      </w:pPr>
      <w:bookmarkStart w:id="427" w:name="_Toc63189375"/>
      <w:bookmarkStart w:id="428" w:name="_Toc55302373"/>
      <w:bookmarkStart w:id="429" w:name="_Toc26288"/>
      <w:r>
        <w:rPr>
          <w:rStyle w:val="81"/>
          <w:rFonts w:hint="eastAsia" w:ascii="仿宋" w:eastAsia="仿宋" w:cs="仿宋"/>
          <w:color w:val="auto"/>
          <w:sz w:val="24"/>
          <w:szCs w:val="24"/>
          <w:highlight w:val="none"/>
        </w:rPr>
        <w:t>1.评审方法</w:t>
      </w:r>
      <w:bookmarkEnd w:id="427"/>
      <w:bookmarkEnd w:id="428"/>
    </w:p>
    <w:bookmarkEnd w:id="429"/>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本次采用的评审办法及推荐成交候选人的人数见评审办法前附表。</w:t>
      </w:r>
    </w:p>
    <w:p>
      <w:pPr>
        <w:snapToGrid w:val="0"/>
        <w:spacing w:line="360" w:lineRule="auto"/>
        <w:jc w:val="left"/>
        <w:rPr>
          <w:rStyle w:val="81"/>
          <w:rFonts w:hint="eastAsia" w:ascii="仿宋" w:eastAsia="仿宋" w:cs="仿宋"/>
          <w:color w:val="auto"/>
          <w:sz w:val="24"/>
          <w:szCs w:val="24"/>
          <w:highlight w:val="none"/>
        </w:rPr>
      </w:pPr>
      <w:bookmarkStart w:id="430" w:name="_Toc55302374"/>
      <w:bookmarkStart w:id="431" w:name="_Toc63189376"/>
      <w:bookmarkStart w:id="432" w:name="_Toc307"/>
      <w:r>
        <w:rPr>
          <w:rStyle w:val="81"/>
          <w:rFonts w:hint="eastAsia" w:ascii="仿宋" w:eastAsia="仿宋" w:cs="仿宋"/>
          <w:color w:val="auto"/>
          <w:sz w:val="24"/>
          <w:szCs w:val="24"/>
          <w:highlight w:val="none"/>
        </w:rPr>
        <w:t>2.</w:t>
      </w:r>
      <w:bookmarkEnd w:id="430"/>
      <w:bookmarkEnd w:id="431"/>
      <w:r>
        <w:rPr>
          <w:rStyle w:val="81"/>
          <w:rFonts w:hint="eastAsia" w:ascii="仿宋" w:eastAsia="仿宋" w:cs="仿宋"/>
          <w:color w:val="auto"/>
          <w:sz w:val="24"/>
          <w:szCs w:val="24"/>
          <w:highlight w:val="none"/>
        </w:rPr>
        <w:t>评审程序及标准</w:t>
      </w:r>
    </w:p>
    <w:bookmarkEnd w:id="432"/>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响应文件开启后，采购人或采购代理机构对各供应商进行资格审查，有一项不符合以下评审标准的，响应无效：</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2.1.4商业信誉审查要求：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谈判小组对资格审查合格的供应商进行符合性审查：</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▲供应商存在下列情况之一的，响应无效</w:t>
      </w:r>
      <w:r>
        <w:rPr>
          <w:rFonts w:hint="eastAsia" w:ascii="仿宋" w:hAnsi="仿宋" w:eastAsia="仿宋" w:cs="仿宋"/>
          <w:b/>
          <w:color w:val="auto"/>
          <w:sz w:val="24"/>
          <w:highlight w:val="none"/>
        </w:rPr>
        <w:t>:</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供应商仅提交备份响应文件开启时间，没有在电子交易平台传输递交响应文件开启时间的；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（2）不具备采购文件中规定的资格要求的；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（3）响应文件开启时间未按采购文件要求签署、盖章的；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（4）明显不符合采购文件中标注“▲”且加下划线的实质性要求和条件（主要技术规格、商务技术标准或服务要求）的；</w:t>
      </w:r>
    </w:p>
    <w:p>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（5）采购人拟采购的产品属于政府强制采购的节能产品品目清单范围的，供应商未按采购文件要求提供国家确定的认证机构出具的、处于有效期之内的节能产品认证证书的；</w:t>
      </w:r>
    </w:p>
    <w:p>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（6）响应文件开启时间中承诺的谈判有效期少于采购文件中载明的谈判有效期的；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（7）响应文件开启时间实质性内容不全或关键字迹模糊无法辨认的；</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（8）最终报价超过采购预算或最高限价；</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（9）响应文件开启时间出现不是唯一的、有选择性报价的；</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（10）供应商对根据修正原则修正后的报价不确认的；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（11）响应文件开启时间有采购人不能接受的附加条件的；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（12）供应商提供虚假材料谈判响应的；</w:t>
      </w:r>
    </w:p>
    <w:p>
      <w:pPr>
        <w:snapToGrid w:val="0"/>
        <w:spacing w:line="360" w:lineRule="auto"/>
        <w:ind w:firstLine="120" w:firstLineChars="50"/>
        <w:jc w:val="left"/>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rPr>
        <w:t xml:space="preserve">   （13）商务技术文件中出现谈判报价的；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（14）报价明显低于其他通过符合性审查供应商的报价，有可能影响产品质量或者不能诚信履约的，未能按要求提供书面说明或者提交相关证明材料，不能证明其报价合理性的；</w:t>
      </w:r>
    </w:p>
    <w:p>
      <w:pPr>
        <w:spacing w:line="360" w:lineRule="auto"/>
        <w:ind w:firstLine="240" w:firstLineChars="1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（15）供应商有恶意串通、妨碍其他供应商的竞争行为、损害采购人或者其他供应商的合法权益情形的；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（16）响应文件开启时间不满足采购文件的其它实质性要求的；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bCs/>
          <w:color w:val="auto"/>
          <w:kern w:val="0"/>
          <w:sz w:val="24"/>
          <w:highlight w:val="none"/>
        </w:rPr>
        <w:t>法律、法规、规章（适用本市的）及省级以上规范性文件（适用本市的）规定的其他无效情形。</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2.2.2</w:t>
      </w:r>
      <w:r>
        <w:rPr>
          <w:rFonts w:hint="eastAsia" w:ascii="仿宋" w:hAnsi="仿宋" w:eastAsia="仿宋" w:cs="仿宋"/>
          <w:b/>
          <w:color w:val="auto"/>
          <w:sz w:val="24"/>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（1）供应商直接或者间接从采购人或者采购代理机构处获得其他供应商的相关情况并修改其响应文件开启时间的；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（2）供应商按照采购人或者采购代理机构的授意撤换、修改响应文件开启时间的；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（3）供应商之间协商报价、技术方案等响应文件开启时间或者响应文件的实质性内容；</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（4）属于同一集团、协会、商会等组织成员的供应商按照该组织要求协同参加政府采购活动；</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（5）供应商之间事先约定由某一特定供应商中标、成交；</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（6）供应商之间商定部分供应商放弃参加政府采购活动或者放弃中标、成交；</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（7）供应商与采购人或者采购代理机构之间、供应商相互之间，为谋求特定供应商中标、成交或者排斥其他供应商的其他串通行为。</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▲有下列情形之一的，视为供应商串通响应，其响应无效</w:t>
      </w:r>
      <w:r>
        <w:rPr>
          <w:rFonts w:hint="eastAsia" w:ascii="仿宋" w:hAnsi="仿宋" w:eastAsia="仿宋" w:cs="仿宋"/>
          <w:b/>
          <w:color w:val="auto"/>
          <w:sz w:val="24"/>
          <w:highlight w:val="none"/>
        </w:rPr>
        <w:t>：</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（1）不同供应商的响应文件开启时间由同一单位或者个人编制；</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（2）不同供应商委托同一单位或者个人办理谈判响应事宜；</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（3）不同供应商的响应文件开启时间载明的项目管理成员或者联系人员为同一人；</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（4）不同供应商的响应文件开启时间异常一致或者谈判报价呈规律性差异；</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（5）不同供应商的响应文件开启时间相互混装；</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2.2.4符合性审查其他要求见评审办法前附表。</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2.2.5实质上没有响应采购文件要求的谈判响应将被否决，供应商不得通过修正或撤消不合要求的偏离或保留从而使其响应成为实质上响应的谈判响应。</w:t>
      </w:r>
    </w:p>
    <w:p>
      <w:pPr>
        <w:pStyle w:val="5"/>
        <w:widowControl/>
        <w:snapToGrid w:val="0"/>
        <w:spacing w:before="0" w:after="0" w:line="360" w:lineRule="auto"/>
        <w:ind w:left="888" w:leftChars="260" w:hanging="342" w:hangingChars="142"/>
        <w:jc w:val="left"/>
        <w:rPr>
          <w:rFonts w:hint="eastAsia" w:ascii="仿宋" w:hAnsi="仿宋" w:eastAsia="仿宋" w:cs="仿宋"/>
          <w:color w:val="auto"/>
          <w:sz w:val="24"/>
          <w:szCs w:val="24"/>
          <w:highlight w:val="none"/>
        </w:rPr>
      </w:pPr>
      <w:bookmarkStart w:id="433" w:name="_Toc31606"/>
      <w:bookmarkStart w:id="434" w:name="_Toc63189379"/>
      <w:bookmarkStart w:id="435" w:name="_Toc55302377"/>
      <w:bookmarkStart w:id="436" w:name="_Toc5724"/>
      <w:bookmarkStart w:id="437" w:name="_Toc55375024"/>
      <w:r>
        <w:rPr>
          <w:rFonts w:hint="eastAsia" w:ascii="仿宋" w:hAnsi="仿宋" w:eastAsia="仿宋" w:cs="仿宋"/>
          <w:color w:val="auto"/>
          <w:sz w:val="24"/>
          <w:szCs w:val="24"/>
          <w:highlight w:val="none"/>
        </w:rPr>
        <w:t>2.3比较与评价</w:t>
      </w:r>
      <w:bookmarkEnd w:id="433"/>
    </w:p>
    <w:bookmarkEnd w:id="434"/>
    <w:bookmarkEnd w:id="435"/>
    <w:bookmarkEnd w:id="436"/>
    <w:bookmarkEnd w:id="437"/>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2.3.1评审原则及标准：</w:t>
      </w:r>
      <w:r>
        <w:rPr>
          <w:rFonts w:hint="eastAsia" w:ascii="仿宋" w:hAnsi="仿宋" w:eastAsia="仿宋" w:cs="仿宋"/>
          <w:bCs/>
          <w:color w:val="auto"/>
          <w:sz w:val="24"/>
          <w:highlight w:val="none"/>
        </w:rPr>
        <w:t>评审办法前附表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b/>
          <w:color w:val="auto"/>
          <w:sz w:val="24"/>
          <w:highlight w:val="none"/>
        </w:rPr>
        <w:t>谈判小组发现供应商的报价明显低于其他谈判报价，使得其谈判报价可能低于其个别成本的，应当要求该供应商作出书面说明并提供相应的证明材料。供应商不能合理说明或者不能提供相应证明材料的，谈判小组应当认定该供应商以低于成本报价竞标，并否决其谈判响应</w:t>
      </w:r>
      <w:r>
        <w:rPr>
          <w:rFonts w:hint="eastAsia" w:ascii="仿宋" w:hAnsi="仿宋" w:eastAsia="仿宋" w:cs="仿宋"/>
          <w:color w:val="auto"/>
          <w:sz w:val="24"/>
          <w:highlight w:val="none"/>
        </w:rPr>
        <w:t>。</w:t>
      </w:r>
    </w:p>
    <w:p>
      <w:pPr>
        <w:pStyle w:val="5"/>
        <w:widowControl/>
        <w:snapToGrid w:val="0"/>
        <w:spacing w:before="0" w:after="0" w:line="360" w:lineRule="auto"/>
        <w:ind w:left="0" w:firstLine="480" w:firstLineChars="200"/>
        <w:jc w:val="left"/>
        <w:rPr>
          <w:rFonts w:hint="eastAsia" w:ascii="仿宋" w:hAnsi="仿宋" w:eastAsia="仿宋" w:cs="仿宋"/>
          <w:b w:val="0"/>
          <w:color w:val="auto"/>
          <w:sz w:val="24"/>
          <w:szCs w:val="24"/>
          <w:highlight w:val="none"/>
        </w:rPr>
      </w:pPr>
      <w:bookmarkStart w:id="438" w:name="_Toc55375025"/>
      <w:bookmarkStart w:id="439" w:name="_Toc5272"/>
      <w:bookmarkStart w:id="440" w:name="_Toc55302378"/>
      <w:bookmarkStart w:id="441" w:name="_Toc11195"/>
      <w:bookmarkStart w:id="442" w:name="_Toc63189380"/>
      <w:r>
        <w:rPr>
          <w:rFonts w:hint="eastAsia" w:ascii="仿宋" w:hAnsi="仿宋" w:eastAsia="仿宋" w:cs="仿宋"/>
          <w:b w:val="0"/>
          <w:color w:val="auto"/>
          <w:sz w:val="24"/>
          <w:szCs w:val="24"/>
          <w:highlight w:val="none"/>
        </w:rPr>
        <w:t>2.4响应文件开启时间的澄清</w:t>
      </w:r>
      <w:bookmarkEnd w:id="438"/>
      <w:bookmarkEnd w:id="439"/>
      <w:bookmarkEnd w:id="440"/>
      <w:bookmarkEnd w:id="441"/>
      <w:bookmarkEnd w:id="442"/>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为有助于响应文件开启时间的审查、评价和比较，谈判小组可以在“政采云平台”在线询标或其他有效形式要求供应商对同一份响应文件开启时间含义不明确或同类问题表述不一致的内容（采购文件另有规定处理方法的除外）作必要的澄清或说明，供应商应采用在线回复或其他有效形式在询标规定时间内进行澄清或说明（需盖电子签章或实体公章）。</w:t>
      </w:r>
    </w:p>
    <w:p>
      <w:pPr>
        <w:pStyle w:val="32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2.4.2响应文件开启时间报价出现前后不一致的，按照下列规定修正：</w:t>
      </w:r>
    </w:p>
    <w:p>
      <w:pPr>
        <w:pStyle w:val="32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（1）响应文件开启时间中报价一览表内容与响应文件开启时间中相应内容不一致的，以报价一览表为准;</w:t>
      </w:r>
    </w:p>
    <w:p>
      <w:pPr>
        <w:pStyle w:val="32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pPr>
        <w:pStyle w:val="32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（3）单价金额小数点或者百分比有明显错位的，以报价一览表的总价为准，并修改单价;</w:t>
      </w:r>
    </w:p>
    <w:p>
      <w:pPr>
        <w:pStyle w:val="32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pPr>
        <w:pStyle w:val="32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（5）同时出现两种以上不一致的，按照上述规定的顺序修正。修正后的报价经供应商确认后产生约束力。</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2.4.3澄清、说明或补正不得超出响应文件开启时间的范围且不得改变响应文件开启时间的实质性内容，并构成响应文件开启时间的组成部分。</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2.4.4谈判小组对供应商提交的澄清、说明或补正有疑问的，可以要求供应商进一步澄清、说明或补正，直至满足谈判小组的要求。</w:t>
      </w:r>
    </w:p>
    <w:p>
      <w:pPr>
        <w:snapToGrid w:val="0"/>
        <w:spacing w:line="360" w:lineRule="auto"/>
        <w:jc w:val="left"/>
        <w:rPr>
          <w:rStyle w:val="81"/>
          <w:rFonts w:hint="eastAsia" w:ascii="仿宋" w:eastAsia="仿宋" w:cs="仿宋"/>
          <w:color w:val="auto"/>
          <w:sz w:val="24"/>
          <w:szCs w:val="24"/>
          <w:highlight w:val="none"/>
        </w:rPr>
      </w:pPr>
      <w:bookmarkStart w:id="443" w:name="_Toc11850"/>
      <w:bookmarkStart w:id="444" w:name="_Toc63189381"/>
      <w:bookmarkStart w:id="445" w:name="_Toc55302379"/>
      <w:bookmarkStart w:id="446" w:name="_Toc25603"/>
      <w:r>
        <w:rPr>
          <w:rStyle w:val="81"/>
          <w:rFonts w:hint="eastAsia" w:ascii="仿宋" w:eastAsia="仿宋" w:cs="仿宋"/>
          <w:color w:val="auto"/>
          <w:sz w:val="24"/>
          <w:szCs w:val="24"/>
          <w:highlight w:val="none"/>
        </w:rPr>
        <w:t>3.评审结果</w:t>
      </w:r>
      <w:bookmarkEnd w:id="443"/>
      <w:bookmarkEnd w:id="444"/>
      <w:bookmarkEnd w:id="445"/>
    </w:p>
    <w:bookmarkEnd w:id="446"/>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3.1谈判小组应当从质量和服务均能满足采购文件实质性响应要求的供应商中，按照最后报价由低到高的顺序。</w:t>
      </w:r>
    </w:p>
    <w:p>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3.2 谈判小组完成评审后，应当向采购人提交书面评审报告和成交候选人名单。</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谈判小组根据全体评审小组成员签字的原始评审记录和评审结果编写评审报告。谈判小组成员对需要共同认定的事项存在争议的，应当按照少数服从多数的原则作出结论。持不同意见的谈判小组成员应当在评审报告上签署不同意见及理由，否则视为同意评审报告。</w:t>
      </w:r>
    </w:p>
    <w:p>
      <w:pPr>
        <w:snapToGrid w:val="0"/>
        <w:spacing w:line="360" w:lineRule="auto"/>
        <w:jc w:val="left"/>
        <w:rPr>
          <w:rStyle w:val="81"/>
          <w:rFonts w:hint="eastAsia" w:ascii="仿宋" w:eastAsia="仿宋" w:cs="仿宋"/>
          <w:color w:val="auto"/>
          <w:sz w:val="24"/>
          <w:szCs w:val="24"/>
          <w:highlight w:val="none"/>
        </w:rPr>
      </w:pPr>
      <w:bookmarkStart w:id="447" w:name="_Toc12976"/>
      <w:r>
        <w:rPr>
          <w:rStyle w:val="81"/>
          <w:rFonts w:hint="eastAsia" w:ascii="仿宋" w:eastAsia="仿宋" w:cs="仿宋"/>
          <w:color w:val="auto"/>
          <w:sz w:val="24"/>
          <w:szCs w:val="24"/>
          <w:highlight w:val="none"/>
          <w:lang w:val="en-US"/>
        </w:rPr>
        <w:t>4.</w:t>
      </w:r>
      <w:r>
        <w:rPr>
          <w:rStyle w:val="81"/>
          <w:rFonts w:hint="eastAsia" w:ascii="仿宋" w:eastAsia="仿宋" w:cs="仿宋"/>
          <w:color w:val="auto"/>
          <w:sz w:val="24"/>
          <w:szCs w:val="24"/>
          <w:highlight w:val="none"/>
        </w:rPr>
        <w:t>其他</w:t>
      </w:r>
    </w:p>
    <w:bookmarkEnd w:id="447"/>
    <w:p>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4.1废标</w:t>
      </w:r>
    </w:p>
    <w:p>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（1）符合专业条件的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或者对</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作实质响应的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4.2修改</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，重新组织采购活动。</w:t>
      </w:r>
    </w:p>
    <w:p>
      <w:pPr>
        <w:pStyle w:val="24"/>
        <w:snapToGrid w:val="0"/>
        <w:spacing w:line="360" w:lineRule="auto"/>
        <w:rPr>
          <w:rFonts w:ascii="仿宋" w:hAnsi="仿宋" w:eastAsia="仿宋" w:cs="仿宋_GB2312"/>
          <w:color w:val="auto"/>
          <w:highlight w:val="none"/>
        </w:rPr>
      </w:pPr>
      <w:r>
        <w:rPr>
          <w:rFonts w:hint="eastAsia" w:ascii="仿宋" w:hAnsi="仿宋" w:eastAsia="仿宋" w:cs="仿宋"/>
          <w:color w:val="auto"/>
          <w:highlight w:val="none"/>
          <w:lang w:eastAsia="zh-CN"/>
        </w:rPr>
        <w:t>谈判小组</w:t>
      </w:r>
      <w:r>
        <w:rPr>
          <w:rFonts w:hint="eastAsia" w:ascii="仿宋" w:hAnsi="仿宋" w:eastAsia="仿宋" w:cs="仿宋"/>
          <w:color w:val="auto"/>
          <w:highlight w:val="none"/>
        </w:rPr>
        <w:t>发现</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存在歧义、重大缺陷导致</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工作无法进行，或者</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内容违反国家有关强制性规定的，将停止</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工作，并与采购人、采购机构沟通并作书面记录。采购人、采购机构确认后，将修改</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，重新组织采购活动。</w:t>
      </w:r>
      <w:bookmarkEnd w:id="426"/>
    </w:p>
    <w:bookmarkEnd w:id="424"/>
    <w:p>
      <w:pPr>
        <w:pStyle w:val="24"/>
        <w:snapToGrid w:val="0"/>
        <w:spacing w:line="360" w:lineRule="auto"/>
        <w:ind w:firstLine="0" w:firstLineChars="0"/>
        <w:rPr>
          <w:rFonts w:hint="eastAsia" w:ascii="仿宋" w:hAnsi="仿宋" w:eastAsia="仿宋" w:cs="仿宋"/>
          <w:color w:val="auto"/>
          <w:highlight w:val="none"/>
        </w:rPr>
      </w:pPr>
    </w:p>
    <w:bookmarkEnd w:id="53"/>
    <w:p>
      <w:pPr>
        <w:pStyle w:val="4"/>
        <w:jc w:val="center"/>
        <w:rPr>
          <w:rFonts w:hint="eastAsia" w:ascii="仿宋" w:eastAsia="仿宋" w:cs="仿宋"/>
          <w:color w:val="auto"/>
          <w:highlight w:val="none"/>
          <w:lang w:eastAsia="zh-CN"/>
        </w:rPr>
      </w:pPr>
      <w:bookmarkStart w:id="448" w:name="第五部分"/>
      <w:bookmarkStart w:id="449" w:name="_Toc86217003"/>
      <w:r>
        <w:rPr>
          <w:rFonts w:hint="eastAsia" w:ascii="仿宋" w:eastAsia="仿宋" w:cs="仿宋"/>
          <w:color w:val="auto"/>
          <w:highlight w:val="none"/>
          <w:lang w:eastAsia="zh-CN"/>
        </w:rPr>
        <w:br w:type="page"/>
      </w:r>
      <w:bookmarkStart w:id="450" w:name="_Toc9682"/>
      <w:r>
        <w:rPr>
          <w:rFonts w:hint="eastAsia" w:ascii="仿宋" w:eastAsia="仿宋" w:cs="仿宋"/>
          <w:color w:val="auto"/>
          <w:highlight w:val="none"/>
          <w:lang w:eastAsia="zh-CN"/>
        </w:rPr>
        <w:t>第五部分 拟签订的合同文本</w:t>
      </w:r>
      <w:bookmarkEnd w:id="450"/>
    </w:p>
    <w:p>
      <w:pPr>
        <w:spacing w:line="360" w:lineRule="auto"/>
        <w:jc w:val="center"/>
        <w:outlineLvl w:val="0"/>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rPr>
        <w:t xml:space="preserve">合同编号： </w:t>
      </w:r>
      <w:r>
        <w:rPr>
          <w:rFonts w:ascii="仿宋" w:hAnsi="仿宋" w:eastAsia="仿宋"/>
          <w:b/>
          <w:bCs/>
          <w:color w:val="auto"/>
          <w:sz w:val="32"/>
          <w:szCs w:val="32"/>
          <w:highlight w:val="none"/>
        </w:rPr>
        <w:t xml:space="preserve">                              </w:t>
      </w:r>
      <w:r>
        <w:rPr>
          <w:rFonts w:hint="eastAsia" w:ascii="仿宋" w:hAnsi="仿宋" w:eastAsia="仿宋"/>
          <w:b/>
          <w:bCs/>
          <w:color w:val="auto"/>
          <w:sz w:val="32"/>
          <w:szCs w:val="32"/>
          <w:highlight w:val="none"/>
        </w:rPr>
        <w:t>密级：</w:t>
      </w:r>
    </w:p>
    <w:p>
      <w:pPr>
        <w:spacing w:line="360" w:lineRule="auto"/>
        <w:jc w:val="center"/>
        <w:rPr>
          <w:rFonts w:hint="eastAsia"/>
          <w:color w:val="auto"/>
          <w:highlight w:val="none"/>
        </w:rPr>
      </w:pPr>
    </w:p>
    <w:p>
      <w:pPr>
        <w:spacing w:line="360" w:lineRule="auto"/>
        <w:jc w:val="center"/>
        <w:rPr>
          <w:rFonts w:hint="eastAsia"/>
          <w:color w:val="auto"/>
          <w:highlight w:val="none"/>
        </w:rPr>
      </w:pPr>
    </w:p>
    <w:p>
      <w:pPr>
        <w:spacing w:line="360" w:lineRule="auto"/>
        <w:jc w:val="center"/>
        <w:rPr>
          <w:rFonts w:hint="eastAsia"/>
          <w:color w:val="auto"/>
          <w:highlight w:val="none"/>
        </w:rPr>
      </w:pPr>
    </w:p>
    <w:p>
      <w:pPr>
        <w:spacing w:line="360" w:lineRule="auto"/>
        <w:jc w:val="center"/>
        <w:outlineLvl w:val="0"/>
        <w:rPr>
          <w:rFonts w:hint="eastAsia" w:ascii="黑体" w:hAnsi="微软雅黑" w:eastAsia="黑体"/>
          <w:b/>
          <w:color w:val="auto"/>
          <w:sz w:val="72"/>
          <w:szCs w:val="72"/>
          <w:highlight w:val="none"/>
        </w:rPr>
      </w:pPr>
      <w:r>
        <w:rPr>
          <w:rFonts w:hint="eastAsia" w:ascii="黑体" w:hAnsi="微软雅黑" w:eastAsia="黑体"/>
          <w:b/>
          <w:color w:val="auto"/>
          <w:sz w:val="72"/>
          <w:szCs w:val="72"/>
          <w:highlight w:val="none"/>
        </w:rPr>
        <w:t>温州市公安局</w:t>
      </w:r>
    </w:p>
    <w:p>
      <w:pPr>
        <w:spacing w:line="360" w:lineRule="auto"/>
        <w:jc w:val="center"/>
        <w:outlineLvl w:val="0"/>
        <w:rPr>
          <w:rFonts w:hint="eastAsia" w:ascii="黑体" w:hAnsi="微软雅黑" w:eastAsia="黑体"/>
          <w:b/>
          <w:color w:val="auto"/>
          <w:sz w:val="72"/>
          <w:szCs w:val="72"/>
          <w:highlight w:val="none"/>
        </w:rPr>
      </w:pPr>
      <w:r>
        <w:rPr>
          <w:rFonts w:hint="eastAsia" w:ascii="黑体" w:hAnsi="微软雅黑" w:eastAsia="黑体"/>
          <w:b/>
          <w:color w:val="auto"/>
          <w:sz w:val="72"/>
          <w:szCs w:val="72"/>
          <w:highlight w:val="none"/>
        </w:rPr>
        <w:t>系统及设备维护服务合同</w:t>
      </w:r>
    </w:p>
    <w:p>
      <w:pPr>
        <w:spacing w:line="360" w:lineRule="auto"/>
        <w:jc w:val="left"/>
        <w:rPr>
          <w:rFonts w:hint="eastAsia"/>
          <w:color w:val="auto"/>
          <w:highlight w:val="none"/>
        </w:rPr>
      </w:pPr>
    </w:p>
    <w:p>
      <w:pPr>
        <w:spacing w:line="360" w:lineRule="auto"/>
        <w:jc w:val="left"/>
        <w:rPr>
          <w:rFonts w:hint="eastAsia"/>
          <w:color w:val="auto"/>
          <w:highlight w:val="none"/>
        </w:rPr>
      </w:pPr>
    </w:p>
    <w:p>
      <w:pPr>
        <w:spacing w:line="360" w:lineRule="auto"/>
        <w:jc w:val="left"/>
        <w:rPr>
          <w:rFonts w:hint="eastAsia"/>
          <w:color w:val="auto"/>
          <w:highlight w:val="none"/>
        </w:rPr>
      </w:pPr>
    </w:p>
    <w:p>
      <w:pPr>
        <w:spacing w:line="360" w:lineRule="auto"/>
        <w:jc w:val="left"/>
        <w:rPr>
          <w:rFonts w:hint="eastAsia"/>
          <w:color w:val="auto"/>
          <w:highlight w:val="none"/>
        </w:rPr>
      </w:pPr>
    </w:p>
    <w:p>
      <w:pPr>
        <w:spacing w:line="360" w:lineRule="auto"/>
        <w:jc w:val="left"/>
        <w:rPr>
          <w:rFonts w:hint="eastAsia"/>
          <w:color w:val="auto"/>
          <w:highlight w:val="none"/>
        </w:rPr>
      </w:pPr>
    </w:p>
    <w:p>
      <w:pPr>
        <w:spacing w:line="360" w:lineRule="auto"/>
        <w:jc w:val="left"/>
        <w:rPr>
          <w:rFonts w:hint="eastAsia"/>
          <w:color w:val="auto"/>
          <w:highlight w:val="none"/>
        </w:rPr>
      </w:pPr>
    </w:p>
    <w:p>
      <w:pPr>
        <w:ind w:firstLine="420"/>
        <w:outlineLvl w:val="0"/>
        <w:rPr>
          <w:rFonts w:hint="eastAsia" w:ascii="黑体" w:hAnsi="黑体" w:eastAsia="黑体"/>
          <w:b/>
          <w:bCs/>
          <w:color w:val="auto"/>
          <w:sz w:val="36"/>
          <w:szCs w:val="36"/>
          <w:highlight w:val="none"/>
        </w:rPr>
      </w:pPr>
      <w:r>
        <w:rPr>
          <w:rFonts w:hint="eastAsia" w:ascii="黑体" w:hAnsi="黑体" w:eastAsia="黑体"/>
          <w:b/>
          <w:bCs/>
          <w:color w:val="auto"/>
          <w:sz w:val="36"/>
          <w:szCs w:val="36"/>
          <w:highlight w:val="none"/>
        </w:rPr>
        <w:t>项目名称：</w:t>
      </w:r>
      <w:r>
        <w:rPr>
          <w:rFonts w:hint="eastAsia" w:ascii="黑体" w:hAnsi="黑体" w:eastAsia="黑体"/>
          <w:color w:val="auto"/>
          <w:sz w:val="36"/>
          <w:szCs w:val="36"/>
          <w:highlight w:val="none"/>
          <w:u w:val="single"/>
        </w:rPr>
        <w:t xml:space="preserve">                                    </w:t>
      </w:r>
    </w:p>
    <w:p>
      <w:pPr>
        <w:ind w:firstLine="420"/>
        <w:outlineLvl w:val="0"/>
        <w:rPr>
          <w:rFonts w:hint="eastAsia" w:ascii="黑体" w:hAnsi="黑体" w:eastAsia="黑体"/>
          <w:color w:val="auto"/>
          <w:sz w:val="36"/>
          <w:szCs w:val="36"/>
          <w:highlight w:val="none"/>
          <w:u w:val="single"/>
        </w:rPr>
      </w:pPr>
      <w:r>
        <w:rPr>
          <w:rFonts w:hint="eastAsia" w:ascii="黑体" w:hAnsi="黑体" w:eastAsia="黑体"/>
          <w:b/>
          <w:bCs/>
          <w:color w:val="auto"/>
          <w:sz w:val="36"/>
          <w:szCs w:val="36"/>
          <w:highlight w:val="none"/>
        </w:rPr>
        <w:t>委托方（甲方）：</w:t>
      </w:r>
      <w:r>
        <w:rPr>
          <w:rFonts w:hint="eastAsia" w:ascii="黑体" w:hAnsi="黑体" w:eastAsia="黑体"/>
          <w:color w:val="auto"/>
          <w:sz w:val="36"/>
          <w:szCs w:val="36"/>
          <w:highlight w:val="none"/>
          <w:u w:val="single"/>
        </w:rPr>
        <w:t xml:space="preserve">                                 </w:t>
      </w:r>
    </w:p>
    <w:p>
      <w:pPr>
        <w:ind w:firstLine="420"/>
        <w:outlineLvl w:val="0"/>
        <w:rPr>
          <w:rFonts w:hint="eastAsia" w:ascii="黑体" w:hAnsi="黑体" w:eastAsia="黑体"/>
          <w:color w:val="auto"/>
          <w:sz w:val="36"/>
          <w:szCs w:val="36"/>
          <w:highlight w:val="none"/>
          <w:u w:val="single"/>
        </w:rPr>
      </w:pPr>
      <w:r>
        <w:rPr>
          <w:rFonts w:hint="eastAsia" w:ascii="黑体" w:hAnsi="黑体" w:eastAsia="黑体"/>
          <w:b/>
          <w:bCs/>
          <w:color w:val="auto"/>
          <w:sz w:val="36"/>
          <w:szCs w:val="36"/>
          <w:highlight w:val="none"/>
        </w:rPr>
        <w:t>受托方（乙方）：</w:t>
      </w:r>
      <w:r>
        <w:rPr>
          <w:rFonts w:hint="eastAsia" w:ascii="黑体" w:hAnsi="黑体" w:eastAsia="黑体"/>
          <w:color w:val="auto"/>
          <w:sz w:val="36"/>
          <w:szCs w:val="36"/>
          <w:highlight w:val="none"/>
          <w:u w:val="single"/>
        </w:rPr>
        <w:t xml:space="preserve">                                 </w:t>
      </w:r>
    </w:p>
    <w:p>
      <w:pPr>
        <w:ind w:firstLine="420"/>
        <w:outlineLvl w:val="0"/>
        <w:rPr>
          <w:rFonts w:hint="eastAsia" w:ascii="黑体" w:hAnsi="黑体" w:eastAsia="黑体"/>
          <w:color w:val="auto"/>
          <w:sz w:val="36"/>
          <w:szCs w:val="36"/>
          <w:highlight w:val="none"/>
          <w:u w:val="single"/>
        </w:rPr>
      </w:pPr>
      <w:r>
        <w:rPr>
          <w:rFonts w:hint="eastAsia" w:ascii="黑体" w:hAnsi="黑体" w:eastAsia="黑体"/>
          <w:b/>
          <w:bCs/>
          <w:color w:val="auto"/>
          <w:sz w:val="36"/>
          <w:szCs w:val="36"/>
          <w:highlight w:val="none"/>
        </w:rPr>
        <w:t>签订时间：</w:t>
      </w:r>
      <w:r>
        <w:rPr>
          <w:rFonts w:hint="eastAsia" w:ascii="黑体" w:hAnsi="黑体" w:eastAsia="黑体"/>
          <w:color w:val="auto"/>
          <w:sz w:val="36"/>
          <w:szCs w:val="36"/>
          <w:highlight w:val="none"/>
          <w:u w:val="single"/>
        </w:rPr>
        <w:t xml:space="preserve">                   年       月        </w:t>
      </w:r>
    </w:p>
    <w:p>
      <w:pPr>
        <w:ind w:firstLine="420"/>
        <w:outlineLvl w:val="0"/>
        <w:rPr>
          <w:rFonts w:hint="eastAsia" w:ascii="黑体" w:hAnsi="黑体" w:eastAsia="黑体"/>
          <w:color w:val="auto"/>
          <w:sz w:val="36"/>
          <w:szCs w:val="36"/>
          <w:highlight w:val="none"/>
          <w:u w:val="single"/>
        </w:rPr>
      </w:pPr>
      <w:r>
        <w:rPr>
          <w:rFonts w:hint="eastAsia" w:ascii="黑体" w:hAnsi="黑体" w:eastAsia="黑体"/>
          <w:b/>
          <w:bCs/>
          <w:color w:val="auto"/>
          <w:sz w:val="36"/>
          <w:szCs w:val="36"/>
          <w:highlight w:val="none"/>
        </w:rPr>
        <w:t>签订地点：</w:t>
      </w:r>
      <w:r>
        <w:rPr>
          <w:rFonts w:hint="eastAsia" w:ascii="黑体" w:hAnsi="黑体" w:eastAsia="黑体"/>
          <w:color w:val="auto"/>
          <w:sz w:val="36"/>
          <w:szCs w:val="36"/>
          <w:highlight w:val="none"/>
          <w:u w:val="single"/>
        </w:rPr>
        <w:t xml:space="preserve">          </w:t>
      </w:r>
      <w:r>
        <w:rPr>
          <w:rFonts w:hint="eastAsia" w:ascii="黑体" w:hAnsi="黑体" w:eastAsia="黑体" w:cs="宋体"/>
          <w:color w:val="auto"/>
          <w:kern w:val="0"/>
          <w:sz w:val="36"/>
          <w:szCs w:val="36"/>
          <w:highlight w:val="none"/>
          <w:u w:val="single"/>
        </w:rPr>
        <w:t>温州市鹿城区</w:t>
      </w:r>
      <w:r>
        <w:rPr>
          <w:rFonts w:hint="eastAsia" w:ascii="黑体" w:hAnsi="黑体" w:eastAsia="黑体"/>
          <w:color w:val="auto"/>
          <w:sz w:val="36"/>
          <w:szCs w:val="36"/>
          <w:highlight w:val="none"/>
          <w:u w:val="single"/>
        </w:rPr>
        <w:t xml:space="preserve">             </w:t>
      </w:r>
      <w:r>
        <w:rPr>
          <w:rFonts w:ascii="黑体" w:hAnsi="黑体" w:eastAsia="黑体"/>
          <w:color w:val="auto"/>
          <w:sz w:val="36"/>
          <w:szCs w:val="36"/>
          <w:highlight w:val="none"/>
          <w:u w:val="single"/>
        </w:rPr>
        <w:t xml:space="preserve"> </w:t>
      </w:r>
    </w:p>
    <w:p>
      <w:pPr>
        <w:ind w:firstLine="420"/>
        <w:outlineLvl w:val="0"/>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有效期限：</w:t>
      </w:r>
      <w:r>
        <w:rPr>
          <w:rFonts w:hint="eastAsia" w:ascii="黑体" w:hAnsi="黑体" w:eastAsia="黑体"/>
          <w:color w:val="auto"/>
          <w:sz w:val="36"/>
          <w:szCs w:val="36"/>
          <w:highlight w:val="none"/>
          <w:u w:val="single"/>
        </w:rPr>
        <w:t xml:space="preserve">                                      </w:t>
      </w:r>
    </w:p>
    <w:p>
      <w:pPr>
        <w:spacing w:line="360" w:lineRule="auto"/>
        <w:ind w:firstLine="1800" w:firstLineChars="500"/>
        <w:rPr>
          <w:rFonts w:hint="eastAsia" w:ascii="黑体" w:hAnsi="黑体" w:eastAsia="黑体"/>
          <w:color w:val="auto"/>
          <w:sz w:val="36"/>
          <w:szCs w:val="36"/>
          <w:highlight w:val="none"/>
        </w:rPr>
      </w:pPr>
    </w:p>
    <w:p>
      <w:pPr>
        <w:spacing w:line="360" w:lineRule="auto"/>
        <w:ind w:firstLine="1200" w:firstLineChars="500"/>
        <w:rPr>
          <w:rFonts w:hint="eastAsia" w:ascii="宋体" w:hAnsi="宋体"/>
          <w:color w:val="auto"/>
          <w:sz w:val="24"/>
          <w:highlight w:val="none"/>
        </w:rPr>
      </w:pPr>
    </w:p>
    <w:p>
      <w:pPr>
        <w:spacing w:line="360" w:lineRule="auto"/>
        <w:ind w:firstLine="1200" w:firstLineChars="500"/>
        <w:rPr>
          <w:rFonts w:hint="eastAsia" w:ascii="宋体" w:hAnsi="宋体"/>
          <w:color w:val="auto"/>
          <w:sz w:val="24"/>
          <w:highlight w:val="none"/>
        </w:rPr>
      </w:pPr>
    </w:p>
    <w:p>
      <w:pPr>
        <w:spacing w:line="360" w:lineRule="auto"/>
        <w:ind w:firstLine="1200" w:firstLineChars="500"/>
        <w:rPr>
          <w:rFonts w:hint="eastAsia" w:ascii="宋体" w:hAnsi="宋体"/>
          <w:color w:val="auto"/>
          <w:sz w:val="24"/>
          <w:highlight w:val="none"/>
        </w:rPr>
      </w:pPr>
    </w:p>
    <w:p>
      <w:pPr>
        <w:spacing w:line="360" w:lineRule="auto"/>
        <w:ind w:firstLine="1200" w:firstLineChars="500"/>
        <w:rPr>
          <w:rFonts w:hint="eastAsia" w:ascii="宋体" w:hAnsi="宋体"/>
          <w:color w:val="auto"/>
          <w:sz w:val="24"/>
          <w:highlight w:val="none"/>
        </w:rPr>
      </w:pPr>
    </w:p>
    <w:p>
      <w:pPr>
        <w:spacing w:line="360" w:lineRule="auto"/>
        <w:ind w:firstLine="1200" w:firstLineChars="500"/>
        <w:rPr>
          <w:rFonts w:hint="eastAsia" w:ascii="宋体" w:hAnsi="宋体"/>
          <w:color w:val="auto"/>
          <w:sz w:val="24"/>
          <w:highlight w:val="none"/>
        </w:rPr>
      </w:pPr>
    </w:p>
    <w:p>
      <w:pPr>
        <w:spacing w:line="360" w:lineRule="auto"/>
        <w:ind w:firstLine="1200" w:firstLineChars="500"/>
        <w:rPr>
          <w:rFonts w:hint="eastAsia" w:ascii="宋体" w:hAnsi="宋体"/>
          <w:color w:val="auto"/>
          <w:sz w:val="24"/>
          <w:highlight w:val="none"/>
        </w:rPr>
      </w:pPr>
    </w:p>
    <w:p>
      <w:pPr>
        <w:spacing w:line="360" w:lineRule="auto"/>
        <w:ind w:firstLine="1200" w:firstLineChars="500"/>
        <w:rPr>
          <w:rFonts w:hint="eastAsia" w:ascii="宋体" w:hAnsi="宋体"/>
          <w:color w:val="auto"/>
          <w:sz w:val="24"/>
          <w:highlight w:val="none"/>
        </w:rPr>
      </w:pPr>
    </w:p>
    <w:p>
      <w:pPr>
        <w:ind w:firstLine="708" w:firstLineChars="196"/>
        <w:jc w:val="center"/>
        <w:rPr>
          <w:rFonts w:hint="eastAsia" w:ascii="黑体" w:hAnsi="宋体" w:eastAsia="黑体"/>
          <w:b/>
          <w:color w:val="auto"/>
          <w:sz w:val="36"/>
          <w:szCs w:val="36"/>
          <w:highlight w:val="none"/>
        </w:rPr>
      </w:pPr>
    </w:p>
    <w:p>
      <w:pPr>
        <w:ind w:firstLine="708" w:firstLineChars="196"/>
        <w:jc w:val="center"/>
        <w:outlineLvl w:val="1"/>
        <w:rPr>
          <w:rFonts w:hint="eastAsia" w:ascii="黑体" w:hAnsi="宋体" w:eastAsia="黑体"/>
          <w:b/>
          <w:color w:val="auto"/>
          <w:sz w:val="36"/>
          <w:szCs w:val="36"/>
          <w:highlight w:val="none"/>
        </w:rPr>
      </w:pPr>
      <w:r>
        <w:rPr>
          <w:rFonts w:hint="eastAsia" w:ascii="黑体" w:hAnsi="宋体" w:eastAsia="黑体"/>
          <w:b/>
          <w:color w:val="auto"/>
          <w:sz w:val="36"/>
          <w:szCs w:val="36"/>
          <w:highlight w:val="none"/>
        </w:rPr>
        <w:t>使用说明</w:t>
      </w:r>
    </w:p>
    <w:p>
      <w:pPr>
        <w:ind w:firstLine="708" w:firstLineChars="196"/>
        <w:jc w:val="center"/>
        <w:rPr>
          <w:rFonts w:hint="eastAsia" w:ascii="黑体" w:hAnsi="宋体" w:eastAsia="黑体"/>
          <w:b/>
          <w:color w:val="auto"/>
          <w:sz w:val="36"/>
          <w:szCs w:val="36"/>
          <w:highlight w:val="none"/>
        </w:rPr>
      </w:pPr>
    </w:p>
    <w:p>
      <w:pPr>
        <w:ind w:firstLine="588" w:firstLineChars="196"/>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第一，本《合同》供温州市公安局市本级科技项目运行维护项目外包服务合同双方参照使用，各区县公安局运行维护项目外包服务合同双方可参照使用；</w:t>
      </w:r>
    </w:p>
    <w:p>
      <w:pPr>
        <w:ind w:firstLine="588" w:firstLineChars="196"/>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第二，有关空格的数字、百分比及内容，由合同双方根据实际情况填写，双方也可根据实际需要，对有关条款进行修改、增补或者删减；</w:t>
      </w:r>
    </w:p>
    <w:p>
      <w:pPr>
        <w:ind w:firstLine="588" w:firstLineChars="196"/>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第三，在使用本《合同》时应当结合具体情况正确选择文本中所提供的相关内容；</w:t>
      </w:r>
    </w:p>
    <w:p>
      <w:pPr>
        <w:ind w:firstLine="588" w:firstLineChars="196"/>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第四，应当注意保持合同的完整性，在正文中不能表述清楚的内容可以附件的形式进行表述；</w:t>
      </w:r>
    </w:p>
    <w:p>
      <w:pPr>
        <w:ind w:firstLine="588" w:firstLineChars="196"/>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第五，在订立重大的或者内容复杂的合同时，应当向法律专家咨询。</w:t>
      </w:r>
    </w:p>
    <w:p>
      <w:pPr>
        <w:ind w:firstLine="708" w:firstLineChars="196"/>
        <w:jc w:val="center"/>
        <w:rPr>
          <w:rFonts w:hint="eastAsia" w:ascii="黑体" w:hAnsi="宋体" w:eastAsia="黑体"/>
          <w:b/>
          <w:color w:val="auto"/>
          <w:sz w:val="36"/>
          <w:szCs w:val="36"/>
          <w:highlight w:val="none"/>
        </w:rPr>
      </w:pPr>
    </w:p>
    <w:p>
      <w:pPr>
        <w:ind w:firstLine="708" w:firstLineChars="196"/>
        <w:jc w:val="center"/>
        <w:rPr>
          <w:rFonts w:hint="eastAsia" w:ascii="黑体" w:hAnsi="宋体" w:eastAsia="黑体"/>
          <w:b/>
          <w:color w:val="auto"/>
          <w:sz w:val="36"/>
          <w:szCs w:val="36"/>
          <w:highlight w:val="none"/>
        </w:rPr>
      </w:pPr>
    </w:p>
    <w:p>
      <w:pPr>
        <w:ind w:firstLine="708" w:firstLineChars="196"/>
        <w:jc w:val="center"/>
        <w:rPr>
          <w:rFonts w:hint="eastAsia" w:ascii="黑体" w:hAnsi="宋体" w:eastAsia="黑体"/>
          <w:b/>
          <w:color w:val="auto"/>
          <w:sz w:val="36"/>
          <w:szCs w:val="36"/>
          <w:highlight w:val="none"/>
        </w:rPr>
      </w:pPr>
    </w:p>
    <w:p>
      <w:pPr>
        <w:ind w:firstLine="708" w:firstLineChars="196"/>
        <w:jc w:val="center"/>
        <w:rPr>
          <w:rFonts w:hint="eastAsia" w:ascii="黑体" w:hAnsi="宋体" w:eastAsia="黑体"/>
          <w:b/>
          <w:color w:val="auto"/>
          <w:sz w:val="36"/>
          <w:szCs w:val="36"/>
          <w:highlight w:val="none"/>
        </w:rPr>
      </w:pPr>
    </w:p>
    <w:p>
      <w:pPr>
        <w:ind w:firstLine="708" w:firstLineChars="196"/>
        <w:jc w:val="center"/>
        <w:rPr>
          <w:rFonts w:hint="eastAsia" w:ascii="黑体" w:hAnsi="宋体" w:eastAsia="黑体"/>
          <w:b/>
          <w:color w:val="auto"/>
          <w:sz w:val="36"/>
          <w:szCs w:val="36"/>
          <w:highlight w:val="none"/>
        </w:rPr>
      </w:pPr>
    </w:p>
    <w:p>
      <w:pPr>
        <w:ind w:firstLine="708" w:firstLineChars="196"/>
        <w:jc w:val="center"/>
        <w:rPr>
          <w:rFonts w:hint="eastAsia" w:ascii="黑体" w:hAnsi="宋体" w:eastAsia="黑体"/>
          <w:b/>
          <w:color w:val="auto"/>
          <w:sz w:val="36"/>
          <w:szCs w:val="36"/>
          <w:highlight w:val="none"/>
        </w:rPr>
      </w:pPr>
    </w:p>
    <w:p>
      <w:pPr>
        <w:ind w:firstLine="708" w:firstLineChars="196"/>
        <w:jc w:val="center"/>
        <w:rPr>
          <w:rFonts w:hint="eastAsia" w:ascii="黑体" w:hAnsi="宋体" w:eastAsia="黑体"/>
          <w:b/>
          <w:color w:val="auto"/>
          <w:sz w:val="36"/>
          <w:szCs w:val="36"/>
          <w:highlight w:val="none"/>
        </w:rPr>
      </w:pPr>
    </w:p>
    <w:p>
      <w:pPr>
        <w:ind w:firstLine="708" w:firstLineChars="196"/>
        <w:jc w:val="center"/>
        <w:rPr>
          <w:rFonts w:ascii="黑体" w:hAnsi="宋体" w:eastAsia="黑体"/>
          <w:b/>
          <w:color w:val="auto"/>
          <w:sz w:val="36"/>
          <w:szCs w:val="36"/>
          <w:highlight w:val="none"/>
        </w:rPr>
      </w:pPr>
    </w:p>
    <w:p>
      <w:pPr>
        <w:pStyle w:val="2"/>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Style w:val="2"/>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Style w:val="2"/>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Style w:val="2"/>
        <w:rPr>
          <w:color w:val="auto"/>
          <w:highlight w:val="none"/>
        </w:rPr>
      </w:pPr>
    </w:p>
    <w:p>
      <w:pPr>
        <w:rPr>
          <w:rFonts w:hint="eastAsia" w:ascii="黑体" w:hAnsi="宋体" w:eastAsia="黑体"/>
          <w:b/>
          <w:color w:val="auto"/>
          <w:sz w:val="36"/>
          <w:szCs w:val="36"/>
          <w:highlight w:val="none"/>
        </w:rPr>
      </w:pPr>
    </w:p>
    <w:p>
      <w:pPr>
        <w:ind w:firstLine="590" w:firstLineChars="196"/>
        <w:jc w:val="center"/>
        <w:outlineLvl w:val="1"/>
        <w:rPr>
          <w:rFonts w:hint="eastAsia" w:ascii="黑体" w:hAnsi="黑体" w:eastAsia="黑体"/>
          <w:b/>
          <w:color w:val="auto"/>
          <w:sz w:val="30"/>
          <w:szCs w:val="30"/>
          <w:highlight w:val="none"/>
        </w:rPr>
      </w:pPr>
      <w:r>
        <w:rPr>
          <w:rFonts w:hint="eastAsia" w:ascii="黑体" w:hAnsi="黑体" w:eastAsia="黑体"/>
          <w:b/>
          <w:color w:val="auto"/>
          <w:sz w:val="30"/>
          <w:szCs w:val="30"/>
          <w:highlight w:val="none"/>
        </w:rPr>
        <w:t>目   录</w:t>
      </w:r>
    </w:p>
    <w:p>
      <w:pPr>
        <w:ind w:firstLine="590" w:firstLineChars="196"/>
        <w:jc w:val="center"/>
        <w:rPr>
          <w:rFonts w:hint="eastAsia" w:ascii="仿宋_GB2312" w:eastAsia="仿宋_GB2312"/>
          <w:b/>
          <w:color w:val="auto"/>
          <w:sz w:val="30"/>
          <w:szCs w:val="30"/>
          <w:highlight w:val="none"/>
        </w:rPr>
      </w:pP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运维目标、服务内容、范围与技术要求</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服务期限与服务地点</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维护确认与验收</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价格与付款方式</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义务与责任</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所有权、知识产权和使用权</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保密与竞争限制</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服务变更</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不可抗力</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违约责任</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争议解决</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项目合同附件清单</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合同的生效</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其他</w:t>
      </w:r>
    </w:p>
    <w:p>
      <w:pPr>
        <w:numPr>
          <w:ilvl w:val="0"/>
          <w:numId w:val="6"/>
        </w:numPr>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项目合同签章</w:t>
      </w:r>
    </w:p>
    <w:p>
      <w:pPr>
        <w:rPr>
          <w:rFonts w:hint="eastAsia" w:ascii="黑体" w:hAnsi="黑体" w:eastAsia="黑体"/>
          <w:color w:val="auto"/>
          <w:sz w:val="30"/>
          <w:szCs w:val="30"/>
          <w:highlight w:val="none"/>
        </w:rPr>
      </w:pPr>
    </w:p>
    <w:p>
      <w:pPr>
        <w:rPr>
          <w:rFonts w:hint="eastAsia" w:ascii="仿宋_GB2312" w:hAnsi="宋体" w:eastAsia="仿宋_GB2312"/>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before="312" w:beforeLines="100" w:after="312" w:afterLines="100"/>
        <w:ind w:firstLine="708" w:firstLineChars="196"/>
        <w:jc w:val="center"/>
        <w:outlineLvl w:val="1"/>
        <w:rPr>
          <w:rFonts w:ascii="黑体" w:hAnsi="微软雅黑" w:eastAsia="黑体"/>
          <w:b/>
          <w:color w:val="auto"/>
          <w:sz w:val="36"/>
          <w:szCs w:val="36"/>
          <w:highlight w:val="none"/>
        </w:rPr>
      </w:pPr>
    </w:p>
    <w:p>
      <w:pPr>
        <w:pStyle w:val="2"/>
        <w:rPr>
          <w:rFonts w:ascii="黑体" w:hAnsi="微软雅黑" w:eastAsia="黑体"/>
          <w:b/>
          <w:color w:val="auto"/>
          <w:sz w:val="36"/>
          <w:szCs w:val="36"/>
          <w:highlight w:val="none"/>
        </w:rPr>
      </w:pPr>
    </w:p>
    <w:p>
      <w:pPr>
        <w:rPr>
          <w:rFonts w:ascii="黑体" w:hAnsi="微软雅黑" w:eastAsia="黑体"/>
          <w:b/>
          <w:color w:val="auto"/>
          <w:sz w:val="36"/>
          <w:szCs w:val="36"/>
          <w:highlight w:val="none"/>
        </w:rPr>
      </w:pPr>
    </w:p>
    <w:p>
      <w:pPr>
        <w:pStyle w:val="2"/>
        <w:rPr>
          <w:rFonts w:ascii="黑体" w:hAnsi="微软雅黑" w:eastAsia="黑体"/>
          <w:b/>
          <w:color w:val="auto"/>
          <w:sz w:val="36"/>
          <w:szCs w:val="36"/>
          <w:highlight w:val="none"/>
        </w:rPr>
      </w:pPr>
    </w:p>
    <w:p>
      <w:pPr>
        <w:rPr>
          <w:rFonts w:ascii="黑体" w:hAnsi="微软雅黑" w:eastAsia="黑体"/>
          <w:b/>
          <w:color w:val="auto"/>
          <w:sz w:val="36"/>
          <w:szCs w:val="36"/>
          <w:highlight w:val="none"/>
        </w:rPr>
      </w:pPr>
    </w:p>
    <w:p>
      <w:pPr>
        <w:pStyle w:val="2"/>
        <w:rPr>
          <w:rFonts w:ascii="黑体" w:hAnsi="微软雅黑" w:eastAsia="黑体"/>
          <w:b/>
          <w:color w:val="auto"/>
          <w:sz w:val="36"/>
          <w:szCs w:val="36"/>
          <w:highlight w:val="none"/>
        </w:rPr>
      </w:pPr>
    </w:p>
    <w:p>
      <w:pPr>
        <w:rPr>
          <w:rFonts w:ascii="黑体" w:hAnsi="微软雅黑" w:eastAsia="黑体"/>
          <w:b/>
          <w:color w:val="auto"/>
          <w:sz w:val="36"/>
          <w:szCs w:val="36"/>
          <w:highlight w:val="none"/>
        </w:rPr>
      </w:pPr>
    </w:p>
    <w:p>
      <w:pPr>
        <w:pStyle w:val="2"/>
        <w:rPr>
          <w:color w:val="auto"/>
          <w:highlight w:val="none"/>
        </w:rPr>
      </w:pPr>
    </w:p>
    <w:p>
      <w:pPr>
        <w:spacing w:before="312" w:beforeLines="100" w:after="312" w:afterLines="100"/>
        <w:ind w:firstLine="708" w:firstLineChars="196"/>
        <w:jc w:val="center"/>
        <w:outlineLvl w:val="1"/>
        <w:rPr>
          <w:rFonts w:ascii="黑体" w:hAnsi="宋体" w:eastAsia="黑体"/>
          <w:b/>
          <w:color w:val="auto"/>
          <w:sz w:val="36"/>
          <w:szCs w:val="36"/>
          <w:highlight w:val="none"/>
        </w:rPr>
      </w:pPr>
      <w:r>
        <w:rPr>
          <w:rFonts w:hint="eastAsia" w:ascii="黑体" w:hAnsi="微软雅黑" w:eastAsia="黑体"/>
          <w:b/>
          <w:color w:val="auto"/>
          <w:sz w:val="36"/>
          <w:szCs w:val="36"/>
          <w:highlight w:val="none"/>
        </w:rPr>
        <w:t>系统及</w:t>
      </w:r>
      <w:r>
        <w:rPr>
          <w:rFonts w:hint="eastAsia" w:ascii="黑体" w:hAnsi="宋体" w:eastAsia="黑体"/>
          <w:b/>
          <w:color w:val="auto"/>
          <w:sz w:val="36"/>
          <w:szCs w:val="36"/>
          <w:highlight w:val="none"/>
        </w:rPr>
        <w:t>设备维护服务合同</w:t>
      </w:r>
    </w:p>
    <w:p>
      <w:pPr>
        <w:spacing w:line="460" w:lineRule="exact"/>
        <w:ind w:firstLine="56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本合同甲方委托乙方就</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项目进行技术支持维护服务，并支付相应的技术服务报酬。双方经过平等协商，在真实、充分地表达各自意愿的基础上，根据《中华人民共和国民法典》、</w:t>
      </w:r>
      <w:r>
        <w:rPr>
          <w:rFonts w:hint="eastAsia" w:ascii="新宋体" w:hAnsi="新宋体" w:eastAsia="新宋体" w:cs="仿宋_GB2312"/>
          <w:color w:val="auto"/>
          <w:kern w:val="0"/>
          <w:sz w:val="22"/>
          <w:szCs w:val="22"/>
          <w:highlight w:val="none"/>
        </w:rPr>
        <w:t>《中华人民共和国政府采购法》等法律法规和本合同的招标文件、投标文件及其投标中的承诺，经双方协商，同意按下述条款和条件签订本合同，共同遵守。</w:t>
      </w:r>
    </w:p>
    <w:p>
      <w:pPr>
        <w:spacing w:line="460" w:lineRule="exact"/>
        <w:ind w:firstLine="442" w:firstLineChars="200"/>
        <w:outlineLvl w:val="0"/>
        <w:rPr>
          <w:rFonts w:ascii="新宋体" w:hAnsi="新宋体" w:eastAsia="新宋体"/>
          <w:b/>
          <w:bCs/>
          <w:color w:val="auto"/>
          <w:sz w:val="22"/>
          <w:szCs w:val="22"/>
          <w:highlight w:val="none"/>
        </w:rPr>
      </w:pPr>
      <w:bookmarkStart w:id="451" w:name="_Toc150225169"/>
      <w:bookmarkStart w:id="452" w:name="_Toc150068528"/>
      <w:r>
        <w:rPr>
          <w:rFonts w:hint="eastAsia" w:ascii="新宋体" w:hAnsi="新宋体" w:eastAsia="新宋体"/>
          <w:b/>
          <w:bCs/>
          <w:color w:val="auto"/>
          <w:sz w:val="22"/>
          <w:szCs w:val="22"/>
          <w:highlight w:val="none"/>
        </w:rPr>
        <w:t>一、</w:t>
      </w:r>
      <w:bookmarkEnd w:id="451"/>
      <w:bookmarkEnd w:id="452"/>
      <w:bookmarkStart w:id="453" w:name="_Hlk77003170"/>
      <w:bookmarkStart w:id="454" w:name="_Toc150225174"/>
      <w:bookmarkStart w:id="455" w:name="_Toc150068533"/>
      <w:r>
        <w:rPr>
          <w:rFonts w:hint="eastAsia" w:ascii="新宋体" w:hAnsi="新宋体" w:eastAsia="新宋体"/>
          <w:b/>
          <w:bCs/>
          <w:color w:val="auto"/>
          <w:sz w:val="22"/>
          <w:szCs w:val="22"/>
          <w:highlight w:val="none"/>
        </w:rPr>
        <w:t>运维目标、服务内容、范围与技术要求</w:t>
      </w:r>
      <w:bookmarkEnd w:id="453"/>
    </w:p>
    <w:p>
      <w:pPr>
        <w:spacing w:line="460" w:lineRule="exact"/>
        <w:ind w:firstLine="431" w:firstLineChars="19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（一）</w:t>
      </w:r>
    </w:p>
    <w:p>
      <w:pPr>
        <w:spacing w:line="460" w:lineRule="exact"/>
        <w:ind w:firstLine="431" w:firstLineChars="19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（二）</w:t>
      </w:r>
    </w:p>
    <w:p>
      <w:pPr>
        <w:spacing w:line="460" w:lineRule="exact"/>
        <w:ind w:firstLine="431" w:firstLineChars="19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（三）</w:t>
      </w:r>
    </w:p>
    <w:p>
      <w:pPr>
        <w:spacing w:line="460" w:lineRule="exact"/>
        <w:ind w:firstLine="431" w:firstLineChars="19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（四）</w:t>
      </w:r>
    </w:p>
    <w:p>
      <w:pPr>
        <w:spacing w:line="460" w:lineRule="exact"/>
        <w:rPr>
          <w:rFonts w:hint="eastAsia" w:ascii="新宋体" w:hAnsi="新宋体" w:eastAsia="新宋体"/>
          <w:b/>
          <w:bCs/>
          <w:color w:val="auto"/>
          <w:sz w:val="22"/>
          <w:szCs w:val="22"/>
          <w:highlight w:val="none"/>
        </w:rPr>
      </w:pPr>
    </w:p>
    <w:p>
      <w:pPr>
        <w:spacing w:line="460" w:lineRule="exact"/>
        <w:ind w:firstLine="433" w:firstLineChars="196"/>
        <w:outlineLvl w:val="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二、服务期限</w:t>
      </w:r>
      <w:bookmarkEnd w:id="454"/>
      <w:bookmarkEnd w:id="455"/>
      <w:r>
        <w:rPr>
          <w:rFonts w:hint="eastAsia" w:ascii="新宋体" w:hAnsi="新宋体" w:eastAsia="新宋体"/>
          <w:b/>
          <w:bCs/>
          <w:color w:val="auto"/>
          <w:sz w:val="22"/>
          <w:szCs w:val="22"/>
          <w:highlight w:val="none"/>
        </w:rPr>
        <w:t>与服务地点</w:t>
      </w:r>
    </w:p>
    <w:p>
      <w:pPr>
        <w:spacing w:line="460" w:lineRule="exact"/>
        <w:ind w:firstLine="440" w:firstLineChars="200"/>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（一）服务期限</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本合同约定的维护服务期从</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年</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月</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日（含）起,至</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年</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月</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日止。</w:t>
      </w:r>
    </w:p>
    <w:p>
      <w:pPr>
        <w:spacing w:line="460" w:lineRule="exact"/>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 xml:space="preserve">    （二）服务地点</w:t>
      </w:r>
    </w:p>
    <w:p>
      <w:pPr>
        <w:spacing w:line="460" w:lineRule="exact"/>
        <w:ind w:firstLine="57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本合同约定的维护服务地点为：</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w:t>
      </w:r>
    </w:p>
    <w:p>
      <w:pPr>
        <w:spacing w:line="460" w:lineRule="exact"/>
        <w:ind w:firstLine="433" w:firstLineChars="196"/>
        <w:outlineLvl w:val="0"/>
        <w:rPr>
          <w:rFonts w:hint="eastAsia" w:ascii="新宋体" w:hAnsi="新宋体" w:eastAsia="新宋体"/>
          <w:b/>
          <w:bCs/>
          <w:color w:val="auto"/>
          <w:sz w:val="22"/>
          <w:szCs w:val="22"/>
          <w:highlight w:val="none"/>
        </w:rPr>
      </w:pPr>
      <w:bookmarkStart w:id="456" w:name="_Toc150225176"/>
      <w:bookmarkStart w:id="457" w:name="_Toc150068535"/>
      <w:r>
        <w:rPr>
          <w:rFonts w:hint="eastAsia" w:ascii="新宋体" w:hAnsi="新宋体" w:eastAsia="新宋体"/>
          <w:b/>
          <w:bCs/>
          <w:color w:val="auto"/>
          <w:sz w:val="22"/>
          <w:szCs w:val="22"/>
          <w:highlight w:val="none"/>
        </w:rPr>
        <w:t>三、</w:t>
      </w:r>
      <w:bookmarkEnd w:id="456"/>
      <w:bookmarkEnd w:id="457"/>
      <w:bookmarkStart w:id="458" w:name="_Toc150225184"/>
      <w:bookmarkStart w:id="459" w:name="_Toc150068543"/>
      <w:r>
        <w:rPr>
          <w:rFonts w:hint="eastAsia" w:ascii="新宋体" w:hAnsi="新宋体" w:eastAsia="新宋体"/>
          <w:b/>
          <w:bCs/>
          <w:color w:val="auto"/>
          <w:sz w:val="22"/>
          <w:szCs w:val="22"/>
          <w:highlight w:val="none"/>
        </w:rPr>
        <w:t>维护确认与验收</w:t>
      </w:r>
      <w:bookmarkEnd w:id="458"/>
      <w:bookmarkEnd w:id="459"/>
    </w:p>
    <w:p>
      <w:pPr>
        <w:spacing w:line="460" w:lineRule="exact"/>
        <w:ind w:firstLine="440" w:firstLineChars="200"/>
        <w:outlineLvl w:val="1"/>
        <w:rPr>
          <w:rFonts w:hint="eastAsia" w:ascii="新宋体" w:hAnsi="新宋体" w:eastAsia="新宋体" w:cs="仿宋_GB2312"/>
          <w:color w:val="auto"/>
          <w:sz w:val="22"/>
          <w:szCs w:val="22"/>
          <w:highlight w:val="none"/>
        </w:rPr>
      </w:pPr>
      <w:bookmarkStart w:id="460" w:name="_Toc150225185"/>
      <w:bookmarkStart w:id="461" w:name="_Toc150068544"/>
      <w:r>
        <w:rPr>
          <w:rFonts w:hint="eastAsia" w:ascii="新宋体" w:hAnsi="新宋体" w:eastAsia="新宋体" w:cs="仿宋_GB2312"/>
          <w:color w:val="auto"/>
          <w:sz w:val="22"/>
          <w:szCs w:val="22"/>
          <w:highlight w:val="none"/>
        </w:rPr>
        <w:t>（一）维护人员</w:t>
      </w:r>
    </w:p>
    <w:p>
      <w:pPr>
        <w:tabs>
          <w:tab w:val="left" w:pos="431"/>
        </w:tabs>
        <w:spacing w:line="460" w:lineRule="exact"/>
        <w:ind w:firstLine="660" w:firstLineChars="300"/>
        <w:rPr>
          <w:rFonts w:hint="eastAsia" w:ascii="新宋体" w:hAnsi="新宋体" w:eastAsia="新宋体" w:cs="仿宋_GB2312"/>
          <w:b/>
          <w:color w:val="auto"/>
          <w:sz w:val="22"/>
          <w:szCs w:val="22"/>
          <w:highlight w:val="none"/>
        </w:rPr>
      </w:pPr>
      <w:r>
        <w:rPr>
          <w:rFonts w:hint="eastAsia" w:ascii="新宋体" w:hAnsi="新宋体" w:eastAsia="新宋体" w:cs="仿宋_GB2312"/>
          <w:color w:val="auto"/>
          <w:sz w:val="22"/>
          <w:szCs w:val="22"/>
          <w:highlight w:val="none"/>
        </w:rPr>
        <w:t>甲、乙双方指派专人组成本合同维护项目的管理小组，管理和实施本项目。管理小组成员名单和通讯方式见附件。通常情况下，甲方可以根据具体情况更换本方管理小组的成员；如乙方更换原小组成员的，应当事先征得甲方的书面同意。双方应当在合理和维护双方利益的基础上讨论人员更换事宜。参与项目的所有人员都应当受本合同第八条各条款的约束。</w:t>
      </w:r>
    </w:p>
    <w:bookmarkEnd w:id="460"/>
    <w:bookmarkEnd w:id="461"/>
    <w:p>
      <w:pPr>
        <w:spacing w:line="460" w:lineRule="exact"/>
        <w:ind w:firstLine="440" w:firstLineChars="200"/>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（二）维护确认</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1.维护确认每</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进行一次。维护确认前，乙方应当根据附件中的检验规格和标准，对维护项目进行功能和运行检验。乙方应当在每次维护确认前</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个工作日内，以书面方式提请甲方按照合同及其附件所约定的内容进行维护确认。重大维护内容发生后，乙方应当及时以书面方式提请甲方进行维护确认。提请对应用软件维护项目进行维护确认的，乙方还应当提交相应的软件维护文档，所提交的文档应当包括纸质版和电子版各一份。</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2.甲方应当在接到乙方书面材料的</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个工作日内进行维护确认。如甲方无正当理由而不进行维护确认，则视为甲方已经确认，双方对此另有约定的除外。维护确认的内容包括但不限于系统故障现象、原因、故障排除过程、更换配件情况、恢复状况等。</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3.乙方每次维护时应严格按照附件四的验收标准执行，否则，每违反一项扣</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元（如未对一项设备未检查一次，即算违反一项），甲方有权直接在</w:t>
      </w:r>
      <w:r>
        <w:rPr>
          <w:rFonts w:hint="eastAsia" w:ascii="新宋体" w:hAnsi="新宋体" w:eastAsia="新宋体" w:cs="仿宋_GB2312"/>
          <w:color w:val="auto"/>
          <w:kern w:val="0"/>
          <w:sz w:val="22"/>
          <w:szCs w:val="22"/>
          <w:highlight w:val="none"/>
        </w:rPr>
        <w:t>履约保函（或履约保证金）</w:t>
      </w:r>
      <w:r>
        <w:rPr>
          <w:rFonts w:hint="eastAsia" w:ascii="新宋体" w:hAnsi="新宋体" w:eastAsia="新宋体" w:cs="仿宋_GB2312"/>
          <w:color w:val="auto"/>
          <w:sz w:val="22"/>
          <w:szCs w:val="22"/>
          <w:highlight w:val="none"/>
        </w:rPr>
        <w:t>中予以扣除。</w:t>
      </w:r>
    </w:p>
    <w:p>
      <w:pPr>
        <w:spacing w:line="460" w:lineRule="exact"/>
        <w:ind w:firstLine="440" w:firstLineChars="200"/>
        <w:outlineLvl w:val="1"/>
        <w:rPr>
          <w:rFonts w:hint="eastAsia" w:ascii="新宋体" w:hAnsi="新宋体" w:eastAsia="新宋体" w:cs="仿宋_GB2312"/>
          <w:color w:val="auto"/>
          <w:sz w:val="22"/>
          <w:szCs w:val="22"/>
          <w:highlight w:val="none"/>
        </w:rPr>
      </w:pPr>
      <w:bookmarkStart w:id="462" w:name="_Toc150225189"/>
      <w:bookmarkStart w:id="463" w:name="_Toc150068548"/>
      <w:r>
        <w:rPr>
          <w:rFonts w:hint="eastAsia" w:ascii="新宋体" w:hAnsi="新宋体" w:eastAsia="新宋体" w:cs="仿宋_GB2312"/>
          <w:color w:val="auto"/>
          <w:sz w:val="22"/>
          <w:szCs w:val="22"/>
          <w:highlight w:val="none"/>
        </w:rPr>
        <w:t>（三）验收</w:t>
      </w:r>
      <w:bookmarkEnd w:id="462"/>
      <w:bookmarkEnd w:id="463"/>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1.维护项目按合同规定完成后，甲方应当及时进行验收。乙方应当以书面方式向甲方递交维护项目验收申请书，甲方在收到验收申请书后的</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个工作日内，确定具体日期，由双方按照本合同规定的验收标准完成验收，验收标准见附件。</w:t>
      </w:r>
    </w:p>
    <w:p>
      <w:pPr>
        <w:spacing w:line="460" w:lineRule="exact"/>
        <w:ind w:firstLine="56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2.如属于乙方原因致使维护项目未能通过验收，乙方应当排除故障，并自行承担相关费用，同时延长</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 xml:space="preserve">个工作日，直至符合验收标准。若延长 </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个工作日内无法通过验收的，甲方除有权解除合同外，还有权向乙方收取合同总金额20%的赔偿金。</w:t>
      </w:r>
    </w:p>
    <w:p>
      <w:pPr>
        <w:spacing w:line="460" w:lineRule="exact"/>
        <w:ind w:left="141" w:leftChars="67" w:firstLine="330" w:firstLineChars="150"/>
        <w:rPr>
          <w:rFonts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3.如由于甲方的原因致使维护项目未能通过验收，甲方应当在</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个工作日内排除故障，</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日内再次进行验收，直至通过验收为止。</w:t>
      </w:r>
    </w:p>
    <w:p>
      <w:pPr>
        <w:widowControl/>
        <w:snapToGrid w:val="0"/>
        <w:spacing w:line="400" w:lineRule="exact"/>
        <w:ind w:firstLine="422" w:firstLineChars="176"/>
        <w:jc w:val="left"/>
        <w:outlineLvl w:val="0"/>
        <w:rPr>
          <w:color w:val="auto"/>
          <w:highlight w:val="none"/>
        </w:rPr>
      </w:pPr>
      <w:bookmarkStart w:id="464" w:name="_Hlk106701834"/>
      <w:r>
        <w:rPr>
          <w:rFonts w:hint="eastAsia" w:ascii="仿宋" w:hAnsi="仿宋" w:eastAsia="仿宋" w:cs="仿宋"/>
          <w:color w:val="auto"/>
          <w:kern w:val="0"/>
          <w:sz w:val="24"/>
          <w:highlight w:val="none"/>
        </w:rPr>
        <w:t>4、履约验收费用（包含第三方检测及评审费用）由供应商承担</w:t>
      </w:r>
      <w:bookmarkEnd w:id="464"/>
      <w:r>
        <w:rPr>
          <w:rFonts w:hint="eastAsia" w:ascii="仿宋" w:hAnsi="仿宋" w:eastAsia="仿宋" w:cs="仿宋"/>
          <w:color w:val="auto"/>
          <w:kern w:val="0"/>
          <w:sz w:val="24"/>
          <w:highlight w:val="none"/>
        </w:rPr>
        <w:t>，因供应商原因造成验收不通过的，再次验收的费用仍由供应商承担。</w:t>
      </w:r>
    </w:p>
    <w:p>
      <w:pPr>
        <w:spacing w:line="460" w:lineRule="exact"/>
        <w:ind w:left="141" w:leftChars="67" w:firstLine="330" w:firstLineChars="150"/>
        <w:rPr>
          <w:rFonts w:hint="eastAsia" w:ascii="新宋体" w:hAnsi="新宋体" w:eastAsia="新宋体" w:cs="仿宋_GB2312"/>
          <w:color w:val="auto"/>
          <w:sz w:val="22"/>
          <w:szCs w:val="22"/>
          <w:highlight w:val="none"/>
        </w:rPr>
      </w:pPr>
    </w:p>
    <w:p>
      <w:pPr>
        <w:spacing w:line="460" w:lineRule="exact"/>
        <w:ind w:left="420"/>
        <w:outlineLvl w:val="1"/>
        <w:rPr>
          <w:rFonts w:hint="eastAsia" w:ascii="新宋体" w:hAnsi="新宋体" w:eastAsia="新宋体" w:cs="黑体"/>
          <w:b/>
          <w:bCs/>
          <w:color w:val="auto"/>
          <w:sz w:val="22"/>
          <w:szCs w:val="22"/>
          <w:highlight w:val="none"/>
        </w:rPr>
      </w:pPr>
      <w:bookmarkStart w:id="465" w:name="_Toc150068549"/>
      <w:bookmarkStart w:id="466" w:name="_Toc150225190"/>
      <w:r>
        <w:rPr>
          <w:rFonts w:hint="eastAsia" w:ascii="新宋体" w:hAnsi="新宋体" w:eastAsia="新宋体" w:cs="黑体"/>
          <w:b/>
          <w:bCs/>
          <w:color w:val="auto"/>
          <w:sz w:val="22"/>
          <w:szCs w:val="22"/>
          <w:highlight w:val="none"/>
        </w:rPr>
        <w:t>四、价格与付款方式</w:t>
      </w:r>
    </w:p>
    <w:p>
      <w:pPr>
        <w:widowControl/>
        <w:snapToGrid w:val="0"/>
        <w:spacing w:line="460" w:lineRule="exact"/>
        <w:ind w:firstLine="220" w:firstLineChars="100"/>
        <w:jc w:val="left"/>
        <w:outlineLvl w:val="1"/>
        <w:rPr>
          <w:rFonts w:hint="eastAsia" w:ascii="新宋体" w:hAnsi="新宋体" w:eastAsia="新宋体" w:cs="仿宋_GB2312"/>
          <w:color w:val="auto"/>
          <w:kern w:val="0"/>
          <w:sz w:val="22"/>
          <w:szCs w:val="22"/>
          <w:highlight w:val="none"/>
        </w:rPr>
      </w:pPr>
      <w:bookmarkStart w:id="467" w:name="_Hlk75268894"/>
      <w:r>
        <w:rPr>
          <w:rFonts w:hint="eastAsia" w:ascii="新宋体" w:hAnsi="新宋体" w:eastAsia="新宋体" w:cs="仿宋_GB2312"/>
          <w:color w:val="auto"/>
          <w:kern w:val="0"/>
          <w:sz w:val="22"/>
          <w:szCs w:val="22"/>
          <w:highlight w:val="none"/>
        </w:rPr>
        <w:t>（一）本合同中提及金额均为含税价。</w:t>
      </w:r>
    </w:p>
    <w:p>
      <w:pPr>
        <w:widowControl/>
        <w:snapToGrid w:val="0"/>
        <w:spacing w:line="460" w:lineRule="exact"/>
        <w:ind w:firstLine="220" w:firstLineChars="100"/>
        <w:jc w:val="left"/>
        <w:outlineLvl w:val="1"/>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（二）合同总金额为：人民币：</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元（大写：</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元整）</w:t>
      </w:r>
    </w:p>
    <w:bookmarkEnd w:id="467"/>
    <w:p>
      <w:pPr>
        <w:widowControl/>
        <w:snapToGrid w:val="0"/>
        <w:spacing w:line="460" w:lineRule="exact"/>
        <w:ind w:firstLine="220" w:firstLineChars="100"/>
        <w:jc w:val="left"/>
        <w:outlineLvl w:val="1"/>
        <w:rPr>
          <w:rFonts w:hint="eastAsia" w:ascii="新宋体" w:hAnsi="新宋体" w:eastAsia="新宋体" w:cs="仿宋_GB2312"/>
          <w:color w:val="auto"/>
          <w:kern w:val="0"/>
          <w:sz w:val="22"/>
          <w:szCs w:val="22"/>
          <w:highlight w:val="none"/>
        </w:rPr>
      </w:pPr>
      <w:bookmarkStart w:id="468" w:name="_Hlk75268919"/>
      <w:r>
        <w:rPr>
          <w:rFonts w:hint="eastAsia" w:ascii="新宋体" w:hAnsi="新宋体" w:eastAsia="新宋体" w:cs="仿宋_GB2312"/>
          <w:color w:val="auto"/>
          <w:kern w:val="0"/>
          <w:sz w:val="22"/>
          <w:szCs w:val="22"/>
          <w:highlight w:val="none"/>
        </w:rPr>
        <w:t>（三）维护详细价格清单</w:t>
      </w:r>
    </w:p>
    <w:bookmarkEnd w:id="468"/>
    <w:tbl>
      <w:tblPr>
        <w:tblStyle w:val="6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780"/>
        <w:gridCol w:w="360"/>
        <w:gridCol w:w="108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top w:val="double" w:color="auto" w:sz="4" w:space="0"/>
              <w:left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序号</w:t>
            </w:r>
          </w:p>
        </w:tc>
        <w:tc>
          <w:tcPr>
            <w:tcW w:w="378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内容</w:t>
            </w:r>
          </w:p>
        </w:tc>
        <w:tc>
          <w:tcPr>
            <w:tcW w:w="36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数量</w:t>
            </w:r>
          </w:p>
        </w:tc>
        <w:tc>
          <w:tcPr>
            <w:tcW w:w="108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单价</w:t>
            </w:r>
          </w:p>
        </w:tc>
        <w:tc>
          <w:tcPr>
            <w:tcW w:w="90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总价</w:t>
            </w:r>
          </w:p>
        </w:tc>
        <w:tc>
          <w:tcPr>
            <w:tcW w:w="1260" w:type="dxa"/>
            <w:tcBorders>
              <w:top w:val="double" w:color="auto" w:sz="4" w:space="0"/>
              <w:right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78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36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90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60" w:type="dxa"/>
            <w:tcBorders>
              <w:right w:val="double" w:color="auto" w:sz="4" w:space="0"/>
            </w:tcBorders>
            <w:noWrap w:val="0"/>
            <w:vAlign w:val="center"/>
          </w:tcPr>
          <w:p>
            <w:pPr>
              <w:pStyle w:val="32"/>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78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36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90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60" w:type="dxa"/>
            <w:tcBorders>
              <w:right w:val="double" w:color="auto" w:sz="4" w:space="0"/>
            </w:tcBorders>
            <w:noWrap w:val="0"/>
            <w:vAlign w:val="center"/>
          </w:tcPr>
          <w:p>
            <w:pPr>
              <w:pStyle w:val="32"/>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78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36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90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60" w:type="dxa"/>
            <w:tcBorders>
              <w:right w:val="double" w:color="auto" w:sz="4" w:space="0"/>
            </w:tcBorders>
            <w:noWrap w:val="0"/>
            <w:vAlign w:val="center"/>
          </w:tcPr>
          <w:p>
            <w:pPr>
              <w:pStyle w:val="32"/>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78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36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90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60" w:type="dxa"/>
            <w:tcBorders>
              <w:right w:val="double" w:color="auto" w:sz="4" w:space="0"/>
            </w:tcBorders>
            <w:noWrap w:val="0"/>
            <w:vAlign w:val="center"/>
          </w:tcPr>
          <w:p>
            <w:pPr>
              <w:pStyle w:val="32"/>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5" w:type="dxa"/>
            <w:tcBorders>
              <w:left w:val="double" w:color="auto" w:sz="4" w:space="0"/>
              <w:bottom w:val="double" w:color="auto" w:sz="4" w:space="0"/>
            </w:tcBorders>
            <w:noWrap w:val="0"/>
            <w:vAlign w:val="center"/>
          </w:tcPr>
          <w:p>
            <w:pPr>
              <w:pStyle w:val="32"/>
              <w:tabs>
                <w:tab w:val="left" w:pos="8540"/>
              </w:tabs>
              <w:spacing w:line="460" w:lineRule="exact"/>
              <w:jc w:val="center"/>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合计总价</w:t>
            </w:r>
          </w:p>
        </w:tc>
        <w:tc>
          <w:tcPr>
            <w:tcW w:w="5220" w:type="dxa"/>
            <w:gridSpan w:val="3"/>
            <w:tcBorders>
              <w:bottom w:val="double" w:color="auto" w:sz="4" w:space="0"/>
            </w:tcBorders>
            <w:noWrap w:val="0"/>
            <w:vAlign w:val="center"/>
          </w:tcPr>
          <w:p>
            <w:pPr>
              <w:pStyle w:val="32"/>
              <w:tabs>
                <w:tab w:val="left" w:pos="8540"/>
              </w:tabs>
              <w:spacing w:line="460" w:lineRule="exact"/>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（大写）</w:t>
            </w:r>
          </w:p>
        </w:tc>
        <w:tc>
          <w:tcPr>
            <w:tcW w:w="2160" w:type="dxa"/>
            <w:gridSpan w:val="2"/>
            <w:tcBorders>
              <w:bottom w:val="double" w:color="auto" w:sz="4" w:space="0"/>
              <w:right w:val="double" w:color="auto" w:sz="4" w:space="0"/>
            </w:tcBorders>
            <w:noWrap w:val="0"/>
            <w:vAlign w:val="center"/>
          </w:tcPr>
          <w:p>
            <w:pPr>
              <w:pStyle w:val="32"/>
              <w:tabs>
                <w:tab w:val="left" w:pos="8540"/>
              </w:tabs>
              <w:spacing w:line="460" w:lineRule="exact"/>
              <w:jc w:val="center"/>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w:t>
            </w:r>
          </w:p>
        </w:tc>
      </w:tr>
    </w:tbl>
    <w:p>
      <w:pPr>
        <w:widowControl/>
        <w:snapToGrid w:val="0"/>
        <w:spacing w:line="460" w:lineRule="exact"/>
        <w:jc w:val="left"/>
        <w:rPr>
          <w:rFonts w:hint="eastAsia" w:ascii="新宋体" w:hAnsi="新宋体" w:eastAsia="新宋体" w:cs="仿宋_GB2312"/>
          <w:color w:val="auto"/>
          <w:kern w:val="0"/>
          <w:sz w:val="22"/>
          <w:szCs w:val="22"/>
          <w:highlight w:val="none"/>
        </w:rPr>
      </w:pP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（四）履约保函（或履约保证金）：乙方根据甲乙双方协议，在合同签订后15个工作日内，乙方向甲方提供合同总金额</w:t>
      </w:r>
      <w:r>
        <w:rPr>
          <w:rFonts w:ascii="新宋体" w:hAnsi="新宋体" w:eastAsia="新宋体" w:cs="仿宋_GB2312"/>
          <w:color w:val="auto"/>
          <w:kern w:val="0"/>
          <w:sz w:val="22"/>
          <w:szCs w:val="22"/>
          <w:highlight w:val="none"/>
        </w:rPr>
        <w:t>1</w:t>
      </w:r>
      <w:r>
        <w:rPr>
          <w:rFonts w:hint="eastAsia" w:ascii="新宋体" w:hAnsi="新宋体" w:eastAsia="新宋体" w:cs="仿宋_GB2312"/>
          <w:color w:val="auto"/>
          <w:kern w:val="0"/>
          <w:sz w:val="22"/>
          <w:szCs w:val="22"/>
          <w:highlight w:val="none"/>
        </w:rPr>
        <w:t>%的履约保函（或履约保证金），即人民币：</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 xml:space="preserve"> 元（大写：</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元整）；</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（五）款项支付：</w:t>
      </w:r>
    </w:p>
    <w:p>
      <w:pPr>
        <w:widowControl/>
        <w:snapToGrid w:val="0"/>
        <w:spacing w:line="400" w:lineRule="exact"/>
        <w:ind w:firstLine="389" w:firstLineChars="177"/>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（1）第一笔款：合同签订生效后，甲方在收到乙方提供的下列单据</w:t>
      </w:r>
      <w:r>
        <w:rPr>
          <w:rFonts w:ascii="新宋体" w:hAnsi="新宋体" w:eastAsia="新宋体" w:cs="宋体"/>
          <w:color w:val="auto"/>
          <w:kern w:val="0"/>
          <w:sz w:val="22"/>
          <w:szCs w:val="22"/>
          <w:highlight w:val="none"/>
        </w:rPr>
        <w:t>7</w:t>
      </w:r>
      <w:r>
        <w:rPr>
          <w:rFonts w:hint="eastAsia" w:ascii="新宋体" w:hAnsi="新宋体" w:eastAsia="新宋体" w:cs="宋体"/>
          <w:color w:val="auto"/>
          <w:kern w:val="0"/>
          <w:sz w:val="22"/>
          <w:szCs w:val="22"/>
          <w:highlight w:val="none"/>
        </w:rPr>
        <w:t>个工作日内，向乙方支付合同总价的</w:t>
      </w:r>
      <w:r>
        <w:rPr>
          <w:rFonts w:ascii="新宋体" w:hAnsi="新宋体" w:eastAsia="新宋体" w:cs="宋体"/>
          <w:color w:val="auto"/>
          <w:kern w:val="0"/>
          <w:sz w:val="22"/>
          <w:szCs w:val="22"/>
          <w:highlight w:val="none"/>
        </w:rPr>
        <w:t>7</w:t>
      </w:r>
      <w:r>
        <w:rPr>
          <w:rFonts w:hint="eastAsia" w:ascii="新宋体" w:hAnsi="新宋体" w:eastAsia="新宋体" w:cs="宋体"/>
          <w:color w:val="auto"/>
          <w:kern w:val="0"/>
          <w:sz w:val="22"/>
          <w:szCs w:val="22"/>
          <w:highlight w:val="none"/>
        </w:rPr>
        <w:t>0%，即人民币：</w:t>
      </w:r>
      <w:r>
        <w:rPr>
          <w:rFonts w:hint="eastAsia" w:ascii="新宋体" w:hAnsi="新宋体" w:eastAsia="新宋体" w:cs="宋体"/>
          <w:b/>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 xml:space="preserve"> 元</w:t>
      </w:r>
      <w:r>
        <w:rPr>
          <w:rFonts w:hint="eastAsia" w:ascii="新宋体" w:hAnsi="新宋体" w:eastAsia="新宋体" w:cs="宋体"/>
          <w:b/>
          <w:color w:val="auto"/>
          <w:kern w:val="0"/>
          <w:sz w:val="22"/>
          <w:szCs w:val="22"/>
          <w:highlight w:val="none"/>
        </w:rPr>
        <w:t>（</w:t>
      </w:r>
      <w:r>
        <w:rPr>
          <w:rFonts w:hint="eastAsia" w:ascii="新宋体" w:hAnsi="新宋体" w:eastAsia="新宋体" w:cs="宋体"/>
          <w:color w:val="auto"/>
          <w:kern w:val="0"/>
          <w:sz w:val="22"/>
          <w:szCs w:val="22"/>
          <w:highlight w:val="none"/>
        </w:rPr>
        <w:t>大写：</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元整）；</w:t>
      </w:r>
    </w:p>
    <w:p>
      <w:pPr>
        <w:widowControl/>
        <w:snapToGrid w:val="0"/>
        <w:spacing w:line="400" w:lineRule="exact"/>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下列单据包括：</w:t>
      </w:r>
    </w:p>
    <w:p>
      <w:pPr>
        <w:widowControl/>
        <w:snapToGrid w:val="0"/>
        <w:spacing w:line="400" w:lineRule="exact"/>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1.等额</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(普通或者专用)商业发票一份；</w:t>
      </w:r>
    </w:p>
    <w:p>
      <w:pPr>
        <w:widowControl/>
        <w:snapToGrid w:val="0"/>
        <w:spacing w:line="400" w:lineRule="exact"/>
        <w:ind w:firstLine="440" w:firstLineChars="200"/>
        <w:jc w:val="left"/>
        <w:rPr>
          <w:rFonts w:hint="eastAsia" w:ascii="新宋体" w:hAnsi="新宋体" w:eastAsia="新宋体" w:cs="宋体"/>
          <w:color w:val="auto"/>
          <w:kern w:val="0"/>
          <w:sz w:val="22"/>
          <w:szCs w:val="22"/>
          <w:highlight w:val="none"/>
        </w:rPr>
      </w:pPr>
      <w:r>
        <w:rPr>
          <w:rFonts w:hint="eastAsia" w:ascii="新宋体" w:hAnsi="新宋体" w:eastAsia="新宋体" w:cs="仿宋_GB2312"/>
          <w:color w:val="auto"/>
          <w:kern w:val="0"/>
          <w:sz w:val="22"/>
          <w:szCs w:val="22"/>
          <w:highlight w:val="none"/>
        </w:rPr>
        <w:t>2、履约保函(或履约保证金)支付凭证。</w:t>
      </w:r>
    </w:p>
    <w:p>
      <w:pPr>
        <w:widowControl/>
        <w:snapToGrid w:val="0"/>
        <w:spacing w:line="400" w:lineRule="exact"/>
        <w:ind w:firstLine="389" w:firstLineChars="177"/>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（2）第二笔款：项目完成阶段性考核（完成 </w:t>
      </w:r>
      <w:r>
        <w:rPr>
          <w:rFonts w:ascii="新宋体" w:hAnsi="新宋体" w:eastAsia="新宋体" w:cs="宋体"/>
          <w:color w:val="auto"/>
          <w:kern w:val="0"/>
          <w:sz w:val="22"/>
          <w:szCs w:val="22"/>
          <w:highlight w:val="none"/>
        </w:rPr>
        <w:t xml:space="preserve">     </w:t>
      </w:r>
      <w:r>
        <w:rPr>
          <w:rFonts w:hint="eastAsia" w:ascii="新宋体" w:hAnsi="新宋体" w:eastAsia="新宋体" w:cs="宋体"/>
          <w:color w:val="auto"/>
          <w:kern w:val="0"/>
          <w:sz w:val="22"/>
          <w:szCs w:val="22"/>
          <w:highlight w:val="none"/>
        </w:rPr>
        <w:t>后），甲方在收到乙方提供的下列单据7个工作日内，向乙方支付合同总价的</w:t>
      </w:r>
      <w:r>
        <w:rPr>
          <w:rFonts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rPr>
        <w:t>0%，即人民币：</w:t>
      </w:r>
      <w:r>
        <w:rPr>
          <w:rFonts w:hint="eastAsia" w:ascii="新宋体" w:hAnsi="新宋体" w:eastAsia="新宋体" w:cs="宋体"/>
          <w:b/>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 xml:space="preserve"> 元</w:t>
      </w:r>
      <w:r>
        <w:rPr>
          <w:rFonts w:hint="eastAsia" w:ascii="新宋体" w:hAnsi="新宋体" w:eastAsia="新宋体" w:cs="宋体"/>
          <w:b/>
          <w:color w:val="auto"/>
          <w:kern w:val="0"/>
          <w:sz w:val="22"/>
          <w:szCs w:val="22"/>
          <w:highlight w:val="none"/>
        </w:rPr>
        <w:t>（</w:t>
      </w:r>
      <w:r>
        <w:rPr>
          <w:rFonts w:hint="eastAsia" w:ascii="新宋体" w:hAnsi="新宋体" w:eastAsia="新宋体" w:cs="宋体"/>
          <w:color w:val="auto"/>
          <w:kern w:val="0"/>
          <w:sz w:val="22"/>
          <w:szCs w:val="22"/>
          <w:highlight w:val="none"/>
        </w:rPr>
        <w:t>大写：</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元整）；</w:t>
      </w:r>
    </w:p>
    <w:p>
      <w:pPr>
        <w:widowControl/>
        <w:snapToGrid w:val="0"/>
        <w:spacing w:line="400" w:lineRule="exact"/>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下列单据包括：</w:t>
      </w:r>
    </w:p>
    <w:p>
      <w:pPr>
        <w:widowControl/>
        <w:snapToGrid w:val="0"/>
        <w:spacing w:line="400" w:lineRule="exact"/>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1.等额</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(普通或者专用)商业发票一份；</w:t>
      </w:r>
    </w:p>
    <w:p>
      <w:pPr>
        <w:widowControl/>
        <w:snapToGrid w:val="0"/>
        <w:spacing w:line="400" w:lineRule="exact"/>
        <w:ind w:firstLine="440" w:firstLineChars="200"/>
        <w:jc w:val="left"/>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2、甲方出具的项目阶段性考核。</w:t>
      </w:r>
    </w:p>
    <w:p>
      <w:pPr>
        <w:widowControl/>
        <w:snapToGrid w:val="0"/>
        <w:spacing w:line="460" w:lineRule="exact"/>
        <w:ind w:firstLine="660" w:firstLineChars="3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（六）履约保函（或履约保证金）的退还：</w:t>
      </w:r>
      <w:r>
        <w:rPr>
          <w:rFonts w:hint="eastAsia" w:ascii="新宋体" w:hAnsi="新宋体" w:eastAsia="新宋体" w:cs="仿宋_GB2312"/>
          <w:color w:val="auto"/>
          <w:sz w:val="22"/>
          <w:szCs w:val="22"/>
          <w:highlight w:val="none"/>
          <w:u w:val="single"/>
        </w:rPr>
        <w:t>维护服务期满，完成项目验收后</w:t>
      </w:r>
      <w:r>
        <w:rPr>
          <w:rFonts w:hint="eastAsia" w:ascii="新宋体" w:hAnsi="新宋体" w:eastAsia="新宋体" w:cs="仿宋_GB2312"/>
          <w:color w:val="auto"/>
          <w:kern w:val="0"/>
          <w:sz w:val="22"/>
          <w:szCs w:val="22"/>
          <w:highlight w:val="none"/>
        </w:rPr>
        <w:t>，甲方收到乙方提供的下列单</w:t>
      </w:r>
      <w:r>
        <w:rPr>
          <w:rFonts w:ascii="新宋体" w:hAnsi="新宋体" w:eastAsia="新宋体" w:cs="仿宋_GB2312"/>
          <w:color w:val="auto"/>
          <w:kern w:val="0"/>
          <w:sz w:val="22"/>
          <w:szCs w:val="22"/>
          <w:highlight w:val="none"/>
        </w:rPr>
        <w:t>5</w:t>
      </w:r>
      <w:r>
        <w:rPr>
          <w:rFonts w:hint="eastAsia" w:ascii="新宋体" w:hAnsi="新宋体" w:eastAsia="新宋体" w:cs="仿宋_GB2312"/>
          <w:color w:val="auto"/>
          <w:kern w:val="0"/>
          <w:sz w:val="22"/>
          <w:szCs w:val="22"/>
          <w:highlight w:val="none"/>
        </w:rPr>
        <w:t>个工作日内，履约保函自动解除或无息向乙方退还履约保证金，即人民币：</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 xml:space="preserve"> 元（大写：</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元整）；</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下列单据包括：</w:t>
      </w:r>
    </w:p>
    <w:p>
      <w:pPr>
        <w:widowControl/>
        <w:numPr>
          <w:ilvl w:val="0"/>
          <w:numId w:val="7"/>
        </w:numPr>
        <w:snapToGrid w:val="0"/>
        <w:spacing w:line="460" w:lineRule="exact"/>
        <w:ind w:firstLine="440" w:firstLineChars="200"/>
        <w:jc w:val="left"/>
        <w:outlineLvl w:val="1"/>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履约保函（或履约保证金）收款凭证；</w:t>
      </w:r>
    </w:p>
    <w:p>
      <w:pPr>
        <w:ind w:firstLine="440" w:firstLineChars="200"/>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2、项目验收报告。</w:t>
      </w:r>
    </w:p>
    <w:bookmarkEnd w:id="465"/>
    <w:bookmarkEnd w:id="466"/>
    <w:p>
      <w:pPr>
        <w:spacing w:line="460" w:lineRule="exact"/>
        <w:ind w:firstLine="442" w:firstLineChars="200"/>
        <w:outlineLvl w:val="0"/>
        <w:rPr>
          <w:rFonts w:hint="eastAsia" w:ascii="新宋体" w:hAnsi="新宋体" w:eastAsia="新宋体"/>
          <w:b/>
          <w:bCs/>
          <w:color w:val="auto"/>
          <w:sz w:val="22"/>
          <w:szCs w:val="22"/>
          <w:highlight w:val="none"/>
        </w:rPr>
      </w:pPr>
      <w:bookmarkStart w:id="469" w:name="_Toc150225193"/>
      <w:bookmarkStart w:id="470" w:name="_Toc150068552"/>
      <w:r>
        <w:rPr>
          <w:rFonts w:hint="eastAsia" w:ascii="新宋体" w:hAnsi="新宋体" w:eastAsia="新宋体"/>
          <w:b/>
          <w:bCs/>
          <w:color w:val="auto"/>
          <w:sz w:val="22"/>
          <w:szCs w:val="22"/>
          <w:highlight w:val="none"/>
        </w:rPr>
        <w:t>五、义务与责任</w:t>
      </w:r>
      <w:bookmarkEnd w:id="469"/>
      <w:bookmarkEnd w:id="470"/>
    </w:p>
    <w:p>
      <w:pPr>
        <w:spacing w:line="460" w:lineRule="exact"/>
        <w:ind w:firstLine="440" w:firstLineChars="200"/>
        <w:outlineLvl w:val="1"/>
        <w:rPr>
          <w:rFonts w:hint="eastAsia" w:ascii="新宋体" w:hAnsi="新宋体" w:eastAsia="新宋体" w:cs="仿宋_GB2312"/>
          <w:b/>
          <w:color w:val="auto"/>
          <w:sz w:val="22"/>
          <w:szCs w:val="22"/>
          <w:highlight w:val="none"/>
        </w:rPr>
      </w:pPr>
      <w:r>
        <w:rPr>
          <w:rFonts w:hint="eastAsia" w:ascii="新宋体" w:hAnsi="新宋体" w:eastAsia="新宋体" w:cs="仿宋_GB2312"/>
          <w:color w:val="auto"/>
          <w:sz w:val="22"/>
          <w:szCs w:val="22"/>
          <w:highlight w:val="none"/>
        </w:rPr>
        <w:t>（一）甲方</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1.甲方应当向乙方提供必要的工作条件，包括必要的技术资料、技术准备，协助乙方做好维护服务。</w:t>
      </w:r>
    </w:p>
    <w:p>
      <w:pPr>
        <w:tabs>
          <w:tab w:val="left" w:pos="1346"/>
        </w:tabs>
        <w:spacing w:line="460" w:lineRule="exact"/>
        <w:ind w:firstLine="440" w:firstLineChars="200"/>
        <w:rPr>
          <w:rFonts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2.甲方应当保证其要求乙方维护的软件、硬件以及相关的文档未侵犯第三方知识产权。</w:t>
      </w:r>
    </w:p>
    <w:p>
      <w:pPr>
        <w:widowControl/>
        <w:snapToGrid w:val="0"/>
        <w:spacing w:line="400" w:lineRule="exact"/>
        <w:ind w:firstLine="389" w:firstLineChars="177"/>
        <w:jc w:val="left"/>
        <w:rPr>
          <w:rFonts w:hint="eastAsia" w:ascii="新宋体" w:hAnsi="新宋体" w:eastAsia="新宋体" w:cs="仿宋_GB2312"/>
          <w:color w:val="auto"/>
          <w:sz w:val="22"/>
          <w:szCs w:val="22"/>
          <w:highlight w:val="none"/>
        </w:rPr>
      </w:pPr>
      <w:bookmarkStart w:id="471" w:name="_Hlk101965495"/>
      <w:r>
        <w:rPr>
          <w:rFonts w:hint="eastAsia" w:ascii="新宋体" w:hAnsi="新宋体" w:eastAsia="新宋体" w:cs="仿宋_GB2312"/>
          <w:color w:val="auto"/>
          <w:sz w:val="22"/>
          <w:szCs w:val="22"/>
          <w:highlight w:val="none"/>
        </w:rPr>
        <w:t>3</w:t>
      </w:r>
      <w:r>
        <w:rPr>
          <w:rFonts w:ascii="新宋体" w:hAnsi="新宋体" w:eastAsia="新宋体" w:cs="仿宋_GB2312"/>
          <w:color w:val="auto"/>
          <w:sz w:val="22"/>
          <w:szCs w:val="22"/>
          <w:highlight w:val="none"/>
        </w:rPr>
        <w:t>.</w:t>
      </w:r>
      <w:r>
        <w:rPr>
          <w:rFonts w:hint="eastAsia" w:ascii="新宋体" w:hAnsi="新宋体" w:eastAsia="新宋体" w:cs="仿宋_GB2312"/>
          <w:color w:val="auto"/>
          <w:sz w:val="22"/>
          <w:szCs w:val="22"/>
          <w:highlight w:val="none"/>
        </w:rPr>
        <w:t>甲方应当配合由乙方提供的技术培训工作；</w:t>
      </w:r>
    </w:p>
    <w:bookmarkEnd w:id="471"/>
    <w:p>
      <w:pPr>
        <w:widowControl/>
        <w:snapToGrid w:val="0"/>
        <w:spacing w:line="400" w:lineRule="exact"/>
        <w:ind w:firstLine="389" w:firstLineChars="177"/>
        <w:jc w:val="left"/>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4</w:t>
      </w:r>
      <w:r>
        <w:rPr>
          <w:rFonts w:ascii="新宋体" w:hAnsi="新宋体" w:eastAsia="新宋体" w:cs="仿宋_GB2312"/>
          <w:color w:val="auto"/>
          <w:sz w:val="22"/>
          <w:szCs w:val="22"/>
          <w:highlight w:val="none"/>
        </w:rPr>
        <w:t>.</w:t>
      </w:r>
      <w:r>
        <w:rPr>
          <w:rFonts w:hint="eastAsia" w:ascii="新宋体" w:hAnsi="新宋体" w:eastAsia="新宋体" w:cs="仿宋_GB2312"/>
          <w:color w:val="auto"/>
          <w:sz w:val="22"/>
          <w:szCs w:val="22"/>
          <w:highlight w:val="none"/>
        </w:rPr>
        <w:t>甲方负责协调最终甲方和乙方的关系，并提供最终甲方的联系方式；</w:t>
      </w:r>
    </w:p>
    <w:p>
      <w:pPr>
        <w:widowControl/>
        <w:snapToGrid w:val="0"/>
        <w:spacing w:line="400" w:lineRule="exact"/>
        <w:ind w:firstLine="389" w:firstLineChars="177"/>
        <w:jc w:val="left"/>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5</w:t>
      </w:r>
      <w:r>
        <w:rPr>
          <w:rFonts w:ascii="新宋体" w:hAnsi="新宋体" w:eastAsia="新宋体" w:cs="仿宋_GB2312"/>
          <w:color w:val="auto"/>
          <w:sz w:val="22"/>
          <w:szCs w:val="22"/>
          <w:highlight w:val="none"/>
        </w:rPr>
        <w:t>.</w:t>
      </w:r>
      <w:r>
        <w:rPr>
          <w:rFonts w:hint="eastAsia" w:ascii="新宋体" w:hAnsi="新宋体" w:eastAsia="新宋体" w:cs="仿宋_GB2312"/>
          <w:color w:val="auto"/>
          <w:sz w:val="22"/>
          <w:szCs w:val="22"/>
          <w:highlight w:val="none"/>
        </w:rPr>
        <w:t>甲方对乙方向甲方提供的内部资料予以保密，且不向任何第三方泄露乙方的商业机密和技术机密。</w:t>
      </w:r>
    </w:p>
    <w:p>
      <w:pPr>
        <w:tabs>
          <w:tab w:val="left" w:pos="1346"/>
        </w:tabs>
        <w:spacing w:line="460" w:lineRule="exact"/>
        <w:ind w:firstLine="440" w:firstLineChars="200"/>
        <w:rPr>
          <w:rFonts w:hint="eastAsia" w:ascii="新宋体" w:hAnsi="新宋体" w:eastAsia="新宋体" w:cs="仿宋_GB2312"/>
          <w:color w:val="auto"/>
          <w:sz w:val="22"/>
          <w:szCs w:val="22"/>
          <w:highlight w:val="none"/>
        </w:rPr>
      </w:pPr>
    </w:p>
    <w:p>
      <w:pPr>
        <w:widowControl/>
        <w:snapToGrid w:val="0"/>
        <w:spacing w:line="400" w:lineRule="exact"/>
        <w:ind w:firstLine="424" w:firstLineChars="177"/>
        <w:jc w:val="left"/>
        <w:rPr>
          <w:rFonts w:hint="eastAsia" w:ascii="仿宋" w:hAnsi="仿宋" w:eastAsia="仿宋" w:cs="仿宋_GB2312"/>
          <w:color w:val="auto"/>
          <w:kern w:val="0"/>
          <w:sz w:val="24"/>
          <w:highlight w:val="none"/>
        </w:rPr>
      </w:pPr>
    </w:p>
    <w:p>
      <w:pPr>
        <w:tabs>
          <w:tab w:val="left" w:pos="1346"/>
        </w:tabs>
        <w:spacing w:line="460" w:lineRule="exact"/>
        <w:ind w:firstLine="440" w:firstLineChars="200"/>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（二）乙方</w:t>
      </w:r>
    </w:p>
    <w:p>
      <w:pPr>
        <w:tabs>
          <w:tab w:val="left" w:pos="1346"/>
        </w:tabs>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1.乙方保证维护工作的过程未侵犯第三方合法权益，如甲方因此而被追诉的，所有责任与损失均有乙方承担，如甲方先行承担的，有权向乙方追偿。</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2.经乙方维护更新后的软件，其任何部分如被依法认定为侵犯第三方合法权利，或者任何由乙方授予的权利被认定为侵权，乙方应当承担相应的责任，并应当用相同功能的合法软件替换该软件，或者取得相关授权，确保甲方能够继续享有本合同所规定的各项权利，并且乙方应当赔偿甲方由此而造成的损失。</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3.乙方所承担的维护项目的质量标准应当符合国家标准、行业标准以及制造企业的标准。若无国家标准、行业标准或者制造企业的标准的，以符合合同目的的其他标准作为质量标准。除此之外还应当符合温州市有关安全、环保、卫生等地方性法规、政策有关规定。</w:t>
      </w:r>
    </w:p>
    <w:p>
      <w:pPr>
        <w:spacing w:line="400" w:lineRule="exact"/>
        <w:ind w:firstLine="389" w:firstLineChars="177"/>
        <w:rPr>
          <w:rFonts w:ascii="仿宋" w:hAnsi="仿宋" w:eastAsia="仿宋" w:cs="仿宋"/>
          <w:color w:val="auto"/>
          <w:sz w:val="24"/>
          <w:highlight w:val="none"/>
        </w:rPr>
      </w:pPr>
      <w:r>
        <w:rPr>
          <w:rFonts w:hint="eastAsia" w:ascii="新宋体" w:hAnsi="新宋体" w:eastAsia="新宋体" w:cs="仿宋_GB2312"/>
          <w:color w:val="auto"/>
          <w:sz w:val="22"/>
          <w:szCs w:val="22"/>
          <w:highlight w:val="none"/>
        </w:rPr>
        <w:t>4.</w:t>
      </w:r>
      <w:r>
        <w:rPr>
          <w:rFonts w:hint="eastAsia" w:ascii="仿宋" w:hAnsi="仿宋" w:eastAsia="仿宋" w:cs="仿宋"/>
          <w:color w:val="auto"/>
          <w:sz w:val="24"/>
          <w:highlight w:val="none"/>
        </w:rPr>
        <w:t xml:space="preserve"> </w:t>
      </w:r>
      <w:r>
        <w:rPr>
          <w:rFonts w:hint="eastAsia" w:ascii="仿宋" w:hAnsi="仿宋" w:eastAsia="仿宋" w:cs="仿宋_GB2312"/>
          <w:color w:val="auto"/>
          <w:kern w:val="0"/>
          <w:sz w:val="24"/>
          <w:highlight w:val="none"/>
        </w:rPr>
        <w:t>在履行合同的过程中，</w:t>
      </w:r>
      <w:r>
        <w:rPr>
          <w:rFonts w:hint="eastAsia" w:ascii="仿宋" w:hAnsi="仿宋" w:eastAsia="仿宋" w:cs="仿宋"/>
          <w:color w:val="auto"/>
          <w:sz w:val="24"/>
          <w:highlight w:val="none"/>
        </w:rPr>
        <w:t>乙方不得转包项目，乙方</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可以/不可以）分包该项目。分包仅对本项目的非主体、非关键性内容，接受分包的人应当具备相应的资格条件，并不得再次分包，且乙方应就分包项目向甲方负责，并与分包供应商就分包项目向甲方承担连带责任。否则甲方可以书面通知违约方解除本合同，并要求乙方支付本合同总价</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%赔偿损失。</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5.乙方应对甲方提供的或系统运行中获取的包括但不限于甲方联系方式等内部资料采取必要的保密技术手段，不得运用于乙方任何研发、销售、技术分析等用途，且不得向任何第三方泄露甲方的任何内部资料。</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6.乙方派驻到甲方的人员安全问题（包含伤病），均由乙方自行负责配备符合工作、劳动条件的设备、装置、器具、保障其饮食起居等问题，乙方对此类人员的人身安全负全部责任。甲方概不负责，如甲方先行偿付的，有权向乙方追偿。</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7.乙方在满足上述产品质量标准，并保证该软件硬件的运行不影响甲方内部网络信息安全性和保密性，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pPr>
        <w:spacing w:line="460" w:lineRule="exact"/>
        <w:ind w:firstLine="433" w:firstLineChars="196"/>
        <w:outlineLvl w:val="0"/>
        <w:rPr>
          <w:rFonts w:hint="eastAsia" w:ascii="新宋体" w:hAnsi="新宋体" w:eastAsia="新宋体"/>
          <w:b/>
          <w:bCs/>
          <w:color w:val="auto"/>
          <w:sz w:val="22"/>
          <w:szCs w:val="22"/>
          <w:highlight w:val="none"/>
        </w:rPr>
      </w:pPr>
      <w:bookmarkStart w:id="472" w:name="_Toc150225194"/>
      <w:bookmarkStart w:id="473" w:name="_Toc150068553"/>
      <w:r>
        <w:rPr>
          <w:rFonts w:hint="eastAsia" w:ascii="新宋体" w:hAnsi="新宋体" w:eastAsia="新宋体"/>
          <w:b/>
          <w:bCs/>
          <w:color w:val="auto"/>
          <w:sz w:val="22"/>
          <w:szCs w:val="22"/>
          <w:highlight w:val="none"/>
        </w:rPr>
        <w:t>六、所有权、知识产权和使用权</w:t>
      </w:r>
      <w:bookmarkEnd w:id="472"/>
      <w:bookmarkEnd w:id="473"/>
    </w:p>
    <w:p>
      <w:pPr>
        <w:spacing w:line="460" w:lineRule="exact"/>
        <w:ind w:firstLine="431" w:firstLineChars="196"/>
        <w:outlineLvl w:val="1"/>
        <w:rPr>
          <w:rFonts w:hint="eastAsia" w:ascii="新宋体" w:hAnsi="新宋体" w:eastAsia="新宋体" w:cs="仿宋_GB2312"/>
          <w:color w:val="auto"/>
          <w:sz w:val="22"/>
          <w:szCs w:val="22"/>
          <w:highlight w:val="none"/>
        </w:rPr>
      </w:pPr>
      <w:bookmarkStart w:id="474" w:name="_Toc150225195"/>
      <w:bookmarkStart w:id="475" w:name="_Toc150068554"/>
      <w:r>
        <w:rPr>
          <w:rFonts w:hint="eastAsia" w:ascii="新宋体" w:hAnsi="新宋体" w:eastAsia="新宋体" w:cs="仿宋_GB2312"/>
          <w:color w:val="auto"/>
          <w:sz w:val="22"/>
          <w:szCs w:val="22"/>
          <w:highlight w:val="none"/>
        </w:rPr>
        <w:t>（一）所有权</w:t>
      </w:r>
      <w:bookmarkEnd w:id="474"/>
      <w:bookmarkEnd w:id="475"/>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本合同中所列设备，除</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外，不论维护前还是维护后，其所有权均归甲方所有，维护过程中所更换配件的所有权均归甲方所有。保密义务在本合同期满、变更、解除或终止后仍然有效。</w:t>
      </w:r>
    </w:p>
    <w:p>
      <w:pPr>
        <w:spacing w:line="460" w:lineRule="exact"/>
        <w:ind w:firstLine="431" w:firstLineChars="196"/>
        <w:outlineLvl w:val="1"/>
        <w:rPr>
          <w:rFonts w:hint="eastAsia" w:ascii="新宋体" w:hAnsi="新宋体" w:eastAsia="新宋体" w:cs="仿宋_GB2312"/>
          <w:color w:val="auto"/>
          <w:sz w:val="22"/>
          <w:szCs w:val="22"/>
          <w:highlight w:val="none"/>
        </w:rPr>
      </w:pPr>
      <w:bookmarkStart w:id="476" w:name="_Toc150225196"/>
      <w:bookmarkStart w:id="477" w:name="_Toc150068555"/>
      <w:r>
        <w:rPr>
          <w:rFonts w:hint="eastAsia" w:ascii="新宋体" w:hAnsi="新宋体" w:eastAsia="新宋体" w:cs="仿宋_GB2312"/>
          <w:color w:val="auto"/>
          <w:sz w:val="22"/>
          <w:szCs w:val="22"/>
          <w:highlight w:val="none"/>
        </w:rPr>
        <w:t>（二）知识产权</w:t>
      </w:r>
      <w:bookmarkEnd w:id="476"/>
      <w:bookmarkEnd w:id="477"/>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本合同中维护的软件（定制开发类）知识产权归</w:t>
      </w:r>
      <w:r>
        <w:rPr>
          <w:rFonts w:hint="eastAsia" w:ascii="新宋体" w:hAnsi="新宋体" w:eastAsia="新宋体" w:cs="仿宋_GB2312"/>
          <w:color w:val="auto"/>
          <w:sz w:val="22"/>
          <w:szCs w:val="22"/>
          <w:highlight w:val="none"/>
          <w:u w:val="single"/>
        </w:rPr>
        <w:t>甲</w:t>
      </w:r>
      <w:r>
        <w:rPr>
          <w:rFonts w:hint="eastAsia" w:ascii="新宋体" w:hAnsi="新宋体" w:eastAsia="新宋体" w:cs="仿宋_GB2312"/>
          <w:color w:val="auto"/>
          <w:sz w:val="22"/>
          <w:szCs w:val="22"/>
          <w:highlight w:val="none"/>
        </w:rPr>
        <w:t>方所有，另一方非经对方同意，不得以任何方式向第三方披露、转让，不得以任何方式进行商业性利用。</w:t>
      </w:r>
    </w:p>
    <w:p>
      <w:pPr>
        <w:spacing w:line="460" w:lineRule="exact"/>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 xml:space="preserve">    </w:t>
      </w:r>
      <w:bookmarkStart w:id="478" w:name="_Toc150068556"/>
      <w:bookmarkStart w:id="479" w:name="_Toc150225197"/>
      <w:r>
        <w:rPr>
          <w:rFonts w:hint="eastAsia" w:ascii="新宋体" w:hAnsi="新宋体" w:eastAsia="新宋体" w:cs="仿宋_GB2312"/>
          <w:color w:val="auto"/>
          <w:sz w:val="22"/>
          <w:szCs w:val="22"/>
          <w:highlight w:val="none"/>
        </w:rPr>
        <w:t>（三）使用权</w:t>
      </w:r>
      <w:bookmarkEnd w:id="478"/>
      <w:bookmarkEnd w:id="479"/>
    </w:p>
    <w:p>
      <w:pPr>
        <w:spacing w:line="460" w:lineRule="exact"/>
        <w:ind w:firstLine="495"/>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甲方拥有合同中所列产品的正版使用权，乙方仅可在与项目有关的维护工作中使用，任何情况下不得以复制或者其他方法供自己使用或者提供给第三方。</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甲方使用乙方提供的第三方软件，应当依照乙方与第三方对该软件使用的约定进行。乙方应当将该约定的书面文件的原件交甲方核对，复印件交甲方存档。</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如乙方违反本条（二）、（三）款的，一经发现，甲方有权立即解除合同，要求乙方返还甲方已支付的全部合同款，并向甲方支付合同总价款的</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%作为违约金。若因乙方原因导致甲方被追索的，由乙方承担全部责任。</w:t>
      </w:r>
    </w:p>
    <w:p>
      <w:pPr>
        <w:spacing w:line="460" w:lineRule="exact"/>
        <w:ind w:firstLine="433" w:firstLineChars="196"/>
        <w:outlineLvl w:val="0"/>
        <w:rPr>
          <w:rFonts w:hint="eastAsia" w:ascii="新宋体" w:hAnsi="新宋体" w:eastAsia="新宋体"/>
          <w:b/>
          <w:bCs/>
          <w:color w:val="auto"/>
          <w:sz w:val="22"/>
          <w:szCs w:val="22"/>
          <w:highlight w:val="none"/>
        </w:rPr>
      </w:pPr>
      <w:bookmarkStart w:id="480" w:name="_Toc150225198"/>
      <w:bookmarkStart w:id="481" w:name="_Toc150068557"/>
      <w:r>
        <w:rPr>
          <w:rFonts w:hint="eastAsia" w:ascii="新宋体" w:hAnsi="新宋体" w:eastAsia="新宋体"/>
          <w:b/>
          <w:bCs/>
          <w:color w:val="auto"/>
          <w:sz w:val="22"/>
          <w:szCs w:val="22"/>
          <w:highlight w:val="none"/>
        </w:rPr>
        <w:t>七、保密</w:t>
      </w:r>
      <w:bookmarkEnd w:id="480"/>
      <w:bookmarkEnd w:id="481"/>
      <w:r>
        <w:rPr>
          <w:rFonts w:hint="eastAsia" w:ascii="新宋体" w:hAnsi="新宋体" w:eastAsia="新宋体"/>
          <w:b/>
          <w:bCs/>
          <w:color w:val="auto"/>
          <w:sz w:val="22"/>
          <w:szCs w:val="22"/>
          <w:highlight w:val="none"/>
        </w:rPr>
        <w:t>与竞争限制</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（一）信息传递</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在本合同的履行期内，乙方获得与本项目有关甲方的保密信息，应谨慎接受并不得向第三方披露。</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（二）信息披露</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乙方获取甲方保密信息的一方仅可将该信息用于履行其在本合同项下的义务，且只能由相关的工程技术人员使用。乙方应当采取合理有效的方式保护所获取的信息，未经授权不得使用、传播或者公开。除非有甲方的书面许可，或者该信息已被拥有方认为不再是保密信息，或者已在社会上公开，否则该信息永远不得对外披露。</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（三）保密措施</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甲乙双方同意采取相应的安全措施，遵守和履行上述约定。经双方协商，甲方有权检查对方所采取的安全措施是否符合上述约定。乙方造成的泄失密事件，乙方应承担违约责任，向甲方支付违约金，违约金数额为本合同总价，若泄密事件造成甲方的实际经济损失大于违约金数额，则乙方应赔偿甲方实际经济损失；构成刑事犯罪的，还应依法追究刑事责任。</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（四）竞争限制</w:t>
      </w:r>
    </w:p>
    <w:p>
      <w:pPr>
        <w:spacing w:line="460" w:lineRule="exact"/>
        <w:ind w:firstLine="440" w:firstLineChars="200"/>
        <w:rPr>
          <w:rFonts w:hint="eastAsia" w:ascii="新宋体" w:hAnsi="新宋体" w:eastAsia="新宋体" w:cs="仿宋_GB2312"/>
          <w:color w:val="auto"/>
          <w:spacing w:val="-4"/>
          <w:sz w:val="22"/>
          <w:szCs w:val="22"/>
          <w:highlight w:val="none"/>
        </w:rPr>
      </w:pPr>
      <w:r>
        <w:rPr>
          <w:rFonts w:hint="eastAsia" w:ascii="新宋体" w:hAnsi="新宋体" w:eastAsia="新宋体" w:cs="仿宋_GB2312"/>
          <w:color w:val="auto"/>
          <w:sz w:val="22"/>
          <w:szCs w:val="22"/>
          <w:highlight w:val="none"/>
        </w:rPr>
        <w:t>乙方</w:t>
      </w:r>
      <w:r>
        <w:rPr>
          <w:rFonts w:hint="eastAsia" w:ascii="新宋体" w:hAnsi="新宋体" w:eastAsia="新宋体" w:cs="仿宋_GB2312"/>
          <w:color w:val="auto"/>
          <w:spacing w:val="-4"/>
          <w:sz w:val="22"/>
          <w:szCs w:val="22"/>
          <w:highlight w:val="none"/>
        </w:rPr>
        <w:t>承诺，本合同履行过程中以及本合同履行完毕后，</w:t>
      </w:r>
      <w:r>
        <w:rPr>
          <w:rFonts w:hint="eastAsia" w:ascii="新宋体" w:hAnsi="新宋体" w:eastAsia="新宋体" w:cs="仿宋_GB2312"/>
          <w:color w:val="auto"/>
          <w:sz w:val="22"/>
          <w:szCs w:val="22"/>
          <w:highlight w:val="none"/>
          <w:u w:val="single"/>
        </w:rPr>
        <w:t>永久</w:t>
      </w:r>
      <w:r>
        <w:rPr>
          <w:rFonts w:hint="eastAsia" w:ascii="新宋体" w:hAnsi="新宋体" w:eastAsia="新宋体" w:cs="仿宋_GB2312"/>
          <w:color w:val="auto"/>
          <w:spacing w:val="-4"/>
          <w:sz w:val="22"/>
          <w:szCs w:val="22"/>
          <w:highlight w:val="none"/>
        </w:rPr>
        <w:t>不得使用在履行本项目过程中得到的甲方保密信息，从事与甲方有竞争性的业务，也不得采取任何方式聘用本项目中的对方相关技术或者管理人员。</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（五）乙方应与甲方签订安全保密协议（附件六），甲方有权对乙方进行资格审查，开展安全教育，落实安全监管措施，指派具有相应技术能力的人员对乙方操作行为全程监督、严格审计。</w:t>
      </w:r>
    </w:p>
    <w:p>
      <w:pPr>
        <w:spacing w:line="460" w:lineRule="exact"/>
        <w:ind w:firstLine="433" w:firstLineChars="196"/>
        <w:outlineLvl w:val="0"/>
        <w:rPr>
          <w:rFonts w:hint="eastAsia" w:ascii="新宋体" w:hAnsi="新宋体" w:eastAsia="新宋体"/>
          <w:b/>
          <w:bCs/>
          <w:color w:val="auto"/>
          <w:sz w:val="22"/>
          <w:szCs w:val="22"/>
          <w:highlight w:val="none"/>
        </w:rPr>
      </w:pPr>
      <w:bookmarkStart w:id="482" w:name="_Toc150068558"/>
      <w:bookmarkStart w:id="483" w:name="_Toc150225199"/>
      <w:r>
        <w:rPr>
          <w:rFonts w:hint="eastAsia" w:ascii="新宋体" w:hAnsi="新宋体" w:eastAsia="新宋体"/>
          <w:b/>
          <w:bCs/>
          <w:color w:val="auto"/>
          <w:sz w:val="22"/>
          <w:szCs w:val="22"/>
          <w:highlight w:val="none"/>
        </w:rPr>
        <w:t>八、服务变更</w:t>
      </w:r>
      <w:bookmarkEnd w:id="482"/>
      <w:bookmarkEnd w:id="483"/>
    </w:p>
    <w:p>
      <w:pPr>
        <w:spacing w:line="460" w:lineRule="exact"/>
        <w:ind w:firstLine="424"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pacing w:val="-4"/>
          <w:sz w:val="22"/>
          <w:szCs w:val="22"/>
          <w:highlight w:val="none"/>
        </w:rPr>
        <w:t>项目建设过程中原则上不能进行合同变更、修改和补充。若确需变更，经合同双方协商一致后，由项目建设部门向温州市公安局科技信息化局提交变更申请。并经警保、法制、审计等部门论证、审核。只有在双方授权的代表签署书面文件后才有效，并作为附件成为本合同不可分割的组成部分。</w:t>
      </w:r>
    </w:p>
    <w:p>
      <w:pPr>
        <w:spacing w:line="460" w:lineRule="exact"/>
        <w:ind w:firstLine="433" w:firstLineChars="196"/>
        <w:outlineLvl w:val="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九、不可抗力</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（一）由于台风、水灾、火灾、地震等不可抗力因素，直接影响本合同的履行或者不能按照合同的约定履行时，可以免除遇有不可抗力的一方的相关合同责任。但遇有不可抗力的一方应当及时通知对方，并在 14 日之内提供不可抗力的详细情况及合同不能履行或者部分不能履行或者需要延期履行的理由和有效的证明文件。双方根据不可抗力因素对合同履行的影响程度，协商决定是否解除合同，或者部分免除履行合同的义务，或者延期履行合同。</w:t>
      </w:r>
    </w:p>
    <w:p>
      <w:pPr>
        <w:spacing w:line="460" w:lineRule="exact"/>
        <w:ind w:firstLine="56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二）遇有不可抗力的一方，应当尽可能地采取必要的措施减轻不可抗力对本合同的履行所造成的影响。由于未采取适当措施致使另一方损失扩大的，不得就扩大损失的部分要求免除本方责任；由于未采取适当措施致使本方损失扩大的，也不得向对方要求赔偿。</w:t>
      </w:r>
    </w:p>
    <w:p>
      <w:pPr>
        <w:spacing w:line="460" w:lineRule="exact"/>
        <w:ind w:firstLine="56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持续预计120天以上，双方应通过友好协商30天的时间内达成进一步履行合同的协议，如不能达成共识，甲方也有权单方解除合同，不付给乙方其他经济补偿，对乙方已经履行的符合合同约定的部分内容不付任何价款，乙方应当返还甲方先前支付给乙方的全部预付款。</w:t>
      </w:r>
    </w:p>
    <w:p>
      <w:pPr>
        <w:spacing w:line="460" w:lineRule="exact"/>
        <w:ind w:firstLine="433" w:firstLineChars="196"/>
        <w:outlineLvl w:val="0"/>
        <w:rPr>
          <w:rFonts w:hint="eastAsia" w:ascii="新宋体" w:hAnsi="新宋体" w:eastAsia="新宋体"/>
          <w:b/>
          <w:bCs/>
          <w:color w:val="auto"/>
          <w:sz w:val="22"/>
          <w:szCs w:val="22"/>
          <w:highlight w:val="none"/>
        </w:rPr>
      </w:pPr>
      <w:bookmarkStart w:id="484" w:name="_Toc150225201"/>
      <w:bookmarkStart w:id="485" w:name="_Toc150068560"/>
      <w:r>
        <w:rPr>
          <w:rFonts w:hint="eastAsia" w:ascii="新宋体" w:hAnsi="新宋体" w:eastAsia="新宋体"/>
          <w:b/>
          <w:bCs/>
          <w:color w:val="auto"/>
          <w:sz w:val="22"/>
          <w:szCs w:val="22"/>
          <w:highlight w:val="none"/>
        </w:rPr>
        <w:t>十、</w:t>
      </w:r>
      <w:bookmarkEnd w:id="484"/>
      <w:bookmarkEnd w:id="485"/>
      <w:r>
        <w:rPr>
          <w:rFonts w:hint="eastAsia" w:ascii="新宋体" w:hAnsi="新宋体" w:eastAsia="新宋体"/>
          <w:b/>
          <w:bCs/>
          <w:color w:val="auto"/>
          <w:sz w:val="22"/>
          <w:szCs w:val="22"/>
          <w:highlight w:val="none"/>
        </w:rPr>
        <w:t xml:space="preserve">违约责任                                                                                                                                                                                                                                                                       </w:t>
      </w:r>
    </w:p>
    <w:p>
      <w:pPr>
        <w:tabs>
          <w:tab w:val="left" w:pos="1346"/>
        </w:tabs>
        <w:spacing w:line="460" w:lineRule="exact"/>
        <w:ind w:firstLine="440" w:firstLineChars="200"/>
        <w:rPr>
          <w:rFonts w:hint="eastAsia" w:ascii="新宋体" w:hAnsi="新宋体" w:eastAsia="新宋体" w:cs="仿宋_GB2312"/>
          <w:color w:val="auto"/>
          <w:sz w:val="22"/>
          <w:szCs w:val="22"/>
          <w:highlight w:val="none"/>
        </w:rPr>
      </w:pPr>
      <w:bookmarkStart w:id="486" w:name="_Toc150068561"/>
      <w:bookmarkStart w:id="487" w:name="_Toc150225202"/>
      <w:r>
        <w:rPr>
          <w:rFonts w:hint="eastAsia" w:ascii="新宋体" w:hAnsi="新宋体" w:eastAsia="新宋体" w:cs="仿宋_GB2312"/>
          <w:color w:val="auto"/>
          <w:sz w:val="22"/>
          <w:szCs w:val="22"/>
          <w:highlight w:val="none"/>
        </w:rPr>
        <w:t>（一）在履行合同的过程中，如果乙方遇到除不可抗力因素外的情形将不能按照合同规定的时间完成系统实施和提供服务时，应当在情况发生时</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小时内以书面形式将拖延的事实、可能拖延的时间和原因通知甲方。甲方在收到乙方通知后，应尽快对情况进行评价，并确定是否酌情延长交货时间和提供服务以及是否收取误期赔偿费。延期应通过书面方式由双方认可。</w:t>
      </w:r>
    </w:p>
    <w:p>
      <w:pPr>
        <w:spacing w:line="460" w:lineRule="exact"/>
        <w:ind w:firstLine="56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（二）合同签订后，如乙方不支付履约保函（或履约保证金）或者拒绝履行合同或者不履行合同主要义务导致合同目的不能实现的。甲方除有权解除合同外，还有权向乙方收取合同总金额20%的赔偿金。</w:t>
      </w:r>
    </w:p>
    <w:p>
      <w:pPr>
        <w:spacing w:line="460" w:lineRule="exact"/>
        <w:ind w:firstLine="431" w:firstLineChars="19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三）如乙方违反本合同第七条保密与竞争限制条款造成的泄失密事件或违反竞争限制聘任对方人员，乙方应承担违约责任，向甲方支付违约金，违约金额为本合同总价款，若泄密事件造成甲方的实际经济损失大于违约金数额，则乙方应赔偿甲方实际经济损失；构成刑事犯罪的，还应依法追究刑事责任。</w:t>
      </w:r>
    </w:p>
    <w:p>
      <w:pPr>
        <w:spacing w:line="460" w:lineRule="exact"/>
        <w:ind w:firstLine="566"/>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四）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pPr>
        <w:spacing w:line="460" w:lineRule="exact"/>
        <w:ind w:firstLine="433" w:firstLineChars="196"/>
        <w:outlineLvl w:val="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十一、争议解决</w:t>
      </w:r>
      <w:bookmarkEnd w:id="486"/>
      <w:bookmarkEnd w:id="487"/>
    </w:p>
    <w:p>
      <w:pPr>
        <w:spacing w:line="460" w:lineRule="exact"/>
        <w:ind w:firstLine="440" w:firstLineChars="200"/>
        <w:rPr>
          <w:rFonts w:hint="eastAsia" w:ascii="新宋体" w:hAnsi="新宋体" w:eastAsia="新宋体" w:cs="仿宋_GB2312"/>
          <w:color w:val="auto"/>
          <w:sz w:val="22"/>
          <w:szCs w:val="22"/>
          <w:highlight w:val="none"/>
        </w:rPr>
      </w:pPr>
      <w:bookmarkStart w:id="488" w:name="_Toc150068562"/>
      <w:bookmarkStart w:id="489" w:name="_Toc150225203"/>
      <w:r>
        <w:rPr>
          <w:rFonts w:hint="eastAsia" w:ascii="新宋体" w:hAnsi="新宋体" w:eastAsia="新宋体" w:cs="仿宋_GB2312"/>
          <w:color w:val="auto"/>
          <w:sz w:val="22"/>
          <w:szCs w:val="22"/>
          <w:highlight w:val="none"/>
        </w:rPr>
        <w:t>（一）合同的实施或与合同有关的一切争端应通过双方友好协商解决。如果友好协商自争端出现之日起60天后还不能解决，任何一方都可依法提交甲方所在地</w:t>
      </w:r>
      <w:r>
        <w:rPr>
          <w:rFonts w:hint="eastAsia" w:ascii="新宋体" w:hAnsi="新宋体" w:eastAsia="新宋体" w:cs="仿宋_GB2312"/>
          <w:color w:val="auto"/>
          <w:kern w:val="0"/>
          <w:sz w:val="22"/>
          <w:szCs w:val="22"/>
          <w:highlight w:val="none"/>
        </w:rPr>
        <w:t>有管辖权的</w:t>
      </w:r>
      <w:r>
        <w:rPr>
          <w:rFonts w:hint="eastAsia" w:ascii="新宋体" w:hAnsi="新宋体" w:eastAsia="新宋体" w:cs="仿宋_GB2312"/>
          <w:color w:val="auto"/>
          <w:sz w:val="22"/>
          <w:szCs w:val="22"/>
          <w:highlight w:val="none"/>
        </w:rPr>
        <w:t>人民法院解决。</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（二）由此产生的所有费用，包括但不限于诉讼费、律师费、公告费、保全费、差旅费等一切费用由败诉方承担。</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（三）在诉讼期间，除正在进行诉讼的部分以外，双方应继续执行合同的其余部分。</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（四）本合同适用中华人民共和国法律。</w:t>
      </w:r>
    </w:p>
    <w:p>
      <w:pPr>
        <w:spacing w:line="460" w:lineRule="exact"/>
        <w:ind w:firstLine="331" w:firstLineChars="150"/>
        <w:outlineLvl w:val="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十二、项目合同附件清单</w:t>
      </w:r>
    </w:p>
    <w:p>
      <w:pPr>
        <w:spacing w:line="460" w:lineRule="exact"/>
        <w:ind w:firstLine="440" w:firstLineChars="200"/>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附件一：招标文件</w:t>
      </w:r>
    </w:p>
    <w:p>
      <w:pPr>
        <w:spacing w:line="460" w:lineRule="exact"/>
        <w:ind w:firstLine="440" w:firstLineChars="200"/>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附件二：投标书</w:t>
      </w:r>
    </w:p>
    <w:p>
      <w:pPr>
        <w:spacing w:line="460" w:lineRule="exact"/>
        <w:ind w:firstLine="440" w:firstLineChars="200"/>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附件三：维护项目价格组成</w:t>
      </w:r>
    </w:p>
    <w:p>
      <w:pPr>
        <w:spacing w:line="460" w:lineRule="exact"/>
        <w:ind w:firstLine="440" w:firstLineChars="200"/>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 xml:space="preserve">附件四：维护项目检验规格和验收标准 </w:t>
      </w:r>
    </w:p>
    <w:p>
      <w:pPr>
        <w:spacing w:line="460" w:lineRule="exact"/>
        <w:ind w:firstLine="440" w:firstLineChars="200"/>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附件五：项目管理小组与驻场人员名单成员（包含但不限于驻场人员姓名、资质证书、身份证号码、联系方式、职务、社保证明等）</w:t>
      </w:r>
    </w:p>
    <w:p>
      <w:pPr>
        <w:spacing w:line="460" w:lineRule="exact"/>
        <w:ind w:firstLine="440" w:firstLineChars="200"/>
        <w:outlineLvl w:val="1"/>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附件六：温州市公安局系统建设、运维安全保密协议</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(根据项目实际情况可以</w:t>
      </w:r>
      <w:r>
        <w:rPr>
          <w:rFonts w:hint="eastAsia" w:ascii="新宋体" w:hAnsi="新宋体" w:eastAsia="新宋体" w:cs="仿宋_GB2312"/>
          <w:b/>
          <w:bCs/>
          <w:color w:val="auto"/>
          <w:sz w:val="22"/>
          <w:szCs w:val="22"/>
          <w:highlight w:val="none"/>
        </w:rPr>
        <w:t>增加备品备件清单、培训计划，维保人员清单等</w:t>
      </w:r>
      <w:r>
        <w:rPr>
          <w:rFonts w:hint="eastAsia" w:ascii="新宋体" w:hAnsi="新宋体" w:eastAsia="新宋体" w:cs="仿宋_GB2312"/>
          <w:color w:val="auto"/>
          <w:sz w:val="22"/>
          <w:szCs w:val="22"/>
          <w:highlight w:val="none"/>
        </w:rPr>
        <w:t>附件）</w:t>
      </w:r>
    </w:p>
    <w:p>
      <w:pPr>
        <w:spacing w:line="460" w:lineRule="exact"/>
        <w:ind w:firstLine="331" w:firstLineChars="150"/>
        <w:outlineLvl w:val="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十三、合同的生效</w:t>
      </w:r>
      <w:bookmarkEnd w:id="488"/>
      <w:bookmarkEnd w:id="489"/>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（一）本合同经双方各自指定的代表签字并</w:t>
      </w:r>
      <w:r>
        <w:rPr>
          <w:rFonts w:hint="eastAsia"/>
          <w:color w:val="auto"/>
          <w:highlight w:val="none"/>
        </w:rPr>
        <w:t>加盖单位公章</w:t>
      </w:r>
      <w:r>
        <w:rPr>
          <w:rFonts w:hint="eastAsia" w:ascii="新宋体" w:hAnsi="新宋体" w:eastAsia="新宋体" w:cs="仿宋_GB2312"/>
          <w:color w:val="auto"/>
          <w:sz w:val="22"/>
          <w:szCs w:val="22"/>
          <w:highlight w:val="none"/>
        </w:rPr>
        <w:t>后生效。</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（二）本合同一经签署，未经双方同意，任何一方不得随意更改。本合同所列的附件</w:t>
      </w:r>
      <w:r>
        <w:rPr>
          <w:rFonts w:hint="eastAsia"/>
          <w:color w:val="auto"/>
          <w:highlight w:val="none"/>
        </w:rPr>
        <w:t>加盖单位公章</w:t>
      </w:r>
      <w:r>
        <w:rPr>
          <w:rFonts w:hint="eastAsia" w:ascii="新宋体" w:hAnsi="新宋体" w:eastAsia="新宋体" w:cs="仿宋_GB2312"/>
          <w:color w:val="auto"/>
          <w:sz w:val="22"/>
          <w:szCs w:val="22"/>
          <w:highlight w:val="none"/>
        </w:rPr>
        <w:t>成为本合同的组成部分。</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（三）本合同一式</w:t>
      </w:r>
      <w:r>
        <w:rPr>
          <w:rFonts w:hint="eastAsia" w:ascii="新宋体" w:hAnsi="新宋体" w:eastAsia="新宋体" w:cs="仿宋_GB2312"/>
          <w:color w:val="auto"/>
          <w:sz w:val="22"/>
          <w:szCs w:val="22"/>
          <w:highlight w:val="none"/>
          <w:u w:val="single"/>
        </w:rPr>
        <w:t>陆</w:t>
      </w:r>
      <w:r>
        <w:rPr>
          <w:rFonts w:hint="eastAsia" w:ascii="新宋体" w:hAnsi="新宋体" w:eastAsia="新宋体" w:cs="仿宋_GB2312"/>
          <w:color w:val="auto"/>
          <w:sz w:val="22"/>
          <w:szCs w:val="22"/>
          <w:highlight w:val="none"/>
        </w:rPr>
        <w:t>份，甲方</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份，乙方</w:t>
      </w:r>
      <w:r>
        <w:rPr>
          <w:rFonts w:hint="eastAsia" w:ascii="新宋体" w:hAnsi="新宋体" w:eastAsia="新宋体" w:cs="仿宋_GB2312"/>
          <w:color w:val="auto"/>
          <w:sz w:val="22"/>
          <w:szCs w:val="22"/>
          <w:highlight w:val="none"/>
          <w:u w:val="single"/>
        </w:rPr>
        <w:t xml:space="preserve">   </w:t>
      </w:r>
      <w:r>
        <w:rPr>
          <w:rFonts w:hint="eastAsia" w:ascii="新宋体" w:hAnsi="新宋体" w:eastAsia="新宋体" w:cs="仿宋_GB2312"/>
          <w:color w:val="auto"/>
          <w:sz w:val="22"/>
          <w:szCs w:val="22"/>
          <w:highlight w:val="none"/>
        </w:rPr>
        <w:t>份，具有同等法律效力。合同附件及招标文件、乙方投标书等是合同不可分割的一部分，具有同等法律效力。</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（四）送达条款</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14.4.1 本合同项下任何一方向对方发出的通知、信件、数据电文等，应当发送至本合同（首部/附件/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14.4.2 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14.4.3 本合同（首部/附件/第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14.4.4 合同送达条款与争议解决条款均为独立条款，不受合同整体或其他条款的效力的影响。</w:t>
      </w:r>
    </w:p>
    <w:p>
      <w:pPr>
        <w:spacing w:line="460" w:lineRule="exact"/>
        <w:ind w:firstLine="433" w:firstLineChars="196"/>
        <w:outlineLvl w:val="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十四、其他</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（一）如一方改变通讯地址，应当提前以书面方式通知另一方，本合同落款处地址为双方确认的接受文件通讯地址。</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（二）本合同未尽事宜，双方可以另行协商，商定内容经双方代表签字并加盖单位公章与本合同具有同等效力。</w:t>
      </w:r>
    </w:p>
    <w:p>
      <w:pPr>
        <w:spacing w:line="460" w:lineRule="exact"/>
        <w:rPr>
          <w:rFonts w:hint="eastAsia" w:ascii="新宋体" w:hAnsi="新宋体" w:eastAsia="新宋体" w:cs="仿宋_GB2312"/>
          <w:color w:val="auto"/>
          <w:sz w:val="22"/>
          <w:szCs w:val="22"/>
          <w:highlight w:val="none"/>
        </w:rPr>
      </w:pPr>
    </w:p>
    <w:p>
      <w:pPr>
        <w:spacing w:line="460" w:lineRule="exact"/>
        <w:ind w:firstLine="331" w:firstLineChars="150"/>
        <w:outlineLvl w:val="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十五、项目合同签章</w:t>
      </w:r>
    </w:p>
    <w:p>
      <w:pPr>
        <w:spacing w:line="460" w:lineRule="exact"/>
        <w:rPr>
          <w:rFonts w:hint="eastAsia" w:ascii="新宋体" w:hAnsi="新宋体" w:eastAsia="新宋体"/>
          <w:color w:val="auto"/>
          <w:sz w:val="22"/>
          <w:szCs w:val="22"/>
          <w:highlight w:val="none"/>
        </w:rPr>
      </w:pP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甲方：温州市公安局 </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法定（委托）代表人（签字）：</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电话：               </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地址：温州市鹿城区惠民路十二涧桥温州公安科技大楼</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日期：　  年 　 月　  日                      </w:t>
      </w:r>
    </w:p>
    <w:p>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乙方：           </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法定（委托）代表人（签字）：</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电话：               </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p>
    <w:p>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地址：</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日期：　  年 　 月　  日                      </w:t>
      </w:r>
    </w:p>
    <w:p>
      <w:pPr>
        <w:widowControl/>
        <w:spacing w:line="460" w:lineRule="exact"/>
        <w:jc w:val="left"/>
        <w:rPr>
          <w:rFonts w:hint="eastAsia" w:ascii="新宋体" w:hAnsi="新宋体" w:eastAsia="新宋体" w:cs="宋体"/>
          <w:color w:val="auto"/>
          <w:kern w:val="0"/>
          <w:sz w:val="22"/>
          <w:szCs w:val="22"/>
          <w:highlight w:val="none"/>
        </w:rPr>
      </w:pPr>
      <w:r>
        <w:rPr>
          <w:rFonts w:hint="eastAsia" w:ascii="新宋体" w:hAnsi="新宋体" w:eastAsia="新宋体"/>
          <w:color w:val="auto"/>
          <w:sz w:val="22"/>
          <w:szCs w:val="22"/>
          <w:highlight w:val="none"/>
        </w:rPr>
        <w:br w:type="page"/>
      </w:r>
      <w:r>
        <w:rPr>
          <w:rFonts w:hint="eastAsia" w:ascii="新宋体" w:hAnsi="新宋体" w:eastAsia="新宋体" w:cs="宋体"/>
          <w:color w:val="auto"/>
          <w:kern w:val="0"/>
          <w:sz w:val="22"/>
          <w:szCs w:val="22"/>
          <w:highlight w:val="none"/>
        </w:rPr>
        <w:t>附件一</w:t>
      </w:r>
    </w:p>
    <w:p>
      <w:pPr>
        <w:widowControl/>
        <w:spacing w:line="460" w:lineRule="exact"/>
        <w:jc w:val="center"/>
        <w:rPr>
          <w:rFonts w:hint="eastAsia" w:ascii="新宋体" w:hAnsi="新宋体" w:eastAsia="新宋体" w:cs="宋体"/>
          <w:color w:val="auto"/>
          <w:kern w:val="0"/>
          <w:sz w:val="22"/>
          <w:szCs w:val="22"/>
          <w:highlight w:val="none"/>
        </w:rPr>
      </w:pPr>
    </w:p>
    <w:p>
      <w:pPr>
        <w:widowControl/>
        <w:spacing w:line="460" w:lineRule="exact"/>
        <w:jc w:val="center"/>
        <w:outlineLvl w:val="0"/>
        <w:rPr>
          <w:rFonts w:hint="eastAsia" w:ascii="新宋体" w:hAnsi="新宋体" w:eastAsia="新宋体" w:cs="宋体"/>
          <w:b/>
          <w:bCs/>
          <w:color w:val="auto"/>
          <w:kern w:val="0"/>
          <w:sz w:val="22"/>
          <w:szCs w:val="22"/>
          <w:highlight w:val="none"/>
        </w:rPr>
      </w:pPr>
      <w:r>
        <w:rPr>
          <w:rFonts w:hint="eastAsia" w:ascii="新宋体" w:hAnsi="新宋体" w:eastAsia="新宋体" w:cs="宋体"/>
          <w:color w:val="auto"/>
          <w:kern w:val="0"/>
          <w:sz w:val="22"/>
          <w:szCs w:val="22"/>
          <w:highlight w:val="none"/>
        </w:rPr>
        <w:t>招标文件</w:t>
      </w:r>
    </w:p>
    <w:p>
      <w:pPr>
        <w:widowControl/>
        <w:spacing w:line="460" w:lineRule="exact"/>
        <w:jc w:val="center"/>
        <w:rPr>
          <w:rFonts w:hint="eastAsia" w:ascii="新宋体" w:hAnsi="新宋体" w:eastAsia="新宋体" w:cs="宋体"/>
          <w:b/>
          <w:bCs/>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w:t>
      </w: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center"/>
        <w:outlineLvl w:val="1"/>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＿＿＿＿＿＿＿公司（印章）</w:t>
      </w: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pPr>
        <w:widowControl/>
        <w:spacing w:before="120" w:line="460" w:lineRule="exact"/>
        <w:ind w:firstLine="1320" w:firstLineChars="600"/>
        <w:jc w:val="left"/>
        <w:outlineLvl w:val="1"/>
        <w:rPr>
          <w:rFonts w:hint="eastAsia" w:ascii="新宋体" w:hAnsi="新宋体" w:eastAsia="新宋体" w:cs="宋体"/>
          <w:color w:val="auto"/>
          <w:kern w:val="0"/>
          <w:sz w:val="22"/>
          <w:szCs w:val="22"/>
          <w:highlight w:val="none"/>
        </w:rPr>
      </w:pPr>
    </w:p>
    <w:p>
      <w:pPr>
        <w:widowControl/>
        <w:spacing w:line="460" w:lineRule="exact"/>
        <w:jc w:val="left"/>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附件二</w:t>
      </w:r>
    </w:p>
    <w:p>
      <w:pPr>
        <w:widowControl/>
        <w:spacing w:line="460" w:lineRule="exact"/>
        <w:jc w:val="center"/>
        <w:rPr>
          <w:rFonts w:hint="eastAsia" w:ascii="新宋体" w:hAnsi="新宋体" w:eastAsia="新宋体" w:cs="宋体"/>
          <w:color w:val="auto"/>
          <w:kern w:val="0"/>
          <w:sz w:val="22"/>
          <w:szCs w:val="22"/>
          <w:highlight w:val="none"/>
        </w:rPr>
      </w:pPr>
    </w:p>
    <w:p>
      <w:pPr>
        <w:widowControl/>
        <w:spacing w:line="460" w:lineRule="exact"/>
        <w:jc w:val="center"/>
        <w:outlineLvl w:val="0"/>
        <w:rPr>
          <w:rFonts w:hint="eastAsia" w:ascii="新宋体" w:hAnsi="新宋体" w:eastAsia="新宋体" w:cs="宋体"/>
          <w:b/>
          <w:bCs/>
          <w:color w:val="auto"/>
          <w:kern w:val="0"/>
          <w:sz w:val="22"/>
          <w:szCs w:val="22"/>
          <w:highlight w:val="none"/>
        </w:rPr>
      </w:pPr>
      <w:r>
        <w:rPr>
          <w:rFonts w:hint="eastAsia" w:ascii="新宋体" w:hAnsi="新宋体" w:eastAsia="新宋体" w:cs="宋体"/>
          <w:color w:val="auto"/>
          <w:kern w:val="0"/>
          <w:sz w:val="22"/>
          <w:szCs w:val="22"/>
          <w:highlight w:val="none"/>
        </w:rPr>
        <w:t>乙方投标书</w:t>
      </w: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ascii="新宋体" w:hAnsi="新宋体" w:eastAsia="新宋体" w:cs="宋体"/>
          <w:b/>
          <w:bCs/>
          <w:color w:val="auto"/>
          <w:kern w:val="0"/>
          <w:sz w:val="22"/>
          <w:szCs w:val="22"/>
          <w:highlight w:val="none"/>
        </w:rPr>
      </w:pPr>
    </w:p>
    <w:p>
      <w:pPr>
        <w:widowControl/>
        <w:spacing w:line="460" w:lineRule="exact"/>
        <w:jc w:val="center"/>
        <w:rPr>
          <w:rFonts w:hint="eastAsia" w:ascii="新宋体" w:hAnsi="新宋体" w:eastAsia="新宋体" w:cs="宋体"/>
          <w:b/>
          <w:bCs/>
          <w:color w:val="auto"/>
          <w:kern w:val="0"/>
          <w:sz w:val="22"/>
          <w:szCs w:val="22"/>
          <w:highlight w:val="none"/>
        </w:rPr>
      </w:pPr>
    </w:p>
    <w:p>
      <w:pPr>
        <w:widowControl/>
        <w:spacing w:before="120" w:line="460" w:lineRule="exact"/>
        <w:ind w:firstLine="1870" w:firstLineChars="850"/>
        <w:jc w:val="center"/>
        <w:outlineLvl w:val="1"/>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＿＿＿＿＿＿＿公司（印章）</w:t>
      </w:r>
    </w:p>
    <w:p>
      <w:pPr>
        <w:widowControl/>
        <w:spacing w:before="120" w:line="460" w:lineRule="exact"/>
        <w:jc w:val="left"/>
        <w:rPr>
          <w:rFonts w:ascii="新宋体" w:hAnsi="新宋体" w:eastAsia="新宋体" w:cs="宋体"/>
          <w:color w:val="auto"/>
          <w:kern w:val="0"/>
          <w:sz w:val="22"/>
          <w:szCs w:val="22"/>
          <w:highlight w:val="none"/>
        </w:rPr>
      </w:pPr>
    </w:p>
    <w:p>
      <w:pPr>
        <w:widowControl/>
        <w:spacing w:before="120" w:line="460" w:lineRule="exact"/>
        <w:jc w:val="left"/>
        <w:rPr>
          <w:rFonts w:ascii="新宋体" w:hAnsi="新宋体" w:eastAsia="新宋体" w:cs="宋体"/>
          <w:color w:val="auto"/>
          <w:kern w:val="0"/>
          <w:sz w:val="22"/>
          <w:szCs w:val="22"/>
          <w:highlight w:val="none"/>
        </w:rPr>
      </w:pPr>
    </w:p>
    <w:p>
      <w:pPr>
        <w:widowControl/>
        <w:spacing w:before="120" w:line="460" w:lineRule="exact"/>
        <w:jc w:val="left"/>
        <w:rPr>
          <w:rFonts w:ascii="新宋体" w:hAnsi="新宋体" w:eastAsia="新宋体" w:cs="宋体"/>
          <w:color w:val="auto"/>
          <w:kern w:val="0"/>
          <w:sz w:val="22"/>
          <w:szCs w:val="22"/>
          <w:highlight w:val="none"/>
        </w:rPr>
      </w:pPr>
    </w:p>
    <w:p>
      <w:pPr>
        <w:widowControl/>
        <w:spacing w:before="120" w:line="460" w:lineRule="exact"/>
        <w:jc w:val="left"/>
        <w:rPr>
          <w:rFonts w:ascii="新宋体" w:hAnsi="新宋体" w:eastAsia="新宋体" w:cs="宋体"/>
          <w:color w:val="auto"/>
          <w:kern w:val="0"/>
          <w:sz w:val="22"/>
          <w:szCs w:val="22"/>
          <w:highlight w:val="none"/>
        </w:rPr>
      </w:pPr>
    </w:p>
    <w:p>
      <w:pPr>
        <w:widowControl/>
        <w:spacing w:before="120" w:line="460" w:lineRule="exact"/>
        <w:jc w:val="left"/>
        <w:rPr>
          <w:rFonts w:hint="eastAsia" w:ascii="新宋体" w:hAnsi="新宋体" w:eastAsia="新宋体" w:cs="宋体"/>
          <w:color w:val="auto"/>
          <w:kern w:val="0"/>
          <w:sz w:val="22"/>
          <w:szCs w:val="22"/>
          <w:highlight w:val="none"/>
        </w:rPr>
      </w:pPr>
    </w:p>
    <w:p>
      <w:pPr>
        <w:widowControl/>
        <w:spacing w:before="120" w:line="460" w:lineRule="exact"/>
        <w:jc w:val="left"/>
        <w:rPr>
          <w:rFonts w:ascii="新宋体" w:hAnsi="新宋体" w:eastAsia="新宋体" w:cs="宋体"/>
          <w:color w:val="auto"/>
          <w:kern w:val="0"/>
          <w:sz w:val="22"/>
          <w:szCs w:val="22"/>
          <w:highlight w:val="none"/>
        </w:rPr>
      </w:pPr>
    </w:p>
    <w:p>
      <w:pPr>
        <w:widowControl/>
        <w:spacing w:before="120" w:line="460" w:lineRule="exact"/>
        <w:jc w:val="left"/>
        <w:rPr>
          <w:rFonts w:ascii="新宋体" w:hAnsi="新宋体" w:eastAsia="新宋体" w:cs="宋体"/>
          <w:color w:val="auto"/>
          <w:kern w:val="0"/>
          <w:sz w:val="22"/>
          <w:szCs w:val="22"/>
          <w:highlight w:val="none"/>
        </w:rPr>
      </w:pPr>
    </w:p>
    <w:p>
      <w:pPr>
        <w:widowControl/>
        <w:spacing w:before="120" w:line="460" w:lineRule="exact"/>
        <w:jc w:val="left"/>
        <w:rPr>
          <w:rFonts w:ascii="新宋体" w:hAnsi="新宋体" w:eastAsia="新宋体" w:cs="宋体"/>
          <w:color w:val="auto"/>
          <w:kern w:val="0"/>
          <w:sz w:val="22"/>
          <w:szCs w:val="22"/>
          <w:highlight w:val="none"/>
        </w:rPr>
      </w:pPr>
    </w:p>
    <w:p>
      <w:pPr>
        <w:widowControl/>
        <w:spacing w:before="120" w:line="460" w:lineRule="exact"/>
        <w:jc w:val="left"/>
        <w:rPr>
          <w:rFonts w:ascii="新宋体" w:hAnsi="新宋体" w:eastAsia="新宋体" w:cs="宋体"/>
          <w:color w:val="auto"/>
          <w:kern w:val="0"/>
          <w:sz w:val="22"/>
          <w:szCs w:val="22"/>
          <w:highlight w:val="none"/>
        </w:rPr>
      </w:pPr>
    </w:p>
    <w:p>
      <w:pPr>
        <w:widowControl/>
        <w:spacing w:before="120" w:line="460" w:lineRule="exact"/>
        <w:jc w:val="left"/>
        <w:rPr>
          <w:rFonts w:ascii="新宋体" w:hAnsi="新宋体" w:eastAsia="新宋体" w:cs="宋体"/>
          <w:color w:val="auto"/>
          <w:kern w:val="0"/>
          <w:sz w:val="22"/>
          <w:szCs w:val="22"/>
          <w:highlight w:val="none"/>
        </w:rPr>
      </w:pPr>
    </w:p>
    <w:p>
      <w:pPr>
        <w:widowControl/>
        <w:spacing w:before="120" w:line="460" w:lineRule="exact"/>
        <w:jc w:val="left"/>
        <w:rPr>
          <w:rFonts w:ascii="新宋体" w:hAnsi="新宋体" w:eastAsia="新宋体" w:cs="宋体"/>
          <w:color w:val="auto"/>
          <w:kern w:val="0"/>
          <w:sz w:val="22"/>
          <w:szCs w:val="22"/>
          <w:highlight w:val="none"/>
        </w:rPr>
      </w:pPr>
    </w:p>
    <w:p>
      <w:pPr>
        <w:spacing w:line="460" w:lineRule="exact"/>
        <w:outlineLvl w:val="1"/>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附件三：维护项目价格组成</w:t>
      </w:r>
    </w:p>
    <w:p>
      <w:pPr>
        <w:spacing w:line="460" w:lineRule="exact"/>
        <w:ind w:firstLine="330" w:firstLineChars="150"/>
        <w:jc w:val="lef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(根据项目实际填写，以下格式供参考)</w:t>
      </w:r>
    </w:p>
    <w:p>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维护对象：</w:t>
      </w:r>
    </w:p>
    <w:p>
      <w:pPr>
        <w:spacing w:line="460" w:lineRule="exact"/>
        <w:ind w:firstLine="57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设备（产品）名称   型号  配置  购置价格   维护价格</w:t>
      </w:r>
    </w:p>
    <w:p>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备件清单</w:t>
      </w:r>
      <w:r>
        <w:rPr>
          <w:rFonts w:ascii="新宋体" w:hAnsi="新宋体" w:eastAsia="新宋体"/>
          <w:color w:val="auto"/>
          <w:sz w:val="22"/>
          <w:szCs w:val="22"/>
          <w:highlight w:val="none"/>
        </w:rPr>
        <w:t>:</w:t>
      </w:r>
    </w:p>
    <w:p>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备件名称   型号  配置  购置价格   放置地点</w:t>
      </w:r>
    </w:p>
    <w:p>
      <w:pPr>
        <w:spacing w:line="460" w:lineRule="exact"/>
        <w:rPr>
          <w:rFonts w:hint="eastAsia"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hint="eastAsia"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p>
    <w:p>
      <w:pPr>
        <w:spacing w:line="460" w:lineRule="exact"/>
        <w:outlineLvl w:val="1"/>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附件四：维护项目检验规格和验收标准</w:t>
      </w:r>
    </w:p>
    <w:p>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(根据项目实际填写，以下格式供参考)</w:t>
      </w:r>
    </w:p>
    <w:p>
      <w:pPr>
        <w:spacing w:line="460" w:lineRule="exact"/>
        <w:ind w:firstLine="570"/>
        <w:outlineLvl w:val="1"/>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（一）按第三条中约定的维护服务内容和要求逐项验收；</w:t>
      </w:r>
    </w:p>
    <w:p>
      <w:pPr>
        <w:spacing w:line="460" w:lineRule="exact"/>
        <w:ind w:firstLine="570"/>
        <w:outlineLvl w:val="1"/>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（二）其他验收标准约定如下：</w:t>
      </w:r>
    </w:p>
    <w:p>
      <w:pPr>
        <w:spacing w:line="460" w:lineRule="exact"/>
        <w:ind w:firstLine="57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1.每月对设备检查</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次，系统巡检</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次，维护期内系统宕机不得超过</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次，每</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月提交维护书面报告；</w:t>
      </w:r>
    </w:p>
    <w:p>
      <w:pPr>
        <w:spacing w:line="460" w:lineRule="exact"/>
        <w:ind w:firstLine="57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2.设备故障的响应时间为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小时，备件到达为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小时，故障修复为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小时；</w:t>
      </w:r>
    </w:p>
    <w:p>
      <w:pPr>
        <w:spacing w:line="460" w:lineRule="exact"/>
        <w:ind w:firstLine="57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3.产品软件的更新升级须在</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小时之内完成，系统恢复正常须在</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小时之内完成，数据恢复须在</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小时之内完成；</w:t>
      </w:r>
    </w:p>
    <w:p>
      <w:pPr>
        <w:spacing w:line="460" w:lineRule="exact"/>
        <w:ind w:firstLine="57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4.维护期内网络系统中断不得超过</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次，恢复时间为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小时；</w:t>
      </w:r>
    </w:p>
    <w:p>
      <w:pPr>
        <w:spacing w:line="460" w:lineRule="exact"/>
        <w:ind w:firstLine="57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5.维护期内应用系统运行死机不得超过</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次，系统恢复时间为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小时，新开发的模块须在  年  月  日前投入使用。</w:t>
      </w:r>
    </w:p>
    <w:p>
      <w:pPr>
        <w:spacing w:line="460" w:lineRule="exact"/>
        <w:ind w:firstLine="431" w:firstLineChars="196"/>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6.其他维护质量和验收标准为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 </w:t>
      </w: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ascii="新宋体" w:hAnsi="新宋体" w:eastAsia="新宋体"/>
          <w:color w:val="auto"/>
          <w:sz w:val="22"/>
          <w:szCs w:val="22"/>
          <w:highlight w:val="none"/>
        </w:rPr>
      </w:pPr>
    </w:p>
    <w:p>
      <w:pPr>
        <w:spacing w:line="460" w:lineRule="exact"/>
        <w:ind w:firstLine="440" w:firstLineChars="200"/>
        <w:rPr>
          <w:rFonts w:hint="eastAsia" w:ascii="新宋体" w:hAnsi="新宋体" w:eastAsia="新宋体"/>
          <w:color w:val="auto"/>
          <w:sz w:val="22"/>
          <w:szCs w:val="22"/>
          <w:highlight w:val="none"/>
        </w:rPr>
      </w:pPr>
    </w:p>
    <w:p>
      <w:pPr>
        <w:spacing w:line="460" w:lineRule="exact"/>
        <w:outlineLvl w:val="1"/>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附件五：项目管理小组成员 </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甲方成员：                    乙方成员：</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姓名：                        姓名：</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职务：                        职务：</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负责内容：                    负责内容：</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联系方式：                    联系方式：</w:t>
      </w:r>
    </w:p>
    <w:p>
      <w:pPr>
        <w:spacing w:line="460" w:lineRule="exact"/>
        <w:outlineLvl w:val="1"/>
        <w:rPr>
          <w:rFonts w:hint="eastAsia" w:ascii="新宋体" w:hAnsi="新宋体" w:eastAsia="新宋体" w:cs="仿宋_GB2312"/>
          <w:color w:val="auto"/>
          <w:sz w:val="22"/>
          <w:szCs w:val="22"/>
          <w:highlight w:val="none"/>
        </w:rPr>
      </w:pPr>
      <w:r>
        <w:rPr>
          <w:rFonts w:hint="eastAsia" w:ascii="新宋体" w:hAnsi="新宋体" w:eastAsia="新宋体"/>
          <w:color w:val="auto"/>
          <w:sz w:val="22"/>
          <w:szCs w:val="22"/>
          <w:highlight w:val="none"/>
        </w:rPr>
        <w:br w:type="page"/>
      </w:r>
      <w:r>
        <w:rPr>
          <w:rFonts w:hint="eastAsia" w:ascii="新宋体" w:hAnsi="新宋体" w:eastAsia="新宋体" w:cs="仿宋_GB2312"/>
          <w:color w:val="auto"/>
          <w:sz w:val="22"/>
          <w:szCs w:val="22"/>
          <w:highlight w:val="none"/>
        </w:rPr>
        <w:t>附件六：</w:t>
      </w:r>
    </w:p>
    <w:p>
      <w:pPr>
        <w:spacing w:line="460" w:lineRule="exact"/>
        <w:jc w:val="center"/>
        <w:outlineLvl w:val="0"/>
        <w:rPr>
          <w:rFonts w:hint="eastAsia" w:ascii="新宋体" w:hAnsi="新宋体" w:eastAsia="新宋体" w:cs="仿宋_GB2312"/>
          <w:b/>
          <w:color w:val="auto"/>
          <w:sz w:val="22"/>
          <w:szCs w:val="22"/>
          <w:highlight w:val="none"/>
        </w:rPr>
      </w:pPr>
      <w:r>
        <w:rPr>
          <w:rFonts w:hint="eastAsia" w:ascii="新宋体" w:hAnsi="新宋体" w:eastAsia="新宋体" w:cs="仿宋_GB2312"/>
          <w:b/>
          <w:color w:val="auto"/>
          <w:sz w:val="22"/>
          <w:szCs w:val="22"/>
          <w:highlight w:val="none"/>
          <w:lang w:bidi="ar"/>
        </w:rPr>
        <w:t>温州市公安局系统建设、运维安全保密协议</w:t>
      </w:r>
    </w:p>
    <w:p>
      <w:pPr>
        <w:spacing w:line="460" w:lineRule="exact"/>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lang w:bidi="ar"/>
        </w:rPr>
        <w:t xml:space="preserve">  </w:t>
      </w:r>
    </w:p>
    <w:p>
      <w:pPr>
        <w:spacing w:line="460" w:lineRule="exact"/>
        <w:outlineLvl w:val="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甲方</w:t>
      </w:r>
      <w:r>
        <w:rPr>
          <w:rFonts w:hint="eastAsia" w:ascii="新宋体" w:hAnsi="新宋体" w:eastAsia="新宋体" w:cs="仿宋_GB2312"/>
          <w:color w:val="auto"/>
          <w:sz w:val="22"/>
          <w:szCs w:val="22"/>
          <w:highlight w:val="none"/>
          <w:lang w:bidi="ar"/>
        </w:rPr>
        <w:t>：</w:t>
      </w:r>
      <w:r>
        <w:rPr>
          <w:rFonts w:hint="eastAsia" w:ascii="新宋体" w:hAnsi="新宋体" w:eastAsia="新宋体" w:cs="仿宋_GB2312"/>
          <w:color w:val="auto"/>
          <w:sz w:val="22"/>
          <w:szCs w:val="22"/>
          <w:highlight w:val="none"/>
          <w:u w:val="single"/>
          <w:lang w:bidi="ar"/>
        </w:rPr>
        <w:t xml:space="preserve">                  </w:t>
      </w:r>
      <w:r>
        <w:rPr>
          <w:rFonts w:hint="eastAsia" w:ascii="新宋体" w:hAnsi="新宋体" w:eastAsia="新宋体" w:cs="仿宋_GB2312"/>
          <w:color w:val="auto"/>
          <w:sz w:val="22"/>
          <w:szCs w:val="22"/>
          <w:highlight w:val="none"/>
          <w:lang w:bidi="ar"/>
        </w:rPr>
        <w:t>（公安机关单位名称）</w:t>
      </w:r>
    </w:p>
    <w:p>
      <w:pPr>
        <w:spacing w:line="460" w:lineRule="exact"/>
        <w:outlineLvl w:val="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乙方</w:t>
      </w:r>
      <w:r>
        <w:rPr>
          <w:rFonts w:hint="eastAsia" w:ascii="新宋体" w:hAnsi="新宋体" w:eastAsia="新宋体" w:cs="仿宋_GB2312"/>
          <w:color w:val="auto"/>
          <w:sz w:val="22"/>
          <w:szCs w:val="22"/>
          <w:highlight w:val="none"/>
          <w:lang w:bidi="ar"/>
        </w:rPr>
        <w:t>：</w:t>
      </w:r>
      <w:r>
        <w:rPr>
          <w:rFonts w:hint="eastAsia" w:ascii="新宋体" w:hAnsi="新宋体" w:eastAsia="新宋体" w:cs="仿宋_GB2312"/>
          <w:color w:val="auto"/>
          <w:sz w:val="22"/>
          <w:szCs w:val="22"/>
          <w:highlight w:val="none"/>
          <w:u w:val="single"/>
          <w:lang w:bidi="ar"/>
        </w:rPr>
        <w:t xml:space="preserve">         </w:t>
      </w:r>
      <w:r>
        <w:rPr>
          <w:rFonts w:hint="eastAsia" w:ascii="新宋体" w:hAnsi="新宋体" w:eastAsia="新宋体" w:cs="仿宋_GB2312"/>
          <w:color w:val="auto"/>
          <w:sz w:val="22"/>
          <w:szCs w:val="22"/>
          <w:highlight w:val="none"/>
          <w:lang w:bidi="ar"/>
        </w:rPr>
        <w:t>（合作单位名称）</w:t>
      </w:r>
    </w:p>
    <w:p>
      <w:pPr>
        <w:spacing w:line="460" w:lineRule="exact"/>
        <w:ind w:firstLine="440"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lang w:bidi="ar"/>
        </w:rPr>
        <w:t>为切实保障公安网络和信息安全保密，根据公安部《公安信息网安全管理规定（试行）》第五章第二十七条规定，为确保“</w:t>
      </w:r>
      <w:r>
        <w:rPr>
          <w:rFonts w:hint="eastAsia" w:ascii="新宋体" w:hAnsi="新宋体" w:eastAsia="新宋体" w:cs="仿宋_GB2312"/>
          <w:color w:val="auto"/>
          <w:sz w:val="22"/>
          <w:szCs w:val="22"/>
          <w:highlight w:val="none"/>
          <w:u w:val="single"/>
          <w:lang w:bidi="ar"/>
        </w:rPr>
        <w:t xml:space="preserve">      </w:t>
      </w:r>
      <w:r>
        <w:rPr>
          <w:rFonts w:hint="eastAsia" w:ascii="新宋体" w:hAnsi="新宋体" w:eastAsia="新宋体" w:cs="仿宋_GB2312"/>
          <w:color w:val="auto"/>
          <w:sz w:val="22"/>
          <w:szCs w:val="22"/>
          <w:highlight w:val="none"/>
          <w:lang w:bidi="ar"/>
        </w:rPr>
        <w:t xml:space="preserve"> ”项目所涉及的网络与信息安全，双方同意签定如下保密协议：</w:t>
      </w:r>
    </w:p>
    <w:p>
      <w:pPr>
        <w:spacing w:line="460" w:lineRule="exact"/>
        <w:ind w:firstLine="442" w:firstLineChars="200"/>
        <w:outlineLvl w:val="0"/>
        <w:rPr>
          <w:rFonts w:hint="eastAsia" w:ascii="新宋体" w:hAnsi="新宋体" w:eastAsia="新宋体" w:cs="仿宋_GB2312"/>
          <w:b/>
          <w:color w:val="auto"/>
          <w:sz w:val="22"/>
          <w:szCs w:val="22"/>
          <w:highlight w:val="none"/>
        </w:rPr>
      </w:pPr>
      <w:r>
        <w:rPr>
          <w:rFonts w:hint="eastAsia" w:ascii="新宋体" w:hAnsi="新宋体" w:eastAsia="新宋体" w:cs="仿宋_GB2312"/>
          <w:b/>
          <w:color w:val="auto"/>
          <w:sz w:val="22"/>
          <w:szCs w:val="22"/>
          <w:highlight w:val="none"/>
          <w:lang w:bidi="ar"/>
        </w:rPr>
        <w:t>一、保密范围：</w:t>
      </w:r>
    </w:p>
    <w:p>
      <w:pPr>
        <w:spacing w:line="460" w:lineRule="exact"/>
        <w:ind w:firstLine="442"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1．</w:t>
      </w:r>
      <w:r>
        <w:rPr>
          <w:rFonts w:hint="eastAsia" w:ascii="新宋体" w:hAnsi="新宋体" w:eastAsia="新宋体" w:cs="仿宋_GB2312"/>
          <w:color w:val="auto"/>
          <w:sz w:val="22"/>
          <w:szCs w:val="22"/>
          <w:highlight w:val="none"/>
          <w:lang w:bidi="ar"/>
        </w:rPr>
        <w:t>乙方为建设甲方的“</w:t>
      </w:r>
      <w:r>
        <w:rPr>
          <w:rFonts w:hint="eastAsia" w:ascii="新宋体" w:hAnsi="新宋体" w:eastAsia="新宋体" w:cs="仿宋_GB2312"/>
          <w:color w:val="auto"/>
          <w:sz w:val="22"/>
          <w:szCs w:val="22"/>
          <w:highlight w:val="none"/>
          <w:u w:val="single"/>
          <w:lang w:bidi="ar"/>
        </w:rPr>
        <w:t xml:space="preserve">      </w:t>
      </w:r>
      <w:r>
        <w:rPr>
          <w:rFonts w:hint="eastAsia" w:ascii="新宋体" w:hAnsi="新宋体" w:eastAsia="新宋体" w:cs="仿宋_GB2312"/>
          <w:color w:val="auto"/>
          <w:sz w:val="22"/>
          <w:szCs w:val="22"/>
          <w:highlight w:val="none"/>
          <w:lang w:bidi="ar"/>
        </w:rPr>
        <w:t>”而了解、掌握的甲方公安信息网络系统的包括但不限于拓扑结构、安全保密措施、PKI/PMI等各项参数，以及甲方场地环境、硬件、软件、电子信息和所有资料内容（以上简称专有信息）。</w:t>
      </w:r>
    </w:p>
    <w:p>
      <w:pPr>
        <w:spacing w:line="460" w:lineRule="exact"/>
        <w:ind w:firstLine="442" w:firstLineChars="200"/>
        <w:outlineLvl w:val="0"/>
        <w:rPr>
          <w:rFonts w:hint="eastAsia" w:ascii="新宋体" w:hAnsi="新宋体" w:eastAsia="新宋体" w:cs="仿宋_GB2312"/>
          <w:b/>
          <w:color w:val="auto"/>
          <w:sz w:val="22"/>
          <w:szCs w:val="22"/>
          <w:highlight w:val="none"/>
        </w:rPr>
      </w:pPr>
      <w:r>
        <w:rPr>
          <w:rFonts w:hint="eastAsia" w:ascii="新宋体" w:hAnsi="新宋体" w:eastAsia="新宋体" w:cs="仿宋_GB2312"/>
          <w:b/>
          <w:color w:val="auto"/>
          <w:sz w:val="22"/>
          <w:szCs w:val="22"/>
          <w:highlight w:val="none"/>
          <w:lang w:bidi="ar"/>
        </w:rPr>
        <w:t>二、保密责任</w:t>
      </w:r>
    </w:p>
    <w:p>
      <w:pPr>
        <w:spacing w:line="460" w:lineRule="exact"/>
        <w:ind w:firstLine="442"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2．</w:t>
      </w:r>
      <w:r>
        <w:rPr>
          <w:rFonts w:hint="eastAsia" w:ascii="新宋体" w:hAnsi="新宋体" w:eastAsia="新宋体" w:cs="仿宋_GB2312"/>
          <w:color w:val="auto"/>
          <w:sz w:val="22"/>
          <w:szCs w:val="22"/>
          <w:highlight w:val="none"/>
          <w:lang w:bidi="ar"/>
        </w:rPr>
        <w:t>甲方有权加强对乙方及参与本项目工作员工的安全保密监管，及时发现安全保密隐患和问题。乙方应配合甲方对乙方有关人员进行审查、教育培训，及时调整不合适的人员。</w:t>
      </w:r>
    </w:p>
    <w:p>
      <w:pPr>
        <w:spacing w:line="460" w:lineRule="exact"/>
        <w:ind w:firstLine="442"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3．</w:t>
      </w:r>
      <w:r>
        <w:rPr>
          <w:rFonts w:hint="eastAsia" w:ascii="新宋体" w:hAnsi="新宋体" w:eastAsia="新宋体" w:cs="仿宋_GB2312"/>
          <w:color w:val="auto"/>
          <w:sz w:val="22"/>
          <w:szCs w:val="22"/>
          <w:highlight w:val="none"/>
          <w:lang w:bidi="ar"/>
        </w:rPr>
        <w:t>乙方必须在签定本保密协议后，才可使用甲方提供的有关专有信息，建设“</w:t>
      </w:r>
      <w:r>
        <w:rPr>
          <w:rFonts w:hint="eastAsia" w:ascii="新宋体" w:hAnsi="新宋体" w:eastAsia="新宋体" w:cs="仿宋_GB2312"/>
          <w:color w:val="auto"/>
          <w:sz w:val="22"/>
          <w:szCs w:val="22"/>
          <w:highlight w:val="none"/>
          <w:u w:val="single"/>
          <w:lang w:bidi="ar"/>
        </w:rPr>
        <w:t xml:space="preserve">      </w:t>
      </w:r>
      <w:r>
        <w:rPr>
          <w:rFonts w:hint="eastAsia" w:ascii="新宋体" w:hAnsi="新宋体" w:eastAsia="新宋体" w:cs="仿宋_GB2312"/>
          <w:color w:val="auto"/>
          <w:sz w:val="22"/>
          <w:szCs w:val="22"/>
          <w:highlight w:val="none"/>
          <w:lang w:bidi="ar"/>
        </w:rPr>
        <w:t>”。</w:t>
      </w:r>
    </w:p>
    <w:p>
      <w:pPr>
        <w:spacing w:line="460" w:lineRule="exact"/>
        <w:ind w:firstLine="442"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4．</w:t>
      </w:r>
      <w:r>
        <w:rPr>
          <w:rFonts w:hint="eastAsia" w:ascii="新宋体" w:hAnsi="新宋体" w:eastAsia="新宋体" w:cs="仿宋_GB2312"/>
          <w:color w:val="auto"/>
          <w:sz w:val="22"/>
          <w:szCs w:val="22"/>
          <w:highlight w:val="none"/>
          <w:lang w:bidi="ar"/>
        </w:rPr>
        <w:t>乙方有义务严格控制使用甲方的专有信息，保证不向第三方泄露甲方提供的任何专有信息，并对该专有信息提供管理良好的安全保密措施。</w:t>
      </w:r>
    </w:p>
    <w:p>
      <w:pPr>
        <w:spacing w:line="460" w:lineRule="exact"/>
        <w:ind w:firstLine="442"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5．</w:t>
      </w:r>
      <w:r>
        <w:rPr>
          <w:rFonts w:hint="eastAsia" w:ascii="新宋体" w:hAnsi="新宋体" w:eastAsia="新宋体" w:cs="仿宋_GB2312"/>
          <w:color w:val="auto"/>
          <w:sz w:val="22"/>
          <w:szCs w:val="22"/>
          <w:highlight w:val="none"/>
          <w:lang w:bidi="ar"/>
        </w:rPr>
        <w:t>建设涉密信息系统，乙方须具有国家保密工作部门核发的《资质证书》，制定甲方认可的安全保密管理方案，并采用适当的安全保密技术和措施对涉密系统进行集成。</w:t>
      </w:r>
    </w:p>
    <w:p>
      <w:pPr>
        <w:spacing w:line="460" w:lineRule="exact"/>
        <w:ind w:firstLine="442" w:firstLineChars="200"/>
        <w:rPr>
          <w:rFonts w:hint="eastAsia" w:ascii="新宋体" w:hAnsi="新宋体" w:eastAsia="新宋体" w:cs="仿宋_GB2312"/>
          <w:b/>
          <w:color w:val="auto"/>
          <w:sz w:val="22"/>
          <w:szCs w:val="22"/>
          <w:highlight w:val="none"/>
        </w:rPr>
      </w:pPr>
      <w:r>
        <w:rPr>
          <w:rFonts w:hint="eastAsia" w:ascii="新宋体" w:hAnsi="新宋体" w:eastAsia="新宋体" w:cs="仿宋_GB2312"/>
          <w:b/>
          <w:color w:val="auto"/>
          <w:sz w:val="22"/>
          <w:szCs w:val="22"/>
          <w:highlight w:val="none"/>
          <w:lang w:bidi="ar"/>
        </w:rPr>
        <w:t>6．</w:t>
      </w:r>
      <w:r>
        <w:rPr>
          <w:rFonts w:hint="eastAsia" w:ascii="新宋体" w:hAnsi="新宋体" w:eastAsia="新宋体" w:cs="仿宋_GB2312"/>
          <w:color w:val="auto"/>
          <w:sz w:val="22"/>
          <w:szCs w:val="22"/>
          <w:highlight w:val="none"/>
          <w:lang w:bidi="ar"/>
        </w:rPr>
        <w:t>乙方不能将甲方的专有信息用于其它任何目的。除乙方直接参与本项工程的职员之外，不将专有信息透露给其它任何人。乙方及其参与本项工作的员工严禁在系统建设中私设“后门”，非法访问系统。否则，将追究乙方的刑事责任。乙方应当告知并采取有效措施要求参与本项工作的员工遵守本协议规定。</w:t>
      </w:r>
    </w:p>
    <w:p>
      <w:pPr>
        <w:spacing w:line="460" w:lineRule="exact"/>
        <w:ind w:firstLine="442"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7．</w:t>
      </w:r>
      <w:r>
        <w:rPr>
          <w:rFonts w:hint="eastAsia" w:ascii="新宋体" w:hAnsi="新宋体" w:eastAsia="新宋体" w:cs="仿宋_GB2312"/>
          <w:color w:val="auto"/>
          <w:sz w:val="22"/>
          <w:szCs w:val="22"/>
          <w:highlight w:val="none"/>
          <w:lang w:bidi="ar"/>
        </w:rPr>
        <w:t>乙方发现保密范围内的有关事项已经泄露或可能泄露时应当报告甲方，并及时采取补救措施。</w:t>
      </w:r>
    </w:p>
    <w:p>
      <w:pPr>
        <w:spacing w:line="460" w:lineRule="exact"/>
        <w:ind w:firstLine="442"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8．</w:t>
      </w:r>
      <w:r>
        <w:rPr>
          <w:rFonts w:hint="eastAsia" w:ascii="新宋体" w:hAnsi="新宋体" w:eastAsia="新宋体" w:cs="仿宋_GB2312"/>
          <w:color w:val="auto"/>
          <w:sz w:val="22"/>
          <w:szCs w:val="22"/>
          <w:highlight w:val="none"/>
          <w:lang w:bidi="ar"/>
        </w:rPr>
        <w:t>当甲方要求乙方交回专有信息时，乙方应当立即交回所有书面的或其他形式的专有信息以及所有描述和概括该专有信息的文件资料，不能以任何形式保留或擅自处理。</w:t>
      </w:r>
    </w:p>
    <w:p>
      <w:pPr>
        <w:spacing w:line="460" w:lineRule="exact"/>
        <w:ind w:firstLine="442" w:firstLineChars="200"/>
        <w:outlineLvl w:val="0"/>
        <w:rPr>
          <w:rFonts w:hint="eastAsia" w:ascii="新宋体" w:hAnsi="新宋体" w:eastAsia="新宋体" w:cs="仿宋_GB2312"/>
          <w:b/>
          <w:color w:val="auto"/>
          <w:sz w:val="22"/>
          <w:szCs w:val="22"/>
          <w:highlight w:val="none"/>
        </w:rPr>
      </w:pPr>
      <w:r>
        <w:rPr>
          <w:rFonts w:hint="eastAsia" w:ascii="新宋体" w:hAnsi="新宋体" w:eastAsia="新宋体" w:cs="仿宋_GB2312"/>
          <w:b/>
          <w:color w:val="auto"/>
          <w:sz w:val="22"/>
          <w:szCs w:val="22"/>
          <w:highlight w:val="none"/>
          <w:lang w:bidi="ar"/>
        </w:rPr>
        <w:t>三、违约责任</w:t>
      </w:r>
    </w:p>
    <w:p>
      <w:pPr>
        <w:spacing w:line="460" w:lineRule="exact"/>
        <w:ind w:firstLine="442"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9．</w:t>
      </w:r>
      <w:r>
        <w:rPr>
          <w:rFonts w:hint="eastAsia" w:ascii="新宋体" w:hAnsi="新宋体" w:eastAsia="新宋体" w:cs="仿宋_GB2312"/>
          <w:color w:val="auto"/>
          <w:sz w:val="22"/>
          <w:szCs w:val="22"/>
          <w:highlight w:val="none"/>
          <w:lang w:bidi="ar"/>
        </w:rPr>
        <w:t>乙方或参与本项工作之员工违反本协议规定，造成泄密事件，乙方应承担有关法律责任，并赔偿相应经济损失（详见主合同保密条款）。</w:t>
      </w:r>
    </w:p>
    <w:p>
      <w:pPr>
        <w:spacing w:line="460" w:lineRule="exact"/>
        <w:ind w:firstLine="442" w:firstLineChars="200"/>
        <w:outlineLvl w:val="0"/>
        <w:rPr>
          <w:rFonts w:hint="eastAsia" w:ascii="新宋体" w:hAnsi="新宋体" w:eastAsia="新宋体" w:cs="仿宋_GB2312"/>
          <w:b/>
          <w:color w:val="auto"/>
          <w:sz w:val="22"/>
          <w:szCs w:val="22"/>
          <w:highlight w:val="none"/>
        </w:rPr>
      </w:pPr>
      <w:r>
        <w:rPr>
          <w:rFonts w:hint="eastAsia" w:ascii="新宋体" w:hAnsi="新宋体" w:eastAsia="新宋体" w:cs="仿宋_GB2312"/>
          <w:b/>
          <w:color w:val="auto"/>
          <w:sz w:val="22"/>
          <w:szCs w:val="22"/>
          <w:highlight w:val="none"/>
          <w:lang w:bidi="ar"/>
        </w:rPr>
        <w:t>四、保密期限</w:t>
      </w:r>
    </w:p>
    <w:p>
      <w:pPr>
        <w:spacing w:line="460" w:lineRule="exact"/>
        <w:ind w:firstLine="442" w:firstLineChars="200"/>
        <w:rPr>
          <w:rFonts w:hint="eastAsia" w:ascii="新宋体" w:hAnsi="新宋体" w:eastAsia="新宋体" w:cs="仿宋_GB2312"/>
          <w:color w:val="auto"/>
          <w:sz w:val="22"/>
          <w:szCs w:val="22"/>
          <w:highlight w:val="none"/>
        </w:rPr>
      </w:pPr>
      <w:r>
        <w:rPr>
          <w:rFonts w:hint="eastAsia" w:ascii="新宋体" w:hAnsi="新宋体" w:eastAsia="新宋体" w:cs="仿宋_GB2312"/>
          <w:b/>
          <w:color w:val="auto"/>
          <w:sz w:val="22"/>
          <w:szCs w:val="22"/>
          <w:highlight w:val="none"/>
          <w:lang w:bidi="ar"/>
        </w:rPr>
        <w:t>10．</w:t>
      </w:r>
      <w:r>
        <w:rPr>
          <w:rFonts w:hint="eastAsia" w:ascii="新宋体" w:hAnsi="新宋体" w:eastAsia="新宋体" w:cs="仿宋_GB2312"/>
          <w:color w:val="auto"/>
          <w:sz w:val="22"/>
          <w:szCs w:val="22"/>
          <w:highlight w:val="none"/>
          <w:lang w:bidi="ar"/>
        </w:rPr>
        <w:t>自本协议生效之日起，双方的合作交流都要符合本协议的条款。除非甲方通过书面通知明确说明对本协议所涉及的某项专有信息予以解密或同意共享，乙方必须按照本协议所承担的保密义务对在建设本系统中掌握的专有信息进行保密，保密期限为永久并不受本协议有效期限的限制。</w:t>
      </w:r>
    </w:p>
    <w:p>
      <w:pPr>
        <w:spacing w:line="460" w:lineRule="exact"/>
        <w:ind w:firstLine="442" w:firstLineChars="200"/>
        <w:outlineLvl w:val="0"/>
        <w:rPr>
          <w:rFonts w:hint="eastAsia" w:ascii="新宋体" w:hAnsi="新宋体" w:eastAsia="新宋体" w:cs="仿宋_GB2312"/>
          <w:b/>
          <w:color w:val="auto"/>
          <w:sz w:val="22"/>
          <w:szCs w:val="22"/>
          <w:highlight w:val="none"/>
        </w:rPr>
      </w:pPr>
      <w:r>
        <w:rPr>
          <w:rFonts w:hint="eastAsia" w:ascii="新宋体" w:hAnsi="新宋体" w:eastAsia="新宋体" w:cs="仿宋_GB2312"/>
          <w:b/>
          <w:color w:val="auto"/>
          <w:sz w:val="22"/>
          <w:szCs w:val="22"/>
          <w:highlight w:val="none"/>
          <w:lang w:bidi="ar"/>
        </w:rPr>
        <w:t>五、附则</w:t>
      </w:r>
    </w:p>
    <w:p>
      <w:pPr>
        <w:spacing w:line="460" w:lineRule="exact"/>
        <w:ind w:firstLine="442" w:firstLineChars="200"/>
        <w:rPr>
          <w:rFonts w:ascii="新宋体" w:hAnsi="新宋体" w:eastAsia="新宋体"/>
          <w:color w:val="auto"/>
          <w:sz w:val="22"/>
          <w:szCs w:val="22"/>
          <w:highlight w:val="none"/>
        </w:rPr>
      </w:pPr>
      <w:r>
        <w:rPr>
          <w:rFonts w:hint="eastAsia" w:ascii="新宋体" w:hAnsi="新宋体" w:eastAsia="新宋体" w:cs="仿宋_GB2312"/>
          <w:b/>
          <w:color w:val="auto"/>
          <w:sz w:val="22"/>
          <w:szCs w:val="22"/>
          <w:highlight w:val="none"/>
          <w:lang w:bidi="ar"/>
        </w:rPr>
        <w:t>11．</w:t>
      </w:r>
      <w:r>
        <w:rPr>
          <w:rFonts w:hint="eastAsia" w:ascii="新宋体" w:hAnsi="新宋体" w:eastAsia="新宋体" w:cs="仿宋_GB2312"/>
          <w:color w:val="auto"/>
          <w:sz w:val="22"/>
          <w:szCs w:val="22"/>
          <w:highlight w:val="none"/>
        </w:rPr>
        <w:t xml:space="preserve"> </w:t>
      </w:r>
      <w:r>
        <w:rPr>
          <w:rFonts w:hint="eastAsia" w:ascii="新宋体" w:hAnsi="新宋体" w:eastAsia="新宋体"/>
          <w:color w:val="auto"/>
          <w:sz w:val="22"/>
          <w:szCs w:val="22"/>
          <w:highlight w:val="none"/>
        </w:rPr>
        <w:t>本协议双方签字盖章后生效。</w:t>
      </w:r>
    </w:p>
    <w:p>
      <w:pPr>
        <w:spacing w:line="460" w:lineRule="exact"/>
        <w:ind w:firstLine="440" w:firstLineChars="200"/>
        <w:rPr>
          <w:rFonts w:hint="eastAsia" w:ascii="新宋体" w:hAnsi="新宋体" w:eastAsia="新宋体" w:cs="仿宋_GB2312"/>
          <w:color w:val="auto"/>
          <w:sz w:val="22"/>
          <w:szCs w:val="22"/>
          <w:highlight w:val="none"/>
        </w:rPr>
      </w:pPr>
    </w:p>
    <w:p>
      <w:pPr>
        <w:spacing w:line="460" w:lineRule="exact"/>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lang w:bidi="ar"/>
        </w:rPr>
        <w:t>甲方代表签字：               乙方代表签字：</w:t>
      </w:r>
    </w:p>
    <w:p>
      <w:pPr>
        <w:spacing w:line="460" w:lineRule="exact"/>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lang w:bidi="ar"/>
        </w:rPr>
        <w:t>单位盖章                     单位盖章</w:t>
      </w:r>
    </w:p>
    <w:p>
      <w:pPr>
        <w:spacing w:line="460" w:lineRule="exact"/>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lang w:bidi="ar"/>
        </w:rPr>
        <w:t>日期：                       日期：</w:t>
      </w:r>
    </w:p>
    <w:p>
      <w:pPr>
        <w:spacing w:line="560" w:lineRule="exact"/>
        <w:ind w:firstLine="470" w:firstLineChars="196"/>
        <w:rPr>
          <w:rFonts w:hint="eastAsia" w:ascii="仿宋" w:hAnsi="仿宋" w:eastAsia="仿宋" w:cs="仿宋"/>
          <w:color w:val="auto"/>
          <w:sz w:val="24"/>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rPr>
        <w:t>政府采购履约验收书</w:t>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（参考模板）</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902"/>
        <w:gridCol w:w="1319"/>
        <w:gridCol w:w="217"/>
        <w:gridCol w:w="1176"/>
        <w:gridCol w:w="246"/>
        <w:gridCol w:w="631"/>
        <w:gridCol w:w="1335"/>
        <w:gridCol w:w="594"/>
        <w:gridCol w:w="744"/>
        <w:gridCol w:w="32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合同规定验收时间</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项目类型</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服务</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（二）验收方式与方法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验收组织方式</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自行组织/</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委托代理</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代理机构名称</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验收方式</w:t>
            </w:r>
          </w:p>
        </w:tc>
        <w:tc>
          <w:tcPr>
            <w:tcW w:w="3827" w:type="dxa"/>
            <w:gridSpan w:val="5"/>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一般验收程序/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简易验收程序</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选择简易验收理由</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验收方法</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选择非一次性验收理由</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大型或复杂项目</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c>
          <w:tcPr>
            <w:tcW w:w="1421" w:type="dxa"/>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邀请本项目其他供应商</w:t>
            </w:r>
          </w:p>
        </w:tc>
        <w:tc>
          <w:tcPr>
            <w:tcW w:w="2543" w:type="dxa"/>
            <w:gridSpan w:val="4"/>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参与验收监测机构名称</w:t>
            </w: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vMerge w:val="continue"/>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参与验收供应商名称</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向社会公众提供的公共服务项目方式</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c>
          <w:tcPr>
            <w:tcW w:w="1421" w:type="dxa"/>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采购人、使用人分离项目</w:t>
            </w:r>
          </w:p>
        </w:tc>
        <w:tc>
          <w:tcPr>
            <w:tcW w:w="2543" w:type="dxa"/>
            <w:gridSpan w:val="4"/>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参与验收服务对象</w:t>
            </w: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vMerge w:val="continue"/>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使用单位名称</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（三）验收人员组成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验收小组总人数</w:t>
            </w:r>
          </w:p>
        </w:tc>
        <w:tc>
          <w:tcPr>
            <w:tcW w:w="1408" w:type="dxa"/>
            <w:noWrap w:val="0"/>
            <w:vAlign w:val="center"/>
          </w:tcPr>
          <w:p>
            <w:pPr>
              <w:jc w:val="center"/>
              <w:rPr>
                <w:rFonts w:hint="eastAsia" w:ascii="仿宋" w:hAnsi="仿宋" w:eastAsia="仿宋" w:cs="仿宋"/>
                <w:color w:val="auto"/>
                <w:sz w:val="24"/>
                <w:highlight w:val="none"/>
              </w:rPr>
            </w:pPr>
          </w:p>
        </w:tc>
        <w:tc>
          <w:tcPr>
            <w:tcW w:w="1485"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专业技术人员人数</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实际使用人人数（如有）</w:t>
            </w:r>
          </w:p>
        </w:tc>
        <w:tc>
          <w:tcPr>
            <w:tcW w:w="627" w:type="dxa"/>
            <w:noWrap w:val="0"/>
            <w:vAlign w:val="center"/>
          </w:tcPr>
          <w:p>
            <w:pPr>
              <w:jc w:val="center"/>
              <w:rPr>
                <w:rFonts w:hint="eastAsia" w:ascii="仿宋" w:hAnsi="仿宋" w:eastAsia="仿宋" w:cs="仿宋"/>
                <w:color w:val="auto"/>
                <w:sz w:val="24"/>
                <w:highlight w:val="none"/>
              </w:rPr>
            </w:pPr>
          </w:p>
        </w:tc>
        <w:tc>
          <w:tcPr>
            <w:tcW w:w="1147"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其他验收人员数量</w:t>
            </w:r>
          </w:p>
        </w:tc>
        <w:tc>
          <w:tcPr>
            <w:tcW w:w="769"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验收人员姓名</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工作单位</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职称（专业）</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（四）验收主要指标和标准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6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2178"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货物型号规格、标准及配置等（或服务内容、标准）</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p>
        </w:tc>
        <w:tc>
          <w:tcPr>
            <w:tcW w:w="962" w:type="dxa"/>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p>
        </w:tc>
        <w:tc>
          <w:tcPr>
            <w:tcW w:w="962" w:type="dxa"/>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p>
        </w:tc>
        <w:tc>
          <w:tcPr>
            <w:tcW w:w="962" w:type="dxa"/>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分期情况</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共分 期，此为第  期验收</w:t>
            </w:r>
          </w:p>
        </w:tc>
        <w:tc>
          <w:tcPr>
            <w:tcW w:w="1421"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分段情况     </w:t>
            </w:r>
          </w:p>
        </w:tc>
        <w:tc>
          <w:tcPr>
            <w:tcW w:w="2543" w:type="dxa"/>
            <w:gridSpan w:val="4"/>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共分  段，此为   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第三方参考情况说明</w:t>
            </w: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评价对象</w:t>
            </w:r>
          </w:p>
        </w:tc>
        <w:tc>
          <w:tcPr>
            <w:tcW w:w="2178" w:type="dxa"/>
            <w:gridSpan w:val="3"/>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评价结果</w:t>
            </w:r>
          </w:p>
        </w:tc>
        <w:tc>
          <w:tcPr>
            <w:tcW w:w="2845"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检测机构</w:t>
            </w:r>
          </w:p>
        </w:tc>
        <w:tc>
          <w:tcPr>
            <w:tcW w:w="2178"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845" w:type="dxa"/>
            <w:gridSpan w:val="3"/>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其他供应商</w:t>
            </w:r>
          </w:p>
        </w:tc>
        <w:tc>
          <w:tcPr>
            <w:tcW w:w="2178"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845" w:type="dxa"/>
            <w:gridSpan w:val="3"/>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服务对象</w:t>
            </w:r>
          </w:p>
        </w:tc>
        <w:tc>
          <w:tcPr>
            <w:tcW w:w="2178"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845" w:type="dxa"/>
            <w:gridSpan w:val="3"/>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货物类验收内容及验收情况</w:t>
            </w: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93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货物清单</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品牌、型号、规格、数量、及外观数量</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技术、性能指标</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运行状况及安装调试</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质量证明文件</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售后服务承诺</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安全标准</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服务类验收内容及结果</w:t>
            </w: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93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服务质量</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服务进度</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人员、设备配备情况</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安全标准</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服务承诺时限</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存在问题和改进意见</w:t>
            </w:r>
          </w:p>
        </w:tc>
        <w:tc>
          <w:tcPr>
            <w:tcW w:w="7791" w:type="dxa"/>
            <w:gridSpan w:val="10"/>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验收小组意见</w:t>
            </w:r>
          </w:p>
        </w:tc>
        <w:tc>
          <w:tcPr>
            <w:tcW w:w="7791" w:type="dxa"/>
            <w:gridSpan w:val="10"/>
            <w:noWrap w:val="0"/>
            <w:vAlign w:val="center"/>
          </w:tcPr>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验收结论性意见：</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其他需要说明的事项：</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7791" w:type="dxa"/>
            <w:gridSpan w:val="10"/>
            <w:noWrap w:val="0"/>
            <w:vAlign w:val="center"/>
          </w:tcPr>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有异议的意见和说明理由：</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wordWrap w:val="0"/>
              <w:ind w:right="31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验收小组成员签字：</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272" w:type="dxa"/>
            <w:gridSpan w:val="6"/>
            <w:noWrap w:val="0"/>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采购人意见：</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       负责人：       （盖章）</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rPr>
                <w:rFonts w:hint="eastAsia" w:ascii="仿宋" w:hAnsi="仿宋" w:eastAsia="仿宋" w:cs="仿宋"/>
                <w:color w:val="auto"/>
                <w:sz w:val="24"/>
                <w:highlight w:val="none"/>
              </w:rPr>
            </w:pPr>
          </w:p>
        </w:tc>
        <w:tc>
          <w:tcPr>
            <w:tcW w:w="4643" w:type="dxa"/>
            <w:gridSpan w:val="6"/>
            <w:noWrap w:val="0"/>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供应商确认：</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供应商盖章或授权代表签字：</w:t>
            </w:r>
          </w:p>
          <w:p>
            <w:pPr>
              <w:rPr>
                <w:rFonts w:hint="eastAsia" w:ascii="仿宋" w:hAnsi="仿宋" w:eastAsia="仿宋" w:cs="仿宋"/>
                <w:color w:val="auto"/>
                <w:sz w:val="24"/>
                <w:highlight w:val="none"/>
              </w:rPr>
            </w:pPr>
          </w:p>
          <w:p>
            <w:pPr>
              <w:ind w:firstLine="44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ind w:firstLine="4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tc>
      </w:tr>
    </w:tbl>
    <w:p>
      <w:pPr>
        <w:pStyle w:val="4"/>
        <w:jc w:val="center"/>
        <w:rPr>
          <w:rFonts w:hint="eastAsia" w:ascii="仿宋" w:eastAsia="仿宋" w:cs="仿宋"/>
          <w:color w:val="auto"/>
          <w:highlight w:val="none"/>
          <w:lang w:eastAsia="zh-CN"/>
        </w:rPr>
      </w:pPr>
      <w:r>
        <w:rPr>
          <w:rFonts w:hint="eastAsia" w:ascii="仿宋" w:eastAsia="仿宋" w:cs="仿宋"/>
          <w:color w:val="auto"/>
          <w:highlight w:val="none"/>
          <w:lang w:eastAsia="zh-CN"/>
        </w:rPr>
        <w:br w:type="page"/>
      </w:r>
      <w:bookmarkStart w:id="490" w:name="_Toc12650"/>
      <w:r>
        <w:rPr>
          <w:rFonts w:hint="eastAsia" w:ascii="仿宋" w:eastAsia="仿宋" w:cs="仿宋"/>
          <w:color w:val="auto"/>
          <w:highlight w:val="none"/>
          <w:lang w:eastAsia="zh-CN"/>
        </w:rPr>
        <w:t>第六部分</w:t>
      </w:r>
      <w:bookmarkEnd w:id="448"/>
      <w:r>
        <w:rPr>
          <w:rFonts w:hint="eastAsia" w:ascii="仿宋" w:eastAsia="仿宋" w:cs="仿宋"/>
          <w:color w:val="auto"/>
          <w:highlight w:val="none"/>
          <w:lang w:eastAsia="zh-CN"/>
        </w:rPr>
        <w:t xml:space="preserve"> </w:t>
      </w:r>
      <w:bookmarkEnd w:id="449"/>
      <w:r>
        <w:rPr>
          <w:rFonts w:hint="eastAsia" w:ascii="仿宋" w:eastAsia="仿宋" w:cs="仿宋"/>
          <w:color w:val="auto"/>
          <w:highlight w:val="none"/>
          <w:lang w:eastAsia="zh-CN"/>
        </w:rPr>
        <w:t>应提交的有关格式范例</w:t>
      </w:r>
      <w:bookmarkEnd w:id="490"/>
    </w:p>
    <w:p>
      <w:pPr>
        <w:pStyle w:val="4"/>
        <w:jc w:val="center"/>
        <w:rPr>
          <w:rFonts w:hint="eastAsia" w:ascii="仿宋" w:eastAsia="仿宋" w:cs="仿宋"/>
          <w:b w:val="0"/>
          <w:color w:val="auto"/>
          <w:szCs w:val="36"/>
          <w:highlight w:val="none"/>
        </w:rPr>
      </w:pPr>
      <w:bookmarkStart w:id="491" w:name="_Toc13322"/>
      <w:r>
        <w:rPr>
          <w:rFonts w:hint="eastAsia" w:ascii="仿宋" w:eastAsia="仿宋" w:cs="仿宋"/>
          <w:color w:val="auto"/>
          <w:highlight w:val="none"/>
        </w:rPr>
        <w:t>资格文件部分</w:t>
      </w:r>
      <w:bookmarkEnd w:id="491"/>
    </w:p>
    <w:p>
      <w:pPr>
        <w:spacing w:line="360" w:lineRule="auto"/>
        <w:jc w:val="center"/>
        <w:outlineLvl w:val="0"/>
        <w:rPr>
          <w:rFonts w:hint="eastAsia" w:ascii="仿宋" w:hAnsi="仿宋" w:eastAsia="仿宋" w:cs="仿宋"/>
          <w:b/>
          <w:color w:val="auto"/>
          <w:kern w:val="0"/>
          <w:sz w:val="36"/>
          <w:szCs w:val="36"/>
          <w:highlight w:val="none"/>
        </w:rPr>
      </w:pPr>
      <w:bookmarkStart w:id="492" w:name="_Toc3652"/>
      <w:bookmarkStart w:id="493" w:name="_Toc22497"/>
      <w:bookmarkStart w:id="494" w:name="_Toc19552"/>
      <w:r>
        <w:rPr>
          <w:rFonts w:hint="eastAsia" w:ascii="仿宋" w:hAnsi="仿宋" w:eastAsia="仿宋" w:cs="仿宋"/>
          <w:b/>
          <w:color w:val="auto"/>
          <w:kern w:val="0"/>
          <w:sz w:val="36"/>
          <w:szCs w:val="36"/>
          <w:highlight w:val="none"/>
        </w:rPr>
        <w:t>目录</w:t>
      </w:r>
      <w:bookmarkEnd w:id="492"/>
      <w:bookmarkEnd w:id="493"/>
      <w:bookmarkEnd w:id="494"/>
    </w:p>
    <w:p>
      <w:pPr>
        <w:pStyle w:val="499"/>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（1）符合《中华人民共和国政府采购法》第二十二条规定的相关证明材料；</w:t>
      </w:r>
    </w:p>
    <w:p>
      <w:pPr>
        <w:pStyle w:val="499"/>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各供应商须在响应文件开启时间中出具对应证明材料。（商业信誉可提前自查，响应文件开启时间中可不提供）</w:t>
      </w:r>
    </w:p>
    <w:p>
      <w:pPr>
        <w:pStyle w:val="499"/>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a.具有独立承担民事责任能力的证明材料；</w:t>
      </w:r>
    </w:p>
    <w:p>
      <w:pPr>
        <w:pStyle w:val="499"/>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b.符合参与政府采购活动资格条件的承诺函；</w:t>
      </w:r>
    </w:p>
    <w:p>
      <w:pPr>
        <w:pStyle w:val="499"/>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c.商业信誉：</w:t>
      </w:r>
    </w:p>
    <w:p>
      <w:pPr>
        <w:pStyle w:val="499"/>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pPr>
        <w:pStyle w:val="499"/>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对列入失信被执行人、重大税收违法案件当事人名单、政府采购严重违法失信行为记录名单的供应商，其谈判响应将作无效响应处理。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color w:val="auto"/>
          <w:sz w:val="24"/>
          <w:highlight w:val="none"/>
          <w:lang w:val="zh-CN"/>
        </w:rPr>
        <w:t>证明材料</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(3)本项目的特定资格</w:t>
      </w:r>
      <w:r>
        <w:rPr>
          <w:rFonts w:hint="eastAsia" w:ascii="仿宋" w:hAnsi="仿宋" w:eastAsia="仿宋" w:cs="仿宋"/>
          <w:color w:val="auto"/>
          <w:sz w:val="24"/>
          <w:highlight w:val="none"/>
          <w:lang w:val="zh-CN"/>
        </w:rPr>
        <w:t>证明材料。</w:t>
      </w:r>
    </w:p>
    <w:p>
      <w:pPr>
        <w:pStyle w:val="57"/>
        <w:tabs>
          <w:tab w:val="left" w:pos="630"/>
          <w:tab w:val="left" w:pos="840"/>
          <w:tab w:val="left" w:pos="1050"/>
        </w:tabs>
        <w:snapToGrid w:val="0"/>
        <w:spacing w:before="0" w:beforeAutospacing="0" w:after="0" w:afterAutospacing="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highlight w:val="none"/>
          <w:lang w:val="zh-CN"/>
        </w:rPr>
        <w:br w:type="page"/>
      </w:r>
      <w:r>
        <w:rPr>
          <w:rFonts w:hint="eastAsia" w:ascii="仿宋" w:hAnsi="仿宋" w:eastAsia="仿宋" w:cs="仿宋"/>
          <w:b/>
          <w:color w:val="auto"/>
          <w:sz w:val="32"/>
          <w:szCs w:val="32"/>
          <w:highlight w:val="none"/>
        </w:rPr>
        <w:t>一、</w:t>
      </w:r>
      <w:r>
        <w:rPr>
          <w:rFonts w:hint="eastAsia" w:ascii="仿宋" w:hAnsi="仿宋" w:eastAsia="仿宋" w:cs="仿宋"/>
          <w:color w:val="auto"/>
          <w:sz w:val="28"/>
          <w:szCs w:val="28"/>
          <w:highlight w:val="none"/>
        </w:rPr>
        <w:t>符合参与政府采购活动资格条件的承诺函：</w:t>
      </w:r>
    </w:p>
    <w:p>
      <w:pPr>
        <w:shd w:val="clear" w:color="auto" w:fill="FFFFFF"/>
        <w:snapToGrid w:val="0"/>
        <w:spacing w:line="440" w:lineRule="exact"/>
        <w:jc w:val="center"/>
        <w:rPr>
          <w:rFonts w:hint="eastAsia" w:ascii="新宋体" w:hAnsi="新宋体" w:eastAsia="新宋体"/>
          <w:color w:val="auto"/>
          <w:sz w:val="28"/>
          <w:szCs w:val="36"/>
          <w:highlight w:val="none"/>
        </w:rPr>
      </w:pPr>
      <w:r>
        <w:rPr>
          <w:rFonts w:hint="eastAsia" w:ascii="新宋体" w:hAnsi="新宋体" w:eastAsia="新宋体"/>
          <w:color w:val="auto"/>
          <w:sz w:val="28"/>
          <w:szCs w:val="36"/>
          <w:highlight w:val="none"/>
        </w:rPr>
        <w:t>资格条件承诺函</w:t>
      </w:r>
    </w:p>
    <w:p>
      <w:pPr>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温州市公安局</w:t>
      </w:r>
    </w:p>
    <w:p>
      <w:pPr>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pPr>
        <w:widowControl/>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（采购项目名称、编号）谈判响应，现郑重承诺：</w:t>
      </w:r>
    </w:p>
    <w:p>
      <w:pPr>
        <w:widowControl/>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1、我方符合《中华人民共和国政府采购法》第22条规定的资格条件，即</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（1）我方具有独立承担民事责任的能力；</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（2）我方具有良好的商业信誉和健全的财务会计制度；</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（3）我方具有履行合同所必需的设备和专业技术能力；</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（4）我方有依法缴纳税收和社会保障资金的良好记录；</w:t>
      </w:r>
    </w:p>
    <w:p>
      <w:pPr>
        <w:widowControl/>
        <w:snapToGrid w:val="0"/>
        <w:spacing w:line="440" w:lineRule="exact"/>
        <w:ind w:left="1020" w:leftChars="200" w:hanging="600" w:hanging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283" w:hanging="283" w:hangingChars="11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2、到本项目响应截止时间为止，我方未被“信用中国（</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"http://www.creditchina.gov.cn）、" </w:instrText>
      </w:r>
      <w:r>
        <w:rPr>
          <w:rFonts w:hint="eastAsia" w:ascii="仿宋" w:hAnsi="仿宋" w:eastAsia="仿宋" w:cs="仿宋"/>
          <w:color w:val="auto"/>
          <w:kern w:val="0"/>
          <w:sz w:val="24"/>
          <w:highlight w:val="none"/>
        </w:rPr>
        <w:fldChar w:fldCharType="separate"/>
      </w:r>
      <w:r>
        <w:rPr>
          <w:rStyle w:val="76"/>
          <w:rFonts w:hint="eastAsia" w:ascii="仿宋" w:hAnsi="仿宋" w:eastAsia="仿宋" w:cs="仿宋"/>
          <w:color w:val="auto"/>
          <w:sz w:val="24"/>
          <w:highlight w:val="none"/>
        </w:rPr>
        <w:t>www.creditchina.gov.cn）、</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80" w:firstLineChars="200"/>
        <w:jc w:val="left"/>
        <w:rPr>
          <w:rFonts w:hint="eastAsia" w:ascii="仿宋" w:hAnsi="仿宋" w:eastAsia="仿宋" w:cs="仿宋"/>
          <w:color w:val="auto"/>
          <w:kern w:val="0"/>
          <w:sz w:val="24"/>
          <w:highlight w:val="none"/>
        </w:rPr>
      </w:pPr>
    </w:p>
    <w:p>
      <w:pPr>
        <w:widowControl/>
        <w:snapToGrid w:val="0"/>
        <w:spacing w:line="440" w:lineRule="exact"/>
        <w:ind w:left="210" w:leftChars="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以上承诺如有虚假，</w:t>
      </w:r>
      <w:r>
        <w:rPr>
          <w:rFonts w:hint="eastAsia" w:ascii="仿宋" w:hAnsi="仿宋" w:eastAsia="仿宋" w:cs="仿宋"/>
          <w:color w:val="auto"/>
          <w:sz w:val="24"/>
          <w:highlight w:val="none"/>
        </w:rPr>
        <w:t>愿接受取消</w:t>
      </w:r>
      <w:r>
        <w:rPr>
          <w:rFonts w:hint="eastAsia" w:ascii="仿宋" w:hAnsi="仿宋" w:eastAsia="仿宋" w:cs="仿宋"/>
          <w:color w:val="auto"/>
          <w:kern w:val="0"/>
          <w:sz w:val="24"/>
          <w:highlight w:val="none"/>
        </w:rPr>
        <w:t>我方任何资格（谈判响应/成交/签订合同）</w:t>
      </w:r>
      <w:r>
        <w:rPr>
          <w:rFonts w:hint="eastAsia" w:ascii="仿宋" w:hAnsi="仿宋" w:eastAsia="仿宋" w:cs="仿宋"/>
          <w:color w:val="auto"/>
          <w:sz w:val="24"/>
          <w:highlight w:val="none"/>
        </w:rPr>
        <w:t>及其他任何形式的处理。</w:t>
      </w:r>
    </w:p>
    <w:p>
      <w:pPr>
        <w:widowControl/>
        <w:snapToGrid w:val="0"/>
        <w:spacing w:line="440" w:lineRule="exact"/>
        <w:ind w:firstLine="480" w:firstLineChars="200"/>
        <w:jc w:val="left"/>
        <w:rPr>
          <w:rFonts w:hint="eastAsia" w:ascii="仿宋" w:hAnsi="仿宋" w:eastAsia="仿宋" w:cs="仿宋"/>
          <w:color w:val="auto"/>
          <w:kern w:val="0"/>
          <w:sz w:val="24"/>
          <w:highlight w:val="none"/>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tabs>
          <w:tab w:val="left" w:pos="5454"/>
        </w:tabs>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rPr>
          <w:rFonts w:hint="eastAsia" w:ascii="仿宋" w:hAnsi="仿宋" w:eastAsia="仿宋" w:cs="仿宋"/>
          <w:b/>
          <w:color w:val="auto"/>
          <w:kern w:val="0"/>
          <w:sz w:val="32"/>
          <w:szCs w:val="32"/>
          <w:highlight w:val="none"/>
        </w:rPr>
      </w:pPr>
    </w:p>
    <w:p>
      <w:pPr>
        <w:pStyle w:val="57"/>
        <w:tabs>
          <w:tab w:val="left" w:pos="630"/>
          <w:tab w:val="left" w:pos="840"/>
          <w:tab w:val="left" w:pos="1050"/>
        </w:tabs>
        <w:snapToGrid w:val="0"/>
        <w:spacing w:before="0" w:beforeAutospacing="0" w:after="0" w:afterAutospacing="0" w:line="360" w:lineRule="auto"/>
        <w:ind w:left="420"/>
        <w:rPr>
          <w:rFonts w:hint="eastAsia" w:ascii="仿宋" w:hAnsi="仿宋" w:eastAsia="仿宋" w:cs="仿宋"/>
          <w:bCs/>
          <w:color w:val="auto"/>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highlight w:val="none"/>
        </w:rPr>
        <w:t>供应商须在响应文件开启时间中出具符合以下情况的证明材料复印件（五选一）：</w:t>
      </w:r>
    </w:p>
    <w:p>
      <w:pPr>
        <w:pStyle w:val="57"/>
        <w:numPr>
          <w:ilvl w:val="0"/>
          <w:numId w:val="8"/>
          <w:numberingChange w:id="0" w:author="ibm" w:date="2021-03-28T21:44:00Z" w:original="%1:1: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如供应商是企业（包括合伙企业），提供在工商部门注册的有效“企业法人营业执照”或“营业执照”；</w:t>
      </w:r>
    </w:p>
    <w:p>
      <w:pPr>
        <w:pStyle w:val="57"/>
        <w:numPr>
          <w:ilvl w:val="0"/>
          <w:numId w:val="8"/>
          <w:numberingChange w:id="1" w:author="ibm" w:date="2021-03-28T21:44:00Z" w:original="%1:2: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如供应商是事业单位，提供有效的“事业单位法人证书”；</w:t>
      </w:r>
    </w:p>
    <w:p>
      <w:pPr>
        <w:pStyle w:val="57"/>
        <w:numPr>
          <w:ilvl w:val="0"/>
          <w:numId w:val="8"/>
          <w:numberingChange w:id="2" w:author="ibm" w:date="2021-03-28T21:44:00Z" w:original="%1:3: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如供应商是非企业专业服务机构的，提供执业许可证等证明文件；</w:t>
      </w:r>
    </w:p>
    <w:p>
      <w:pPr>
        <w:pStyle w:val="57"/>
        <w:numPr>
          <w:ilvl w:val="0"/>
          <w:numId w:val="8"/>
          <w:numberingChange w:id="3" w:author="ibm" w:date="2021-03-28T21:44:00Z" w:original="%1:4: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如供应商是个体工商户，提供有效的“个体工商户营业执照”；</w:t>
      </w:r>
    </w:p>
    <w:p>
      <w:pPr>
        <w:pStyle w:val="57"/>
        <w:numPr>
          <w:ilvl w:val="0"/>
          <w:numId w:val="8"/>
          <w:numberingChange w:id="4" w:author="ibm" w:date="2021-03-28T21:44:00Z" w:original="%1:5: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如供应商是自然人，提供有效的自然人身份证明（居民身份证正反面或公安机关出具的临时居民身份证正反面或港澳台胞证或护照）。</w:t>
      </w:r>
    </w:p>
    <w:p>
      <w:pPr>
        <w:pStyle w:val="57"/>
        <w:tabs>
          <w:tab w:val="left" w:pos="312"/>
        </w:tabs>
        <w:snapToGrid w:val="0"/>
        <w:spacing w:before="0" w:beforeAutospacing="0" w:after="0" w:afterAutospacing="0" w:line="360" w:lineRule="auto"/>
        <w:rPr>
          <w:rFonts w:hint="eastAsia" w:ascii="仿宋" w:hAnsi="仿宋" w:eastAsia="仿宋" w:cs="仿宋"/>
          <w:bCs/>
          <w:color w:val="auto"/>
          <w:sz w:val="21"/>
          <w:szCs w:val="21"/>
          <w:highlight w:val="none"/>
        </w:rPr>
      </w:pPr>
    </w:p>
    <w:p>
      <w:pPr>
        <w:pStyle w:val="499"/>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pPr>
        <w:snapToGrid w:val="0"/>
        <w:spacing w:line="360" w:lineRule="auto"/>
        <w:jc w:val="left"/>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二、落实政府采购政策需满足的资格要求证明材料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谈判响应。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，代表所有联合体成员负责谈判响应和合同实施阶段的主办、协调工作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授权代表根据采购文件规定及谈判响应内容而对采购人、采购代理机构所作的任何合法承诺，包括书面澄清及相应等均对联合谈判响应各方产生约束力。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三、本次联合谈判响应中，分工如下：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六、有关本次联合谈判响应的其他事宜：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采购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eastAsia="仿宋" w:cs="仿宋"/>
          <w:color w:val="auto"/>
          <w:highlight w:val="none"/>
        </w:rPr>
      </w:pPr>
      <w:bookmarkStart w:id="495" w:name="_Toc17715"/>
      <w:bookmarkStart w:id="496" w:name="_Toc8168"/>
      <w:bookmarkStart w:id="497" w:name="_Toc17331"/>
      <w:r>
        <w:rPr>
          <w:rFonts w:hint="eastAsia" w:ascii="仿宋" w:eastAsia="仿宋" w:cs="仿宋"/>
          <w:color w:val="auto"/>
          <w:sz w:val="24"/>
          <w:szCs w:val="24"/>
          <w:highlight w:val="none"/>
        </w:rPr>
        <w:t>……</w:t>
      </w:r>
      <w:bookmarkEnd w:id="495"/>
      <w:bookmarkEnd w:id="496"/>
      <w:bookmarkEnd w:id="497"/>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pPr>
        <w:snapToGrid w:val="0"/>
        <w:spacing w:line="36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bookmarkStart w:id="498" w:name="_Toc31209"/>
      <w:r>
        <w:rPr>
          <w:rStyle w:val="81"/>
          <w:rFonts w:hint="eastAsia" w:ascii="仿宋" w:eastAsia="仿宋" w:cs="仿宋"/>
          <w:color w:val="auto"/>
          <w:highlight w:val="none"/>
        </w:rPr>
        <w:t>商务技术文件部分</w:t>
      </w:r>
      <w:bookmarkEnd w:id="498"/>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bookmarkStart w:id="499" w:name="_Toc23572"/>
      <w:bookmarkStart w:id="500" w:name="_Toc11049"/>
      <w:bookmarkStart w:id="501" w:name="_Toc23620"/>
      <w:r>
        <w:rPr>
          <w:rFonts w:hint="eastAsia" w:ascii="仿宋" w:hAnsi="仿宋" w:eastAsia="仿宋" w:cs="仿宋"/>
          <w:b/>
          <w:color w:val="auto"/>
          <w:kern w:val="0"/>
          <w:sz w:val="28"/>
          <w:szCs w:val="28"/>
          <w:highlight w:val="none"/>
        </w:rPr>
        <w:t>目录</w:t>
      </w:r>
      <w:bookmarkEnd w:id="499"/>
      <w:bookmarkEnd w:id="500"/>
      <w:bookmarkEnd w:id="501"/>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（1）报价声明函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bookmarkStart w:id="502" w:name="_Toc26161"/>
      <w:bookmarkStart w:id="503" w:name="_Toc25202"/>
      <w:bookmarkStart w:id="504" w:name="_Toc21536"/>
      <w:r>
        <w:rPr>
          <w:rFonts w:hint="eastAsia" w:ascii="仿宋" w:hAnsi="仿宋" w:eastAsia="仿宋" w:cs="仿宋"/>
          <w:b/>
          <w:color w:val="auto"/>
          <w:kern w:val="0"/>
          <w:sz w:val="32"/>
          <w:szCs w:val="32"/>
          <w:highlight w:val="none"/>
        </w:rPr>
        <w:t>一、</w:t>
      </w:r>
      <w:bookmarkEnd w:id="502"/>
      <w:bookmarkEnd w:id="503"/>
      <w:bookmarkEnd w:id="504"/>
      <w:r>
        <w:rPr>
          <w:rFonts w:hint="eastAsia" w:ascii="仿宋" w:hAnsi="仿宋" w:eastAsia="仿宋" w:cs="仿宋"/>
          <w:b/>
          <w:color w:val="auto"/>
          <w:kern w:val="0"/>
          <w:sz w:val="32"/>
          <w:szCs w:val="32"/>
          <w:highlight w:val="none"/>
        </w:rPr>
        <w:t>报价声明函</w:t>
      </w:r>
    </w:p>
    <w:p>
      <w:pPr>
        <w:snapToGrid w:val="0"/>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我方参加你方组织的（项目名称）【招标编号：（采购编号）】招标的有关活动，并对此项目进行谈判响应。为此：</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1、我方承诺谈判有效期从提交响应文件开启时间的截止之日起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本响应文件开启时间在谈判有效期满之前均具有约束力。</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2、我方的响应文件开启时间包括以下内容：</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42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2.2.1报价声明函；</w:t>
      </w:r>
      <w:r>
        <w:rPr>
          <w:rFonts w:hint="eastAsia" w:ascii="仿宋" w:hAnsi="仿宋" w:eastAsia="仿宋" w:cs="仿宋"/>
          <w:color w:val="auto"/>
          <w:sz w:val="24"/>
          <w:highlight w:val="none"/>
          <w:lang w:val="zh-CN"/>
        </w:rPr>
        <w:t xml:space="preserve"> </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2.2.6评审标准相应的商务技术资料；</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42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2.3.1报价一览表；</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2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政府采购谈判响应的一切事项，其法律后果由我方承担。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的身份证明（适用于法定代表人、单位负责人或者自然人本人代表供应商参加谈判响应）</w:t>
      </w:r>
    </w:p>
    <w:p>
      <w:pPr>
        <w:pStyle w:val="33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3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33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eastAsia="仿宋" w:cs="仿宋"/>
          <w:color w:val="auto"/>
          <w:highlight w:val="none"/>
        </w:rPr>
      </w:pPr>
      <w:bookmarkStart w:id="505" w:name="_Toc18280"/>
      <w:bookmarkStart w:id="506" w:name="_Toc785"/>
      <w:bookmarkStart w:id="507" w:name="_Toc24093"/>
      <w:r>
        <w:rPr>
          <w:rFonts w:hint="eastAsia" w:ascii="仿宋" w:eastAsia="仿宋" w:cs="仿宋"/>
          <w:color w:val="auto"/>
          <w:sz w:val="24"/>
          <w:szCs w:val="24"/>
          <w:highlight w:val="none"/>
        </w:rPr>
        <w:t>……</w:t>
      </w:r>
      <w:bookmarkEnd w:id="505"/>
      <w:bookmarkEnd w:id="506"/>
      <w:bookmarkEnd w:id="507"/>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五、评审标准相应的商务技术资料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（按采购文件第四部分评审办法前附表中“响应文件开启时间中评审标准相应的商务技术资料目录”提供资料）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六、商务技术偏离表</w:t>
      </w:r>
    </w:p>
    <w:tbl>
      <w:tblPr>
        <w:tblStyle w:val="62"/>
        <w:tblW w:w="92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采购文件要求</w:t>
            </w:r>
          </w:p>
        </w:tc>
        <w:tc>
          <w:tcPr>
            <w:tcW w:w="3219"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响应文件开启时间对应规范</w:t>
            </w:r>
          </w:p>
        </w:tc>
        <w:tc>
          <w:tcPr>
            <w:tcW w:w="1822"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是否偏离</w:t>
            </w:r>
          </w:p>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735" w:type="dxa"/>
            <w:noWrap w:val="0"/>
            <w:vAlign w:val="center"/>
          </w:tcPr>
          <w:p>
            <w:pPr>
              <w:snapToGrid w:val="0"/>
              <w:spacing w:line="400" w:lineRule="exact"/>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pPr>
              <w:snapToGrid w:val="0"/>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rPr>
                <w:rFonts w:hint="eastAsia" w:ascii="宋体" w:hAnsi="宋体" w:cs="宋体"/>
                <w:color w:val="auto"/>
                <w:spacing w:val="-6"/>
                <w:sz w:val="24"/>
                <w:highlight w:val="none"/>
              </w:rPr>
            </w:pPr>
          </w:p>
        </w:tc>
        <w:tc>
          <w:tcPr>
            <w:tcW w:w="1656" w:type="dxa"/>
            <w:noWrap w:val="0"/>
            <w:vAlign w:val="center"/>
          </w:tcPr>
          <w:p>
            <w:pPr>
              <w:snapToGrid w:val="0"/>
              <w:spacing w:line="400" w:lineRule="exact"/>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pPr>
              <w:snapToGrid w:val="0"/>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rPr>
                <w:rFonts w:hint="eastAsia" w:ascii="宋体" w:hAnsi="宋体" w:cs="宋体"/>
                <w:color w:val="auto"/>
                <w:spacing w:val="-6"/>
                <w:sz w:val="24"/>
                <w:highlight w:val="none"/>
              </w:rPr>
            </w:pPr>
          </w:p>
        </w:tc>
        <w:tc>
          <w:tcPr>
            <w:tcW w:w="1656" w:type="dxa"/>
            <w:noWrap w:val="0"/>
            <w:vAlign w:val="center"/>
          </w:tcPr>
          <w:p>
            <w:pPr>
              <w:snapToGrid w:val="0"/>
              <w:spacing w:line="400" w:lineRule="exact"/>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656"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3219"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822" w:type="dxa"/>
            <w:noWrap w:val="0"/>
            <w:vAlign w:val="center"/>
          </w:tcPr>
          <w:p>
            <w:pPr>
              <w:snapToGrid w:val="0"/>
              <w:spacing w:line="400" w:lineRule="exact"/>
              <w:jc w:val="center"/>
              <w:rPr>
                <w:rFonts w:hint="eastAsia" w:ascii="宋体" w:hAnsi="宋体" w:cs="宋体"/>
                <w:color w:val="auto"/>
                <w:spacing w:val="-6"/>
                <w:sz w:val="24"/>
                <w:highlight w:val="none"/>
              </w:rPr>
            </w:pPr>
          </w:p>
        </w:tc>
        <w:tc>
          <w:tcPr>
            <w:tcW w:w="1735" w:type="dxa"/>
            <w:noWrap w:val="0"/>
            <w:vAlign w:val="center"/>
          </w:tcPr>
          <w:p>
            <w:pPr>
              <w:snapToGrid w:val="0"/>
              <w:spacing w:line="400" w:lineRule="exact"/>
              <w:jc w:val="center"/>
              <w:rPr>
                <w:rFonts w:hint="eastAsia" w:ascii="宋体" w:hAnsi="宋体" w:cs="宋体"/>
                <w:color w:val="auto"/>
                <w:spacing w:val="-6"/>
                <w:sz w:val="24"/>
                <w:highlight w:val="none"/>
              </w:rPr>
            </w:pPr>
          </w:p>
        </w:tc>
      </w:tr>
    </w:tbl>
    <w:p>
      <w:pPr>
        <w:jc w:val="left"/>
        <w:rPr>
          <w:rFonts w:hint="eastAsia" w:ascii="仿宋" w:hAnsi="仿宋" w:eastAsia="仿宋" w:cs="仿宋"/>
          <w:color w:val="auto"/>
          <w:kern w:val="0"/>
          <w:sz w:val="24"/>
          <w:highlight w:val="none"/>
        </w:rPr>
      </w:pPr>
    </w:p>
    <w:p>
      <w:pPr>
        <w:snapToGrid w:val="0"/>
        <w:spacing w:line="400" w:lineRule="exact"/>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注意：1.逐项按照采购文件要求填写响应规格；如不填写或留空，则视为完全响应采购文件的要求</w:t>
      </w:r>
      <w:r>
        <w:rPr>
          <w:rFonts w:hint="eastAsia" w:ascii="宋体" w:hAnsi="宋体" w:cs="宋体"/>
          <w:b/>
          <w:color w:val="auto"/>
          <w:spacing w:val="-6"/>
          <w:sz w:val="24"/>
          <w:highlight w:val="none"/>
        </w:rPr>
        <w:t>，自行承担谈判响应响应风险</w:t>
      </w:r>
      <w:r>
        <w:rPr>
          <w:rFonts w:hint="eastAsia" w:ascii="宋体" w:hAnsi="宋体" w:cs="宋体"/>
          <w:b/>
          <w:bCs/>
          <w:color w:val="auto"/>
          <w:spacing w:val="-6"/>
          <w:sz w:val="24"/>
          <w:szCs w:val="22"/>
          <w:highlight w:val="none"/>
        </w:rPr>
        <w:t>。</w:t>
      </w:r>
    </w:p>
    <w:p>
      <w:pPr>
        <w:snapToGrid w:val="0"/>
        <w:spacing w:line="400" w:lineRule="exact"/>
        <w:ind w:firstLine="687" w:firstLineChars="300"/>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pPr>
        <w:snapToGrid w:val="0"/>
        <w:spacing w:line="400" w:lineRule="exact"/>
        <w:ind w:firstLine="687" w:firstLineChars="300"/>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3.建议供应商准备采购需求中要求的证明材料（如证书、检测报告等）条目索引，要求清晰提供的证明材料（如证书、检测报告等），由不清晰或者模糊造成无法判断证明材料是否符合要求的风险由供应商自行承担。</w:t>
      </w:r>
    </w:p>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项目招标要求参加谈判响应。在这次谈判响应过程中和成交后，我们将严格遵守国家法律法规要求，并郑重承诺：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有权立即取消我单位谈判响应、成交或在建项目的建设资格，有权拒绝我单位在一定时期内进入你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276" w:right="1276" w:bottom="1276" w:left="1276" w:header="851" w:footer="992" w:gutter="0"/>
          <w:cols w:space="720" w:num="1"/>
          <w:titlePg/>
          <w:docGrid w:linePitch="312" w:charSpace="0"/>
        </w:sectPr>
      </w:pPr>
    </w:p>
    <w:p>
      <w:pPr>
        <w:pStyle w:val="4"/>
        <w:jc w:val="center"/>
        <w:rPr>
          <w:rFonts w:hint="eastAsia" w:ascii="仿宋" w:eastAsia="仿宋" w:cs="仿宋"/>
          <w:b w:val="0"/>
          <w:color w:val="auto"/>
          <w:szCs w:val="36"/>
          <w:highlight w:val="none"/>
        </w:rPr>
      </w:pPr>
      <w:bookmarkStart w:id="508" w:name="_Toc29762"/>
      <w:r>
        <w:rPr>
          <w:rFonts w:hint="eastAsia" w:ascii="仿宋" w:eastAsia="仿宋" w:cs="仿宋"/>
          <w:color w:val="auto"/>
          <w:highlight w:val="none"/>
        </w:rPr>
        <w:t>报价文件部分</w:t>
      </w:r>
      <w:bookmarkEnd w:id="508"/>
    </w:p>
    <w:p>
      <w:pPr>
        <w:spacing w:line="360" w:lineRule="auto"/>
        <w:jc w:val="center"/>
        <w:outlineLvl w:val="0"/>
        <w:rPr>
          <w:rFonts w:hint="eastAsia" w:ascii="仿宋" w:hAnsi="仿宋" w:eastAsia="仿宋" w:cs="仿宋"/>
          <w:b/>
          <w:color w:val="auto"/>
          <w:kern w:val="0"/>
          <w:sz w:val="36"/>
          <w:szCs w:val="36"/>
          <w:highlight w:val="none"/>
        </w:rPr>
      </w:pPr>
      <w:bookmarkStart w:id="509" w:name="_Toc24830"/>
      <w:bookmarkStart w:id="510" w:name="_Toc14052"/>
      <w:bookmarkStart w:id="511" w:name="_Toc9713"/>
      <w:r>
        <w:rPr>
          <w:rFonts w:hint="eastAsia" w:ascii="仿宋" w:hAnsi="仿宋" w:eastAsia="仿宋" w:cs="仿宋"/>
          <w:b/>
          <w:color w:val="auto"/>
          <w:kern w:val="0"/>
          <w:sz w:val="36"/>
          <w:szCs w:val="36"/>
          <w:highlight w:val="none"/>
        </w:rPr>
        <w:t>目录</w:t>
      </w:r>
      <w:bookmarkEnd w:id="509"/>
      <w:bookmarkEnd w:id="510"/>
      <w:bookmarkEnd w:id="511"/>
    </w:p>
    <w:p>
      <w:pPr>
        <w:spacing w:line="360" w:lineRule="auto"/>
        <w:jc w:val="center"/>
        <w:outlineLvl w:val="0"/>
        <w:rPr>
          <w:rFonts w:hint="eastAsia" w:ascii="仿宋" w:hAnsi="仿宋" w:eastAsia="仿宋" w:cs="仿宋"/>
          <w:b/>
          <w:color w:val="auto"/>
          <w:kern w:val="0"/>
          <w:sz w:val="36"/>
          <w:szCs w:val="36"/>
          <w:highlight w:val="none"/>
        </w:rPr>
      </w:pPr>
    </w:p>
    <w:p>
      <w:pPr>
        <w:numPr>
          <w:ilvl w:val="0"/>
          <w:numId w:val="9"/>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报价一览表………………………………………………………（页码）</w:t>
      </w:r>
    </w:p>
    <w:p>
      <w:pPr>
        <w:snapToGrid w:val="0"/>
        <w:spacing w:line="360" w:lineRule="auto"/>
        <w:rPr>
          <w:rFonts w:hint="eastAsia"/>
          <w:color w:val="auto"/>
          <w:highlight w:val="none"/>
        </w:rPr>
      </w:pPr>
      <w:r>
        <w:rPr>
          <w:rFonts w:hint="eastAsia" w:ascii="仿宋" w:hAnsi="仿宋" w:eastAsia="仿宋" w:cs="仿宋"/>
          <w:color w:val="auto"/>
          <w:sz w:val="24"/>
          <w:highlight w:val="none"/>
        </w:rPr>
        <w:t>（2）分项报价表 ………………………………………………………（页码）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73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73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512" w:name="_Toc24274"/>
      <w:bookmarkStart w:id="513" w:name="_Toc17889"/>
      <w:bookmarkStart w:id="514" w:name="_Toc23337"/>
      <w:r>
        <w:rPr>
          <w:rFonts w:hint="eastAsia" w:ascii="仿宋" w:hAnsi="仿宋" w:eastAsia="仿宋" w:cs="仿宋"/>
          <w:color w:val="auto"/>
          <w:kern w:val="2"/>
          <w:sz w:val="32"/>
          <w:szCs w:val="32"/>
          <w:highlight w:val="none"/>
        </w:rPr>
        <w:t>一、</w:t>
      </w:r>
      <w:bookmarkEnd w:id="512"/>
      <w:bookmarkEnd w:id="513"/>
      <w:bookmarkEnd w:id="514"/>
      <w:r>
        <w:rPr>
          <w:rFonts w:hint="eastAsia" w:ascii="仿宋" w:hAnsi="仿宋" w:eastAsia="仿宋" w:cs="仿宋"/>
          <w:color w:val="auto"/>
          <w:kern w:val="2"/>
          <w:sz w:val="32"/>
          <w:szCs w:val="32"/>
          <w:highlight w:val="none"/>
        </w:rPr>
        <w:t>报价一览表（初次报价）</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按你方采购文件要求，我们，本响应文件开启时间签字方，谨此向你方发出要约如下：如你方接受本谈判响应，我方承诺按照如下报价一览表的价格完成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2"/>
        <w:tblW w:w="49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44"/>
        <w:gridCol w:w="5063"/>
        <w:gridCol w:w="763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542" w:type="pct"/>
            <w:noWrap w:val="0"/>
            <w:tcMar>
              <w:top w:w="0" w:type="dxa"/>
              <w:left w:w="108" w:type="dxa"/>
              <w:bottom w:w="0" w:type="dxa"/>
              <w:right w:w="108" w:type="dxa"/>
            </w:tcMar>
            <w:vAlign w:val="center"/>
          </w:tcPr>
          <w:p>
            <w:pPr>
              <w:widowControl/>
              <w:spacing w:before="60" w:after="60"/>
              <w:ind w:left="60" w:right="60"/>
              <w:jc w:val="center"/>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序号</w:t>
            </w:r>
          </w:p>
        </w:tc>
        <w:tc>
          <w:tcPr>
            <w:tcW w:w="1777" w:type="pct"/>
            <w:noWrap w:val="0"/>
            <w:tcMar>
              <w:top w:w="0" w:type="dxa"/>
              <w:left w:w="108" w:type="dxa"/>
              <w:bottom w:w="0" w:type="dxa"/>
              <w:right w:w="108" w:type="dxa"/>
            </w:tcMar>
            <w:vAlign w:val="center"/>
          </w:tcPr>
          <w:p>
            <w:pPr>
              <w:widowControl/>
              <w:spacing w:before="60" w:after="60"/>
              <w:ind w:left="60" w:right="60"/>
              <w:jc w:val="center"/>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内容</w:t>
            </w:r>
          </w:p>
        </w:tc>
        <w:tc>
          <w:tcPr>
            <w:tcW w:w="2679" w:type="pct"/>
            <w:noWrap w:val="0"/>
            <w:tcMar>
              <w:top w:w="0" w:type="dxa"/>
              <w:left w:w="108" w:type="dxa"/>
              <w:bottom w:w="0" w:type="dxa"/>
              <w:right w:w="108" w:type="dxa"/>
            </w:tcMar>
            <w:vAlign w:val="center"/>
          </w:tcPr>
          <w:p>
            <w:pPr>
              <w:widowControl/>
              <w:spacing w:before="60" w:after="60"/>
              <w:ind w:left="60" w:right="60"/>
              <w:jc w:val="center"/>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报价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542" w:type="pct"/>
            <w:noWrap w:val="0"/>
            <w:tcMar>
              <w:top w:w="0" w:type="dxa"/>
              <w:left w:w="108" w:type="dxa"/>
              <w:bottom w:w="0" w:type="dxa"/>
              <w:right w:w="108" w:type="dxa"/>
            </w:tcMar>
            <w:vAlign w:val="center"/>
          </w:tcPr>
          <w:p>
            <w:pPr>
              <w:widowControl/>
              <w:spacing w:before="60" w:after="6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77" w:type="pct"/>
            <w:noWrap w:val="0"/>
            <w:tcMar>
              <w:top w:w="0" w:type="dxa"/>
              <w:left w:w="108" w:type="dxa"/>
              <w:bottom w:w="0" w:type="dxa"/>
              <w:right w:w="108" w:type="dxa"/>
            </w:tcMar>
            <w:vAlign w:val="center"/>
          </w:tcPr>
          <w:p>
            <w:pPr>
              <w:widowControl/>
              <w:spacing w:before="60" w:after="60"/>
              <w:jc w:val="center"/>
              <w:rPr>
                <w:rFonts w:hint="eastAsia" w:ascii="宋体" w:hAnsi="宋体" w:cs="新宋体"/>
                <w:bCs/>
                <w:color w:val="auto"/>
                <w:kern w:val="0"/>
                <w:sz w:val="22"/>
                <w:szCs w:val="22"/>
                <w:highlight w:val="none"/>
              </w:rPr>
            </w:pPr>
            <w:r>
              <w:rPr>
                <w:rFonts w:hint="eastAsia" w:ascii="宋体" w:hAnsi="宋体"/>
                <w:color w:val="auto"/>
                <w:sz w:val="22"/>
                <w:szCs w:val="22"/>
                <w:highlight w:val="none"/>
              </w:rPr>
              <w:t xml:space="preserve"> </w:t>
            </w:r>
          </w:p>
        </w:tc>
        <w:tc>
          <w:tcPr>
            <w:tcW w:w="2679" w:type="pct"/>
            <w:noWrap w:val="0"/>
            <w:tcMar>
              <w:top w:w="0" w:type="dxa"/>
              <w:left w:w="108" w:type="dxa"/>
              <w:bottom w:w="0" w:type="dxa"/>
              <w:right w:w="108" w:type="dxa"/>
            </w:tcMar>
            <w:vAlign w:val="center"/>
          </w:tcPr>
          <w:p>
            <w:pPr>
              <w:autoSpaceDE w:val="0"/>
              <w:autoSpaceDN w:val="0"/>
              <w:spacing w:line="380" w:lineRule="atLeast"/>
              <w:ind w:right="349"/>
              <w:jc w:val="lef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（大写）：</w:t>
            </w:r>
          </w:p>
          <w:p>
            <w:pPr>
              <w:autoSpaceDE w:val="0"/>
              <w:autoSpaceDN w:val="0"/>
              <w:spacing w:line="380" w:lineRule="atLeast"/>
              <w:ind w:right="349" w:firstLine="331"/>
              <w:jc w:val="left"/>
              <w:rPr>
                <w:rFonts w:hint="eastAsia" w:ascii="宋体" w:hAnsi="宋体" w:cs="新宋体"/>
                <w:b/>
                <w:bCs/>
                <w:color w:val="auto"/>
                <w:kern w:val="0"/>
                <w:sz w:val="22"/>
                <w:szCs w:val="22"/>
                <w:highlight w:val="none"/>
              </w:rPr>
            </w:pPr>
          </w:p>
          <w:p>
            <w:pPr>
              <w:widowControl/>
              <w:spacing w:before="60" w:after="60"/>
              <w:rPr>
                <w:rFonts w:hint="eastAsia" w:ascii="宋体" w:hAnsi="宋体" w:cs="新宋体"/>
                <w:bCs/>
                <w:color w:val="auto"/>
                <w:kern w:val="0"/>
                <w:sz w:val="22"/>
                <w:szCs w:val="22"/>
                <w:highlight w:val="none"/>
              </w:rPr>
            </w:pPr>
            <w:r>
              <w:rPr>
                <w:rFonts w:hint="eastAsia" w:ascii="宋体" w:hAnsi="宋体" w:cs="新宋体"/>
                <w:b/>
                <w:bCs/>
                <w:color w:val="auto"/>
                <w:kern w:val="0"/>
                <w:sz w:val="22"/>
                <w:szCs w:val="22"/>
                <w:highlight w:val="none"/>
              </w:rPr>
              <w:t>（小写）：¥</w:t>
            </w:r>
          </w:p>
        </w:tc>
      </w:tr>
    </w:tbl>
    <w:p>
      <w:pPr>
        <w:overflowPunct w:val="0"/>
        <w:spacing w:line="380" w:lineRule="exact"/>
        <w:rPr>
          <w:rFonts w:hint="eastAsia" w:ascii="宋体" w:hAnsi="宋体" w:cs="新宋体"/>
          <w:bCs/>
          <w:color w:val="auto"/>
          <w:sz w:val="22"/>
          <w:szCs w:val="22"/>
          <w:highlight w:val="none"/>
        </w:rPr>
      </w:pPr>
    </w:p>
    <w:p>
      <w:pPr>
        <w:overflowPunct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说明：</w:t>
      </w:r>
    </w:p>
    <w:p>
      <w:pPr>
        <w:spacing w:line="380" w:lineRule="exact"/>
        <w:ind w:left="12" w:hanging="12" w:hangingChars="5"/>
        <w:rPr>
          <w:rFonts w:hint="eastAsia" w:ascii="宋体" w:hAnsi="宋体" w:cs="新宋体"/>
          <w:b/>
          <w:color w:val="auto"/>
          <w:sz w:val="22"/>
          <w:highlight w:val="none"/>
          <w:u w:val="thick"/>
        </w:rPr>
      </w:pPr>
      <w:r>
        <w:rPr>
          <w:rFonts w:hint="eastAsia" w:ascii="仿宋" w:hAnsi="仿宋" w:eastAsia="仿宋" w:cs="仿宋"/>
          <w:color w:val="auto"/>
          <w:sz w:val="24"/>
          <w:szCs w:val="20"/>
          <w:highlight w:val="none"/>
          <w:u w:val="thick"/>
        </w:rPr>
        <w:t>▲</w:t>
      </w:r>
      <w:r>
        <w:rPr>
          <w:rFonts w:hint="eastAsia" w:ascii="宋体" w:hAnsi="宋体" w:cs="新宋体"/>
          <w:b/>
          <w:color w:val="auto"/>
          <w:sz w:val="22"/>
          <w:highlight w:val="none"/>
          <w:u w:val="thick"/>
        </w:rPr>
        <w:t>此栏内报价应与“分项报价表”中谈判报价总价相一致。</w:t>
      </w:r>
    </w:p>
    <w:p>
      <w:pPr>
        <w:autoSpaceDE w:val="0"/>
        <w:autoSpaceDN w:val="0"/>
        <w:spacing w:line="360" w:lineRule="auto"/>
        <w:ind w:right="1120"/>
        <w:jc w:val="left"/>
        <w:rPr>
          <w:rFonts w:hint="eastAsia" w:ascii="仿宋" w:hAnsi="仿宋" w:eastAsia="仿宋" w:cs="仿宋"/>
          <w:color w:val="auto"/>
          <w:kern w:val="0"/>
          <w:sz w:val="24"/>
          <w:highlight w:val="none"/>
          <w:lang w:val="zh-CN"/>
        </w:rPr>
      </w:pPr>
    </w:p>
    <w:p>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color w:val="auto"/>
          <w:sz w:val="32"/>
          <w:szCs w:val="32"/>
          <w:highlight w:val="none"/>
        </w:rPr>
        <w:t>二、分项报价表（适用货物、服务）</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noWrap w:val="0"/>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311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99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559" w:type="dxa"/>
            <w:noWrap w:val="0"/>
            <w:vAlign w:val="center"/>
          </w:tcPr>
          <w:p>
            <w:pPr>
              <w:spacing w:line="360" w:lineRule="auto"/>
              <w:jc w:val="center"/>
              <w:rPr>
                <w:rFonts w:hint="eastAsia" w:ascii="仿宋" w:hAnsi="仿宋" w:eastAsia="仿宋" w:cs="仿宋"/>
                <w:color w:val="auto"/>
                <w:sz w:val="24"/>
                <w:highlight w:val="none"/>
              </w:rPr>
            </w:pPr>
          </w:p>
        </w:tc>
        <w:tc>
          <w:tcPr>
            <w:tcW w:w="1984" w:type="dxa"/>
            <w:noWrap w:val="0"/>
            <w:vAlign w:val="center"/>
          </w:tcPr>
          <w:p>
            <w:pPr>
              <w:spacing w:line="360" w:lineRule="auto"/>
              <w:jc w:val="center"/>
              <w:rPr>
                <w:rFonts w:hint="eastAsia" w:ascii="仿宋" w:hAnsi="仿宋" w:eastAsia="仿宋" w:cs="仿宋"/>
                <w:color w:val="auto"/>
                <w:sz w:val="24"/>
                <w:highlight w:val="none"/>
              </w:rPr>
            </w:pPr>
          </w:p>
        </w:tc>
        <w:tc>
          <w:tcPr>
            <w:tcW w:w="3119"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311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99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559" w:type="dxa"/>
            <w:noWrap w:val="0"/>
            <w:vAlign w:val="center"/>
          </w:tcPr>
          <w:p>
            <w:pPr>
              <w:spacing w:line="360" w:lineRule="auto"/>
              <w:jc w:val="center"/>
              <w:rPr>
                <w:rFonts w:hint="eastAsia" w:ascii="仿宋" w:hAnsi="仿宋" w:eastAsia="仿宋" w:cs="仿宋"/>
                <w:color w:val="auto"/>
                <w:sz w:val="24"/>
                <w:highlight w:val="none"/>
              </w:rPr>
            </w:pPr>
          </w:p>
        </w:tc>
        <w:tc>
          <w:tcPr>
            <w:tcW w:w="1984" w:type="dxa"/>
            <w:noWrap w:val="0"/>
            <w:vAlign w:val="center"/>
          </w:tcPr>
          <w:p>
            <w:pPr>
              <w:spacing w:line="360" w:lineRule="auto"/>
              <w:jc w:val="center"/>
              <w:rPr>
                <w:rFonts w:hint="eastAsia" w:ascii="仿宋" w:hAnsi="仿宋" w:eastAsia="仿宋" w:cs="仿宋"/>
                <w:color w:val="auto"/>
                <w:sz w:val="24"/>
                <w:highlight w:val="none"/>
              </w:rPr>
            </w:pPr>
          </w:p>
        </w:tc>
        <w:tc>
          <w:tcPr>
            <w:tcW w:w="3119"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311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99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559" w:type="dxa"/>
            <w:noWrap w:val="0"/>
            <w:vAlign w:val="center"/>
          </w:tcPr>
          <w:p>
            <w:pPr>
              <w:spacing w:line="360" w:lineRule="auto"/>
              <w:jc w:val="center"/>
              <w:rPr>
                <w:rFonts w:hint="eastAsia" w:ascii="仿宋" w:hAnsi="仿宋" w:eastAsia="仿宋" w:cs="仿宋"/>
                <w:color w:val="auto"/>
                <w:sz w:val="24"/>
                <w:highlight w:val="none"/>
              </w:rPr>
            </w:pPr>
          </w:p>
        </w:tc>
        <w:tc>
          <w:tcPr>
            <w:tcW w:w="1984" w:type="dxa"/>
            <w:noWrap w:val="0"/>
            <w:vAlign w:val="center"/>
          </w:tcPr>
          <w:p>
            <w:pPr>
              <w:spacing w:line="360" w:lineRule="auto"/>
              <w:jc w:val="center"/>
              <w:rPr>
                <w:rFonts w:hint="eastAsia" w:ascii="仿宋" w:hAnsi="仿宋" w:eastAsia="仿宋" w:cs="仿宋"/>
                <w:color w:val="auto"/>
                <w:sz w:val="24"/>
                <w:highlight w:val="none"/>
              </w:rPr>
            </w:pPr>
          </w:p>
        </w:tc>
        <w:tc>
          <w:tcPr>
            <w:tcW w:w="3119"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 w:hAnsi="仿宋" w:eastAsia="仿宋" w:cs="仿宋"/>
                <w:color w:val="auto"/>
                <w:sz w:val="24"/>
                <w:highlight w:val="none"/>
              </w:rPr>
            </w:pPr>
          </w:p>
        </w:tc>
        <w:tc>
          <w:tcPr>
            <w:tcW w:w="141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311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99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559" w:type="dxa"/>
            <w:noWrap w:val="0"/>
            <w:vAlign w:val="center"/>
          </w:tcPr>
          <w:p>
            <w:pPr>
              <w:spacing w:line="360" w:lineRule="auto"/>
              <w:jc w:val="center"/>
              <w:rPr>
                <w:rFonts w:hint="eastAsia" w:ascii="仿宋" w:hAnsi="仿宋" w:eastAsia="仿宋" w:cs="仿宋"/>
                <w:color w:val="auto"/>
                <w:sz w:val="24"/>
                <w:highlight w:val="none"/>
              </w:rPr>
            </w:pPr>
          </w:p>
        </w:tc>
        <w:tc>
          <w:tcPr>
            <w:tcW w:w="1984" w:type="dxa"/>
            <w:noWrap w:val="0"/>
            <w:vAlign w:val="center"/>
          </w:tcPr>
          <w:p>
            <w:pPr>
              <w:spacing w:line="360" w:lineRule="auto"/>
              <w:jc w:val="center"/>
              <w:rPr>
                <w:rFonts w:hint="eastAsia" w:ascii="仿宋" w:hAnsi="仿宋" w:eastAsia="仿宋" w:cs="仿宋"/>
                <w:color w:val="auto"/>
                <w:sz w:val="24"/>
                <w:highlight w:val="none"/>
              </w:rPr>
            </w:pPr>
          </w:p>
        </w:tc>
        <w:tc>
          <w:tcPr>
            <w:tcW w:w="3119"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谈判报价总价（小写）</w:t>
            </w:r>
          </w:p>
        </w:tc>
        <w:tc>
          <w:tcPr>
            <w:tcW w:w="7655" w:type="dxa"/>
            <w:gridSpan w:val="4"/>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谈判报价总价（大写）</w:t>
            </w:r>
          </w:p>
        </w:tc>
        <w:tc>
          <w:tcPr>
            <w:tcW w:w="7655" w:type="dxa"/>
            <w:gridSpan w:val="4"/>
            <w:noWrap w:val="0"/>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0"/>
          <w:highlight w:val="none"/>
          <w:u w:val="thick"/>
        </w:rPr>
        <w:t>▲</w:t>
      </w:r>
      <w:r>
        <w:rPr>
          <w:rFonts w:hint="eastAsia" w:ascii="仿宋" w:hAnsi="仿宋" w:eastAsia="仿宋" w:cs="仿宋"/>
          <w:color w:val="auto"/>
          <w:kern w:val="0"/>
          <w:sz w:val="24"/>
          <w:highlight w:val="none"/>
          <w:u w:val="thick"/>
          <w:lang w:val="zh-CN"/>
        </w:rPr>
        <w:t>1、不提供此表的报价，视为没有实质性响应采购文件要求。</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响应文件开启时间含有采购人不能接受的附加条件的，响应无效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4、特别提示：采购代理机构将对项目名称和项目编号，成交供应商名称、地址和成交金额，主要成交标的的名称、规格型号、数量、单价、服务要求等予以公示。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color w:val="auto"/>
          <w:highlight w:val="none"/>
          <w:lang w:val="zh-CN"/>
        </w:rPr>
      </w:pPr>
      <w:r>
        <w:rPr>
          <w:rFonts w:hint="eastAsia" w:ascii="仿宋" w:hAnsi="仿宋" w:eastAsia="仿宋" w:cs="仿宋"/>
          <w:color w:val="auto"/>
          <w:kern w:val="0"/>
          <w:sz w:val="24"/>
          <w:highlight w:val="none"/>
        </w:rPr>
        <w:t>6、本表可在不改变格式的情况下根据具体需要自行增减。</w:t>
      </w:r>
    </w:p>
    <w:p>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pStyle w:val="733"/>
        <w:keepNext w:val="0"/>
        <w:pageBreakBefore w:val="0"/>
        <w:tabs>
          <w:tab w:val="clear" w:pos="720"/>
        </w:tabs>
        <w:snapToGrid w:val="0"/>
        <w:spacing w:before="120" w:after="120"/>
        <w:jc w:val="both"/>
        <w:outlineLvl w:val="9"/>
        <w:rPr>
          <w:rFonts w:hint="eastAsia" w:ascii="仿宋" w:hAnsi="仿宋" w:eastAsia="仿宋" w:cs="仿宋"/>
          <w:color w:val="auto"/>
          <w:kern w:val="2"/>
          <w:sz w:val="28"/>
          <w:szCs w:val="28"/>
          <w:highlight w:val="none"/>
        </w:rPr>
        <w:sectPr>
          <w:pgSz w:w="16838" w:h="11906" w:orient="landscape"/>
          <w:pgMar w:top="1418" w:right="1247" w:bottom="1418" w:left="1276" w:header="851" w:footer="992" w:gutter="0"/>
          <w:cols w:space="720" w:num="1"/>
          <w:titlePg/>
          <w:docGrid w:linePitch="312" w:charSpace="0"/>
        </w:sectPr>
      </w:pPr>
    </w:p>
    <w:p>
      <w:pPr>
        <w:pStyle w:val="73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bookmarkStart w:id="515" w:name="_Toc11456"/>
      <w:bookmarkStart w:id="516" w:name="_Toc9978"/>
      <w:bookmarkStart w:id="517" w:name="_Toc28168"/>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15"/>
      <w:bookmarkEnd w:id="516"/>
      <w:r>
        <w:rPr>
          <w:rFonts w:hint="eastAsia" w:ascii="仿宋" w:hAnsi="仿宋" w:eastAsia="仿宋" w:cs="仿宋"/>
          <w:color w:val="auto"/>
          <w:sz w:val="32"/>
          <w:szCs w:val="32"/>
          <w:highlight w:val="none"/>
        </w:rPr>
        <w:t>（残疾人福利性单位声明函、监狱企业提供的相关证明材料）</w:t>
      </w:r>
      <w:bookmarkEnd w:id="517"/>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73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18" w:name="_Toc22695"/>
      <w:bookmarkStart w:id="519" w:name="_Toc465665161"/>
      <w:bookmarkStart w:id="520" w:name="_Toc24602"/>
      <w:bookmarkStart w:id="521" w:name="_Toc10456"/>
      <w:r>
        <w:rPr>
          <w:rFonts w:hint="eastAsia" w:ascii="仿宋" w:hAnsi="仿宋" w:eastAsia="仿宋" w:cs="仿宋"/>
          <w:color w:val="auto"/>
          <w:highlight w:val="none"/>
        </w:rPr>
        <w:t>附件</w:t>
      </w:r>
      <w:bookmarkEnd w:id="518"/>
      <w:bookmarkEnd w:id="519"/>
      <w:bookmarkEnd w:id="520"/>
      <w:bookmarkEnd w:id="52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22" w:name="OLE_LINK13"/>
      <w:bookmarkStart w:id="523" w:name="OLE_LINK14"/>
      <w:r>
        <w:rPr>
          <w:rFonts w:hint="eastAsia" w:ascii="仿宋" w:hAnsi="仿宋" w:eastAsia="仿宋" w:cs="仿宋"/>
          <w:b/>
          <w:color w:val="auto"/>
          <w:spacing w:val="6"/>
          <w:sz w:val="32"/>
          <w:szCs w:val="32"/>
          <w:highlight w:val="none"/>
        </w:rPr>
        <w:t>残疾人福利性单位声明函</w:t>
      </w:r>
    </w:p>
    <w:bookmarkEnd w:id="522"/>
    <w:bookmarkEnd w:id="52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pStyle w:val="6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7.以书面形式提交的，应按采购文件规定送达指定地点；以</w:t>
      </w:r>
      <w:r>
        <w:rPr>
          <w:rFonts w:hint="eastAsia" w:ascii="仿宋" w:hAnsi="仿宋" w:eastAsia="仿宋" w:cs="仿宋"/>
          <w:color w:val="auto"/>
          <w:highlight w:val="none"/>
          <w:lang w:eastAsia="zh-CN"/>
        </w:rPr>
        <w:t>政采云平台（https://www.zcygov.cn/）通过“询问质疑投诉”栏提交的，应正确填写质疑供应商基本信息、被质疑人信息、质疑事项具体内容、质疑请求，并上传书面质疑函扫描件。</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2jgFaPsBAAAxBAAADgAAAGRycy9lMm9Eb2MueG1srVNN k9MwDL0zw3/w+E6Thm0XMk33QCkXBnZY+AGq4ySe8ReW27T/Htnpdj/g0AM5OJItP+k9yau7o9Hs IAMqZxs+n5WcSStcq2zf8F8/t+8+cIYRbAvaWdnwk0R+t377ZjX6WlZucLqVgRGIxXr0DR9i9HVR oBikAZw5Ly0ddi4YiOSGvmgDjIRudFGV5bIYXWh9cEIi0u5mOuRnxHANoOs6JeTGib2RNk6oQWqI RAkH5ZGvc7VdJ0X83nUoI9MNJ6Yxr5SE7F1ai/UK6j6AH5Q4lwDXlPCKkwFlKekFagMR2D6ov6CM EsGh6+JMOFNMRLIixGJevtLmYQAvMxeSGv1FdPx/sOLb4T4w1dIkcGbBUMN/kGhgey3Z/DbpM3qs KezB34ezh2QmsscumPQnGuyYNT1dNJXHyARtVrflzc1ywZmgs6pavF/OFwm1eLruA8Yv0hmWjIYH yp+1hMNXjFPoY0jKhk6rdqu0zk7od590YAegBm/zd0Z/EaYtGxv+cVGlQoCmtqNpIdN4Yo62z/le 3MDnwGX+/gWcCtsADlMBGSGFQW1UlCFbg4T2s21ZPHlS19Kj4qkYI1vOtKQ3mKwcGUHpayJJO21J wtSZqRfJ2rn2RL0caZiJ0+89BEq090H1A6k6z9WnOJqkLP956tOoPvcz7tNLX/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cc/4wdgAAAAKAQAADwAAAAAAAAABACAAAAAiAAAAZHJzL2Rvd25yZXYu eG1sUEsBAhQAFAAAAAgAh07iQNo4BWj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CKXFwfsBAAAxBAAADgAAAGRycy9lMm9Eb2MueG1srVNN k9MwDL0zw3/w+M6mDbSwmaZ7oJQLAzss/ADVdhLP+AvZbdp/j+yU7gcceiAHR7LlJ70neXV3tIYd FEbtXcvnNzPOlBNeate3/OeP7ZsPnMUEToLxTrX8pCK/W79+tRpDo2o/eCMVMgJxsRlDy4eUQlNV UQzKQrzxQTk67DxaSORiX0mEkdCtqerZbFmNHmVAL1SMtLuZDvkZEa8B9F2nhdp4sbfKpQkVlYFE lOKgQ+TrUm3XKZG+dV1UiZmWE9NUVkpC9i6v1XoFTY8QBi3OJcA1JbzgZEE7SnqB2kACtkf9F5TV An30XboR3lYTkaIIsZjPXmjzMEBQhQtJHcNF9Pj/YMXXwz0yLVtec+bAUsO/k2jgeqPYfJn1GUNs KOwh3OPZi2RmsscObf4TDXYsmp4umqpjYoI26+W797cLklvQWV0v3i7ni4xaPV4PGNNn5S3LRsuR 8hct4fAlpin0T0jOFr3RcquNKQ72u48G2QGowdvyndGfhRnHxpbfLuoFFQI0tR1NC5k2EPPo+pLv 2Y34FHhWvn8B58I2EIepgIKQw6CxOiks1qBAfnKSpVMgdR09Kp6LsUpyZhS9wWyVyATaXBNJ2hlH EubOTL3I1s7LE/VypGEmTr/2gJRoH1D3A6k6L9XnOJqkIv956vOoPvUL7uNLX/8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ndOwWNgAAAAKAQAADwAAAAAAAAABACAAAAAiAAAAZHJzL2Rvd25yZXYu eG1sUEsBAhQAFAAAAAgAh07iQAilxcH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4"/>
        <w:rPr>
          <w:rFonts w:hint="eastAsia" w:asci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276"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Arial Unicode MS">
    <w:altName w:val="宋体"/>
    <w:panose1 w:val="020B0604020202020204"/>
    <w:charset w:val="86"/>
    <w:family w:val="roman"/>
    <w:pitch w:val="default"/>
    <w:sig w:usb0="FFFFFFFF" w:usb1="E9FFFFFF"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Helvetica">
    <w:altName w:val="Arial"/>
    <w:panose1 w:val="020B0604020202020204"/>
    <w:charset w:val="00"/>
    <w:family w:val="swiss"/>
    <w:pitch w:val="default"/>
    <w:sig w:usb0="00000003"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auto"/>
    <w:pitch w:val="default"/>
    <w:sig w:usb0="000002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2</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fUC3HTAQAApAMAAA4AAABkcnMvZTJvRG9jLnhtbK1TS27bMBDd F8gdCO5jKQbcCILloIWRIEDRFkh7AJoiLQL8gUNb8gXaG3TVTfc9l8/RISU5RbrJohtqhjN8M+/N aH03GE2OIoBytqE3i5ISYblrld039OuX++uKEojMtkw7Kxp6EkDvNldv1r2vxdJ1TrciEASxUPe+ oV2Mvi4K4J0wDBbOC4tB6YJhEd2wL9rAekQ3uliW5duid6H1wXEBgLfbMUgnxPAaQCel4mLr+MEI G0fUIDSLSAk65YFucrdSCh4/SQkiEt1QZBrziUXQ3qWz2KxZvQ/Md4pPLbDXtPCCk2HKYtEL1JZF Rg5B/QNlFA8OnIwL7kwxEsmKIIub8oU2Tx3zInNBqcFfRIf/B8s/Hj8HotqGriixzODAzz++n3/+ Pv/6Rpa3SZ/eQ41pTx4T4/DeDbg18z3gZaI9yGDSFwkRjKO6p4u6YoiEp0fVsqpKDHGMzQ7iF8/P fYD4IJwhyWhowPFlVdnxA8QxdU5J1ay7V1rnEWpLekRdVber/OISQnRtsUhiMXabrDjshonazrUn ZNbjDjTU4spToh8tSpzWZTbCbOxm4+CD2nd5n1Ir4N8dIraTu0wVRtipMA4v85wWLW3H337Oev65 Nn8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BfUC3HTAQAApAMAAA4AAAAAAAAAAQAgAAAA IgEAAGRycy9lMm9Eb2MueG1sUEsFBgAAAAAGAAYAWQEAAGcFA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80</w:t>
                          </w:r>
                          <w: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0mzNbTAQAApQMAAA4AAABkcnMvZTJvRG9jLnhtbK1TS27bMBDd F+gdCO5jKU6TCoLloIWRokDRFkhzAJoiLQL8gUNb8gXaG3TVTfc9l8/RISU5QbrJohtqhjN8M+/N aHU7GE0OIoBytqGXi5ISYblrld019OHb3UVFCURmW6adFQ09CqC369evVr2vxdJ1TrciEASxUPe+ oV2Mvi4K4J0wDBbOC4tB6YJhEd2wK9rAekQ3uliW5U3Ru9D64LgAwNvNGKQTYngJoJNScbFxfG+E jSNqEJpFpASd8kDXuVspBY9fpAQRiW4oMo35xCJob9NZrFes3gXmO8WnFthLWnjGyTBlsegZasMi I/ug/oEyigcHTsYFd6YYiWRFkMVl+Uyb+455kbmg1ODPosP/g+WfD18DUS1uwhtKLDM48dPPH6df f06/v5OrmyRQ76HGvHuPmXF47wZMnu8BLxPvQQaTvsiIYBzlPZ7lFUMkPD2qllVVYohjbHYQv3h8 7gPED8IZkoyGBpxflpUdPkEcU+eUVM26O6V1nqG2pEfU6+rtdX5xDiG6tlgksRi7TVYctsNEbeva IzLrcQkaanHnKdEfLWqc9mU2wmxsZ2Pvg9p1eaFSK+Df7SO2k7tMFUbYqTBOL/OcNi2tx1M/Zz3+ Xeu/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N0mzNbTAQAApQMAAA4AAAAAAAAAAQAgAAAA IgEAAGRycy9lMm9Eb2MueG1sUEsFBgAAAAAGAAYAWQEAAGcFA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80</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92</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uQXzbSAQAApQMAAA4AAABkcnMvZTJvRG9jLnhtbK1TS27bMBDd F8gdCO5jKQ7SCILloIWRoEDRFkh6AJoiLQL8gUNb8gXaG3TVTfc9l8/RISU5RbrJohtqhjN8M+/N aHU3GE0OIoBytqFXi5ISYblrld019OvT/WVFCURmW6adFQ09CqB364s3q97XYuk6p1sRCIJYqHvf 0C5GXxcF8E4YBgvnhcWgdMGwiG7YFW1gPaIbXSzL8m3Ru9D64LgAwNvNGKQTYngNoJNScbFxfG+E jSNqEJpFpASd8kDXuVspBY+fpQQRiW4oMo35xCJob9NZrFes3gXmO8WnFthrWnjByTBlsegZasMi I/ug/oEyigcHTsYFd6YYiWRFkMVV+UKbx455kbmg1ODPosP/g+WfDl8CUS1uwg0llhmc+OnH99PP 36df38j1bRKo91Bj3qPHzDi8dwMmz/eAl4n3IINJX2REMI7yHs/yiiESnh5Vy6oqMcQxNjuIXzw/ 9wHig3CGJKOhAeeXZWWHjxDH1DklVbPuXmmdZ6gt6ROJ6vYmvziHEF1bLJJYjN0mKw7bYaK2de0R mfW4BA21uPOU6A8WNU77MhthNrazsfdB7bq8UKkV8O/2EdvJXaYKI+xUGKeXeU6bltbjbz9nPf9d 6z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O5BfNtIBAAClAwAADgAAAAAAAAABACAAAAAi AQAAZHJzL2Uyb0RvYy54bWxQSwUGAAAAAAYABgBZAQAAZgU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92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84</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OQqffTAQAApQMAAA4AAABkcnMvZTJvRG9jLnhtbK1TS27bMBDd F8gdCO5jKQ6SCoLloIWRoEDRFkh6AJoiLQL8gUNb8gXaG3TVTfc9l8/RISU5RbrJohtqhjN8M+/N aHU3GE0OIoBytqFXi5ISYblrld019OvT/WVFCURmW6adFQ09CqB364s3q97XYuk6p1sRCIJYqHvf 0C5GXxcF8E4YBgvnhcWgdMGwiG7YFW1gPaIbXSzL8rboXWh9cFwA4O1mDNIJMbwG0EmpuNg4vjfC xhE1CM0iUoJOeaDr3K2UgsfPUoKIRDcUmcZ8YhG0t+ks1itW7wLzneJTC+w1LbzgZJiyWPQMtWGR kX1Q/0AZxYMDJ+OCO1OMRLIiyOKqfKHNY8e8yFxQavBn0eH/wfJPhy+BqBY34ZYSywxO/PTj++nn 79Ovb+S6SgL1HmrMe/SYGYf3bsDk+R7wMvEeZDDpi4wIxlHe41leMUTC06NqWVUlhjjGZgfxi+fn PkB8EM6QZDQ04PyyrOzwEeKYOqekatbdK63zDLUlPaLeVG9v8otzCNG1xSKJxdhtsuKwHSZqW9ce kVmPS9BQiztPif5gUeO0L7MRZmM7G3sf1K7LC5VaAf9uH7Gd3GWqMMJOhXF6mee0aWk9/vZz1vPf tf4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DOQqffTAQAApQMAAA4AAAAAAAAAAQAgAAAA IgEAAGRycy9lMm9Eb2MueG1sUEsFBgAAAAAGAAYAWQEAAGcFA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U/bDSAQAApAMAAA4AAABkcnMvZTJvRG9jLnhtbK1TS27bMBDd F8gdCO5jKQaSCILlIIGRokCRFkh7AJoiLQL8gUNb8gXaG3TVTfc9l8/RISU5RbrJohtqhjN8M+/N aHU3GE0OIoBytqFXi5ISYblrld019OuXx8uKEojMtkw7Kxp6FEDv1hfvVr2vxdJ1TrciEASxUPe+ oV2Mvi4K4J0wDBbOC4tB6YJhEd2wK9rAekQ3uliW5U3Ru9D64LgAwNvNGKQTYngLoJNScbFxfG+E jSNqEJpFpASd8kDXuVspBY+fpAQRiW4oMo35xCJob9NZrFes3gXmO8WnFthbWnjFyTBlsegZasMi I/ug/oEyigcHTsYFd6YYiWRFkMVV+Uqb5455kbmg1ODPosP/g+VPh8+BqLahN5RYZnDgpx/fTz9/ n359I8sq6dN7qDHt2WNiHB7cgFsz3wNeJtqDDCZ9kRDBOKp7PKsrhkh4elQtq6rEEMfY7CB+8fLc B4jvhTMkGQ0NOL6sKjt8hDimzimpmnWPSus8Qm1Jj6jX1e11fnEOIbq2WCSxGLtNVhy2w0Rt69oj MutxBxpqceUp0R8sSpzWZTbCbGxnY++D2nV5n1Ir4O/3EdvJXaYKI+xUGIeXeU6Llrbjbz9nvfxc 6z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H9T9sNIBAACkAwAADgAAAAAAAAABACAAAAAi AQAAZHJzL2Uyb0RvYy54bWxQSwUGAAAAAAYABgBZAQAAZgU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rPr>
                            <w:t>46</w:t>
                          </w:r>
                          <w:r>
                            <w:rPr>
                              <w:sz w:val="24"/>
                              <w:szCs w:val="24"/>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liblDTAQAApAMAAA4AAABkcnMvZTJvRG9jLnhtbK1TS27bMBDd F+gdCO5rKQaSqILloIWRoEDRFkhyAJoiLQL8gUNb8gXaG3TVTfc9l8/RISU5QbrJohtqhjN8M+/N aHUzGE0OIoBytqEXi5ISYblrld019PHh9l1FCURmW6adFQ09CqA367dvVr2vxdJ1TrciEASxUPe+ oV2Mvi4K4J0wDBbOC4tB6YJhEd2wK9rAekQ3uliW5VXRu9D64LgAwNvNGKQTYngNoJNScbFxfG+E jSNqEJpFpASd8kDXuVspBY9fpQQRiW4oMo35xCJob9NZrFes3gXmO8WnFthrWnjByTBlsegZasMi I/ug/oEyigcHTsYFd6YYiWRFkMVF+UKb+455kbmg1ODPosP/g+VfDt8CUW1DrymxzODATz9/nH79 Of3+Tpbvkz69hxrT7j0mxuGjG3Br5nvAy0R7kMGkLxIiGEd1j2d1xRAJT4+qZVWVGOIYmx3EL56e +wDxTjhDktHQgOPLqrLDZ4hj6pySqll3q7TOI9SW9Ih6WV1f5hfnEKJri0USi7HbZMVhO0zUtq49 IrMed6ChFleeEv3JosRpXWYjzMZ2NvY+qF2X9ym1Av7DPmI7uctUYYSdCuPwMs9p0dJ2PPdz1tPP tf4L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PliblDTAQAApAMAAA4AAAAAAAAAAQAgAAAA IgEAAGRycy9lMm9Eb2MueG1sUEsFBgAAAAAGAAYAWQEAAGcFAAAAAA== ">
              <v:fill on="f" focussize="0,0"/>
              <v:stroke on="f" weight="1.25pt"/>
              <v:imagedata o:title=""/>
              <o:lock v:ext="edit" aspectratio="f"/>
              <v:textbox inset="0mm,0mm,0mm,0mm" style="mso-fit-shape-to-text:t;">
                <w:txbxContent>
                  <w:p>
                    <w:pPr>
                      <w:pStyle w:val="3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rPr>
                      <w:t>46</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fobNTSAQAApAMAAA4AAABkcnMvZTJvRG9jLnhtbK1TzY7TMBC+ I+07WL5vk+1qIYqarlhVi5AQIC08gOvYjSX/yeM26QvAG3Diwp3n6nMwdpIWLZc9cHFmPONv5vtm srofjCYHEUA529CbRUmJsNy1yu4a+vXL43VFCURmW6adFQ09CqD366tXq97XYuk6p1sRCIJYqHvf 0C5GXxcF8E4YBgvnhcWgdMGwiG7YFW1gPaIbXSzL8nXRu9D64LgAwNvNGKQTYngJoJNScbFxfG+E jSNqEJpFpASd8kDXuVspBY+fpAQRiW4oMo35xCJob9NZrFes3gXmO8WnFthLWnjGyTBlsegZasMi I/ug/oEyigcHTsYFd6YYiWRFkMVN+Uybp455kbmg1ODPosP/g+UfD58DUW1DceyWGRz46cf308/f p1/fyG3Wp/dQY9qTx8Q4PLgBtybplu4BLxPtQQaTvkiIYBzVPZ7VFUMkPD2qllVVYohjbHYQp7g8 9wHiO+EMSUZDA44vq8oOHyCOqXNKqmbdo9I6j1Bb0iPqXfXmLr84hxBdWyxy6TZZcdgOE4Wta4/I rMcdaKjFladEv7cocVqX2QizsZ2NvQ9q1+V9Sq2Af7uP2E7uMlUYYafCOLzMc1q0tB1/+znr8nOt /w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x+hs1NIBAACkAwAADgAAAAAAAAABACAAAAAi AQAAZHJzL2Uyb0RvYy54bWxQSwUGAAAAAAYABgBZAQAAZgU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74</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Fe/zTTAQAApAMAAA4AAABkcnMvZTJvRG9jLnhtbK1TzY7TMBC+ I/EOlu80adFCiJquQNUiJARICw/gOnZjyX/yuE36AvAGnLhw57n6HDt2ki7avexhL86MZ/zNfN9M 1teD0eQoAihnG7pclJQIy12r7L6hP77fvKoogchsy7SzoqEnAfR68/LFuve1WLnO6VYEgiAW6t43 tIvR10UBvBOGwcJ5YTEoXTAsohv2RRtYj+hGF6uyfFP0LrQ+OC4A8HY7BumEGJ4C6KRUXGwdPxhh 44gahGYRKUGnPNBN7lZKweNXKUFEohuKTGM+sQjau3QWmzWr94H5TvGpBfaUFh5wMkxZLHqB2rLI yCGoR1BG8eDAybjgzhQjkawIsliWD7S57ZgXmQtKDf4iOjwfLP9y/BaIahv6jhLLDA78/PvX+c+/ 89+f5PUy6dN7qDHt1mNiHD64Abdmvge8TLQHGUz6IiGCcVT3dFFXDJHw9KhaVVWJIY6x2UH84v65 DxA/CmdIMhoacHxZVXb8DHFMnVNSNetulNZ5hNqSHlGvqrdX+cUlhOjaYpHEYuw2WXHYDRO1nWtP yKzHHWioxZWnRH+yKHFal9kIs7GbjYMPat/lfUqtgH9/iNhO7jJVGGGnwji8zHNatLQd//s56/7n 2tw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CFe/zTTAQAApAMAAA4AAAAAAAAAAQAgAAAA IgEAAGRycy9lMm9Eb2MueG1sUEsFBgAAAAAGAAYAWQEAAGcFA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74</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47</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fxYOLSAQAApQMAAA4AAABkcnMvZTJvRG9jLnhtbK1TS27bMBDd F8gdCO5jKS7SCoLlIIWRIEDRFkh7AJoiLQL8gUNb8gXaG3TVTfc9l8/RISU5RbrJIhtqyBm+ee9x tLoZjCYHEUA529CrRUmJsNy1yu4a+u3r3WVFCURmW6adFQ09CqA364s3q97XYuk6p1sRCIJYqHvf 0C5GXxcF8E4YBgvnhcWkdMGwiNuwK9rAekQ3uliW5buid6H1wXEBgKebMUknxPASQCel4mLj+N4I G0fUIDSLKAk65YGuM1spBY+fpQQRiW4oKo15xSYYb9NarFes3gXmO8UnCuwlFJ5pMkxZbHqG2rDI yD6o/6CM4sGBk3HBnSlGIdkRVHFVPvPmsWNeZC1oNfiz6fB6sPzT4UsgqsVJQEssM/jip58/Tr/+ nH5/J2+XyaDeQ411jx4r4/DBDVg8nwMeJt2DDCZ9URHBPGIdz/aKIRKeLlXLqioxxTE3bxC/eLru A8R74QxJQUMDvl+2lR0+QhxL55LUzbo7pXV+Q21Jj6jX1fvrfOOcQnRtsUlSMbJNURy2wyRt69oj KutxCBpqceYp0Q8WPUamcQ7CHGznYO+D2nV5oBIV8Lf7iHQyy9RhhJ0a4+tlndOkpfH4d5+rnv6u 9V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x/Fg4tIBAAClAwAADgAAAAAAAAABACAAAAAi AQAAZHJzL2Uyb0RvYy54bWxQSwUGAAAAAAYABgBZAQAAZgU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47</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78</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FH8wLTAQAApQMAAA4AAABkcnMvZTJvRG9jLnhtbK1TzY7TMBC+ I/EOlu80aVcLUdR0BaoWISFA2uUBXMduLPlPHrdJXwDegBMX7jxXn4Oxk3TR7mUPe3FmPONv5vtm sr4ZjCZHEUA529DloqREWO5aZfcN/X5/+6aiBCKzLdPOioaeBNCbzetX697XYuU6p1sRCIJYqHvf 0C5GXxcF8E4YBgvnhcWgdMGwiG7YF21gPaIbXazK8m3Ru9D64LgAwNvtGKQTYngOoJNScbF1/GCE jSNqEJpFpASd8kA3uVspBY9fpQQRiW4oMo35xCJo79JZbNas3gfmO8WnFthzWnjEyTBlsegFassi I4egnkAZxYMDJ+OCO1OMRLIiyGJZPtLmrmNeZC4oNfiL6PBysPzL8VsgqsVNWFJimcGJn3/9PP/+ e/7zg1xdJYF6DzXm3XnMjMMHN2DyfA94mXgPMpj0RUYE4yjv6SKvGCLh6VG1qqoSQxxjs4P4xcNz HyB+FM6QZDQ04PyyrOz4GeKYOqekatbdKq3zDLUlPaJeV++u84tLCNG1xSKJxdhtsuKwGyZqO9ee kFmPS9BQiztPif5kUeO0L7MRZmM3Gwcf1L7LC5VaAf/+ELGd3GWqMMJOhXF6mee0aWk9/vdz1sPf tfk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CFH8wLTAQAApQMAAA4AAAAAAAAAAQAgAAAA IgEAAGRycy9lMm9Eb2MueG1sUEsFBgAAAAAGAAYAWQEAAGcFA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78</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75</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TTCFjTAQAApQMAAA4AAABkcnMvZTJvRG9jLnhtbK1TS27bMBDd F8gdCO5jKW7TCoLloIWRokDRFkhyAJoiLQL8gUNb8gXaG3TVTfc9l8+RISU5RbrJohtqhjN8M+/N aHUzGE0OIoBytqFXi5ISYblrld019OH+9rKiBCKzLdPOioYeBdCb9cWrVe9rsXSd060IBEEs1L1v aBejr4sCeCcMg4XzwmJQumBYRDfsijawHtGNLpZl+bboXWh9cFwA4O1mDNIJMbwE0EmpuNg4vjfC xhE1CM0iUoJOeaDr3K2UgsevUoKIRDcUmcZ8YhG0t+ks1itW7wLzneJTC+wlLTzjZJiyWPQMtWGR kX1Q/0AZxYMDJ+OCO1OMRLIiyOKqfKbNXce8yFxQavBn0eH/wfIvh2+BqBY3YUmJZQYnfvr54/Tr z+n3d/L6TRKo91Bj3p3HzDh8cAMmz/eAl4n3IINJX2REMI7yHs/yiiESnh5Vy6oqMcQxNjuIXzw9 9wHiR+EMSUZDA84vy8oOnyGOqXNKqmbdrdI6z1Bb0iPqdfXuOr84hxBdWyySWIzdJisO22GitnXt EZn1uAQNtbjzlOhPFjVO+zIbYTa2s7H3Qe26vFCpFfDv9xHbyV2mCiPsVBinl3lOm5bW428/Zz39 Xet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FTTCFjTAQAApQMAAA4AAAAAAAAAAQAgAAAA IgEAAGRycy9lMm9Eb2MueG1sUEsFBgAAAAAGAAYAWQEAAGcFA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75</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fldChar w:fldCharType="begin"/>
                          </w:r>
                          <w:r>
                            <w:instrText xml:space="preserve"> PAGE  \* MERGEFORMAT </w:instrText>
                          </w:r>
                          <w:r>
                            <w:fldChar w:fldCharType="separate"/>
                          </w:r>
                          <w:r>
                            <w:rPr>
                              <w:lang/>
                            </w:rPr>
                            <w:t>83</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Jlm7jTAQAApQMAAA4AAABkcnMvZTJvRG9jLnhtbK1TzY7TMBC+ I/EOlu802a4KUdR0BaoWISFA2uUBXMduLPlPHrdJXwDegBMX7jxXn4Oxk3TR7mUPe3FmPONv5vtm sr4ZjCZHEUA529CrRUmJsNy1yu4b+v3+9k1FCURmW6adFQ09CaA3m9ev1r2vxdJ1TrciEASxUPe+ oV2Mvi4K4J0wDBbOC4tB6YJhEd2wL9rAekQ3uliW5duid6H1wXEBgLfbMUgnxPAcQCel4mLr+MEI G0fUIDSLSAk65YFucrdSCh6/SgkiEt1QZBrziUXQ3qWz2KxZvQ/Md4pPLbDntPCIk2HKYtEL1JZF Rg5BPYEyigcHTsYFd6YYiWRFkMVV+Uibu455kbmg1OAvosPLwfIvx2+BqBY34ZoSywxO/Pzr5/n3 3/OfH+R6lQTqPdSYd+cxMw4f3IDJ8z3gZeI9yGDSFxkRjKO8p4u8YoiEp0fVsqpKDHGMzQ7iFw/P fYD4UThDktHQgPPLsrLjZ4hj6pySqll3q7TOM9SW9Ii6qt6t8otLCNG1xSKJxdhtsuKwGyZqO9ee kFmPS9BQiztPif5kUeO0L7MRZmM3Gwcf1L7LC5VaAf/+ELGd3GWqMMJOhXF6mee0aWk9/vdz1sPf tfk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LJlm7jTAQAApQMAAA4AAAAAAAAAAQAgAAAA IgEAAGRycy9lMm9Eb2MueG1sUEsFBgAAAAAGAAYAWQEAAGcFAAAAAA== ">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lang/>
                      </w:rPr>
                      <w:t>83</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温州市公安局政府采购竞争性谈判采购文件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ascii="华文仿宋" w:hAnsi="华文仿宋" w:eastAsia="华文仿宋" w:cs="华文仿宋"/>
        <w:sz w:val="22"/>
        <w:szCs w:val="22"/>
        <w:lang w:eastAsia="zh-CN"/>
      </w:rPr>
      <w:t>温州市公安局</w:t>
    </w:r>
    <w:r>
      <w:rPr>
        <w:rFonts w:hint="eastAsia" w:ascii="华文仿宋" w:hAnsi="华文仿宋" w:eastAsia="华文仿宋" w:cs="华文仿宋"/>
        <w:sz w:val="22"/>
        <w:szCs w:val="22"/>
      </w:rPr>
      <w:t>政府采购</w:t>
    </w:r>
    <w:r>
      <w:rPr>
        <w:rFonts w:hint="eastAsia" w:ascii="华文仿宋" w:hAnsi="华文仿宋" w:eastAsia="华文仿宋" w:cs="华文仿宋"/>
        <w:sz w:val="22"/>
        <w:szCs w:val="22"/>
        <w:lang w:eastAsia="zh-CN"/>
      </w:rPr>
      <w:t>竞争性谈判</w:t>
    </w:r>
    <w:r>
      <w:rPr>
        <w:rFonts w:hint="eastAsia" w:ascii="华文仿宋" w:hAnsi="华文仿宋" w:eastAsia="华文仿宋" w:cs="华文仿宋"/>
        <w:sz w:val="22"/>
        <w:szCs w:val="22"/>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pPr>
    <w:r>
      <w:rPr>
        <w:color w:val="C00000"/>
        <w:u w:val="thick"/>
      </w:rPr>
      <w:drawing>
        <wp:inline distT="0" distB="0" distL="114300" distR="114300">
          <wp:extent cx="508635" cy="549910"/>
          <wp:effectExtent l="0" t="0" r="9525" b="13970"/>
          <wp:docPr id="17" name="图片 2" descr="ca3cde33d4e9159524e1e7adeb80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ca3cde33d4e9159524e1e7adeb8043a"/>
                  <pic:cNvPicPr>
                    <a:picLocks noChangeAspect="1"/>
                  </pic:cNvPicPr>
                </pic:nvPicPr>
                <pic:blipFill>
                  <a:blip r:embed="rId1"/>
                  <a:stretch>
                    <a:fillRect/>
                  </a:stretch>
                </pic:blipFill>
                <pic:spPr>
                  <a:xfrm>
                    <a:off x="0" y="0"/>
                    <a:ext cx="508635" cy="549910"/>
                  </a:xfrm>
                  <a:prstGeom prst="rect">
                    <a:avLst/>
                  </a:prstGeom>
                  <a:noFill/>
                  <a:ln>
                    <a:noFill/>
                  </a:ln>
                </pic:spPr>
              </pic:pic>
            </a:graphicData>
          </a:graphic>
        </wp:inline>
      </w:drawing>
    </w:r>
    <w:r>
      <w:rPr>
        <w:rFonts w:hint="eastAsia" w:ascii="楷体" w:hAnsi="楷体" w:eastAsia="楷体" w:cs="楷体"/>
        <w:color w:val="C00000"/>
        <w:sz w:val="36"/>
        <w:szCs w:val="36"/>
        <w:u w:val="thick"/>
      </w:rPr>
      <w:t xml:space="preserve">  </w:t>
    </w: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rPr>
        <w:rFonts w:ascii="仿宋_GB2312" w:eastAsia="仿宋_GB2312"/>
        <w:b/>
        <w:i/>
        <w:sz w:val="22"/>
        <w:szCs w:val="22"/>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温州市公安局政府采购竞争性谈判采购文件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widowControl/>
      <w:adjustRightInd/>
      <w:spacing w:line="240" w:lineRule="atLeast"/>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rPr>
        <w:rFonts w:ascii="仿宋_GB2312" w:eastAsia="仿宋_GB2312"/>
        <w:b/>
        <w:i/>
        <w:sz w:val="18"/>
        <w:u w:val="single"/>
      </w:rPr>
    </w:pPr>
    <w:r>
      <w:t></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温州市公安局政府采购竞争性谈判采购文件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widowControl/>
      <w:adjustRightInd/>
      <w:spacing w:line="240" w:lineRule="atLeast"/>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温州市公安局政府采购竞争性谈判采购文件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ascii="华文仿宋" w:hAnsi="华文仿宋" w:eastAsia="华文仿宋" w:cs="华文仿宋"/>
        <w:sz w:val="24"/>
        <w:szCs w:val="24"/>
        <w:lang w:eastAsia="zh-CN"/>
      </w:rPr>
      <w:t>温州市公安局</w:t>
    </w:r>
    <w:r>
      <w:rPr>
        <w:rFonts w:hint="eastAsia" w:ascii="华文仿宋" w:hAnsi="华文仿宋" w:eastAsia="华文仿宋" w:cs="华文仿宋"/>
        <w:sz w:val="24"/>
        <w:szCs w:val="24"/>
      </w:rPr>
      <w:t>政府采购</w:t>
    </w:r>
    <w:r>
      <w:rPr>
        <w:rFonts w:hint="eastAsia" w:ascii="华文仿宋" w:hAnsi="华文仿宋" w:eastAsia="华文仿宋" w:cs="华文仿宋"/>
        <w:sz w:val="24"/>
        <w:szCs w:val="24"/>
        <w:lang w:eastAsia="zh-CN"/>
      </w:rPr>
      <w:t>竞争性谈判</w:t>
    </w:r>
    <w:r>
      <w:rPr>
        <w:rFonts w:hint="eastAsia" w:ascii="华文仿宋" w:hAnsi="华文仿宋" w:eastAsia="华文仿宋" w:cs="华文仿宋"/>
        <w:sz w:val="24"/>
        <w:szCs w:val="24"/>
      </w:rPr>
      <w:t>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7142"/>
        <w:tab w:val="right" w:pos="18550"/>
      </w:tabs>
      <w:ind w:left="5400" w:hanging="5400" w:hangingChars="3000"/>
      <w:jc w:val="right"/>
    </w:pPr>
    <w:r>
      <w:rPr>
        <w:rFonts w:hint="eastAsia"/>
        <w:lang w:eastAsia="zh-CN"/>
      </w:rPr>
      <w:tab/>
    </w:r>
    <w:r>
      <w:rPr>
        <w:rFonts w:hint="eastAsia"/>
        <w:sz w:val="22"/>
        <w:szCs w:val="22"/>
        <w:lang w:val="en-US" w:eastAsia="zh-CN"/>
      </w:rPr>
      <w:t xml:space="preserve"> </w:t>
    </w:r>
    <w:r>
      <w:rPr>
        <w:rFonts w:hint="eastAsia" w:ascii="华文仿宋" w:hAnsi="华文仿宋" w:eastAsia="华文仿宋" w:cs="华文仿宋"/>
        <w:sz w:val="22"/>
        <w:szCs w:val="22"/>
        <w:lang w:eastAsia="zh-CN"/>
      </w:rPr>
      <w:t>温州市公安局</w:t>
    </w:r>
    <w:r>
      <w:rPr>
        <w:rFonts w:hint="eastAsia" w:ascii="华文仿宋" w:hAnsi="华文仿宋" w:eastAsia="华文仿宋" w:cs="华文仿宋"/>
        <w:sz w:val="22"/>
        <w:szCs w:val="22"/>
      </w:rPr>
      <w:t>政府采购</w:t>
    </w:r>
    <w:r>
      <w:rPr>
        <w:rFonts w:hint="eastAsia" w:ascii="华文仿宋" w:hAnsi="华文仿宋" w:eastAsia="华文仿宋" w:cs="华文仿宋"/>
        <w:sz w:val="22"/>
        <w:szCs w:val="22"/>
        <w:lang w:eastAsia="zh-CN"/>
      </w:rPr>
      <w:t>竞争性谈判</w:t>
    </w:r>
    <w:r>
      <w:rPr>
        <w:rFonts w:hint="eastAsia" w:ascii="华文仿宋" w:hAnsi="华文仿宋" w:eastAsia="华文仿宋" w:cs="华文仿宋"/>
        <w:sz w:val="22"/>
        <w:szCs w:val="22"/>
      </w:rPr>
      <w:t>文件</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5011F"/>
    <w:multiLevelType w:val="singleLevel"/>
    <w:tmpl w:val="DBC5011F"/>
    <w:lvl w:ilvl="0" w:tentative="0">
      <w:start w:val="3"/>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152756F7"/>
    <w:multiLevelType w:val="singleLevel"/>
    <w:tmpl w:val="152756F7"/>
    <w:lvl w:ilvl="0" w:tentative="0">
      <w:start w:val="2"/>
      <w:numFmt w:val="chineseCounting"/>
      <w:suff w:val="space"/>
      <w:lvlText w:val="第%1部分"/>
      <w:lvlJc w:val="left"/>
      <w:rPr>
        <w:rFonts w:hint="eastAsia"/>
      </w:rPr>
    </w:lvl>
  </w:abstractNum>
  <w:abstractNum w:abstractNumId="3">
    <w:nsid w:val="2BCD3DE2"/>
    <w:multiLevelType w:val="singleLevel"/>
    <w:tmpl w:val="2BCD3DE2"/>
    <w:lvl w:ilvl="0" w:tentative="0">
      <w:start w:val="2"/>
      <w:numFmt w:val="decimal"/>
      <w:lvlText w:val="%1."/>
      <w:lvlJc w:val="left"/>
      <w:pPr>
        <w:tabs>
          <w:tab w:val="left" w:pos="312"/>
        </w:tabs>
      </w:pPr>
    </w:lvl>
  </w:abstractNum>
  <w:abstractNum w:abstractNumId="4">
    <w:nsid w:val="2E881E68"/>
    <w:multiLevelType w:val="singleLevel"/>
    <w:tmpl w:val="2E881E68"/>
    <w:lvl w:ilvl="0" w:tentative="0">
      <w:start w:val="1"/>
      <w:numFmt w:val="chineseCounting"/>
      <w:suff w:val="nothing"/>
      <w:lvlText w:val="%1、"/>
      <w:lvlJc w:val="left"/>
      <w:pPr>
        <w:ind w:left="0" w:firstLine="420"/>
      </w:pPr>
      <w:rPr>
        <w:rFonts w:hint="eastAsia"/>
      </w:rPr>
    </w:lvl>
  </w:abstractNum>
  <w:abstractNum w:abstractNumId="5">
    <w:nsid w:val="58B55C79"/>
    <w:multiLevelType w:val="singleLevel"/>
    <w:tmpl w:val="58B55C79"/>
    <w:lvl w:ilvl="0" w:tentative="0">
      <w:start w:val="1"/>
      <w:numFmt w:val="decimal"/>
      <w:suff w:val="nothing"/>
      <w:lvlText w:val="（%1）"/>
      <w:lvlJc w:val="left"/>
    </w:lvl>
  </w:abstractNum>
  <w:abstractNum w:abstractNumId="6">
    <w:nsid w:val="5D020D91"/>
    <w:multiLevelType w:val="singleLevel"/>
    <w:tmpl w:val="5D020D91"/>
    <w:lvl w:ilvl="0" w:tentative="0">
      <w:start w:val="1"/>
      <w:numFmt w:val="decimal"/>
      <w:suff w:val="nothing"/>
      <w:lvlText w:val="%1."/>
      <w:lvlJc w:val="left"/>
    </w:lvl>
  </w:abstractNum>
  <w:abstractNum w:abstractNumId="7">
    <w:nsid w:val="6D91EDAE"/>
    <w:multiLevelType w:val="singleLevel"/>
    <w:tmpl w:val="6D91EDAE"/>
    <w:lvl w:ilvl="0" w:tentative="0">
      <w:start w:val="2"/>
      <w:numFmt w:val="decimal"/>
      <w:suff w:val="nothing"/>
      <w:lvlText w:val="（%1）"/>
      <w:lvlJc w:val="left"/>
    </w:lvl>
  </w:abstractNum>
  <w:abstractNum w:abstractNumId="8">
    <w:nsid w:val="7F4DE088"/>
    <w:multiLevelType w:val="singleLevel"/>
    <w:tmpl w:val="7F4DE088"/>
    <w:lvl w:ilvl="0" w:tentative="0">
      <w:start w:val="4"/>
      <w:numFmt w:val="chineseCounting"/>
      <w:suff w:val="space"/>
      <w:lvlText w:val="第%1部分"/>
      <w:lvlJc w:val="left"/>
      <w:rPr>
        <w:rFonts w:hint="eastAsia"/>
      </w:rPr>
    </w:lvl>
  </w:abstractNum>
  <w:num w:numId="1">
    <w:abstractNumId w:val="8"/>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565"/>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BCA"/>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F0F"/>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16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30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528"/>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83874"/>
    <w:rsid w:val="024A1264"/>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A2CD9"/>
    <w:rsid w:val="05A16594"/>
    <w:rsid w:val="05A7762D"/>
    <w:rsid w:val="060E5941"/>
    <w:rsid w:val="06110FAF"/>
    <w:rsid w:val="0622157D"/>
    <w:rsid w:val="06493CA7"/>
    <w:rsid w:val="065A6178"/>
    <w:rsid w:val="066F1CF3"/>
    <w:rsid w:val="06930BB8"/>
    <w:rsid w:val="06A5319B"/>
    <w:rsid w:val="07245D42"/>
    <w:rsid w:val="07264C62"/>
    <w:rsid w:val="0779354C"/>
    <w:rsid w:val="08061376"/>
    <w:rsid w:val="08452D77"/>
    <w:rsid w:val="086401F8"/>
    <w:rsid w:val="08751CAA"/>
    <w:rsid w:val="087E4C40"/>
    <w:rsid w:val="08D60F6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87248"/>
    <w:rsid w:val="0A1C0718"/>
    <w:rsid w:val="0A3E7710"/>
    <w:rsid w:val="0A5B7E63"/>
    <w:rsid w:val="0AA374A5"/>
    <w:rsid w:val="0AAB7649"/>
    <w:rsid w:val="0ABC5606"/>
    <w:rsid w:val="0B30404E"/>
    <w:rsid w:val="0B4C6C14"/>
    <w:rsid w:val="0B6208F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E6938"/>
    <w:rsid w:val="10C26171"/>
    <w:rsid w:val="10F33360"/>
    <w:rsid w:val="10FC16EA"/>
    <w:rsid w:val="110F1D40"/>
    <w:rsid w:val="11266F33"/>
    <w:rsid w:val="118963A1"/>
    <w:rsid w:val="11C6522A"/>
    <w:rsid w:val="11E104CC"/>
    <w:rsid w:val="11E20309"/>
    <w:rsid w:val="11F87AB8"/>
    <w:rsid w:val="12255233"/>
    <w:rsid w:val="12530213"/>
    <w:rsid w:val="127723A9"/>
    <w:rsid w:val="12862074"/>
    <w:rsid w:val="12883966"/>
    <w:rsid w:val="129E45B4"/>
    <w:rsid w:val="12D81596"/>
    <w:rsid w:val="12FD27F6"/>
    <w:rsid w:val="13072A44"/>
    <w:rsid w:val="135F4BE2"/>
    <w:rsid w:val="137C4750"/>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A299A"/>
    <w:rsid w:val="1BB4777D"/>
    <w:rsid w:val="1BD75AB8"/>
    <w:rsid w:val="1C0459C2"/>
    <w:rsid w:val="1C1B3B4A"/>
    <w:rsid w:val="1C88086E"/>
    <w:rsid w:val="1D266CE1"/>
    <w:rsid w:val="1D3963AF"/>
    <w:rsid w:val="1D6A673C"/>
    <w:rsid w:val="1D9247AE"/>
    <w:rsid w:val="1DA4032F"/>
    <w:rsid w:val="1DB567EC"/>
    <w:rsid w:val="1DCF73F8"/>
    <w:rsid w:val="1DF51A98"/>
    <w:rsid w:val="1E3D060F"/>
    <w:rsid w:val="1E3F7D2E"/>
    <w:rsid w:val="1E4134E4"/>
    <w:rsid w:val="1E5062B3"/>
    <w:rsid w:val="1E523514"/>
    <w:rsid w:val="1E6A490D"/>
    <w:rsid w:val="1E714A66"/>
    <w:rsid w:val="1E802593"/>
    <w:rsid w:val="1EA703CC"/>
    <w:rsid w:val="1EB7330C"/>
    <w:rsid w:val="1ECE074D"/>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20697"/>
    <w:rsid w:val="236B425F"/>
    <w:rsid w:val="23836192"/>
    <w:rsid w:val="23901F29"/>
    <w:rsid w:val="239C0061"/>
    <w:rsid w:val="23B908A4"/>
    <w:rsid w:val="23E95BEF"/>
    <w:rsid w:val="23FD0064"/>
    <w:rsid w:val="243A4656"/>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837F2"/>
    <w:rsid w:val="294C65AD"/>
    <w:rsid w:val="29806583"/>
    <w:rsid w:val="298B3C4C"/>
    <w:rsid w:val="29F26D24"/>
    <w:rsid w:val="2A15033F"/>
    <w:rsid w:val="2A1662C1"/>
    <w:rsid w:val="2A1C7367"/>
    <w:rsid w:val="2A2815FA"/>
    <w:rsid w:val="2A6D6092"/>
    <w:rsid w:val="2A7D76B4"/>
    <w:rsid w:val="2AF74D8B"/>
    <w:rsid w:val="2B437463"/>
    <w:rsid w:val="2B7807EE"/>
    <w:rsid w:val="2B976C05"/>
    <w:rsid w:val="2BBF00EC"/>
    <w:rsid w:val="2BC37CFD"/>
    <w:rsid w:val="2BD5237F"/>
    <w:rsid w:val="2BE536CE"/>
    <w:rsid w:val="2BE758D9"/>
    <w:rsid w:val="2C09049E"/>
    <w:rsid w:val="2C0A653C"/>
    <w:rsid w:val="2C191F85"/>
    <w:rsid w:val="2C336B7F"/>
    <w:rsid w:val="2CE82D6F"/>
    <w:rsid w:val="2D343236"/>
    <w:rsid w:val="2DD15014"/>
    <w:rsid w:val="2DF72DE4"/>
    <w:rsid w:val="2E0220AF"/>
    <w:rsid w:val="2E4B082A"/>
    <w:rsid w:val="2E5D4E86"/>
    <w:rsid w:val="2E5D790B"/>
    <w:rsid w:val="2E695641"/>
    <w:rsid w:val="2E9A3C18"/>
    <w:rsid w:val="2EBB0FEE"/>
    <w:rsid w:val="2EC63002"/>
    <w:rsid w:val="2EFF76CA"/>
    <w:rsid w:val="2F0A6B38"/>
    <w:rsid w:val="2F322B2F"/>
    <w:rsid w:val="2F946CCB"/>
    <w:rsid w:val="2FD25781"/>
    <w:rsid w:val="2FFD7934"/>
    <w:rsid w:val="30733ACD"/>
    <w:rsid w:val="30780F37"/>
    <w:rsid w:val="308C3862"/>
    <w:rsid w:val="309379D8"/>
    <w:rsid w:val="30A270F7"/>
    <w:rsid w:val="30DF1478"/>
    <w:rsid w:val="30EC586F"/>
    <w:rsid w:val="319C6071"/>
    <w:rsid w:val="31AC537E"/>
    <w:rsid w:val="31D45740"/>
    <w:rsid w:val="31E3679B"/>
    <w:rsid w:val="31E732FD"/>
    <w:rsid w:val="323425FD"/>
    <w:rsid w:val="3251507D"/>
    <w:rsid w:val="32517576"/>
    <w:rsid w:val="32BE5C2C"/>
    <w:rsid w:val="32FB6478"/>
    <w:rsid w:val="33263B3F"/>
    <w:rsid w:val="336963EB"/>
    <w:rsid w:val="33816EEB"/>
    <w:rsid w:val="33DF2E88"/>
    <w:rsid w:val="33E81102"/>
    <w:rsid w:val="33EB55CD"/>
    <w:rsid w:val="33EC4C02"/>
    <w:rsid w:val="340D2360"/>
    <w:rsid w:val="3410665D"/>
    <w:rsid w:val="34211214"/>
    <w:rsid w:val="342E63AB"/>
    <w:rsid w:val="34533A5D"/>
    <w:rsid w:val="34950E68"/>
    <w:rsid w:val="34986E94"/>
    <w:rsid w:val="34AF62C9"/>
    <w:rsid w:val="34CB4388"/>
    <w:rsid w:val="34FA6E12"/>
    <w:rsid w:val="355B5373"/>
    <w:rsid w:val="358D5588"/>
    <w:rsid w:val="363A3B40"/>
    <w:rsid w:val="365302AE"/>
    <w:rsid w:val="36607A0A"/>
    <w:rsid w:val="366E227C"/>
    <w:rsid w:val="366F2E0D"/>
    <w:rsid w:val="367B6A5C"/>
    <w:rsid w:val="36A74ADA"/>
    <w:rsid w:val="36AD60D5"/>
    <w:rsid w:val="36B224F9"/>
    <w:rsid w:val="36E63D01"/>
    <w:rsid w:val="36EC0CC9"/>
    <w:rsid w:val="373F410B"/>
    <w:rsid w:val="37EE7094"/>
    <w:rsid w:val="38296C89"/>
    <w:rsid w:val="383002EB"/>
    <w:rsid w:val="38586797"/>
    <w:rsid w:val="38BC0149"/>
    <w:rsid w:val="38D87D1C"/>
    <w:rsid w:val="39636459"/>
    <w:rsid w:val="396B7F6C"/>
    <w:rsid w:val="39783B8A"/>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36AFA"/>
    <w:rsid w:val="3C5F759A"/>
    <w:rsid w:val="3C6C525A"/>
    <w:rsid w:val="3C7E3192"/>
    <w:rsid w:val="3CCE23CB"/>
    <w:rsid w:val="3CD17D17"/>
    <w:rsid w:val="3CF45722"/>
    <w:rsid w:val="3D221CF0"/>
    <w:rsid w:val="3D3C7F39"/>
    <w:rsid w:val="3D440F09"/>
    <w:rsid w:val="3D4504A0"/>
    <w:rsid w:val="3D8734BB"/>
    <w:rsid w:val="3D9A11D4"/>
    <w:rsid w:val="3DA16D89"/>
    <w:rsid w:val="3DA364BE"/>
    <w:rsid w:val="3DE041CB"/>
    <w:rsid w:val="3DFD4C3C"/>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32955"/>
    <w:rsid w:val="4019356B"/>
    <w:rsid w:val="40592157"/>
    <w:rsid w:val="406E1CAE"/>
    <w:rsid w:val="40A0133A"/>
    <w:rsid w:val="40C31A53"/>
    <w:rsid w:val="40F331E0"/>
    <w:rsid w:val="40FF545D"/>
    <w:rsid w:val="41004E49"/>
    <w:rsid w:val="410067C8"/>
    <w:rsid w:val="418F0D2A"/>
    <w:rsid w:val="41D01505"/>
    <w:rsid w:val="42474939"/>
    <w:rsid w:val="424C3C57"/>
    <w:rsid w:val="42613FF3"/>
    <w:rsid w:val="42660D96"/>
    <w:rsid w:val="428667D2"/>
    <w:rsid w:val="42A5582B"/>
    <w:rsid w:val="42B866B3"/>
    <w:rsid w:val="42CD1CE0"/>
    <w:rsid w:val="42E07F40"/>
    <w:rsid w:val="42E1381E"/>
    <w:rsid w:val="42ED6459"/>
    <w:rsid w:val="42FE58DD"/>
    <w:rsid w:val="43174B3D"/>
    <w:rsid w:val="434B790E"/>
    <w:rsid w:val="4360274F"/>
    <w:rsid w:val="43977AB6"/>
    <w:rsid w:val="43A3342B"/>
    <w:rsid w:val="43C77C27"/>
    <w:rsid w:val="43DE09EE"/>
    <w:rsid w:val="43DF146F"/>
    <w:rsid w:val="44002FAD"/>
    <w:rsid w:val="441676D3"/>
    <w:rsid w:val="449101DD"/>
    <w:rsid w:val="44DE1391"/>
    <w:rsid w:val="451B225C"/>
    <w:rsid w:val="452410C9"/>
    <w:rsid w:val="45317DFB"/>
    <w:rsid w:val="456D3CE4"/>
    <w:rsid w:val="4579042C"/>
    <w:rsid w:val="457F0571"/>
    <w:rsid w:val="45851176"/>
    <w:rsid w:val="45C63B94"/>
    <w:rsid w:val="460E7DA5"/>
    <w:rsid w:val="462B6F96"/>
    <w:rsid w:val="46422483"/>
    <w:rsid w:val="4659254A"/>
    <w:rsid w:val="465B0637"/>
    <w:rsid w:val="465E3F0D"/>
    <w:rsid w:val="466A16E6"/>
    <w:rsid w:val="46893F2B"/>
    <w:rsid w:val="46C4686E"/>
    <w:rsid w:val="47370EBF"/>
    <w:rsid w:val="477B778F"/>
    <w:rsid w:val="478203EC"/>
    <w:rsid w:val="47961EA1"/>
    <w:rsid w:val="47B025FA"/>
    <w:rsid w:val="4809698F"/>
    <w:rsid w:val="4811697D"/>
    <w:rsid w:val="482E53CB"/>
    <w:rsid w:val="486A4573"/>
    <w:rsid w:val="487A3E25"/>
    <w:rsid w:val="488B5503"/>
    <w:rsid w:val="48937E21"/>
    <w:rsid w:val="489A0361"/>
    <w:rsid w:val="48B94FF3"/>
    <w:rsid w:val="48E37AAB"/>
    <w:rsid w:val="48FD4B4C"/>
    <w:rsid w:val="490A68E0"/>
    <w:rsid w:val="491055FE"/>
    <w:rsid w:val="494D56FB"/>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0681"/>
    <w:rsid w:val="4E3204DD"/>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5C1669"/>
    <w:rsid w:val="5397158E"/>
    <w:rsid w:val="53BD5416"/>
    <w:rsid w:val="54013861"/>
    <w:rsid w:val="54487265"/>
    <w:rsid w:val="544D6070"/>
    <w:rsid w:val="54566820"/>
    <w:rsid w:val="54605E1E"/>
    <w:rsid w:val="54B3506A"/>
    <w:rsid w:val="54CA0D16"/>
    <w:rsid w:val="54DD4057"/>
    <w:rsid w:val="54E7490F"/>
    <w:rsid w:val="55006BAB"/>
    <w:rsid w:val="550764A4"/>
    <w:rsid w:val="550B2BF6"/>
    <w:rsid w:val="55214EB5"/>
    <w:rsid w:val="55250D9C"/>
    <w:rsid w:val="55364EFD"/>
    <w:rsid w:val="555D4828"/>
    <w:rsid w:val="557A4C8B"/>
    <w:rsid w:val="558931E1"/>
    <w:rsid w:val="55923347"/>
    <w:rsid w:val="55925180"/>
    <w:rsid w:val="55983B1B"/>
    <w:rsid w:val="55A8376B"/>
    <w:rsid w:val="55B90550"/>
    <w:rsid w:val="55DC29B6"/>
    <w:rsid w:val="55DD4241"/>
    <w:rsid w:val="55EA07B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855AB"/>
    <w:rsid w:val="5843136E"/>
    <w:rsid w:val="58917D2F"/>
    <w:rsid w:val="5894085C"/>
    <w:rsid w:val="58AE4F0C"/>
    <w:rsid w:val="58B85899"/>
    <w:rsid w:val="58E363A9"/>
    <w:rsid w:val="58F55D94"/>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67382"/>
    <w:rsid w:val="5B2E1A1D"/>
    <w:rsid w:val="5B843A1C"/>
    <w:rsid w:val="5B873E3F"/>
    <w:rsid w:val="5C02690E"/>
    <w:rsid w:val="5C196DA7"/>
    <w:rsid w:val="5C2A048C"/>
    <w:rsid w:val="5C80234E"/>
    <w:rsid w:val="5C8A680C"/>
    <w:rsid w:val="5CCD656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E4ECA"/>
    <w:rsid w:val="5EFC7377"/>
    <w:rsid w:val="5F06174D"/>
    <w:rsid w:val="5F3A3602"/>
    <w:rsid w:val="5F470E8A"/>
    <w:rsid w:val="5F6277C6"/>
    <w:rsid w:val="5F6D0B1D"/>
    <w:rsid w:val="5F8D0B82"/>
    <w:rsid w:val="5FC45368"/>
    <w:rsid w:val="5FCC5339"/>
    <w:rsid w:val="5FE34A5B"/>
    <w:rsid w:val="5FFE1E36"/>
    <w:rsid w:val="60232584"/>
    <w:rsid w:val="607330CE"/>
    <w:rsid w:val="60825176"/>
    <w:rsid w:val="609F2AC4"/>
    <w:rsid w:val="60FA2EE8"/>
    <w:rsid w:val="61033AA0"/>
    <w:rsid w:val="61054A27"/>
    <w:rsid w:val="610A52BC"/>
    <w:rsid w:val="611D2366"/>
    <w:rsid w:val="61421856"/>
    <w:rsid w:val="614B7C1E"/>
    <w:rsid w:val="615227C4"/>
    <w:rsid w:val="61654E3F"/>
    <w:rsid w:val="61760D1A"/>
    <w:rsid w:val="6182292A"/>
    <w:rsid w:val="619F7F92"/>
    <w:rsid w:val="61F94C26"/>
    <w:rsid w:val="62000E56"/>
    <w:rsid w:val="624F3E49"/>
    <w:rsid w:val="62632286"/>
    <w:rsid w:val="626B6209"/>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B3F3A"/>
    <w:rsid w:val="67A22552"/>
    <w:rsid w:val="67B22DCC"/>
    <w:rsid w:val="67BE71AA"/>
    <w:rsid w:val="67D90273"/>
    <w:rsid w:val="67DE5875"/>
    <w:rsid w:val="67E55852"/>
    <w:rsid w:val="67EB1AB4"/>
    <w:rsid w:val="67F4462F"/>
    <w:rsid w:val="67FA1285"/>
    <w:rsid w:val="68551F4F"/>
    <w:rsid w:val="687C10C9"/>
    <w:rsid w:val="687D6795"/>
    <w:rsid w:val="68840C16"/>
    <w:rsid w:val="68876EFB"/>
    <w:rsid w:val="68884654"/>
    <w:rsid w:val="689F444F"/>
    <w:rsid w:val="68B96DBB"/>
    <w:rsid w:val="68CA2805"/>
    <w:rsid w:val="68E937A3"/>
    <w:rsid w:val="693E15D3"/>
    <w:rsid w:val="69627681"/>
    <w:rsid w:val="6977531D"/>
    <w:rsid w:val="697B2927"/>
    <w:rsid w:val="69CB0DD9"/>
    <w:rsid w:val="69CC2BFF"/>
    <w:rsid w:val="69D45085"/>
    <w:rsid w:val="69FD55B8"/>
    <w:rsid w:val="6A0B1C62"/>
    <w:rsid w:val="6A2406C8"/>
    <w:rsid w:val="6A6C412A"/>
    <w:rsid w:val="6AA930E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D7310"/>
    <w:rsid w:val="6F2A7D94"/>
    <w:rsid w:val="6F781C4D"/>
    <w:rsid w:val="6F8331F1"/>
    <w:rsid w:val="6FAE1A09"/>
    <w:rsid w:val="6FD75BF8"/>
    <w:rsid w:val="707723D0"/>
    <w:rsid w:val="70F5661B"/>
    <w:rsid w:val="71125911"/>
    <w:rsid w:val="712A1073"/>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585FE7"/>
    <w:rsid w:val="74706664"/>
    <w:rsid w:val="747F3682"/>
    <w:rsid w:val="74941BBE"/>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0202A"/>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6D1B37"/>
    <w:rsid w:val="7AAB1D04"/>
    <w:rsid w:val="7ABA4368"/>
    <w:rsid w:val="7AC90B23"/>
    <w:rsid w:val="7AD05746"/>
    <w:rsid w:val="7B257FFD"/>
    <w:rsid w:val="7B343476"/>
    <w:rsid w:val="7B5A2978"/>
    <w:rsid w:val="7B5A7E4C"/>
    <w:rsid w:val="7B667AF9"/>
    <w:rsid w:val="7B7468F8"/>
    <w:rsid w:val="7BEE0103"/>
    <w:rsid w:val="7C0A0FE4"/>
    <w:rsid w:val="7C254906"/>
    <w:rsid w:val="7C590818"/>
    <w:rsid w:val="7C7C10F6"/>
    <w:rsid w:val="7C853BEA"/>
    <w:rsid w:val="7C881368"/>
    <w:rsid w:val="7C9A081D"/>
    <w:rsid w:val="7CE27788"/>
    <w:rsid w:val="7D0C32F1"/>
    <w:rsid w:val="7D0F408D"/>
    <w:rsid w:val="7D491C6C"/>
    <w:rsid w:val="7D5429C0"/>
    <w:rsid w:val="7D6E6D43"/>
    <w:rsid w:val="7DB57A34"/>
    <w:rsid w:val="7DE60973"/>
    <w:rsid w:val="7DEF0916"/>
    <w:rsid w:val="7DFB3A10"/>
    <w:rsid w:val="7E195939"/>
    <w:rsid w:val="7E1E5218"/>
    <w:rsid w:val="7E9A4E1F"/>
    <w:rsid w:val="7EA7723A"/>
    <w:rsid w:val="7EF56FBB"/>
    <w:rsid w:val="7F0768EB"/>
    <w:rsid w:val="7F143BEC"/>
    <w:rsid w:val="7F71566F"/>
    <w:rsid w:val="7F715AF2"/>
    <w:rsid w:val="7F886E69"/>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81"/>
    <w:qFormat/>
    <w:uiPriority w:val="0"/>
    <w:pPr>
      <w:keepNext/>
      <w:keepLines/>
      <w:tabs>
        <w:tab w:val="left" w:pos="432"/>
      </w:tabs>
      <w:adjustRightInd/>
      <w:spacing w:line="360" w:lineRule="auto"/>
      <w:ind w:left="432" w:hanging="432"/>
      <w:jc w:val="left"/>
      <w:outlineLvl w:val="1"/>
    </w:pPr>
    <w:rPr>
      <w:rFonts w:ascii="仿宋_GB2312" w:hAnsi="仿宋" w:eastAsia="仿宋_GB2312"/>
      <w:b/>
      <w:bCs/>
      <w:kern w:val="0"/>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unhideWhenUsed/>
    <w:uiPriority w:val="99"/>
    <w:tblPr>
      <w:tblStyle w:val="62"/>
      <w:tblCellMar>
        <w:top w:w="0" w:type="dxa"/>
        <w:left w:w="108" w:type="dxa"/>
        <w:bottom w:w="0" w:type="dxa"/>
        <w:right w:w="108" w:type="dxa"/>
      </w:tblCellMar>
    </w:tblPr>
  </w:style>
  <w:style w:type="paragraph" w:styleId="2">
    <w:name w:val="Body Text"/>
    <w:basedOn w:val="1"/>
    <w:next w:val="1"/>
    <w:link w:val="79"/>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8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90"/>
    <w:qFormat/>
    <w:uiPriority w:val="0"/>
    <w:pPr>
      <w:shd w:val="clear" w:color="auto" w:fill="000080"/>
    </w:pPr>
  </w:style>
  <w:style w:type="paragraph" w:styleId="20">
    <w:name w:val="annotation text"/>
    <w:basedOn w:val="1"/>
    <w:link w:val="91"/>
    <w:qFormat/>
    <w:uiPriority w:val="0"/>
    <w:pPr>
      <w:jc w:val="left"/>
    </w:pPr>
  </w:style>
  <w:style w:type="paragraph" w:styleId="21">
    <w:name w:val="Salutation"/>
    <w:basedOn w:val="1"/>
    <w:next w:val="1"/>
    <w:link w:val="92"/>
    <w:qFormat/>
    <w:uiPriority w:val="0"/>
    <w:rPr>
      <w:rFonts w:ascii="仿宋_GB2312" w:eastAsia="仿宋_GB2312"/>
      <w:sz w:val="28"/>
      <w:szCs w:val="20"/>
    </w:rPr>
  </w:style>
  <w:style w:type="paragraph" w:styleId="22">
    <w:name w:val="Body Text 3"/>
    <w:basedOn w:val="1"/>
    <w:link w:val="9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9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9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7"/>
    <w:qFormat/>
    <w:uiPriority w:val="0"/>
    <w:pPr>
      <w:ind w:left="100" w:leftChars="2500"/>
    </w:pPr>
    <w:rPr>
      <w:rFonts w:ascii="宋体"/>
      <w:sz w:val="24"/>
      <w:szCs w:val="21"/>
      <w:lang w:val="zh-CN"/>
    </w:rPr>
  </w:style>
  <w:style w:type="paragraph" w:styleId="36">
    <w:name w:val="Body Text Indent 2"/>
    <w:basedOn w:val="1"/>
    <w:link w:val="98"/>
    <w:qFormat/>
    <w:uiPriority w:val="0"/>
    <w:pPr>
      <w:spacing w:line="360" w:lineRule="auto"/>
      <w:ind w:firstLine="601"/>
      <w:textAlignment w:val="baseline"/>
    </w:pPr>
    <w:rPr>
      <w:rFonts w:ascii="宋体"/>
      <w:kern w:val="0"/>
      <w:sz w:val="28"/>
      <w:szCs w:val="20"/>
    </w:rPr>
  </w:style>
  <w:style w:type="paragraph" w:styleId="37">
    <w:name w:val="endnote text"/>
    <w:basedOn w:val="1"/>
    <w:link w:val="99"/>
    <w:qFormat/>
    <w:uiPriority w:val="0"/>
    <w:rPr>
      <w:lang w:val="zh-CN"/>
    </w:rPr>
  </w:style>
  <w:style w:type="paragraph" w:styleId="38">
    <w:name w:val="Balloon Text"/>
    <w:basedOn w:val="1"/>
    <w:link w:val="100"/>
    <w:qFormat/>
    <w:uiPriority w:val="0"/>
    <w:rPr>
      <w:sz w:val="18"/>
      <w:szCs w:val="18"/>
    </w:rPr>
  </w:style>
  <w:style w:type="paragraph" w:styleId="39">
    <w:name w:val="footer"/>
    <w:basedOn w:val="1"/>
    <w:link w:val="101"/>
    <w:qFormat/>
    <w:uiPriority w:val="99"/>
    <w:pPr>
      <w:tabs>
        <w:tab w:val="center" w:pos="4153"/>
        <w:tab w:val="right" w:pos="8306"/>
      </w:tabs>
      <w:snapToGrid w:val="0"/>
      <w:jc w:val="left"/>
    </w:pPr>
    <w:rPr>
      <w:sz w:val="18"/>
      <w:szCs w:val="18"/>
    </w:rPr>
  </w:style>
  <w:style w:type="paragraph" w:styleId="40">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105"/>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7"/>
    <w:qFormat/>
    <w:uiPriority w:val="0"/>
    <w:pPr>
      <w:spacing w:after="120" w:line="480" w:lineRule="auto"/>
    </w:pPr>
  </w:style>
  <w:style w:type="paragraph" w:styleId="5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9"/>
    <w:qFormat/>
    <w:uiPriority w:val="10"/>
    <w:pPr>
      <w:widowControl/>
      <w:overflowPunct w:val="0"/>
      <w:autoSpaceDE w:val="0"/>
      <w:autoSpaceDN w:val="0"/>
      <w:jc w:val="center"/>
      <w:textAlignment w:val="baseline"/>
    </w:pPr>
    <w:rPr>
      <w:b/>
      <w:kern w:val="0"/>
      <w:sz w:val="24"/>
      <w:szCs w:val="20"/>
      <w:lang/>
    </w:rPr>
  </w:style>
  <w:style w:type="paragraph" w:styleId="59">
    <w:name w:val="annotation subject"/>
    <w:basedOn w:val="20"/>
    <w:next w:val="20"/>
    <w:link w:val="110"/>
    <w:qFormat/>
    <w:uiPriority w:val="0"/>
    <w:rPr>
      <w:b/>
      <w:bCs/>
    </w:rPr>
  </w:style>
  <w:style w:type="paragraph" w:styleId="60">
    <w:name w:val="Body Text First Indent"/>
    <w:basedOn w:val="2"/>
    <w:next w:val="50"/>
    <w:link w:val="111"/>
    <w:qFormat/>
    <w:uiPriority w:val="0"/>
    <w:pPr>
      <w:ind w:firstLine="420"/>
    </w:pPr>
    <w:rPr>
      <w:rFonts w:hAnsi="Times New Roman" w:cs="Times New Roman"/>
      <w:snapToGrid/>
      <w:szCs w:val="20"/>
    </w:rPr>
  </w:style>
  <w:style w:type="paragraph" w:styleId="61">
    <w:name w:val="Body Text First Indent 2"/>
    <w:basedOn w:val="24"/>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80">
    <w:name w:val="标题 1 Char"/>
    <w:link w:val="3"/>
    <w:qFormat/>
    <w:uiPriority w:val="9"/>
    <w:rPr>
      <w:b/>
      <w:bCs/>
      <w:kern w:val="44"/>
      <w:sz w:val="44"/>
      <w:szCs w:val="44"/>
    </w:rPr>
  </w:style>
  <w:style w:type="character" w:customStyle="1" w:styleId="81">
    <w:name w:val="标题 2 Char1"/>
    <w:link w:val="4"/>
    <w:uiPriority w:val="0"/>
    <w:rPr>
      <w:rFonts w:ascii="仿宋_GB2312" w:hAnsi="仿宋" w:eastAsia="仿宋_GB2312"/>
      <w:b/>
      <w:bCs/>
      <w:sz w:val="32"/>
      <w:szCs w:val="32"/>
      <w:lang w:val="zh-CN"/>
    </w:rPr>
  </w:style>
  <w:style w:type="character" w:customStyle="1" w:styleId="82">
    <w:name w:val="标题 4 Char2"/>
    <w:link w:val="6"/>
    <w:qFormat/>
    <w:uiPriority w:val="9"/>
    <w:rPr>
      <w:rFonts w:ascii="Arial" w:hAnsi="Arial" w:eastAsia="黑体"/>
      <w:b/>
      <w:bCs/>
      <w:kern w:val="2"/>
      <w:sz w:val="28"/>
      <w:szCs w:val="28"/>
      <w:lang w:val="zh-CN"/>
    </w:rPr>
  </w:style>
  <w:style w:type="character" w:customStyle="1" w:styleId="83">
    <w:name w:val="标题 5 Char"/>
    <w:link w:val="7"/>
    <w:qFormat/>
    <w:uiPriority w:val="9"/>
    <w:rPr>
      <w:b/>
      <w:bCs/>
      <w:kern w:val="2"/>
      <w:sz w:val="28"/>
      <w:szCs w:val="28"/>
    </w:rPr>
  </w:style>
  <w:style w:type="character" w:customStyle="1" w:styleId="84">
    <w:name w:val="标题 6 Char"/>
    <w:link w:val="8"/>
    <w:qFormat/>
    <w:uiPriority w:val="0"/>
    <w:rPr>
      <w:rFonts w:ascii="Arial" w:hAnsi="Arial" w:eastAsia="黑体"/>
      <w:b/>
      <w:bCs/>
      <w:kern w:val="2"/>
      <w:sz w:val="24"/>
      <w:szCs w:val="24"/>
    </w:rPr>
  </w:style>
  <w:style w:type="character" w:customStyle="1" w:styleId="85">
    <w:name w:val="标题 7 Char"/>
    <w:link w:val="9"/>
    <w:qFormat/>
    <w:uiPriority w:val="0"/>
    <w:rPr>
      <w:b/>
      <w:bCs/>
      <w:kern w:val="2"/>
      <w:sz w:val="24"/>
      <w:szCs w:val="24"/>
    </w:rPr>
  </w:style>
  <w:style w:type="character" w:customStyle="1" w:styleId="86">
    <w:name w:val="标题 8 Char"/>
    <w:link w:val="10"/>
    <w:qFormat/>
    <w:uiPriority w:val="0"/>
    <w:rPr>
      <w:rFonts w:ascii="Arial" w:hAnsi="Arial" w:eastAsia="黑体"/>
      <w:kern w:val="2"/>
      <w:sz w:val="24"/>
      <w:szCs w:val="24"/>
    </w:rPr>
  </w:style>
  <w:style w:type="character" w:customStyle="1" w:styleId="87">
    <w:name w:val="标题 9 Char"/>
    <w:link w:val="11"/>
    <w:qFormat/>
    <w:uiPriority w:val="0"/>
    <w:rPr>
      <w:rFonts w:ascii="Arial" w:hAnsi="Arial" w:eastAsia="黑体"/>
      <w:kern w:val="2"/>
      <w:sz w:val="21"/>
      <w:szCs w:val="21"/>
    </w:rPr>
  </w:style>
  <w:style w:type="character" w:customStyle="1" w:styleId="88">
    <w:name w:val="正文缩进 Char2"/>
    <w:link w:val="16"/>
    <w:qFormat/>
    <w:uiPriority w:val="0"/>
    <w:rPr>
      <w:rFonts w:ascii="宋体" w:eastAsia="宋体"/>
      <w:snapToGrid w:val="0"/>
      <w:color w:val="000000"/>
      <w:kern w:val="28"/>
      <w:sz w:val="28"/>
      <w:lang w:val="en-US" w:eastAsia="zh-CN" w:bidi="ar-SA"/>
    </w:rPr>
  </w:style>
  <w:style w:type="character" w:customStyle="1" w:styleId="89">
    <w:name w:val="题注 Char"/>
    <w:link w:val="17"/>
    <w:qFormat/>
    <w:uiPriority w:val="0"/>
    <w:rPr>
      <w:b/>
      <w:kern w:val="2"/>
      <w:sz w:val="28"/>
    </w:rPr>
  </w:style>
  <w:style w:type="character" w:customStyle="1" w:styleId="90">
    <w:name w:val="文档结构图 Char1"/>
    <w:link w:val="19"/>
    <w:qFormat/>
    <w:uiPriority w:val="0"/>
    <w:rPr>
      <w:kern w:val="2"/>
      <w:sz w:val="21"/>
      <w:szCs w:val="24"/>
      <w:shd w:val="clear" w:color="auto" w:fill="000080"/>
    </w:rPr>
  </w:style>
  <w:style w:type="character" w:customStyle="1" w:styleId="91">
    <w:name w:val="批注文字 Char1"/>
    <w:link w:val="20"/>
    <w:qFormat/>
    <w:uiPriority w:val="0"/>
    <w:rPr>
      <w:kern w:val="2"/>
      <w:sz w:val="21"/>
      <w:szCs w:val="24"/>
    </w:rPr>
  </w:style>
  <w:style w:type="character" w:customStyle="1" w:styleId="92">
    <w:name w:val="称呼 Char"/>
    <w:link w:val="21"/>
    <w:qFormat/>
    <w:uiPriority w:val="0"/>
    <w:rPr>
      <w:rFonts w:ascii="仿宋_GB2312" w:eastAsia="仿宋_GB2312"/>
      <w:kern w:val="2"/>
      <w:sz w:val="28"/>
    </w:rPr>
  </w:style>
  <w:style w:type="character" w:customStyle="1" w:styleId="93">
    <w:name w:val="正文文本 3 Char"/>
    <w:link w:val="22"/>
    <w:qFormat/>
    <w:uiPriority w:val="0"/>
    <w:rPr>
      <w:kern w:val="2"/>
      <w:sz w:val="21"/>
    </w:rPr>
  </w:style>
  <w:style w:type="character" w:customStyle="1" w:styleId="94">
    <w:name w:val="正文文本缩进 Char3"/>
    <w:link w:val="24"/>
    <w:qFormat/>
    <w:uiPriority w:val="0"/>
    <w:rPr>
      <w:rFonts w:ascii="宋体" w:hAnsi="宋体"/>
      <w:kern w:val="2"/>
      <w:sz w:val="24"/>
      <w:szCs w:val="24"/>
    </w:rPr>
  </w:style>
  <w:style w:type="character" w:customStyle="1" w:styleId="95">
    <w:name w:val="HTML 地址 Char"/>
    <w:link w:val="29"/>
    <w:qFormat/>
    <w:uiPriority w:val="0"/>
    <w:rPr>
      <w:rFonts w:ascii="宋体" w:hAnsi="宋体"/>
      <w:i/>
      <w:iCs/>
      <w:sz w:val="24"/>
      <w:szCs w:val="24"/>
    </w:rPr>
  </w:style>
  <w:style w:type="character" w:customStyle="1" w:styleId="9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7">
    <w:name w:val="日期 Char"/>
    <w:link w:val="35"/>
    <w:qFormat/>
    <w:uiPriority w:val="0"/>
    <w:rPr>
      <w:rFonts w:ascii="宋体"/>
      <w:kern w:val="2"/>
      <w:sz w:val="24"/>
      <w:szCs w:val="21"/>
      <w:lang w:val="zh-CN"/>
    </w:rPr>
  </w:style>
  <w:style w:type="character" w:customStyle="1" w:styleId="98">
    <w:name w:val="正文文本缩进 2 Char"/>
    <w:link w:val="36"/>
    <w:qFormat/>
    <w:uiPriority w:val="0"/>
    <w:rPr>
      <w:rFonts w:ascii="宋体"/>
      <w:sz w:val="28"/>
    </w:rPr>
  </w:style>
  <w:style w:type="character" w:customStyle="1" w:styleId="99">
    <w:name w:val="尾注文本 Char"/>
    <w:link w:val="37"/>
    <w:qFormat/>
    <w:uiPriority w:val="0"/>
    <w:rPr>
      <w:kern w:val="2"/>
      <w:sz w:val="21"/>
      <w:szCs w:val="24"/>
      <w:lang w:val="zh-CN"/>
    </w:rPr>
  </w:style>
  <w:style w:type="character" w:customStyle="1" w:styleId="100">
    <w:name w:val="批注框文本 Char"/>
    <w:link w:val="38"/>
    <w:qFormat/>
    <w:uiPriority w:val="0"/>
    <w:rPr>
      <w:kern w:val="2"/>
      <w:sz w:val="18"/>
      <w:szCs w:val="18"/>
    </w:rPr>
  </w:style>
  <w:style w:type="character" w:customStyle="1" w:styleId="101">
    <w:name w:val="页脚 Char2"/>
    <w:link w:val="39"/>
    <w:qFormat/>
    <w:locked/>
    <w:uiPriority w:val="99"/>
    <w:rPr>
      <w:kern w:val="2"/>
      <w:sz w:val="18"/>
      <w:szCs w:val="18"/>
    </w:rPr>
  </w:style>
  <w:style w:type="character" w:customStyle="1" w:styleId="102">
    <w:name w:val="页眉 Char2"/>
    <w:link w:val="40"/>
    <w:qFormat/>
    <w:uiPriority w:val="99"/>
    <w:rPr>
      <w:kern w:val="2"/>
      <w:sz w:val="18"/>
      <w:szCs w:val="18"/>
    </w:rPr>
  </w:style>
  <w:style w:type="character" w:customStyle="1" w:styleId="103">
    <w:name w:val="签名 Char"/>
    <w:link w:val="41"/>
    <w:qFormat/>
    <w:uiPriority w:val="0"/>
    <w:rPr>
      <w:rFonts w:eastAsia="仿宋_GB2312"/>
      <w:sz w:val="24"/>
    </w:rPr>
  </w:style>
  <w:style w:type="character" w:customStyle="1" w:styleId="104">
    <w:name w:val="副标题 Char"/>
    <w:link w:val="46"/>
    <w:qFormat/>
    <w:uiPriority w:val="0"/>
    <w:rPr>
      <w:rFonts w:ascii="Arial" w:hAnsi="Arial" w:eastAsia="隶书"/>
      <w:b/>
      <w:bCs/>
      <w:kern w:val="28"/>
      <w:sz w:val="44"/>
      <w:szCs w:val="32"/>
      <w:lang w:val="en-US" w:eastAsia="zh-CN" w:bidi="ar-SA"/>
    </w:rPr>
  </w:style>
  <w:style w:type="character" w:customStyle="1" w:styleId="105">
    <w:name w:val="脚注文本 Char"/>
    <w:link w:val="49"/>
    <w:qFormat/>
    <w:uiPriority w:val="0"/>
    <w:rPr>
      <w:color w:val="0000FF"/>
      <w:sz w:val="21"/>
    </w:rPr>
  </w:style>
  <w:style w:type="character" w:customStyle="1" w:styleId="106">
    <w:name w:val="正文文本缩进 3 Char"/>
    <w:link w:val="52"/>
    <w:qFormat/>
    <w:uiPriority w:val="0"/>
    <w:rPr>
      <w:kern w:val="2"/>
      <w:sz w:val="24"/>
    </w:rPr>
  </w:style>
  <w:style w:type="character" w:customStyle="1" w:styleId="107">
    <w:name w:val="正文文本 2 Char1"/>
    <w:link w:val="55"/>
    <w:qFormat/>
    <w:uiPriority w:val="0"/>
    <w:rPr>
      <w:kern w:val="2"/>
      <w:sz w:val="21"/>
      <w:szCs w:val="24"/>
    </w:rPr>
  </w:style>
  <w:style w:type="character" w:customStyle="1" w:styleId="108">
    <w:name w:val="HTML 预设格式 Char"/>
    <w:link w:val="56"/>
    <w:qFormat/>
    <w:uiPriority w:val="0"/>
    <w:rPr>
      <w:rFonts w:ascii="黑体" w:hAnsi="Courier New" w:eastAsia="黑体"/>
    </w:rPr>
  </w:style>
  <w:style w:type="character" w:customStyle="1" w:styleId="109">
    <w:name w:val="标题 Char2"/>
    <w:link w:val="58"/>
    <w:qFormat/>
    <w:uiPriority w:val="10"/>
    <w:rPr>
      <w:b/>
      <w:sz w:val="24"/>
      <w:lang/>
    </w:rPr>
  </w:style>
  <w:style w:type="character" w:customStyle="1" w:styleId="110">
    <w:name w:val="批注主题 Char1"/>
    <w:link w:val="59"/>
    <w:qFormat/>
    <w:uiPriority w:val="0"/>
    <w:rPr>
      <w:b/>
      <w:bCs/>
      <w:kern w:val="2"/>
      <w:sz w:val="21"/>
      <w:szCs w:val="24"/>
    </w:rPr>
  </w:style>
  <w:style w:type="character" w:customStyle="1" w:styleId="111">
    <w:name w:val="正文首行缩进 Char"/>
    <w:link w:val="60"/>
    <w:qFormat/>
    <w:uiPriority w:val="0"/>
    <w:rPr>
      <w:rFonts w:ascii="宋体"/>
      <w:kern w:val="2"/>
      <w:sz w:val="24"/>
      <w:lang w:val="zh-CN"/>
    </w:rPr>
  </w:style>
  <w:style w:type="character" w:customStyle="1" w:styleId="112">
    <w:name w:val="正文首行缩进 2 Char"/>
    <w:link w:val="61"/>
    <w:qFormat/>
    <w:uiPriority w:val="0"/>
    <w:rPr>
      <w:rFonts w:ascii="宋体" w:hAnsi="宋体"/>
      <w:kern w:val="2"/>
      <w:sz w:val="21"/>
      <w:szCs w:val="24"/>
    </w:rPr>
  </w:style>
  <w:style w:type="paragraph" w:customStyle="1" w:styleId="113">
    <w:name w:val="表格文字"/>
    <w:basedOn w:val="114"/>
    <w:next w:val="2"/>
    <w:qFormat/>
    <w:uiPriority w:val="0"/>
    <w:pPr>
      <w:adjustRightInd/>
      <w:ind w:firstLine="200" w:firstLineChars="200"/>
    </w:pPr>
    <w:rPr>
      <w:rFonts w:ascii="Arial" w:hAnsi="Arial"/>
      <w:spacing w:val="-5"/>
      <w:kern w:val="0"/>
      <w:sz w:val="24"/>
      <w:szCs w:val="20"/>
    </w:rPr>
  </w:style>
  <w:style w:type="paragraph" w:customStyle="1" w:styleId="114">
    <w:name w:val="表格"/>
    <w:basedOn w:val="1"/>
    <w:qFormat/>
    <w:uiPriority w:val="0"/>
    <w:pPr>
      <w:snapToGrid w:val="0"/>
      <w:ind w:firstLine="42" w:firstLineChars="21"/>
    </w:pPr>
    <w:rPr>
      <w:rFonts w:ascii="宋体" w:hAnsi="宋体"/>
      <w:kern w:val="0"/>
      <w:sz w:val="20"/>
      <w:szCs w:val="20"/>
    </w:rPr>
  </w:style>
  <w:style w:type="character" w:customStyle="1" w:styleId="115">
    <w:name w:val="无间隔 Char"/>
    <w:link w:val="116"/>
    <w:qFormat/>
    <w:uiPriority w:val="99"/>
    <w:rPr>
      <w:kern w:val="2"/>
      <w:sz w:val="21"/>
      <w:szCs w:val="22"/>
    </w:rPr>
  </w:style>
  <w:style w:type="paragraph" w:customStyle="1" w:styleId="116">
    <w:name w:val="No Spacing"/>
    <w:basedOn w:val="1"/>
    <w:link w:val="115"/>
    <w:qFormat/>
    <w:uiPriority w:val="99"/>
    <w:rPr>
      <w:szCs w:val="22"/>
    </w:rPr>
  </w:style>
  <w:style w:type="character" w:customStyle="1" w:styleId="117">
    <w:name w:val="Char Char213"/>
    <w:qFormat/>
    <w:uiPriority w:val="0"/>
    <w:rPr>
      <w:rFonts w:eastAsia="Century Gothic"/>
      <w:b/>
      <w:bCs/>
      <w:kern w:val="44"/>
      <w:sz w:val="32"/>
      <w:szCs w:val="44"/>
      <w:lang w:val="en-US" w:eastAsia="zh-CN" w:bidi="ar-SA"/>
    </w:rPr>
  </w:style>
  <w:style w:type="character" w:customStyle="1" w:styleId="118">
    <w:name w:val="正文缩进 字符1"/>
    <w:qFormat/>
    <w:uiPriority w:val="0"/>
    <w:rPr>
      <w:rFonts w:ascii="宋体" w:eastAsia="宋体"/>
      <w:snapToGrid w:val="0"/>
      <w:color w:val="000000"/>
      <w:kern w:val="28"/>
      <w:sz w:val="28"/>
      <w:lang w:val="en-US" w:eastAsia="zh-CN" w:bidi="ar-SA"/>
    </w:rPr>
  </w:style>
  <w:style w:type="character" w:customStyle="1" w:styleId="119">
    <w:name w:val="large1"/>
    <w:qFormat/>
    <w:uiPriority w:val="0"/>
    <w:rPr>
      <w:rFonts w:hint="eastAsia" w:ascii="宋体" w:hAnsi="宋体" w:eastAsia="宋体"/>
      <w:sz w:val="21"/>
      <w:szCs w:val="21"/>
    </w:rPr>
  </w:style>
  <w:style w:type="character" w:customStyle="1" w:styleId="12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21">
    <w:name w:val="bulletintext1"/>
    <w:qFormat/>
    <w:uiPriority w:val="0"/>
    <w:rPr>
      <w:color w:val="000000"/>
      <w:sz w:val="18"/>
    </w:rPr>
  </w:style>
  <w:style w:type="character" w:customStyle="1" w:styleId="122">
    <w:name w:val="solutionfonts"/>
    <w:qFormat/>
    <w:uiPriority w:val="0"/>
  </w:style>
  <w:style w:type="character" w:customStyle="1" w:styleId="123">
    <w:name w:val="标题 Char"/>
    <w:qFormat/>
    <w:uiPriority w:val="0"/>
    <w:rPr>
      <w:rFonts w:eastAsia="宋体"/>
      <w:b/>
      <w:sz w:val="24"/>
      <w:lang w:eastAsia="zh-CN" w:bidi="ar-SA"/>
    </w:rPr>
  </w:style>
  <w:style w:type="character" w:customStyle="1" w:styleId="124">
    <w:name w:val="apple-converted-space"/>
    <w:qFormat/>
    <w:uiPriority w:val="0"/>
  </w:style>
  <w:style w:type="character" w:customStyle="1" w:styleId="125">
    <w:name w:val="正文说明 Char"/>
    <w:link w:val="126"/>
    <w:qFormat/>
    <w:uiPriority w:val="0"/>
    <w:rPr>
      <w:sz w:val="24"/>
      <w:szCs w:val="24"/>
    </w:rPr>
  </w:style>
  <w:style w:type="paragraph" w:customStyle="1" w:styleId="126">
    <w:name w:val="正文说明"/>
    <w:basedOn w:val="1"/>
    <w:link w:val="125"/>
    <w:qFormat/>
    <w:uiPriority w:val="0"/>
    <w:pPr>
      <w:adjustRightInd/>
      <w:spacing w:line="360" w:lineRule="auto"/>
    </w:pPr>
    <w:rPr>
      <w:kern w:val="0"/>
      <w:sz w:val="24"/>
    </w:rPr>
  </w:style>
  <w:style w:type="character" w:customStyle="1" w:styleId="127">
    <w:name w:val="edui-clickable2"/>
    <w:qFormat/>
    <w:uiPriority w:val="0"/>
    <w:rPr>
      <w:color w:val="0000FF"/>
      <w:u w:val="single"/>
    </w:rPr>
  </w:style>
  <w:style w:type="character" w:customStyle="1" w:styleId="128">
    <w:name w:val="段落 Char Char"/>
    <w:link w:val="129"/>
    <w:qFormat/>
    <w:uiPriority w:val="0"/>
    <w:rPr>
      <w:rFonts w:ascii="宋体" w:hAnsi="宋体"/>
      <w:sz w:val="24"/>
    </w:rPr>
  </w:style>
  <w:style w:type="paragraph" w:customStyle="1" w:styleId="129">
    <w:name w:val="段落"/>
    <w:basedOn w:val="1"/>
    <w:link w:val="128"/>
    <w:qFormat/>
    <w:uiPriority w:val="0"/>
    <w:pPr>
      <w:adjustRightInd/>
      <w:spacing w:line="360" w:lineRule="auto"/>
      <w:ind w:firstLine="480" w:firstLineChars="200"/>
    </w:pPr>
    <w:rPr>
      <w:rFonts w:ascii="宋体" w:hAnsi="宋体"/>
      <w:kern w:val="0"/>
      <w:sz w:val="24"/>
      <w:szCs w:val="20"/>
    </w:rPr>
  </w:style>
  <w:style w:type="character" w:customStyle="1" w:styleId="130">
    <w:name w:val="dandyren_title1"/>
    <w:qFormat/>
    <w:uiPriority w:val="0"/>
    <w:rPr>
      <w:b/>
      <w:bCs/>
      <w:color w:val="FF6633"/>
      <w:sz w:val="18"/>
      <w:szCs w:val="18"/>
    </w:rPr>
  </w:style>
  <w:style w:type="character" w:customStyle="1" w:styleId="131">
    <w:name w:val="正文段 Char"/>
    <w:link w:val="132"/>
    <w:qFormat/>
    <w:uiPriority w:val="0"/>
    <w:rPr>
      <w:sz w:val="24"/>
    </w:rPr>
  </w:style>
  <w:style w:type="paragraph" w:customStyle="1" w:styleId="132">
    <w:name w:val="正文段"/>
    <w:basedOn w:val="1"/>
    <w:link w:val="131"/>
    <w:qFormat/>
    <w:uiPriority w:val="0"/>
    <w:pPr>
      <w:widowControl/>
      <w:snapToGrid w:val="0"/>
      <w:spacing w:after="156" w:afterLines="50"/>
      <w:ind w:firstLine="200" w:firstLineChars="200"/>
    </w:pPr>
    <w:rPr>
      <w:kern w:val="0"/>
      <w:sz w:val="24"/>
      <w:szCs w:val="20"/>
    </w:rPr>
  </w:style>
  <w:style w:type="character" w:customStyle="1" w:styleId="1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表正文 Char1"/>
    <w:qFormat/>
    <w:uiPriority w:val="0"/>
    <w:rPr>
      <w:rFonts w:ascii="宋体" w:eastAsia="宋体"/>
      <w:snapToGrid w:val="0"/>
      <w:color w:val="000000"/>
      <w:kern w:val="28"/>
      <w:sz w:val="28"/>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h4 Char"/>
    <w:qFormat/>
    <w:uiPriority w:val="0"/>
    <w:rPr>
      <w:rFonts w:ascii="Arial" w:hAnsi="Arial" w:eastAsia="黑体"/>
      <w:b/>
      <w:bCs/>
      <w:kern w:val="2"/>
      <w:sz w:val="28"/>
      <w:szCs w:val="28"/>
      <w:lang w:val="zh-CN"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普通文字 Char Char1"/>
    <w:qFormat/>
    <w:uiPriority w:val="0"/>
    <w:rPr>
      <w:rFonts w:ascii="宋体" w:hAnsi="Courier New"/>
      <w:kern w:val="2"/>
      <w:sz w:val="21"/>
    </w:rPr>
  </w:style>
  <w:style w:type="character" w:customStyle="1" w:styleId="141">
    <w:name w:val="样式5 Char"/>
    <w:qFormat/>
    <w:uiPriority w:val="0"/>
    <w:rPr>
      <w:rFonts w:ascii="仿宋_GB2312" w:hAnsi="仿宋" w:eastAsia="仿宋_GB2312"/>
      <w:kern w:val="2"/>
      <w:sz w:val="24"/>
      <w:szCs w:val="24"/>
    </w:rPr>
  </w:style>
  <w:style w:type="character" w:customStyle="1" w:styleId="142">
    <w:name w:val="正文缩进 Char"/>
    <w:qFormat/>
    <w:uiPriority w:val="0"/>
    <w:rPr>
      <w:rFonts w:eastAsia="宋体"/>
      <w:kern w:val="2"/>
      <w:sz w:val="21"/>
      <w:lang w:val="en-US" w:eastAsia="zh-CN"/>
    </w:rPr>
  </w:style>
  <w:style w:type="character" w:customStyle="1" w:styleId="143">
    <w:name w:val="样式4 Char"/>
    <w:qFormat/>
    <w:uiPriority w:val="0"/>
    <w:rPr>
      <w:rFonts w:ascii="仿宋_GB2312" w:hAnsi="仿宋" w:eastAsia="仿宋_GB2312"/>
      <w:b/>
      <w:kern w:val="2"/>
      <w:sz w:val="32"/>
      <w:szCs w:val="32"/>
      <w:lang w:bidi="ar-SA"/>
    </w:rPr>
  </w:style>
  <w:style w:type="character" w:customStyle="1" w:styleId="144">
    <w:name w:val="哈哈正文 Char"/>
    <w:link w:val="145"/>
    <w:qFormat/>
    <w:uiPriority w:val="0"/>
    <w:rPr>
      <w:rFonts w:ascii="宋体" w:hAnsi="宋体" w:eastAsia="宋体"/>
      <w:kern w:val="2"/>
      <w:sz w:val="24"/>
      <w:lang w:bidi="ar-SA"/>
    </w:rPr>
  </w:style>
  <w:style w:type="paragraph" w:customStyle="1" w:styleId="145">
    <w:name w:val="哈哈正文"/>
    <w:basedOn w:val="1"/>
    <w:link w:val="144"/>
    <w:qFormat/>
    <w:uiPriority w:val="0"/>
    <w:pPr>
      <w:adjustRightInd/>
      <w:spacing w:line="360" w:lineRule="auto"/>
      <w:ind w:firstLine="200" w:firstLineChars="200"/>
    </w:pPr>
    <w:rPr>
      <w:rFonts w:ascii="宋体" w:hAnsi="宋体"/>
      <w:sz w:val="24"/>
      <w:szCs w:val="20"/>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Footer Char"/>
    <w:qFormat/>
    <w:locked/>
    <w:uiPriority w:val="0"/>
    <w:rPr>
      <w:rFonts w:eastAsia="宋体"/>
      <w:kern w:val="2"/>
      <w:sz w:val="18"/>
      <w:lang w:val="en-US" w:eastAsia="zh-CN" w:bidi="ar-SA"/>
    </w:rPr>
  </w:style>
  <w:style w:type="character" w:customStyle="1" w:styleId="148">
    <w:name w:val="Char Char32"/>
    <w:qFormat/>
    <w:uiPriority w:val="6"/>
    <w:rPr>
      <w:b/>
      <w:kern w:val="1"/>
      <w:sz w:val="24"/>
      <w:szCs w:val="24"/>
    </w:rPr>
  </w:style>
  <w:style w:type="character" w:customStyle="1" w:styleId="149">
    <w:name w:val="gf正文1 Char"/>
    <w:qFormat/>
    <w:uiPriority w:val="0"/>
    <w:rPr>
      <w:rFonts w:ascii="宋体" w:hAnsi="宋体" w:eastAsia="宋体" w:cs="宋体"/>
      <w:kern w:val="2"/>
      <w:sz w:val="24"/>
      <w:szCs w:val="24"/>
      <w:lang w:val="en-US" w:eastAsia="zh-CN" w:bidi="ar-SA"/>
    </w:rPr>
  </w:style>
  <w:style w:type="character" w:customStyle="1" w:styleId="150">
    <w:name w:val="Char Char211"/>
    <w:qFormat/>
    <w:uiPriority w:val="0"/>
    <w:rPr>
      <w:rFonts w:eastAsia="宋体"/>
      <w:b/>
      <w:bCs/>
      <w:kern w:val="2"/>
      <w:sz w:val="21"/>
      <w:szCs w:val="24"/>
      <w:lang w:val="en-US" w:eastAsia="zh-CN" w:bidi="ar-SA"/>
    </w:rPr>
  </w:style>
  <w:style w:type="character" w:customStyle="1" w:styleId="151">
    <w:name w:val="正文首行缩进 Char1"/>
    <w:qFormat/>
    <w:uiPriority w:val="0"/>
    <w:rPr>
      <w:rFonts w:ascii="宋体" w:hAnsi="Times New Roman" w:eastAsia="宋体" w:cs="Times New Roman"/>
      <w:snapToGrid w:val="0"/>
      <w:kern w:val="2"/>
      <w:sz w:val="24"/>
      <w:szCs w:val="21"/>
      <w:lang w:val="zh-CN"/>
    </w:rPr>
  </w:style>
  <w:style w:type="character" w:customStyle="1" w:styleId="152">
    <w:name w:val="副标题 Char1"/>
    <w:qFormat/>
    <w:uiPriority w:val="0"/>
    <w:rPr>
      <w:rFonts w:ascii="Cambria" w:hAnsi="Cambria" w:eastAsia="宋体" w:cs="Times New Roman"/>
      <w:b/>
      <w:bCs/>
      <w:snapToGrid w:val="0"/>
      <w:kern w:val="28"/>
      <w:sz w:val="32"/>
      <w:szCs w:val="32"/>
    </w:rPr>
  </w:style>
  <w:style w:type="character" w:customStyle="1" w:styleId="153">
    <w:name w:val="样式7 Char"/>
    <w:qFormat/>
    <w:uiPriority w:val="0"/>
    <w:rPr>
      <w:rFonts w:ascii="仿宋_GB2312" w:hAnsi="仿宋" w:eastAsia="仿宋_GB2312"/>
      <w:b/>
      <w:kern w:val="2"/>
      <w:sz w:val="24"/>
      <w:szCs w:val="24"/>
    </w:rPr>
  </w:style>
  <w:style w:type="character" w:customStyle="1" w:styleId="154">
    <w:name w:val="插图说明 Char"/>
    <w:qFormat/>
    <w:uiPriority w:val="0"/>
    <w:rPr>
      <w:rFonts w:eastAsia="黑体"/>
      <w:sz w:val="24"/>
      <w:lang w:val="en-US" w:eastAsia="zh-CN"/>
    </w:rPr>
  </w:style>
  <w:style w:type="character" w:customStyle="1" w:styleId="155">
    <w:name w:val="冯 Char"/>
    <w:link w:val="156"/>
    <w:qFormat/>
    <w:uiPriority w:val="0"/>
    <w:rPr>
      <w:rFonts w:ascii="宋体" w:hAnsi="宋体"/>
      <w:color w:val="000000"/>
      <w:sz w:val="24"/>
      <w:szCs w:val="24"/>
    </w:rPr>
  </w:style>
  <w:style w:type="paragraph" w:customStyle="1" w:styleId="156">
    <w:name w:val="冯"/>
    <w:basedOn w:val="1"/>
    <w:link w:val="155"/>
    <w:qFormat/>
    <w:uiPriority w:val="0"/>
    <w:pPr>
      <w:widowControl/>
      <w:adjustRightInd/>
      <w:spacing w:line="360" w:lineRule="auto"/>
      <w:ind w:firstLine="480" w:firstLineChars="200"/>
    </w:pPr>
    <w:rPr>
      <w:rFonts w:ascii="宋体" w:hAnsi="宋体"/>
      <w:color w:val="000000"/>
      <w:kern w:val="0"/>
      <w:sz w:val="24"/>
    </w:rPr>
  </w:style>
  <w:style w:type="character" w:customStyle="1" w:styleId="157">
    <w:name w:val="Char Char6"/>
    <w:qFormat/>
    <w:uiPriority w:val="0"/>
    <w:rPr>
      <w:rFonts w:eastAsia="宋体"/>
      <w:kern w:val="2"/>
      <w:sz w:val="21"/>
      <w:szCs w:val="24"/>
      <w:lang w:val="en-US" w:eastAsia="zh-CN" w:bidi="ar-SA"/>
    </w:rPr>
  </w:style>
  <w:style w:type="character" w:customStyle="1" w:styleId="158">
    <w:name w:val="副标题 Char2"/>
    <w:qFormat/>
    <w:uiPriority w:val="0"/>
    <w:rPr>
      <w:rFonts w:ascii="Cambria" w:hAnsi="Cambria" w:eastAsia="宋体" w:cs="Times New Roman"/>
      <w:b/>
      <w:bCs/>
      <w:snapToGrid w:val="0"/>
      <w:kern w:val="28"/>
      <w:sz w:val="32"/>
      <w:szCs w:val="32"/>
    </w:rPr>
  </w:style>
  <w:style w:type="character" w:customStyle="1" w:styleId="159">
    <w:name w:val="tw4winTerm"/>
    <w:qFormat/>
    <w:uiPriority w:val="0"/>
    <w:rPr>
      <w:color w:val="0000FF"/>
    </w:rPr>
  </w:style>
  <w:style w:type="character" w:customStyle="1" w:styleId="160">
    <w:name w:val="样式3 Char"/>
    <w:basedOn w:val="161"/>
    <w:qFormat/>
    <w:uiPriority w:val="0"/>
    <w:rPr>
      <w:rFonts w:ascii="仿宋_GB2312" w:hAnsi="仿宋" w:eastAsia="仿宋_GB2312" w:cs="仿宋_GB2312"/>
      <w:sz w:val="32"/>
      <w:szCs w:val="30"/>
      <w:lang w:val="zh-CN"/>
    </w:rPr>
  </w:style>
  <w:style w:type="character" w:customStyle="1" w:styleId="161">
    <w:name w:val="样式2 Char"/>
    <w:qFormat/>
    <w:uiPriority w:val="0"/>
    <w:rPr>
      <w:rFonts w:ascii="仿宋_GB2312" w:hAnsi="仿宋" w:eastAsia="仿宋_GB2312" w:cs="仿宋_GB2312"/>
      <w:b/>
      <w:bCs/>
      <w:sz w:val="32"/>
      <w:szCs w:val="30"/>
      <w:lang w:val="zh-CN"/>
    </w:rPr>
  </w:style>
  <w:style w:type="character" w:customStyle="1" w:styleId="162">
    <w:name w:val="Char Char71"/>
    <w:semiHidden/>
    <w:qFormat/>
    <w:uiPriority w:val="0"/>
    <w:rPr>
      <w:rFonts w:eastAsia="宋体"/>
      <w:kern w:val="2"/>
      <w:sz w:val="21"/>
      <w:szCs w:val="24"/>
      <w:lang w:val="en-US" w:eastAsia="zh-CN" w:bidi="ar-SA"/>
    </w:rPr>
  </w:style>
  <w:style w:type="character" w:customStyle="1" w:styleId="163">
    <w:name w:val="Char Char81"/>
    <w:qFormat/>
    <w:uiPriority w:val="6"/>
    <w:rPr>
      <w:rFonts w:eastAsia="宋体"/>
      <w:b/>
      <w:sz w:val="24"/>
      <w:lang w:eastAsia="zh-CN"/>
    </w:rPr>
  </w:style>
  <w:style w:type="character" w:customStyle="1" w:styleId="164">
    <w:name w:val="链接"/>
    <w:qFormat/>
    <w:uiPriority w:val="0"/>
    <w:rPr>
      <w:color w:val="0000FF"/>
      <w:sz w:val="21"/>
      <w:szCs w:val="21"/>
      <w:u w:val="single"/>
    </w:rPr>
  </w:style>
  <w:style w:type="character" w:customStyle="1" w:styleId="165">
    <w:name w:val="Header Char"/>
    <w:qFormat/>
    <w:locked/>
    <w:uiPriority w:val="0"/>
    <w:rPr>
      <w:rFonts w:eastAsia="宋体"/>
      <w:kern w:val="2"/>
      <w:sz w:val="18"/>
      <w:szCs w:val="18"/>
      <w:lang w:val="en-US" w:eastAsia="zh-CN" w:bidi="ar-SA"/>
    </w:rPr>
  </w:style>
  <w:style w:type="character" w:customStyle="1" w:styleId="166">
    <w:name w:val="正文文本 Char"/>
    <w:qFormat/>
    <w:uiPriority w:val="0"/>
    <w:rPr>
      <w:rFonts w:eastAsia="宋体"/>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Char Char212"/>
    <w:qFormat/>
    <w:uiPriority w:val="0"/>
    <w:rPr>
      <w:rFonts w:eastAsia="宋体"/>
      <w:b/>
      <w:bCs/>
      <w:kern w:val="2"/>
      <w:sz w:val="21"/>
      <w:szCs w:val="24"/>
      <w:lang w:val="en-US" w:eastAsia="zh-CN" w:bidi="ar-SA"/>
    </w:rPr>
  </w:style>
  <w:style w:type="character" w:customStyle="1" w:styleId="169">
    <w:name w:val="标题4-dyf Char"/>
    <w:link w:val="170"/>
    <w:qFormat/>
    <w:uiPriority w:val="0"/>
    <w:rPr>
      <w:rFonts w:ascii="Cambria" w:hAnsi="Cambria"/>
      <w:b/>
      <w:bCs/>
      <w:color w:val="000000"/>
      <w:kern w:val="2"/>
      <w:sz w:val="21"/>
      <w:szCs w:val="21"/>
    </w:rPr>
  </w:style>
  <w:style w:type="paragraph" w:customStyle="1" w:styleId="170">
    <w:name w:val="标题4-dyf"/>
    <w:basedOn w:val="6"/>
    <w:link w:val="16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71">
    <w:name w:val="正文缩进 字符"/>
    <w:qFormat/>
    <w:uiPriority w:val="0"/>
    <w:rPr>
      <w:rFonts w:ascii="宋体" w:eastAsia="宋体"/>
      <w:snapToGrid w:val="0"/>
      <w:color w:val="000000"/>
      <w:kern w:val="28"/>
      <w:sz w:val="28"/>
      <w:lang w:val="en-US" w:eastAsia="zh-CN" w:bidi="ar-SA"/>
    </w:rPr>
  </w:style>
  <w:style w:type="character" w:customStyle="1" w:styleId="172">
    <w:name w:val="Char Char8"/>
    <w:qFormat/>
    <w:uiPriority w:val="0"/>
    <w:rPr>
      <w:rFonts w:eastAsia="宋体"/>
      <w:b/>
      <w:sz w:val="24"/>
      <w:lang w:eastAsia="zh-CN"/>
    </w:rPr>
  </w:style>
  <w:style w:type="character" w:customStyle="1" w:styleId="173">
    <w:name w:val="样式8 Char"/>
    <w:qFormat/>
    <w:uiPriority w:val="0"/>
    <w:rPr>
      <w:rFonts w:ascii="仿宋_GB2312" w:hAnsi="宋体" w:eastAsia="仿宋_GB2312"/>
      <w:b/>
      <w:bCs/>
      <w:kern w:val="2"/>
      <w:sz w:val="24"/>
      <w:szCs w:val="24"/>
    </w:rPr>
  </w:style>
  <w:style w:type="character" w:customStyle="1" w:styleId="174">
    <w:name w:val="FA正文 Char Char"/>
    <w:qFormat/>
    <w:uiPriority w:val="0"/>
    <w:rPr>
      <w:rFonts w:hAnsi="宋体"/>
      <w:kern w:val="2"/>
      <w:sz w:val="24"/>
      <w:lang w:bidi="ar-SA"/>
    </w:rPr>
  </w:style>
  <w:style w:type="character" w:customStyle="1" w:styleId="175">
    <w:name w:val="页脚 字符"/>
    <w:qFormat/>
    <w:uiPriority w:val="99"/>
    <w:rPr>
      <w:kern w:val="2"/>
      <w:sz w:val="18"/>
      <w:szCs w:val="18"/>
    </w:rPr>
  </w:style>
  <w:style w:type="character" w:customStyle="1" w:styleId="176">
    <w:name w:val="普通文字 Char3"/>
    <w:qFormat/>
    <w:uiPriority w:val="0"/>
    <w:rPr>
      <w:rFonts w:ascii="宋体" w:hAnsi="Courier New" w:eastAsia="宋体"/>
      <w:kern w:val="2"/>
      <w:sz w:val="21"/>
      <w:lang w:val="en-US" w:eastAsia="zh-CN" w:bidi="ar-SA"/>
    </w:rPr>
  </w:style>
  <w:style w:type="character" w:customStyle="1" w:styleId="177">
    <w:name w:val="f141"/>
    <w:qFormat/>
    <w:uiPriority w:val="0"/>
    <w:rPr>
      <w:rFonts w:ascii="Tahoma" w:hAnsi="Tahoma" w:eastAsia="宋体"/>
      <w:b/>
      <w:kern w:val="2"/>
      <w:sz w:val="21"/>
      <w:szCs w:val="21"/>
      <w:lang w:val="en-US" w:eastAsia="zh-CN" w:bidi="ar-SA"/>
    </w:rPr>
  </w:style>
  <w:style w:type="character" w:customStyle="1" w:styleId="178">
    <w:name w:val="图名 Char"/>
    <w:qFormat/>
    <w:uiPriority w:val="0"/>
    <w:rPr>
      <w:rFonts w:ascii="Arial" w:hAnsi="Arial" w:eastAsia="黑体"/>
      <w:kern w:val="2"/>
      <w:sz w:val="24"/>
      <w:szCs w:val="24"/>
      <w:lang w:val="en-US" w:eastAsia="zh-CN" w:bidi="ar-SA"/>
    </w:rPr>
  </w:style>
  <w:style w:type="character" w:customStyle="1" w:styleId="179">
    <w:name w:val="h3 Char"/>
    <w:qFormat/>
    <w:uiPriority w:val="0"/>
    <w:rPr>
      <w:rFonts w:eastAsia="宋体"/>
      <w:b/>
      <w:kern w:val="2"/>
      <w:sz w:val="32"/>
      <w:lang w:val="en-US" w:eastAsia="zh-CN" w:bidi="ar-SA"/>
    </w:rPr>
  </w:style>
  <w:style w:type="character" w:customStyle="1" w:styleId="180">
    <w:name w:val="font61"/>
    <w:qFormat/>
    <w:uiPriority w:val="0"/>
    <w:rPr>
      <w:rFonts w:hint="eastAsia" w:ascii="仿宋" w:hAnsi="仿宋" w:eastAsia="仿宋" w:cs="仿宋"/>
      <w:color w:val="000000"/>
      <w:sz w:val="20"/>
      <w:szCs w:val="20"/>
      <w:u w:val="none"/>
    </w:rPr>
  </w:style>
  <w:style w:type="character" w:customStyle="1" w:styleId="181">
    <w:name w:val="style1"/>
    <w:qFormat/>
    <w:uiPriority w:val="0"/>
    <w:rPr>
      <w:rFonts w:ascii="Arial" w:hAnsi="Arial" w:eastAsia="黑体" w:cs="Arial"/>
      <w:snapToGrid w:val="0"/>
      <w:kern w:val="0"/>
      <w:szCs w:val="21"/>
    </w:rPr>
  </w:style>
  <w:style w:type="character" w:customStyle="1" w:styleId="182">
    <w:name w:val="纯文本 字符"/>
    <w:qFormat/>
    <w:uiPriority w:val="0"/>
    <w:rPr>
      <w:rFonts w:ascii="宋体" w:hAnsi="Courier New" w:eastAsia="宋体" w:cs="Arial"/>
      <w:snapToGrid w:val="0"/>
      <w:kern w:val="2"/>
      <w:sz w:val="21"/>
      <w:szCs w:val="21"/>
      <w:lang w:val="en-US" w:eastAsia="zh-CN" w:bidi="ar-SA"/>
    </w:rPr>
  </w:style>
  <w:style w:type="character" w:customStyle="1" w:styleId="183">
    <w:name w:val="日期 Char1"/>
    <w:semiHidden/>
    <w:qFormat/>
    <w:uiPriority w:val="99"/>
    <w:rPr>
      <w:rFonts w:ascii="Times New Roman" w:hAnsi="Times New Roman" w:eastAsia="宋体" w:cs="Times New Roman"/>
      <w:szCs w:val="24"/>
    </w:rPr>
  </w:style>
  <w:style w:type="character" w:customStyle="1" w:styleId="184">
    <w:name w:val="3级 Char"/>
    <w:link w:val="185"/>
    <w:qFormat/>
    <w:uiPriority w:val="0"/>
    <w:rPr>
      <w:rFonts w:ascii="宋体" w:hAnsi="宋体"/>
      <w:b/>
      <w:bCs/>
      <w:snapToGrid/>
      <w:sz w:val="28"/>
    </w:rPr>
  </w:style>
  <w:style w:type="paragraph" w:customStyle="1" w:styleId="185">
    <w:name w:val="3级"/>
    <w:basedOn w:val="186"/>
    <w:link w:val="184"/>
    <w:qFormat/>
    <w:uiPriority w:val="0"/>
    <w:pPr>
      <w:ind w:left="0" w:right="466" w:firstLine="288"/>
    </w:pPr>
    <w:rPr>
      <w:rFonts w:hAnsi="宋体"/>
      <w:snapToGrid/>
    </w:rPr>
  </w:style>
  <w:style w:type="paragraph" w:customStyle="1" w:styleId="18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87">
    <w:name w:val="标书1 Char1"/>
    <w:qFormat/>
    <w:uiPriority w:val="0"/>
    <w:rPr>
      <w:rFonts w:eastAsia="宋体"/>
      <w:b/>
      <w:bCs/>
      <w:kern w:val="44"/>
      <w:sz w:val="44"/>
      <w:szCs w:val="44"/>
      <w:lang w:val="en-US" w:eastAsia="zh-CN" w:bidi="ar-SA"/>
    </w:rPr>
  </w:style>
  <w:style w:type="character" w:customStyle="1" w:styleId="188">
    <w:name w:val="正文文本缩进 Char"/>
    <w:qFormat/>
    <w:uiPriority w:val="0"/>
    <w:rPr>
      <w:rFonts w:ascii="宋体" w:hAnsi="宋体"/>
      <w:kern w:val="2"/>
      <w:sz w:val="24"/>
      <w:szCs w:val="24"/>
    </w:rPr>
  </w:style>
  <w:style w:type="character" w:customStyle="1" w:styleId="189">
    <w:name w:val="tw4winError"/>
    <w:qFormat/>
    <w:uiPriority w:val="0"/>
    <w:rPr>
      <w:rFonts w:ascii="Courier New" w:hAnsi="Courier New" w:cs="Courier New"/>
      <w:color w:val="00FF00"/>
      <w:sz w:val="40"/>
      <w:szCs w:val="40"/>
    </w:rPr>
  </w:style>
  <w:style w:type="character" w:customStyle="1" w:styleId="190">
    <w:name w:val="md"/>
    <w:basedOn w:val="69"/>
    <w:qFormat/>
    <w:uiPriority w:val="0"/>
    <w:rPr>
      <w:rFonts w:ascii="Arial" w:hAnsi="Arial" w:eastAsia="黑体" w:cs="Arial"/>
      <w:snapToGrid w:val="0"/>
      <w:kern w:val="0"/>
      <w:szCs w:val="21"/>
    </w:rPr>
  </w:style>
  <w:style w:type="character" w:customStyle="1" w:styleId="191">
    <w:name w:val="正文文本 字符1"/>
    <w:qFormat/>
    <w:uiPriority w:val="0"/>
    <w:rPr>
      <w:rFonts w:ascii="Calibri" w:hAnsi="Calibri" w:eastAsia="黑体" w:cs="Arial"/>
      <w:snapToGrid w:val="0"/>
      <w:kern w:val="2"/>
      <w:sz w:val="28"/>
      <w:szCs w:val="21"/>
    </w:rPr>
  </w:style>
  <w:style w:type="character" w:customStyle="1" w:styleId="192">
    <w:name w:val="表正文 Char3"/>
    <w:qFormat/>
    <w:uiPriority w:val="0"/>
    <w:rPr>
      <w:rFonts w:eastAsia="宋体"/>
    </w:rPr>
  </w:style>
  <w:style w:type="character" w:customStyle="1" w:styleId="193">
    <w:name w:val="带编号样式 Char"/>
    <w:qFormat/>
    <w:uiPriority w:val="0"/>
    <w:rPr>
      <w:rFonts w:ascii="仿宋_GB2312" w:eastAsia="仿宋_GB2312"/>
      <w:color w:val="000000"/>
      <w:sz w:val="24"/>
      <w:lang w:bidi="ar-SA"/>
    </w:rPr>
  </w:style>
  <w:style w:type="character" w:customStyle="1" w:styleId="194">
    <w:name w:val="Char Char91"/>
    <w:qFormat/>
    <w:uiPriority w:val="0"/>
    <w:rPr>
      <w:rFonts w:eastAsia="宋体"/>
      <w:kern w:val="2"/>
      <w:sz w:val="18"/>
      <w:szCs w:val="18"/>
      <w:lang w:val="en-US" w:eastAsia="zh-CN" w:bidi="ar-SA"/>
    </w:rPr>
  </w:style>
  <w:style w:type="character" w:customStyle="1" w:styleId="195">
    <w:name w:val="hui"/>
    <w:basedOn w:val="69"/>
    <w:qFormat/>
    <w:uiPriority w:val="0"/>
    <w:rPr>
      <w:rFonts w:ascii="Arial" w:hAnsi="Arial" w:eastAsia="黑体" w:cs="Arial"/>
      <w:snapToGrid w:val="0"/>
      <w:kern w:val="0"/>
      <w:szCs w:val="21"/>
    </w:rPr>
  </w:style>
  <w:style w:type="character" w:customStyle="1" w:styleId="196">
    <w:name w:val="myp11"/>
    <w:qFormat/>
    <w:uiPriority w:val="0"/>
    <w:rPr>
      <w:rFonts w:ascii="仿宋_GB2312" w:eastAsia="微软雅黑"/>
      <w:b/>
      <w:kern w:val="2"/>
      <w:sz w:val="32"/>
      <w:szCs w:val="32"/>
      <w:lang w:val="en-US" w:eastAsia="zh-CN" w:bidi="ar-SA"/>
    </w:rPr>
  </w:style>
  <w:style w:type="character" w:customStyle="1" w:styleId="197">
    <w:name w:val="tw4winPopup"/>
    <w:qFormat/>
    <w:uiPriority w:val="0"/>
    <w:rPr>
      <w:rFonts w:ascii="Courier New" w:hAnsi="Courier New" w:cs="Courier New"/>
      <w:color w:val="008000"/>
      <w:lang w:val="en-US" w:eastAsia="zh-CN"/>
    </w:rPr>
  </w:style>
  <w:style w:type="character" w:customStyle="1" w:styleId="198">
    <w:name w:val="Char Char311"/>
    <w:qFormat/>
    <w:uiPriority w:val="0"/>
    <w:rPr>
      <w:rFonts w:eastAsia="宋体"/>
      <w:kern w:val="2"/>
      <w:sz w:val="21"/>
      <w:szCs w:val="24"/>
      <w:lang w:val="en-US" w:eastAsia="zh-CN" w:bidi="ar-SA"/>
    </w:rPr>
  </w:style>
  <w:style w:type="character" w:customStyle="1" w:styleId="199">
    <w:name w:val="unnamed31"/>
    <w:qFormat/>
    <w:uiPriority w:val="0"/>
    <w:rPr>
      <w:rFonts w:ascii="Tahoma" w:hAnsi="Tahoma" w:eastAsia="宋体"/>
      <w:b/>
      <w:kern w:val="2"/>
      <w:sz w:val="24"/>
      <w:szCs w:val="32"/>
      <w:u w:val="none"/>
      <w:lang w:val="en-US" w:eastAsia="zh-CN" w:bidi="ar-SA"/>
    </w:rPr>
  </w:style>
  <w:style w:type="character" w:customStyle="1" w:styleId="200">
    <w:name w:val="tw4winMark"/>
    <w:qFormat/>
    <w:uiPriority w:val="0"/>
    <w:rPr>
      <w:rFonts w:ascii="Courier New" w:hAnsi="Courier New" w:cs="Courier New"/>
      <w:vanish/>
      <w:color w:val="800080"/>
      <w:sz w:val="24"/>
      <w:szCs w:val="24"/>
      <w:vertAlign w:val="subscript"/>
    </w:rPr>
  </w:style>
  <w:style w:type="character" w:customStyle="1" w:styleId="201">
    <w:name w:val="文档结构图 Char"/>
    <w:qFormat/>
    <w:uiPriority w:val="0"/>
    <w:rPr>
      <w:rFonts w:eastAsia="宋体"/>
      <w:kern w:val="2"/>
      <w:sz w:val="21"/>
      <w:szCs w:val="24"/>
      <w:lang w:val="en-US" w:eastAsia="zh-CN" w:bidi="ar-SA"/>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Char Char5"/>
    <w:qFormat/>
    <w:uiPriority w:val="0"/>
    <w:rPr>
      <w:rFonts w:ascii="宋体" w:hAnsi="Courier New" w:eastAsia="宋体"/>
      <w:kern w:val="2"/>
      <w:sz w:val="21"/>
      <w:lang w:val="en-US" w:eastAsia="zh-CN"/>
    </w:rPr>
  </w:style>
  <w:style w:type="character" w:customStyle="1" w:styleId="204">
    <w:name w:val="Char Char102"/>
    <w:semiHidden/>
    <w:qFormat/>
    <w:uiPriority w:val="0"/>
    <w:rPr>
      <w:rFonts w:ascii="宋体" w:hAnsi="宋体"/>
      <w:kern w:val="2"/>
      <w:sz w:val="21"/>
      <w:szCs w:val="24"/>
      <w:lang w:val="en-US" w:eastAsia="zh-CN"/>
    </w:rPr>
  </w:style>
  <w:style w:type="character" w:customStyle="1" w:styleId="205">
    <w:name w:val="页眉 字符1"/>
    <w:qFormat/>
    <w:uiPriority w:val="99"/>
    <w:rPr>
      <w:kern w:val="2"/>
      <w:sz w:val="18"/>
      <w:szCs w:val="18"/>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正文非缩进 Char"/>
    <w:qFormat/>
    <w:uiPriority w:val="0"/>
    <w:rPr>
      <w:rFonts w:ascii="宋体" w:eastAsia="宋体"/>
      <w:snapToGrid w:val="0"/>
      <w:color w:val="000000"/>
      <w:kern w:val="28"/>
      <w:sz w:val="28"/>
      <w:lang w:val="en-US" w:eastAsia="zh-CN" w:bidi="ar-SA"/>
    </w:rPr>
  </w:style>
  <w:style w:type="character" w:customStyle="1" w:styleId="208">
    <w:name w:val="正文首行缩进 2 Char1"/>
    <w:qFormat/>
    <w:uiPriority w:val="0"/>
    <w:rPr>
      <w:rFonts w:ascii="Times New Roman" w:hAnsi="Times New Roman" w:eastAsia="宋体" w:cs="Times New Roman"/>
      <w:kern w:val="2"/>
      <w:sz w:val="24"/>
      <w:szCs w:val="24"/>
    </w:rPr>
  </w:style>
  <w:style w:type="character" w:customStyle="1" w:styleId="209">
    <w:name w:val="apple-style-span"/>
    <w:qFormat/>
    <w:uiPriority w:val="0"/>
    <w:rPr>
      <w:rFonts w:ascii="Arial" w:hAnsi="Arial" w:eastAsia="黑体" w:cs="Arial"/>
      <w:snapToGrid w:val="0"/>
      <w:kern w:val="0"/>
      <w:szCs w:val="21"/>
    </w:rPr>
  </w:style>
  <w:style w:type="character" w:customStyle="1" w:styleId="210">
    <w:name w:val="Char Char12"/>
    <w:qFormat/>
    <w:uiPriority w:val="0"/>
    <w:rPr>
      <w:rFonts w:ascii="仿宋_GB2312" w:eastAsia="仿宋_GB2312"/>
      <w:b/>
      <w:bCs/>
      <w:kern w:val="2"/>
      <w:sz w:val="24"/>
      <w:szCs w:val="24"/>
      <w:lang w:val="zh-CN" w:eastAsia="zh-CN" w:bidi="ar-SA"/>
    </w:rPr>
  </w:style>
  <w:style w:type="character" w:customStyle="1" w:styleId="211">
    <w:name w:val="Char Char33"/>
    <w:qFormat/>
    <w:uiPriority w:val="6"/>
    <w:rPr>
      <w:rFonts w:ascii="Arial" w:hAnsi="Arial" w:eastAsia="黑体"/>
      <w:b/>
      <w:kern w:val="1"/>
      <w:sz w:val="24"/>
      <w:szCs w:val="24"/>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font21"/>
    <w:qFormat/>
    <w:uiPriority w:val="0"/>
    <w:rPr>
      <w:rFonts w:hint="eastAsia" w:ascii="宋体" w:hAnsi="宋体" w:eastAsia="宋体"/>
      <w:kern w:val="2"/>
      <w:sz w:val="28"/>
      <w:szCs w:val="28"/>
      <w:lang w:val="en-US" w:eastAsia="zh-CN" w:bidi="ar-SA"/>
    </w:rPr>
  </w:style>
  <w:style w:type="character" w:customStyle="1" w:styleId="214">
    <w:name w:val="PI Char"/>
    <w:qFormat/>
    <w:uiPriority w:val="0"/>
    <w:rPr>
      <w:rFonts w:ascii="宋体" w:hAnsi="宋体" w:eastAsia="宋体"/>
      <w:kern w:val="2"/>
      <w:sz w:val="24"/>
      <w:szCs w:val="24"/>
      <w:lang w:val="en-US" w:eastAsia="zh-CN" w:bidi="ar-SA"/>
    </w:rPr>
  </w:style>
  <w:style w:type="character" w:customStyle="1" w:styleId="215">
    <w:name w:val="Char Char121"/>
    <w:qFormat/>
    <w:uiPriority w:val="6"/>
    <w:rPr>
      <w:rFonts w:ascii="仿宋_GB2312" w:eastAsia="仿宋_GB2312"/>
      <w:b/>
      <w:bCs/>
      <w:kern w:val="2"/>
      <w:sz w:val="24"/>
      <w:szCs w:val="24"/>
      <w:lang w:val="zh-CN" w:eastAsia="zh-CN" w:bidi="ar-SA"/>
    </w:rPr>
  </w:style>
  <w:style w:type="character" w:customStyle="1" w:styleId="216">
    <w:name w:val="公文正文 Char"/>
    <w:qFormat/>
    <w:uiPriority w:val="0"/>
    <w:rPr>
      <w:rFonts w:ascii="仿宋_GB2312" w:eastAsia="仿宋_GB2312"/>
      <w:kern w:val="2"/>
      <w:sz w:val="24"/>
      <w:szCs w:val="24"/>
      <w:lang w:val="en-US" w:eastAsia="zh-CN" w:bidi="ar-SA"/>
    </w:rPr>
  </w:style>
  <w:style w:type="character" w:customStyle="1" w:styleId="217">
    <w:name w:val="Char Char26"/>
    <w:qFormat/>
    <w:uiPriority w:val="6"/>
    <w:rPr>
      <w:kern w:val="1"/>
      <w:sz w:val="21"/>
      <w:szCs w:val="24"/>
    </w:rPr>
  </w:style>
  <w:style w:type="character" w:customStyle="1" w:styleId="218">
    <w:name w:val="Default Char"/>
    <w:link w:val="219"/>
    <w:qFormat/>
    <w:uiPriority w:val="0"/>
    <w:rPr>
      <w:rFonts w:ascii="仿宋_GB2312" w:eastAsia="仿宋_GB2312" w:cs="仿宋_GB2312"/>
      <w:color w:val="000000"/>
      <w:sz w:val="24"/>
      <w:szCs w:val="24"/>
      <w:lang w:val="en-US" w:eastAsia="zh-CN" w:bidi="ar-SA"/>
    </w:rPr>
  </w:style>
  <w:style w:type="paragraph" w:customStyle="1" w:styleId="219">
    <w:name w:val="Default"/>
    <w:link w:val="218"/>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20">
    <w:name w:val="edui-unclickable"/>
    <w:qFormat/>
    <w:uiPriority w:val="0"/>
    <w:rPr>
      <w:color w:val="808080"/>
    </w:rPr>
  </w:style>
  <w:style w:type="character" w:customStyle="1" w:styleId="221">
    <w:name w:val="maywed421"/>
    <w:qFormat/>
    <w:uiPriority w:val="0"/>
    <w:rPr>
      <w:color w:val="366FB6"/>
      <w:u w:val="none"/>
    </w:rPr>
  </w:style>
  <w:style w:type="character" w:customStyle="1" w:styleId="222">
    <w:name w:val="Item List Char"/>
    <w:link w:val="223"/>
    <w:qFormat/>
    <w:uiPriority w:val="0"/>
    <w:rPr>
      <w:rFonts w:ascii="Arial"/>
      <w:bCs/>
      <w:sz w:val="21"/>
      <w:szCs w:val="21"/>
      <w:lang w:val="en-US" w:eastAsia="zh-CN" w:bidi="ar-SA"/>
    </w:rPr>
  </w:style>
  <w:style w:type="paragraph" w:customStyle="1" w:styleId="223">
    <w:name w:val="Item List"/>
    <w:link w:val="222"/>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ksfind_class_select1"/>
    <w:basedOn w:val="69"/>
    <w:qFormat/>
    <w:uiPriority w:val="0"/>
    <w:rPr>
      <w:color w:val="000000"/>
      <w:shd w:val="clear" w:color="auto" w:fill="EFD200"/>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41"/>
    <w:qFormat/>
    <w:uiPriority w:val="0"/>
    <w:rPr>
      <w:rFonts w:eastAsia="宋体"/>
      <w:b/>
      <w:sz w:val="24"/>
      <w:lang w:eastAsia="zh-CN" w:bidi="ar-SA"/>
    </w:rPr>
  </w:style>
  <w:style w:type="character" w:customStyle="1" w:styleId="228">
    <w:name w:val="style91"/>
    <w:qFormat/>
    <w:uiPriority w:val="0"/>
    <w:rPr>
      <w:color w:val="333333"/>
    </w:rPr>
  </w:style>
  <w:style w:type="character" w:customStyle="1" w:styleId="229">
    <w:name w:val="Char Char52"/>
    <w:qFormat/>
    <w:uiPriority w:val="0"/>
    <w:rPr>
      <w:rFonts w:ascii="宋体" w:hAnsi="Courier New" w:eastAsia="宋体"/>
      <w:kern w:val="2"/>
      <w:sz w:val="21"/>
      <w:lang w:val="en-US" w:eastAsia="zh-CN"/>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广丽 Char"/>
    <w:link w:val="232"/>
    <w:qFormat/>
    <w:uiPriority w:val="0"/>
    <w:rPr>
      <w:rFonts w:ascii="宋体" w:hAnsi="宋体"/>
      <w:kern w:val="2"/>
      <w:sz w:val="24"/>
      <w:szCs w:val="22"/>
    </w:rPr>
  </w:style>
  <w:style w:type="paragraph" w:customStyle="1" w:styleId="232">
    <w:name w:val="冯广丽"/>
    <w:basedOn w:val="1"/>
    <w:link w:val="231"/>
    <w:qFormat/>
    <w:uiPriority w:val="0"/>
    <w:pPr>
      <w:adjustRightInd/>
      <w:spacing w:line="360" w:lineRule="auto"/>
      <w:ind w:firstLine="480" w:firstLineChars="200"/>
    </w:pPr>
    <w:rPr>
      <w:rFonts w:ascii="宋体" w:hAnsi="宋体"/>
      <w:sz w:val="24"/>
      <w:szCs w:val="22"/>
    </w:rPr>
  </w:style>
  <w:style w:type="character" w:customStyle="1" w:styleId="233">
    <w:name w:val="Normal Indent Char Char"/>
    <w:qFormat/>
    <w:uiPriority w:val="0"/>
    <w:rPr>
      <w:rFonts w:eastAsia="宋体"/>
      <w:kern w:val="2"/>
      <w:sz w:val="21"/>
      <w:lang w:val="en-US" w:eastAsia="zh-CN" w:bidi="ar-SA"/>
    </w:rPr>
  </w:style>
  <w:style w:type="character" w:customStyle="1" w:styleId="234">
    <w:name w:val="Char Char1211"/>
    <w:qFormat/>
    <w:uiPriority w:val="0"/>
    <w:rPr>
      <w:rFonts w:ascii="仿宋_GB2312" w:eastAsia="仿宋_GB2312"/>
      <w:b/>
      <w:bCs/>
      <w:kern w:val="2"/>
      <w:sz w:val="24"/>
      <w:szCs w:val="24"/>
      <w:lang w:val="zh-CN" w:eastAsia="zh-CN" w:bidi="ar-SA"/>
    </w:rPr>
  </w:style>
  <w:style w:type="character" w:customStyle="1" w:styleId="235">
    <w:name w:val="Ò³Ã¼ Char Char"/>
    <w:qFormat/>
    <w:uiPriority w:val="0"/>
    <w:rPr>
      <w:rFonts w:eastAsia="宋体"/>
      <w:kern w:val="2"/>
      <w:sz w:val="18"/>
      <w:lang w:val="en-US" w:eastAsia="zh-CN" w:bidi="ar-SA"/>
    </w:rPr>
  </w:style>
  <w:style w:type="character" w:customStyle="1" w:styleId="236">
    <w:name w:val="Table Text Char"/>
    <w:link w:val="237"/>
    <w:qFormat/>
    <w:uiPriority w:val="0"/>
    <w:rPr>
      <w:sz w:val="24"/>
      <w:szCs w:val="24"/>
    </w:rPr>
  </w:style>
  <w:style w:type="paragraph" w:customStyle="1" w:styleId="237">
    <w:name w:val="Table Text"/>
    <w:basedOn w:val="1"/>
    <w:link w:val="236"/>
    <w:qFormat/>
    <w:uiPriority w:val="0"/>
    <w:pPr>
      <w:widowControl/>
      <w:spacing w:before="60" w:after="60"/>
      <w:jc w:val="left"/>
    </w:pPr>
    <w:rPr>
      <w:kern w:val="0"/>
      <w:sz w:val="24"/>
    </w:rPr>
  </w:style>
  <w:style w:type="character" w:customStyle="1" w:styleId="238">
    <w:name w:val="正文 编号 Char"/>
    <w:qFormat/>
    <w:uiPriority w:val="0"/>
    <w:rPr>
      <w:rFonts w:ascii="仿宋_GB2312" w:hAnsi="仿宋_GB2312" w:eastAsia="仿宋_GB2312"/>
      <w:kern w:val="2"/>
      <w:sz w:val="24"/>
      <w:lang w:bidi="ar-SA"/>
    </w:rPr>
  </w:style>
  <w:style w:type="character" w:customStyle="1" w:styleId="239">
    <w:name w:val="Used by Word for text of Help footnotes Char Char"/>
    <w:qFormat/>
    <w:uiPriority w:val="0"/>
    <w:rPr>
      <w:rFonts w:ascii="Times New Roman" w:hAnsi="Times New Roman" w:eastAsia="宋体" w:cs="Times New Roman"/>
      <w:sz w:val="20"/>
      <w:szCs w:val="20"/>
    </w:rPr>
  </w:style>
  <w:style w:type="character" w:customStyle="1" w:styleId="240">
    <w:name w:val="Char Char15"/>
    <w:qFormat/>
    <w:uiPriority w:val="6"/>
    <w:rPr>
      <w:rFonts w:ascii="宋体" w:hAnsi="宋体"/>
      <w:kern w:val="1"/>
      <w:sz w:val="21"/>
    </w:rPr>
  </w:style>
  <w:style w:type="character" w:customStyle="1" w:styleId="241">
    <w:name w:val="Bold"/>
    <w:qFormat/>
    <w:uiPriority w:val="0"/>
    <w:rPr>
      <w:rFonts w:ascii="Arial" w:hAnsi="Arial" w:eastAsia="黑体" w:cs="Times New Roman"/>
      <w:b/>
      <w:kern w:val="2"/>
      <w:sz w:val="32"/>
      <w:szCs w:val="32"/>
      <w:lang w:val="en-US" w:eastAsia="zh-CN" w:bidi="ar-SA"/>
    </w:rPr>
  </w:style>
  <w:style w:type="character" w:customStyle="1" w:styleId="242">
    <w:name w:val="H5 Char"/>
    <w:qFormat/>
    <w:uiPriority w:val="0"/>
    <w:rPr>
      <w:b/>
      <w:bCs/>
      <w:kern w:val="2"/>
      <w:sz w:val="28"/>
      <w:szCs w:val="28"/>
    </w:rPr>
  </w:style>
  <w:style w:type="character" w:customStyle="1" w:styleId="243">
    <w:name w:val="标题 2 Char Char"/>
    <w:qFormat/>
    <w:uiPriority w:val="0"/>
    <w:rPr>
      <w:rFonts w:ascii="楷体_GB2312" w:hAnsi="Arial" w:eastAsia="楷体_GB2312"/>
      <w:b/>
      <w:bCs/>
      <w:kern w:val="2"/>
      <w:sz w:val="24"/>
      <w:szCs w:val="32"/>
      <w:lang w:val="en-US" w:eastAsia="zh-CN" w:bidi="ar-SA"/>
    </w:rPr>
  </w:style>
  <w:style w:type="character" w:customStyle="1" w:styleId="244">
    <w:name w:val="tw4winExternal"/>
    <w:qFormat/>
    <w:uiPriority w:val="0"/>
    <w:rPr>
      <w:rFonts w:ascii="Courier New" w:hAnsi="Courier New" w:cs="Courier New"/>
      <w:color w:val="808080"/>
      <w:lang w:val="en-US" w:eastAsia="zh-CN"/>
    </w:rPr>
  </w:style>
  <w:style w:type="character" w:customStyle="1" w:styleId="245">
    <w:name w:val="Char Char37"/>
    <w:qFormat/>
    <w:uiPriority w:val="6"/>
    <w:rPr>
      <w:b/>
      <w:kern w:val="1"/>
      <w:sz w:val="44"/>
      <w:szCs w:val="44"/>
    </w:rPr>
  </w:style>
  <w:style w:type="character" w:customStyle="1" w:styleId="246">
    <w:name w:val="正文文本缩进 3 Char1"/>
    <w:semiHidden/>
    <w:qFormat/>
    <w:uiPriority w:val="99"/>
    <w:rPr>
      <w:rFonts w:ascii="Times New Roman" w:hAnsi="Times New Roman" w:eastAsia="宋体" w:cs="Times New Roman"/>
      <w:sz w:val="16"/>
      <w:szCs w:val="16"/>
    </w:rPr>
  </w:style>
  <w:style w:type="character" w:customStyle="1" w:styleId="247">
    <w:name w:val="message1"/>
    <w:qFormat/>
    <w:uiPriority w:val="0"/>
    <w:rPr>
      <w:rFonts w:hint="default" w:ascii="Tahoma" w:hAnsi="Tahoma" w:cs="Tahoma"/>
      <w:sz w:val="18"/>
      <w:szCs w:val="18"/>
    </w:rPr>
  </w:style>
  <w:style w:type="character" w:customStyle="1" w:styleId="248">
    <w:name w:val="列出段落 Char"/>
    <w:qFormat/>
    <w:uiPriority w:val="0"/>
    <w:rPr>
      <w:rFonts w:eastAsia="楷体_GB2312" w:cs="Lucida Sans"/>
      <w:kern w:val="2"/>
      <w:sz w:val="24"/>
      <w:szCs w:val="24"/>
      <w:lang w:val="en-US" w:eastAsia="zh-CN" w:bidi="ar-SA"/>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标题 1 字符"/>
    <w:qFormat/>
    <w:uiPriority w:val="9"/>
    <w:rPr>
      <w:rFonts w:ascii="Arial" w:hAnsi="Arial" w:eastAsia="黑体" w:cs="Arial"/>
      <w:b/>
      <w:bCs/>
      <w:snapToGrid w:val="0"/>
      <w:kern w:val="44"/>
      <w:sz w:val="44"/>
      <w:szCs w:val="44"/>
    </w:rPr>
  </w:style>
  <w:style w:type="character" w:customStyle="1" w:styleId="251">
    <w:name w:val="列出段落 Char1"/>
    <w:link w:val="252"/>
    <w:qFormat/>
    <w:uiPriority w:val="0"/>
    <w:rPr>
      <w:rFonts w:ascii="Calibri" w:hAnsi="Calibri"/>
      <w:sz w:val="24"/>
      <w:lang w:eastAsia="en-US"/>
    </w:rPr>
  </w:style>
  <w:style w:type="paragraph" w:customStyle="1" w:styleId="252">
    <w:name w:val="列表1"/>
    <w:basedOn w:val="1"/>
    <w:next w:val="253"/>
    <w:link w:val="251"/>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253">
    <w:name w:val="List Paragraph"/>
    <w:basedOn w:val="1"/>
    <w:qFormat/>
    <w:uiPriority w:val="34"/>
    <w:pPr>
      <w:spacing w:line="360" w:lineRule="auto"/>
      <w:ind w:firstLine="200" w:firstLineChars="200"/>
    </w:pPr>
    <w:rPr>
      <w:rFonts w:eastAsia="楷体_GB2312" w:cs="Lucida Sans"/>
      <w:sz w:val="24"/>
    </w:rPr>
  </w:style>
  <w:style w:type="character" w:customStyle="1" w:styleId="254">
    <w:name w:val="标题 1 Char Char"/>
    <w:qFormat/>
    <w:uiPriority w:val="0"/>
    <w:rPr>
      <w:rFonts w:hint="eastAsia" w:ascii="宋体" w:hAnsi="宋体" w:eastAsia="宋体"/>
      <w:b/>
      <w:spacing w:val="-2"/>
      <w:sz w:val="24"/>
      <w:lang w:val="en-US" w:eastAsia="zh-CN" w:bidi="ar-SA"/>
    </w:rPr>
  </w:style>
  <w:style w:type="character" w:customStyle="1" w:styleId="255">
    <w:name w:val="正文（缩进2汉字） Char"/>
    <w:link w:val="256"/>
    <w:qFormat/>
    <w:uiPriority w:val="0"/>
    <w:rPr>
      <w:rFonts w:ascii="宋体"/>
    </w:rPr>
  </w:style>
  <w:style w:type="paragraph" w:customStyle="1" w:styleId="256">
    <w:name w:val="正文（缩进2汉字）"/>
    <w:basedOn w:val="1"/>
    <w:link w:val="2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哈哈正文 Char Char"/>
    <w:qFormat/>
    <w:uiPriority w:val="0"/>
    <w:rPr>
      <w:rFonts w:ascii="宋体" w:hAnsi="宋体" w:eastAsia="宋体" w:cs="宋体"/>
      <w:kern w:val="2"/>
      <w:sz w:val="24"/>
      <w:lang w:val="en-US" w:eastAsia="zh-CN" w:bidi="ar-SA"/>
    </w:rPr>
  </w:style>
  <w:style w:type="character" w:customStyle="1" w:styleId="260">
    <w:name w:val="font01"/>
    <w:qFormat/>
    <w:uiPriority w:val="0"/>
    <w:rPr>
      <w:rFonts w:hint="eastAsia" w:ascii="微软雅黑" w:hAnsi="微软雅黑" w:eastAsia="微软雅黑" w:cs="微软雅黑"/>
      <w:color w:val="000000"/>
      <w:sz w:val="20"/>
      <w:szCs w:val="20"/>
      <w:u w:val="none"/>
    </w:rPr>
  </w:style>
  <w:style w:type="character" w:customStyle="1" w:styleId="261">
    <w:name w:val="content"/>
    <w:qFormat/>
    <w:uiPriority w:val="0"/>
  </w:style>
  <w:style w:type="character" w:customStyle="1" w:styleId="262">
    <w:name w:val="标题 4 Char1"/>
    <w:qFormat/>
    <w:uiPriority w:val="9"/>
    <w:rPr>
      <w:rFonts w:ascii="Cambria" w:hAnsi="Cambria" w:eastAsia="宋体" w:cs="Times New Roman"/>
      <w:b/>
      <w:bCs/>
      <w:kern w:val="2"/>
      <w:sz w:val="28"/>
      <w:szCs w:val="28"/>
    </w:rPr>
  </w:style>
  <w:style w:type="character" w:customStyle="1" w:styleId="263">
    <w:name w:val="font51"/>
    <w:qFormat/>
    <w:uiPriority w:val="0"/>
    <w:rPr>
      <w:rFonts w:hint="eastAsia" w:ascii="仿宋" w:hAnsi="仿宋" w:eastAsia="仿宋" w:cs="仿宋"/>
      <w:color w:val="000000"/>
      <w:sz w:val="20"/>
      <w:szCs w:val="20"/>
      <w:u w:val="none"/>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批注文字 字符"/>
    <w:qFormat/>
    <w:uiPriority w:val="0"/>
    <w:rPr>
      <w:rFonts w:ascii="Arial" w:hAnsi="Arial" w:eastAsia="黑体" w:cs="Arial"/>
      <w:snapToGrid w:val="0"/>
      <w:kern w:val="0"/>
      <w:szCs w:val="21"/>
    </w:rPr>
  </w:style>
  <w:style w:type="character" w:customStyle="1" w:styleId="266">
    <w:name w:val="列表段落 字符"/>
    <w:qFormat/>
    <w:uiPriority w:val="99"/>
  </w:style>
  <w:style w:type="character" w:customStyle="1" w:styleId="267">
    <w:name w:val="编号，小四 Char"/>
    <w:link w:val="268"/>
    <w:qFormat/>
    <w:uiPriority w:val="0"/>
    <w:rPr>
      <w:rFonts w:ascii="Arial" w:hAnsi="Arial"/>
      <w:sz w:val="24"/>
    </w:rPr>
  </w:style>
  <w:style w:type="paragraph" w:customStyle="1" w:styleId="268">
    <w:name w:val="编号，小四"/>
    <w:basedOn w:val="1"/>
    <w:link w:val="267"/>
    <w:qFormat/>
    <w:uiPriority w:val="0"/>
    <w:pPr>
      <w:tabs>
        <w:tab w:val="left" w:pos="432"/>
      </w:tabs>
      <w:adjustRightInd/>
      <w:spacing w:line="360" w:lineRule="auto"/>
      <w:ind w:left="432" w:hanging="432"/>
    </w:pPr>
    <w:rPr>
      <w:rFonts w:ascii="Arial" w:hAnsi="Arial"/>
      <w:kern w:val="0"/>
      <w:sz w:val="24"/>
      <w:szCs w:val="20"/>
    </w:rPr>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Font Style82"/>
    <w:qFormat/>
    <w:uiPriority w:val="99"/>
    <w:rPr>
      <w:rFonts w:ascii="宋体" w:eastAsia="宋体" w:cs="宋体"/>
      <w:color w:val="000000"/>
      <w:sz w:val="14"/>
      <w:szCs w:val="14"/>
    </w:rPr>
  </w:style>
  <w:style w:type="character" w:customStyle="1" w:styleId="271">
    <w:name w:val="正文文本 Char2"/>
    <w:semiHidden/>
    <w:qFormat/>
    <w:uiPriority w:val="99"/>
    <w:rPr>
      <w:rFonts w:ascii="Times New Roman" w:hAnsi="Times New Roman" w:eastAsia="宋体" w:cs="Times New Roman"/>
      <w:snapToGrid w:val="0"/>
      <w:kern w:val="0"/>
      <w:szCs w:val="24"/>
    </w:rPr>
  </w:style>
  <w:style w:type="character" w:customStyle="1" w:styleId="272">
    <w:name w:val="正文首行缩进 Char Char Char Char Char Char"/>
    <w:qFormat/>
    <w:uiPriority w:val="0"/>
    <w:rPr>
      <w:rFonts w:ascii="宋体" w:eastAsia="宋体"/>
      <w:kern w:val="2"/>
      <w:sz w:val="24"/>
      <w:lang w:val="zh-CN" w:bidi="ar-SA"/>
    </w:rPr>
  </w:style>
  <w:style w:type="character" w:customStyle="1" w:styleId="273">
    <w:name w:val="DO_NOT_TRANSLATE"/>
    <w:qFormat/>
    <w:uiPriority w:val="0"/>
    <w:rPr>
      <w:rFonts w:ascii="Courier New" w:hAnsi="Courier New" w:cs="Courier New"/>
      <w:color w:val="800000"/>
      <w:lang w:val="en-US" w:eastAsia="zh-CN"/>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ray6"/>
    <w:basedOn w:val="69"/>
    <w:qFormat/>
    <w:uiPriority w:val="0"/>
    <w:rPr>
      <w:rFonts w:ascii="Arial" w:hAnsi="Arial" w:eastAsia="黑体" w:cs="Arial"/>
      <w:snapToGrid w:val="0"/>
      <w:kern w:val="0"/>
      <w:szCs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正文文本缩进 字符"/>
    <w:qFormat/>
    <w:uiPriority w:val="0"/>
    <w:rPr>
      <w:rFonts w:ascii="Century Gothic" w:hAnsi="Century Gothic" w:eastAsia="Century Gothic"/>
      <w:kern w:val="2"/>
      <w:sz w:val="24"/>
      <w:lang w:val="en-US" w:eastAsia="zh-CN" w:bidi="ar-SA"/>
    </w:rPr>
  </w:style>
  <w:style w:type="character" w:customStyle="1" w:styleId="278">
    <w:name w:val="Char Char30"/>
    <w:qFormat/>
    <w:uiPriority w:val="6"/>
    <w:rPr>
      <w:rFonts w:ascii="Arial" w:hAnsi="Arial" w:eastAsia="黑体"/>
      <w:kern w:val="1"/>
      <w:sz w:val="21"/>
      <w:szCs w:val="21"/>
    </w:rPr>
  </w:style>
  <w:style w:type="character" w:customStyle="1" w:styleId="279">
    <w:name w:val="Char Char36"/>
    <w:qFormat/>
    <w:uiPriority w:val="6"/>
    <w:rPr>
      <w:rFonts w:ascii="仿宋_GB2312" w:hAnsi="仿宋_GB2312" w:eastAsia="仿宋_GB2312" w:cs="Arial"/>
      <w:b/>
      <w:kern w:val="1"/>
      <w:sz w:val="32"/>
      <w:szCs w:val="32"/>
      <w:lang w:val="zh-CN" w:eastAsia="zh-CN" w:bidi="ar-SA"/>
    </w:rPr>
  </w:style>
  <w:style w:type="character" w:customStyle="1" w:styleId="280">
    <w:name w:val="ca-131"/>
    <w:qFormat/>
    <w:uiPriority w:val="0"/>
    <w:rPr>
      <w:rFonts w:hint="eastAsia" w:ascii="仿宋_GB2312" w:eastAsia="仿宋_GB2312"/>
      <w:b/>
      <w:bCs/>
      <w:color w:val="000000"/>
      <w:spacing w:val="-20"/>
      <w:sz w:val="24"/>
      <w:szCs w:val="24"/>
    </w:rPr>
  </w:style>
  <w:style w:type="character" w:customStyle="1" w:styleId="281">
    <w:name w:val="15"/>
    <w:qFormat/>
    <w:uiPriority w:val="0"/>
    <w:rPr>
      <w:rFonts w:hint="default" w:ascii="Calibri" w:hAnsi="Calibri"/>
      <w:color w:val="0000FF"/>
      <w:u w:val="single"/>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84">
    <w:name w:val="正文首行缩进 Char Char Char Char Char"/>
    <w:qFormat/>
    <w:uiPriority w:val="0"/>
    <w:rPr>
      <w:rFonts w:ascii="宋体"/>
      <w:kern w:val="2"/>
      <w:sz w:val="24"/>
      <w:lang w:val="zh-CN"/>
    </w:rPr>
  </w:style>
  <w:style w:type="character" w:customStyle="1" w:styleId="285">
    <w:name w:val="交叉引用"/>
    <w:qFormat/>
    <w:uiPriority w:val="1"/>
    <w:rPr>
      <w:rFonts w:ascii="Arial" w:hAnsi="Arial" w:eastAsia="黑体"/>
      <w:snapToGrid w:val="0"/>
      <w:color w:val="0000FF"/>
      <w:kern w:val="0"/>
      <w:sz w:val="20"/>
      <w:szCs w:val="21"/>
      <w:u w:val="single"/>
      <w:lang w:val="en-US" w:eastAsia="zh-CN"/>
    </w:rPr>
  </w:style>
  <w:style w:type="character" w:customStyle="1" w:styleId="286">
    <w:name w:val="unnamed11"/>
    <w:qFormat/>
    <w:uiPriority w:val="0"/>
    <w:rPr>
      <w:sz w:val="20"/>
      <w:szCs w:val="20"/>
    </w:rPr>
  </w:style>
  <w:style w:type="character" w:customStyle="1" w:styleId="287">
    <w:name w:val="页脚 字符1"/>
    <w:qFormat/>
    <w:locked/>
    <w:uiPriority w:val="99"/>
    <w:rPr>
      <w:kern w:val="2"/>
      <w:sz w:val="18"/>
      <w:szCs w:val="18"/>
    </w:rPr>
  </w:style>
  <w:style w:type="character" w:customStyle="1" w:styleId="288">
    <w:name w:val="mdeck"/>
    <w:qFormat/>
    <w:uiPriority w:val="0"/>
    <w:rPr>
      <w:rFonts w:ascii="仿宋_GB2312" w:eastAsia="微软雅黑"/>
      <w:b/>
      <w:kern w:val="2"/>
      <w:sz w:val="32"/>
      <w:szCs w:val="32"/>
      <w:lang w:val="en-US" w:eastAsia="zh-CN" w:bidi="ar-SA"/>
    </w:rPr>
  </w:style>
  <w:style w:type="character" w:customStyle="1" w:styleId="289">
    <w:name w:val="首行缩进 Char"/>
    <w:qFormat/>
    <w:uiPriority w:val="0"/>
    <w:rPr>
      <w:rFonts w:ascii="宋体" w:eastAsia="宋体"/>
      <w:kern w:val="2"/>
      <w:sz w:val="24"/>
      <w:lang w:val="en-US" w:eastAsia="zh-CN" w:bidi="ar-SA"/>
    </w:rPr>
  </w:style>
  <w:style w:type="character" w:customStyle="1" w:styleId="290">
    <w:name w:val="列出段落 Char2"/>
    <w:qFormat/>
    <w:uiPriority w:val="34"/>
    <w:rPr>
      <w:rFonts w:ascii="Calibri" w:hAnsi="Calibri"/>
      <w:kern w:val="2"/>
      <w:sz w:val="28"/>
    </w:rPr>
  </w:style>
  <w:style w:type="character" w:customStyle="1" w:styleId="291">
    <w:name w:val="U_正文 Char"/>
    <w:link w:val="292"/>
    <w:qFormat/>
    <w:uiPriority w:val="0"/>
    <w:rPr>
      <w:sz w:val="24"/>
      <w:szCs w:val="24"/>
    </w:rPr>
  </w:style>
  <w:style w:type="paragraph" w:customStyle="1" w:styleId="292">
    <w:name w:val="U_正文"/>
    <w:basedOn w:val="1"/>
    <w:link w:val="291"/>
    <w:qFormat/>
    <w:uiPriority w:val="0"/>
    <w:pPr>
      <w:adjustRightInd/>
      <w:spacing w:beforeLines="20" w:afterLines="20" w:line="300" w:lineRule="auto"/>
      <w:ind w:firstLine="200" w:firstLineChars="200"/>
    </w:pPr>
    <w:rPr>
      <w:kern w:val="0"/>
      <w:sz w:val="24"/>
    </w:rPr>
  </w:style>
  <w:style w:type="character" w:customStyle="1" w:styleId="293">
    <w:name w:val="标书正文格式 Char"/>
    <w:qFormat/>
    <w:uiPriority w:val="0"/>
    <w:rPr>
      <w:rFonts w:eastAsia="楷体_GB2312"/>
      <w:kern w:val="2"/>
      <w:sz w:val="24"/>
      <w:szCs w:val="24"/>
      <w:lang w:bidi="ar-SA"/>
    </w:rPr>
  </w:style>
  <w:style w:type="character" w:customStyle="1" w:styleId="294">
    <w:name w:val="b11_01b Char"/>
    <w:link w:val="295"/>
    <w:qFormat/>
    <w:uiPriority w:val="0"/>
    <w:rPr>
      <w:rFonts w:ascii="Verdana" w:hAnsi="Verdana"/>
      <w:b/>
      <w:bCs/>
      <w:color w:val="4A82CA"/>
      <w:sz w:val="17"/>
      <w:szCs w:val="17"/>
    </w:rPr>
  </w:style>
  <w:style w:type="paragraph" w:customStyle="1" w:styleId="295">
    <w:name w:val="b11_01b"/>
    <w:basedOn w:val="1"/>
    <w:next w:val="1"/>
    <w:link w:val="2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96">
    <w:name w:val="正文样式 Char"/>
    <w:link w:val="297"/>
    <w:qFormat/>
    <w:uiPriority w:val="0"/>
    <w:rPr>
      <w:rFonts w:ascii="Calibri" w:hAnsi="Calibri"/>
      <w:sz w:val="24"/>
      <w:szCs w:val="24"/>
    </w:rPr>
  </w:style>
  <w:style w:type="paragraph" w:customStyle="1" w:styleId="297">
    <w:name w:val="正文样式"/>
    <w:basedOn w:val="1"/>
    <w:link w:val="296"/>
    <w:qFormat/>
    <w:uiPriority w:val="0"/>
    <w:pPr>
      <w:adjustRightInd/>
      <w:spacing w:line="360" w:lineRule="auto"/>
      <w:ind w:firstLine="480" w:firstLineChars="200"/>
    </w:pPr>
    <w:rPr>
      <w:rFonts w:ascii="Calibri" w:hAnsi="Calibri"/>
      <w:kern w:val="0"/>
      <w:sz w:val="24"/>
    </w:rPr>
  </w:style>
  <w:style w:type="character" w:customStyle="1" w:styleId="298">
    <w:name w:val="标题 4 Char"/>
    <w:qFormat/>
    <w:uiPriority w:val="0"/>
    <w:rPr>
      <w:rFonts w:ascii="Arial" w:hAnsi="Arial" w:eastAsia="黑体"/>
      <w:b/>
      <w:kern w:val="2"/>
      <w:sz w:val="28"/>
    </w:rPr>
  </w:style>
  <w:style w:type="character" w:customStyle="1" w:styleId="299">
    <w:name w:val="批注文字 Char2"/>
    <w:qFormat/>
    <w:uiPriority w:val="99"/>
    <w:rPr>
      <w:rFonts w:ascii="Times New Roman" w:hAnsi="Times New Roman" w:eastAsia="宋体" w:cs="Times New Roman"/>
      <w:snapToGrid w:val="0"/>
      <w:kern w:val="0"/>
      <w:szCs w:val="24"/>
    </w:rPr>
  </w:style>
  <w:style w:type="character" w:customStyle="1" w:styleId="300">
    <w:name w:val="Char Char161"/>
    <w:qFormat/>
    <w:uiPriority w:val="0"/>
    <w:rPr>
      <w:rFonts w:eastAsia="宋体"/>
      <w:b/>
      <w:kern w:val="2"/>
      <w:sz w:val="32"/>
      <w:lang w:val="en-US" w:eastAsia="zh-CN"/>
    </w:rPr>
  </w:style>
  <w:style w:type="character" w:customStyle="1" w:styleId="301">
    <w:name w:val="Char Char20"/>
    <w:qFormat/>
    <w:uiPriority w:val="6"/>
    <w:rPr>
      <w:kern w:val="1"/>
      <w:sz w:val="24"/>
    </w:rPr>
  </w:style>
  <w:style w:type="character" w:customStyle="1" w:styleId="302">
    <w:name w:val="表格非标题文字 Char"/>
    <w:link w:val="303"/>
    <w:qFormat/>
    <w:uiPriority w:val="0"/>
    <w:rPr>
      <w:rFonts w:ascii="Futura Bk" w:hAnsi="Futura Bk"/>
      <w:kern w:val="2"/>
      <w:sz w:val="18"/>
      <w:szCs w:val="21"/>
      <w:lang w:val="en-US" w:eastAsia="zh-CN" w:bidi="ar-SA"/>
    </w:rPr>
  </w:style>
  <w:style w:type="paragraph" w:customStyle="1" w:styleId="303">
    <w:name w:val="表格非标题文字"/>
    <w:link w:val="302"/>
    <w:qFormat/>
    <w:uiPriority w:val="0"/>
    <w:pPr>
      <w:snapToGrid w:val="0"/>
      <w:spacing w:before="80" w:after="40"/>
    </w:pPr>
    <w:rPr>
      <w:rFonts w:ascii="Futura Bk" w:hAnsi="Futura Bk"/>
      <w:kern w:val="2"/>
      <w:sz w:val="18"/>
      <w:szCs w:val="21"/>
      <w:lang w:val="en-US" w:eastAsia="zh-CN" w:bidi="ar-SA"/>
    </w:rPr>
  </w:style>
  <w:style w:type="character" w:customStyle="1" w:styleId="304">
    <w:name w:val="*正文 Char"/>
    <w:link w:val="305"/>
    <w:qFormat/>
    <w:locked/>
    <w:uiPriority w:val="0"/>
    <w:rPr>
      <w:rFonts w:ascii="宋体" w:hAnsi="宋体"/>
      <w:sz w:val="24"/>
    </w:rPr>
  </w:style>
  <w:style w:type="paragraph" w:customStyle="1" w:styleId="305">
    <w:name w:val="*正文"/>
    <w:basedOn w:val="1"/>
    <w:link w:val="304"/>
    <w:qFormat/>
    <w:uiPriority w:val="0"/>
    <w:pPr>
      <w:snapToGrid w:val="0"/>
      <w:spacing w:line="360" w:lineRule="auto"/>
      <w:ind w:firstLine="482"/>
      <w:jc w:val="left"/>
    </w:pPr>
    <w:rPr>
      <w:rFonts w:ascii="宋体" w:hAnsi="宋体"/>
      <w:kern w:val="0"/>
      <w:sz w:val="24"/>
      <w:szCs w:val="20"/>
    </w:rPr>
  </w:style>
  <w:style w:type="character" w:customStyle="1" w:styleId="306">
    <w:name w:val="Char Char28"/>
    <w:qFormat/>
    <w:uiPriority w:val="6"/>
    <w:rPr>
      <w:rFonts w:ascii="仿宋_GB2312" w:hAnsi="仿宋_GB2312" w:eastAsia="仿宋_GB2312"/>
      <w:kern w:val="1"/>
      <w:sz w:val="28"/>
    </w:rPr>
  </w:style>
  <w:style w:type="character" w:customStyle="1" w:styleId="307">
    <w:name w:val="Heading 1 Char"/>
    <w:qFormat/>
    <w:uiPriority w:val="6"/>
    <w:rPr>
      <w:rFonts w:ascii="Times New Roman" w:hAnsi="Times New Roman" w:eastAsia="黑体" w:cs="Times New Roman"/>
      <w:b/>
      <w:kern w:val="0"/>
      <w:sz w:val="24"/>
      <w:szCs w:val="24"/>
    </w:rPr>
  </w:style>
  <w:style w:type="character" w:customStyle="1" w:styleId="308">
    <w:name w:val="HTML 地址 Char1"/>
    <w:qFormat/>
    <w:uiPriority w:val="0"/>
    <w:rPr>
      <w:rFonts w:ascii="Times New Roman" w:hAnsi="Times New Roman" w:eastAsia="宋体" w:cs="Times New Roman"/>
      <w:i/>
      <w:iCs/>
      <w:szCs w:val="24"/>
    </w:rPr>
  </w:style>
  <w:style w:type="character" w:customStyle="1" w:styleId="309">
    <w:name w:val="Char Char51"/>
    <w:qFormat/>
    <w:uiPriority w:val="0"/>
    <w:rPr>
      <w:rFonts w:ascii="宋体" w:hAnsi="Courier New" w:eastAsia="宋体"/>
      <w:kern w:val="2"/>
      <w:sz w:val="21"/>
      <w:lang w:val="en-US" w:eastAsia="zh-CN"/>
    </w:rPr>
  </w:style>
  <w:style w:type="character" w:customStyle="1" w:styleId="310">
    <w:name w:val="表正文 Char"/>
    <w:qFormat/>
    <w:uiPriority w:val="0"/>
    <w:rPr>
      <w:rFonts w:ascii="宋体" w:eastAsia="宋体"/>
      <w:snapToGrid w:val="0"/>
      <w:color w:val="000000"/>
      <w:kern w:val="28"/>
      <w:sz w:val="28"/>
      <w:lang w:val="en-US" w:eastAsia="zh-CN" w:bidi="ar-SA"/>
    </w:rPr>
  </w:style>
  <w:style w:type="character" w:customStyle="1" w:styleId="311">
    <w:name w:val="Char Char34"/>
    <w:qFormat/>
    <w:uiPriority w:val="6"/>
    <w:rPr>
      <w:b/>
      <w:kern w:val="1"/>
      <w:sz w:val="28"/>
      <w:szCs w:val="28"/>
    </w:rPr>
  </w:style>
  <w:style w:type="character" w:customStyle="1" w:styleId="31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13">
    <w:name w:val="未处理的提及1"/>
    <w:qFormat/>
    <w:uiPriority w:val="0"/>
    <w:rPr>
      <w:color w:val="808080"/>
      <w:shd w:val="clear" w:color="auto" w:fill="E6E6E6"/>
    </w:rPr>
  </w:style>
  <w:style w:type="character" w:customStyle="1" w:styleId="314">
    <w:name w:val="PI Char1"/>
    <w:qFormat/>
    <w:uiPriority w:val="0"/>
    <w:rPr>
      <w:rFonts w:ascii="宋体" w:hAnsi="宋体"/>
      <w:kern w:val="2"/>
      <w:sz w:val="24"/>
      <w:szCs w:val="24"/>
    </w:rPr>
  </w:style>
  <w:style w:type="character" w:customStyle="1" w:styleId="315">
    <w:name w:val="Char Char101"/>
    <w:qFormat/>
    <w:uiPriority w:val="6"/>
    <w:rPr>
      <w:rFonts w:ascii="宋体" w:hAnsi="宋体"/>
      <w:kern w:val="2"/>
      <w:sz w:val="21"/>
      <w:szCs w:val="24"/>
      <w:lang w:val="en-US" w:eastAsia="zh-CN"/>
    </w:rPr>
  </w:style>
  <w:style w:type="character" w:customStyle="1" w:styleId="316">
    <w:name w:val="5正文 Char"/>
    <w:link w:val="317"/>
    <w:qFormat/>
    <w:uiPriority w:val="0"/>
    <w:rPr>
      <w:rFonts w:ascii="仿宋_GB2312" w:hAnsi="微软雅黑" w:eastAsia="仿宋_GB2312"/>
      <w:sz w:val="28"/>
      <w:szCs w:val="21"/>
    </w:rPr>
  </w:style>
  <w:style w:type="paragraph" w:customStyle="1" w:styleId="317">
    <w:name w:val="5正文"/>
    <w:basedOn w:val="1"/>
    <w:link w:val="3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18">
    <w:name w:val="标题 3 字符"/>
    <w:qFormat/>
    <w:uiPriority w:val="9"/>
    <w:rPr>
      <w:b/>
      <w:bCs/>
      <w:kern w:val="2"/>
      <w:sz w:val="32"/>
      <w:szCs w:val="32"/>
    </w:rPr>
  </w:style>
  <w:style w:type="character" w:customStyle="1" w:styleId="319">
    <w:name w:val="样式6 Char"/>
    <w:qFormat/>
    <w:uiPriority w:val="0"/>
    <w:rPr>
      <w:rFonts w:ascii="仿宋_GB2312" w:hAnsi="宋体" w:eastAsia="仿宋_GB2312"/>
      <w:b/>
      <w:bCs/>
      <w:kern w:val="2"/>
      <w:sz w:val="24"/>
      <w:szCs w:val="24"/>
      <w:lang w:val="en-US" w:eastAsia="zh-CN" w:bidi="ar-SA"/>
    </w:rPr>
  </w:style>
  <w:style w:type="character" w:customStyle="1" w:styleId="320">
    <w:name w:val="Char Char14"/>
    <w:qFormat/>
    <w:uiPriority w:val="6"/>
    <w:rPr>
      <w:rFonts w:ascii="黑体" w:hAnsi="黑体" w:eastAsia="黑体"/>
    </w:rPr>
  </w:style>
  <w:style w:type="character" w:customStyle="1" w:styleId="321">
    <w:name w:val="Heading 2 Hidden Char"/>
    <w:qFormat/>
    <w:uiPriority w:val="0"/>
    <w:rPr>
      <w:rFonts w:ascii="仿宋_GB2312" w:eastAsia="仿宋_GB2312"/>
      <w:b/>
      <w:bCs/>
      <w:kern w:val="2"/>
      <w:sz w:val="24"/>
      <w:szCs w:val="24"/>
      <w:lang w:val="zh-CN" w:eastAsia="zh-CN" w:bidi="ar-SA"/>
    </w:rPr>
  </w:style>
  <w:style w:type="character" w:customStyle="1" w:styleId="322">
    <w:name w:val="font11"/>
    <w:qFormat/>
    <w:uiPriority w:val="0"/>
    <w:rPr>
      <w:rFonts w:hint="default" w:ascii="Times New Roman" w:hAnsi="Times New Roman" w:cs="Times New Roman"/>
      <w:color w:val="000000"/>
      <w:sz w:val="22"/>
      <w:szCs w:val="22"/>
      <w:u w:val="none"/>
    </w:rPr>
  </w:style>
  <w:style w:type="character" w:customStyle="1" w:styleId="323">
    <w:name w:val="blue1"/>
    <w:basedOn w:val="69"/>
    <w:qFormat/>
    <w:uiPriority w:val="0"/>
    <w:rPr>
      <w:rFonts w:ascii="Arial" w:hAnsi="Arial" w:eastAsia="黑体" w:cs="Arial"/>
      <w:snapToGrid w:val="0"/>
      <w:kern w:val="0"/>
      <w:szCs w:val="21"/>
    </w:rPr>
  </w:style>
  <w:style w:type="character" w:customStyle="1" w:styleId="324">
    <w:name w:val="正文2 Char Char"/>
    <w:link w:val="325"/>
    <w:qFormat/>
    <w:uiPriority w:val="0"/>
    <w:rPr>
      <w:rFonts w:eastAsia="宋体"/>
      <w:kern w:val="2"/>
      <w:sz w:val="24"/>
      <w:lang w:val="en-US" w:eastAsia="zh-CN" w:bidi="ar-SA"/>
    </w:rPr>
  </w:style>
  <w:style w:type="paragraph" w:customStyle="1" w:styleId="325">
    <w:name w:val="正文2"/>
    <w:basedOn w:val="1"/>
    <w:link w:val="324"/>
    <w:qFormat/>
    <w:uiPriority w:val="0"/>
    <w:pPr>
      <w:spacing w:before="156" w:line="360" w:lineRule="auto"/>
      <w:ind w:firstLine="510" w:firstLineChars="200"/>
    </w:pPr>
    <w:rPr>
      <w:sz w:val="24"/>
      <w:szCs w:val="20"/>
    </w:rPr>
  </w:style>
  <w:style w:type="character" w:customStyle="1" w:styleId="326">
    <w:name w:val="Char Char24"/>
    <w:qFormat/>
    <w:uiPriority w:val="6"/>
    <w:rPr>
      <w:kern w:val="1"/>
      <w:sz w:val="21"/>
    </w:rPr>
  </w:style>
  <w:style w:type="character" w:customStyle="1" w:styleId="327">
    <w:name w:val="普通文字 Char1 Char"/>
    <w:qFormat/>
    <w:uiPriority w:val="0"/>
    <w:rPr>
      <w:rFonts w:ascii="宋体" w:hAnsi="Courier New" w:eastAsia="宋体"/>
      <w:kern w:val="2"/>
      <w:sz w:val="21"/>
      <w:szCs w:val="24"/>
      <w:lang w:val="en-US" w:eastAsia="zh-CN" w:bidi="ar-SA"/>
    </w:rPr>
  </w:style>
  <w:style w:type="character" w:customStyle="1" w:styleId="328">
    <w:name w:val="正文文本缩进 Char1"/>
    <w:qFormat/>
    <w:uiPriority w:val="0"/>
    <w:rPr>
      <w:rFonts w:ascii="Calibri" w:hAnsi="Calibri"/>
      <w:sz w:val="28"/>
    </w:rPr>
  </w:style>
  <w:style w:type="character" w:customStyle="1" w:styleId="329">
    <w:name w:val="No Spacing Char"/>
    <w:link w:val="330"/>
    <w:qFormat/>
    <w:uiPriority w:val="1"/>
    <w:rPr>
      <w:sz w:val="22"/>
      <w:szCs w:val="22"/>
      <w:lang w:val="en-US" w:eastAsia="zh-CN" w:bidi="ar-SA"/>
    </w:rPr>
  </w:style>
  <w:style w:type="paragraph" w:customStyle="1" w:styleId="330">
    <w:name w:val="无间隔1"/>
    <w:link w:val="329"/>
    <w:qFormat/>
    <w:uiPriority w:val="1"/>
    <w:rPr>
      <w:sz w:val="22"/>
      <w:szCs w:val="22"/>
      <w:lang w:val="en-US" w:eastAsia="zh-CN" w:bidi="ar-SA"/>
    </w:rPr>
  </w:style>
  <w:style w:type="character" w:customStyle="1" w:styleId="331">
    <w:name w:val="font12gray1"/>
    <w:qFormat/>
    <w:uiPriority w:val="0"/>
    <w:rPr>
      <w:rFonts w:ascii="仿宋_GB2312" w:eastAsia="微软雅黑"/>
      <w:b/>
      <w:spacing w:val="300"/>
      <w:kern w:val="2"/>
      <w:sz w:val="18"/>
      <w:szCs w:val="18"/>
      <w:lang w:val="en-US" w:eastAsia="zh-CN" w:bidi="ar-SA"/>
    </w:rPr>
  </w:style>
  <w:style w:type="character" w:customStyle="1" w:styleId="332">
    <w:name w:val="Char Char7"/>
    <w:semiHidden/>
    <w:qFormat/>
    <w:uiPriority w:val="0"/>
    <w:rPr>
      <w:rFonts w:eastAsia="宋体"/>
      <w:kern w:val="2"/>
      <w:sz w:val="21"/>
      <w:szCs w:val="24"/>
      <w:lang w:val="en-US" w:eastAsia="zh-CN" w:bidi="ar-SA"/>
    </w:rPr>
  </w:style>
  <w:style w:type="character" w:customStyle="1" w:styleId="333">
    <w:name w:val="表名 Char"/>
    <w:qFormat/>
    <w:uiPriority w:val="0"/>
    <w:rPr>
      <w:rFonts w:eastAsia="宋体"/>
      <w:b/>
      <w:bCs/>
      <w:kern w:val="2"/>
      <w:sz w:val="24"/>
      <w:szCs w:val="24"/>
      <w:lang w:val="en-US" w:eastAsia="zh-CN" w:bidi="ar-SA"/>
    </w:rPr>
  </w:style>
  <w:style w:type="character" w:customStyle="1" w:styleId="334">
    <w:name w:val="Document Map Char"/>
    <w:qFormat/>
    <w:locked/>
    <w:uiPriority w:val="0"/>
    <w:rPr>
      <w:rFonts w:eastAsia="宋体"/>
      <w:kern w:val="2"/>
      <w:sz w:val="21"/>
      <w:szCs w:val="24"/>
      <w:lang w:val="en-US" w:eastAsia="zh-CN" w:bidi="ar-SA"/>
    </w:rPr>
  </w:style>
  <w:style w:type="character" w:customStyle="1" w:styleId="335">
    <w:name w:val="font41"/>
    <w:qFormat/>
    <w:uiPriority w:val="0"/>
    <w:rPr>
      <w:rFonts w:hint="eastAsia" w:ascii="仿宋_GB2312" w:eastAsia="仿宋_GB2312" w:cs="仿宋_GB2312"/>
      <w:color w:val="000000"/>
      <w:sz w:val="22"/>
      <w:szCs w:val="22"/>
      <w:u w:val="none"/>
    </w:rPr>
  </w:style>
  <w:style w:type="character" w:customStyle="1" w:styleId="336">
    <w:name w:val="纯文本 Char_0"/>
    <w:link w:val="337"/>
    <w:qFormat/>
    <w:uiPriority w:val="0"/>
    <w:rPr>
      <w:rFonts w:ascii="宋体" w:hAnsi="Courier New"/>
      <w:kern w:val="2"/>
      <w:sz w:val="21"/>
      <w:szCs w:val="21"/>
      <w:lang w:val="en-US" w:eastAsia="zh-CN"/>
    </w:rPr>
  </w:style>
  <w:style w:type="paragraph" w:customStyle="1" w:styleId="337">
    <w:name w:val="纯文本_0_0"/>
    <w:basedOn w:val="338"/>
    <w:link w:val="336"/>
    <w:qFormat/>
    <w:uiPriority w:val="0"/>
    <w:rPr>
      <w:rFonts w:ascii="宋体" w:hAnsi="Courier New"/>
      <w:szCs w:val="21"/>
    </w:rPr>
  </w:style>
  <w:style w:type="paragraph" w:customStyle="1" w:styleId="338">
    <w:name w:val="正文_1_0"/>
    <w:qFormat/>
    <w:uiPriority w:val="0"/>
    <w:pPr>
      <w:widowControl w:val="0"/>
      <w:jc w:val="both"/>
    </w:pPr>
    <w:rPr>
      <w:kern w:val="2"/>
      <w:sz w:val="21"/>
      <w:szCs w:val="24"/>
      <w:lang w:val="en-US" w:eastAsia="zh-CN" w:bidi="ar-SA"/>
    </w:rPr>
  </w:style>
  <w:style w:type="character" w:customStyle="1" w:styleId="339">
    <w:name w:val="Balloon Text Char"/>
    <w:qFormat/>
    <w:locked/>
    <w:uiPriority w:val="0"/>
    <w:rPr>
      <w:rFonts w:eastAsia="宋体"/>
      <w:kern w:val="2"/>
      <w:sz w:val="18"/>
      <w:szCs w:val="18"/>
      <w:lang w:val="en-US" w:eastAsia="zh-CN" w:bidi="ar-SA"/>
    </w:rPr>
  </w:style>
  <w:style w:type="character" w:customStyle="1" w:styleId="340">
    <w:name w:val="正文 项目2 Char"/>
    <w:basedOn w:val="341"/>
    <w:qFormat/>
    <w:uiPriority w:val="0"/>
    <w:rPr>
      <w:rFonts w:ascii="仿宋_GB2312" w:hAnsi="仿宋_GB2312" w:eastAsia="仿宋_GB2312"/>
      <w:kern w:val="2"/>
      <w:sz w:val="24"/>
      <w:lang w:bidi="ar-SA"/>
    </w:rPr>
  </w:style>
  <w:style w:type="character" w:customStyle="1" w:styleId="341">
    <w:name w:val="正文 项目 Char"/>
    <w:qFormat/>
    <w:uiPriority w:val="0"/>
    <w:rPr>
      <w:rFonts w:ascii="仿宋_GB2312" w:hAnsi="仿宋_GB2312" w:eastAsia="仿宋_GB2312"/>
      <w:kern w:val="2"/>
      <w:sz w:val="24"/>
      <w:lang w:bidi="ar-SA"/>
    </w:rPr>
  </w:style>
  <w:style w:type="character" w:customStyle="1" w:styleId="342">
    <w:name w:val="h Char Char1"/>
    <w:qFormat/>
    <w:uiPriority w:val="0"/>
    <w:rPr>
      <w:rFonts w:eastAsia="宋体"/>
      <w:kern w:val="2"/>
      <w:sz w:val="18"/>
      <w:szCs w:val="18"/>
      <w:lang w:val="en-US" w:eastAsia="zh-CN" w:bidi="ar-SA"/>
    </w:rPr>
  </w:style>
  <w:style w:type="character" w:customStyle="1" w:styleId="343">
    <w:name w:val="Char Char27"/>
    <w:qFormat/>
    <w:uiPriority w:val="6"/>
    <w:rPr>
      <w:rFonts w:ascii="宋体" w:hAnsi="宋体" w:eastAsia="宋体"/>
      <w:color w:val="000000"/>
      <w:kern w:val="1"/>
      <w:sz w:val="28"/>
      <w:lang w:val="en-US" w:eastAsia="zh-CN" w:bidi="ar-SA"/>
    </w:rPr>
  </w:style>
  <w:style w:type="character" w:customStyle="1" w:styleId="344">
    <w:name w:val="style36"/>
    <w:basedOn w:val="69"/>
    <w:qFormat/>
    <w:uiPriority w:val="0"/>
    <w:rPr>
      <w:rFonts w:ascii="Arial" w:hAnsi="Arial" w:eastAsia="黑体" w:cs="Arial"/>
      <w:snapToGrid w:val="0"/>
      <w:kern w:val="0"/>
      <w:szCs w:val="21"/>
    </w:rPr>
  </w:style>
  <w:style w:type="character" w:customStyle="1" w:styleId="345">
    <w:name w:val="px14"/>
    <w:qFormat/>
    <w:uiPriority w:val="0"/>
    <w:rPr>
      <w:rFonts w:ascii="仿宋_GB2312" w:eastAsia="微软雅黑" w:cs="Times New Roman"/>
      <w:b/>
      <w:kern w:val="2"/>
      <w:sz w:val="32"/>
      <w:szCs w:val="32"/>
      <w:lang w:val="en-US" w:eastAsia="zh-CN" w:bidi="ar-SA"/>
    </w:rPr>
  </w:style>
  <w:style w:type="character" w:customStyle="1" w:styleId="346">
    <w:name w:val="样式 正文缩进 + 首行缩进:  2 字符 Char Char"/>
    <w:link w:val="347"/>
    <w:qFormat/>
    <w:uiPriority w:val="0"/>
    <w:rPr>
      <w:rFonts w:cs="宋体"/>
      <w:kern w:val="2"/>
      <w:sz w:val="24"/>
    </w:rPr>
  </w:style>
  <w:style w:type="paragraph" w:customStyle="1" w:styleId="347">
    <w:name w:val="样式 正文缩进 + 首行缩进:  2 字符"/>
    <w:basedOn w:val="16"/>
    <w:link w:val="346"/>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348">
    <w:name w:val="HTML 预设格式 Char1"/>
    <w:qFormat/>
    <w:uiPriority w:val="0"/>
    <w:rPr>
      <w:rFonts w:ascii="Courier New" w:hAnsi="Courier New" w:eastAsia="宋体" w:cs="Courier New"/>
      <w:sz w:val="20"/>
      <w:szCs w:val="20"/>
    </w:rPr>
  </w:style>
  <w:style w:type="character" w:customStyle="1" w:styleId="349">
    <w:name w:val="未用 Char"/>
    <w:qFormat/>
    <w:uiPriority w:val="0"/>
    <w:rPr>
      <w:rFonts w:ascii="Arial" w:hAnsi="Arial" w:eastAsia="黑体"/>
      <w:kern w:val="2"/>
      <w:sz w:val="21"/>
      <w:szCs w:val="21"/>
      <w:lang w:val="en-US" w:eastAsia="zh-CN" w:bidi="ar-SA"/>
    </w:rPr>
  </w:style>
  <w:style w:type="character" w:customStyle="1" w:styleId="350">
    <w:name w:val="普通文字 Char1"/>
    <w:qFormat/>
    <w:uiPriority w:val="0"/>
    <w:rPr>
      <w:rFonts w:ascii="宋体" w:hAnsi="Courier New" w:eastAsia="宋体"/>
      <w:kern w:val="2"/>
      <w:sz w:val="21"/>
      <w:lang w:val="en-US" w:eastAsia="zh-CN"/>
    </w:rPr>
  </w:style>
  <w:style w:type="character" w:customStyle="1" w:styleId="351">
    <w:name w:val="javascript"/>
    <w:qFormat/>
    <w:uiPriority w:val="0"/>
  </w:style>
  <w:style w:type="character" w:customStyle="1" w:styleId="352">
    <w:name w:val="hei16b1"/>
    <w:qFormat/>
    <w:uiPriority w:val="0"/>
    <w:rPr>
      <w:rFonts w:hint="default" w:ascii="Arial" w:hAnsi="Arial" w:cs="Arial"/>
      <w:b/>
      <w:bCs/>
      <w:color w:val="000000"/>
      <w:sz w:val="24"/>
      <w:szCs w:val="24"/>
    </w:rPr>
  </w:style>
  <w:style w:type="character" w:customStyle="1" w:styleId="353">
    <w:name w:val="Char Char13"/>
    <w:qFormat/>
    <w:uiPriority w:val="6"/>
    <w:rPr>
      <w:rFonts w:ascii="宋体" w:hAnsi="宋体"/>
      <w:kern w:val="1"/>
      <w:sz w:val="21"/>
      <w:szCs w:val="24"/>
    </w:rPr>
  </w:style>
  <w:style w:type="character" w:customStyle="1" w:styleId="354">
    <w:name w:val="正文（绿盟科技） Char"/>
    <w:link w:val="355"/>
    <w:qFormat/>
    <w:uiPriority w:val="0"/>
    <w:rPr>
      <w:rFonts w:ascii="Arial" w:hAnsi="Arial"/>
      <w:sz w:val="21"/>
      <w:szCs w:val="21"/>
      <w:lang w:val="en-US" w:eastAsia="zh-CN" w:bidi="ar-SA"/>
    </w:rPr>
  </w:style>
  <w:style w:type="paragraph" w:customStyle="1" w:styleId="355">
    <w:name w:val="正文（绿盟科技）"/>
    <w:link w:val="354"/>
    <w:qFormat/>
    <w:uiPriority w:val="0"/>
    <w:pPr>
      <w:spacing w:line="300" w:lineRule="auto"/>
    </w:pPr>
    <w:rPr>
      <w:rFonts w:ascii="Arial" w:hAnsi="Arial"/>
      <w:sz w:val="21"/>
      <w:szCs w:val="21"/>
      <w:lang w:val="en-US" w:eastAsia="zh-CN" w:bidi="ar-SA"/>
    </w:rPr>
  </w:style>
  <w:style w:type="character" w:customStyle="1" w:styleId="356">
    <w:name w:val="标书表格字体格式 Char"/>
    <w:qFormat/>
    <w:uiPriority w:val="0"/>
    <w:rPr>
      <w:kern w:val="2"/>
      <w:sz w:val="21"/>
      <w:szCs w:val="24"/>
      <w:lang w:bidi="ar-SA"/>
    </w:rPr>
  </w:style>
  <w:style w:type="character" w:customStyle="1" w:styleId="357">
    <w:name w:val="Char Char19"/>
    <w:qFormat/>
    <w:uiPriority w:val="6"/>
    <w:rPr>
      <w:rFonts w:ascii="宋体" w:hAnsi="宋体"/>
      <w:i/>
      <w:sz w:val="24"/>
      <w:szCs w:val="24"/>
    </w:rPr>
  </w:style>
  <w:style w:type="character" w:customStyle="1" w:styleId="358">
    <w:name w:val="文档结构图 字符1"/>
    <w:qFormat/>
    <w:uiPriority w:val="0"/>
    <w:rPr>
      <w:rFonts w:ascii="宋体" w:hAnsi="Calibri" w:eastAsia="黑体" w:cs="Arial"/>
      <w:snapToGrid w:val="0"/>
      <w:kern w:val="2"/>
      <w:sz w:val="18"/>
      <w:szCs w:val="18"/>
    </w:rPr>
  </w:style>
  <w:style w:type="character" w:customStyle="1" w:styleId="359">
    <w:name w:val="页脚 Char"/>
    <w:qFormat/>
    <w:uiPriority w:val="0"/>
    <w:rPr>
      <w:rFonts w:eastAsia="仿宋_GB2312"/>
      <w:kern w:val="2"/>
      <w:sz w:val="18"/>
      <w:lang w:val="en-US" w:eastAsia="zh-CN"/>
    </w:rPr>
  </w:style>
  <w:style w:type="character" w:customStyle="1" w:styleId="360">
    <w:name w:val="正文首行缩进两字 Char"/>
    <w:qFormat/>
    <w:uiPriority w:val="0"/>
    <w:rPr>
      <w:sz w:val="24"/>
      <w:szCs w:val="24"/>
      <w:lang w:val="en-US" w:eastAsia="zh-CN" w:bidi="ar-SA"/>
    </w:rPr>
  </w:style>
  <w:style w:type="character" w:customStyle="1" w:styleId="361">
    <w:name w:val="批注主题 Char"/>
    <w:qFormat/>
    <w:uiPriority w:val="0"/>
    <w:rPr>
      <w:rFonts w:eastAsia="宋体"/>
      <w:b/>
      <w:bCs/>
      <w:kern w:val="2"/>
      <w:sz w:val="21"/>
      <w:szCs w:val="24"/>
      <w:lang w:val="en-US" w:eastAsia="zh-CN" w:bidi="ar-SA"/>
    </w:rPr>
  </w:style>
  <w:style w:type="character" w:customStyle="1" w:styleId="362">
    <w:name w:val="h Char Char"/>
    <w:qFormat/>
    <w:uiPriority w:val="0"/>
    <w:rPr>
      <w:rFonts w:eastAsia="宋体"/>
      <w:kern w:val="2"/>
      <w:sz w:val="18"/>
      <w:lang w:val="en-US" w:eastAsia="zh-CN" w:bidi="ar-SA"/>
    </w:rPr>
  </w:style>
  <w:style w:type="character" w:customStyle="1" w:styleId="363">
    <w:name w:val="Comment Text Char"/>
    <w:qFormat/>
    <w:locked/>
    <w:uiPriority w:val="0"/>
    <w:rPr>
      <w:rFonts w:ascii="宋体" w:hAnsi="宋体" w:eastAsia="宋体"/>
      <w:kern w:val="2"/>
      <w:sz w:val="24"/>
      <w:lang w:val="en-US" w:eastAsia="zh-CN" w:bidi="ar-SA"/>
    </w:rPr>
  </w:style>
  <w:style w:type="character" w:customStyle="1" w:styleId="364">
    <w:name w:val="标题 2 字符"/>
    <w:qFormat/>
    <w:uiPriority w:val="1"/>
    <w:rPr>
      <w:rFonts w:ascii="仿宋_GB2312" w:hAnsi="Times New Roman" w:eastAsia="仿宋_GB2312" w:cs="Times New Roman"/>
      <w:b/>
      <w:kern w:val="2"/>
      <w:sz w:val="24"/>
      <w:lang w:val="zh-CN"/>
    </w:rPr>
  </w:style>
  <w:style w:type="character" w:customStyle="1" w:styleId="365">
    <w:name w:val="myp1111"/>
    <w:qFormat/>
    <w:uiPriority w:val="0"/>
    <w:rPr>
      <w:rFonts w:hint="default" w:ascii="ˎ̥" w:hAnsi="ˎ̥"/>
      <w:color w:val="000000"/>
      <w:sz w:val="20"/>
      <w:szCs w:val="20"/>
      <w:u w:val="none"/>
    </w:rPr>
  </w:style>
  <w:style w:type="character" w:customStyle="1" w:styleId="366">
    <w:name w:val="Char Char72"/>
    <w:qFormat/>
    <w:uiPriority w:val="0"/>
    <w:rPr>
      <w:rFonts w:eastAsia="宋体"/>
      <w:kern w:val="2"/>
      <w:sz w:val="21"/>
      <w:szCs w:val="24"/>
      <w:lang w:val="en-US" w:eastAsia="zh-CN" w:bidi="ar-SA"/>
    </w:rPr>
  </w:style>
  <w:style w:type="character" w:customStyle="1" w:styleId="367">
    <w:name w:val="tw4winJump"/>
    <w:qFormat/>
    <w:uiPriority w:val="0"/>
    <w:rPr>
      <w:rFonts w:ascii="Courier New" w:hAnsi="Courier New" w:cs="Courier New"/>
      <w:color w:val="008080"/>
      <w:lang w:val="en-US" w:eastAsia="zh-CN"/>
    </w:rPr>
  </w:style>
  <w:style w:type="character" w:customStyle="1" w:styleId="368">
    <w:name w:val="正文文本缩进 Char2"/>
    <w:qFormat/>
    <w:uiPriority w:val="0"/>
    <w:rPr>
      <w:rFonts w:ascii="Times New Roman" w:hAnsi="Times New Roman" w:eastAsia="宋体" w:cs="Times New Roman"/>
      <w:snapToGrid w:val="0"/>
      <w:kern w:val="0"/>
      <w:szCs w:val="24"/>
    </w:rPr>
  </w:style>
  <w:style w:type="character" w:customStyle="1" w:styleId="369">
    <w:name w:val="pt9"/>
    <w:qFormat/>
    <w:uiPriority w:val="0"/>
    <w:rPr>
      <w:rFonts w:ascii="仿宋_GB2312" w:eastAsia="微软雅黑"/>
      <w:b/>
      <w:kern w:val="2"/>
      <w:sz w:val="32"/>
      <w:szCs w:val="32"/>
      <w:lang w:val="en-US" w:eastAsia="zh-CN" w:bidi="ar-SA"/>
    </w:rPr>
  </w:style>
  <w:style w:type="character" w:customStyle="1" w:styleId="370">
    <w:name w:val="hui3"/>
    <w:qFormat/>
    <w:uiPriority w:val="0"/>
    <w:rPr>
      <w:color w:val="333333"/>
    </w:rPr>
  </w:style>
  <w:style w:type="character" w:customStyle="1" w:styleId="371">
    <w:name w:val="表格名称[858D7CFB-ED40-4347-BF05-701D383B685F]"/>
    <w:link w:val="372"/>
    <w:qFormat/>
    <w:uiPriority w:val="0"/>
    <w:rPr>
      <w:sz w:val="32"/>
    </w:rPr>
  </w:style>
  <w:style w:type="paragraph" w:customStyle="1" w:styleId="372">
    <w:name w:val="表格名称"/>
    <w:basedOn w:val="4"/>
    <w:link w:val="371"/>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373">
    <w:name w:val="标题 4 字符"/>
    <w:qFormat/>
    <w:uiPriority w:val="9"/>
    <w:rPr>
      <w:rFonts w:ascii="等线 Light" w:hAnsi="等线 Light" w:eastAsia="等线 Light" w:cs="Times New Roman"/>
      <w:b/>
      <w:bCs/>
      <w:snapToGrid w:val="0"/>
      <w:kern w:val="0"/>
      <w:sz w:val="28"/>
      <w:szCs w:val="28"/>
    </w:rPr>
  </w:style>
  <w:style w:type="character" w:customStyle="1" w:styleId="374">
    <w:name w:val="Char Char4"/>
    <w:qFormat/>
    <w:uiPriority w:val="0"/>
    <w:rPr>
      <w:rFonts w:eastAsia="宋体"/>
      <w:b/>
      <w:sz w:val="24"/>
      <w:lang w:eastAsia="zh-CN" w:bidi="ar-SA"/>
    </w:rPr>
  </w:style>
  <w:style w:type="character" w:customStyle="1" w:styleId="375">
    <w:name w:val="仿宋正文 Char"/>
    <w:link w:val="376"/>
    <w:qFormat/>
    <w:uiPriority w:val="0"/>
    <w:rPr>
      <w:rFonts w:ascii="仿宋_GB2312" w:eastAsia="仿宋_GB2312"/>
      <w:kern w:val="2"/>
      <w:sz w:val="24"/>
      <w:lang w:val="en-US" w:eastAsia="zh-CN" w:bidi="ar-SA"/>
    </w:rPr>
  </w:style>
  <w:style w:type="paragraph" w:customStyle="1" w:styleId="376">
    <w:name w:val="仿宋正文"/>
    <w:basedOn w:val="1"/>
    <w:link w:val="375"/>
    <w:qFormat/>
    <w:uiPriority w:val="0"/>
    <w:pPr>
      <w:adjustRightInd/>
      <w:spacing w:line="360" w:lineRule="auto"/>
      <w:ind w:firstLine="480" w:firstLineChars="200"/>
    </w:pPr>
    <w:rPr>
      <w:rFonts w:ascii="仿宋_GB2312" w:eastAsia="仿宋_GB2312"/>
      <w:sz w:val="24"/>
      <w:szCs w:val="20"/>
    </w:rPr>
  </w:style>
  <w:style w:type="character" w:customStyle="1" w:styleId="377">
    <w:name w:val="c7 style3"/>
    <w:qFormat/>
    <w:uiPriority w:val="0"/>
  </w:style>
  <w:style w:type="character" w:customStyle="1" w:styleId="378">
    <w:name w:val="zbggmain style9"/>
    <w:qFormat/>
    <w:uiPriority w:val="0"/>
  </w:style>
  <w:style w:type="character" w:customStyle="1" w:styleId="379">
    <w:name w:val="正文文本 3 Char1"/>
    <w:semiHidden/>
    <w:qFormat/>
    <w:uiPriority w:val="99"/>
    <w:rPr>
      <w:rFonts w:ascii="Times New Roman" w:hAnsi="Times New Roman" w:eastAsia="宋体" w:cs="Times New Roman"/>
      <w:sz w:val="16"/>
      <w:szCs w:val="16"/>
    </w:rPr>
  </w:style>
  <w:style w:type="character" w:customStyle="1" w:styleId="380">
    <w:name w:val="公文正文 Char Char"/>
    <w:link w:val="381"/>
    <w:qFormat/>
    <w:uiPriority w:val="0"/>
    <w:rPr>
      <w:rFonts w:ascii="仿宋_GB2312" w:eastAsia="仿宋_GB2312"/>
      <w:kern w:val="2"/>
      <w:sz w:val="24"/>
      <w:szCs w:val="24"/>
    </w:rPr>
  </w:style>
  <w:style w:type="paragraph" w:customStyle="1" w:styleId="381">
    <w:name w:val="公文正文"/>
    <w:basedOn w:val="1"/>
    <w:link w:val="380"/>
    <w:qFormat/>
    <w:uiPriority w:val="0"/>
    <w:pPr>
      <w:adjustRightInd/>
      <w:spacing w:before="156" w:line="360" w:lineRule="auto"/>
      <w:ind w:firstLine="360" w:firstLineChars="200"/>
    </w:pPr>
    <w:rPr>
      <w:rFonts w:ascii="仿宋_GB2312" w:eastAsia="仿宋_GB2312"/>
      <w:sz w:val="24"/>
    </w:rPr>
  </w:style>
  <w:style w:type="character" w:customStyle="1" w:styleId="382">
    <w:name w:val="tw4winInternal"/>
    <w:qFormat/>
    <w:uiPriority w:val="0"/>
    <w:rPr>
      <w:rFonts w:ascii="Courier New" w:hAnsi="Courier New" w:cs="Courier New"/>
      <w:color w:val="FF0000"/>
      <w:lang w:val="en-US" w:eastAsia="zh-CN"/>
    </w:rPr>
  </w:style>
  <w:style w:type="character" w:customStyle="1" w:styleId="383">
    <w:name w:val="正文2 Char"/>
    <w:qFormat/>
    <w:uiPriority w:val="0"/>
    <w:rPr>
      <w:rFonts w:eastAsia="宋体"/>
      <w:kern w:val="2"/>
      <w:sz w:val="24"/>
      <w:lang w:val="en-US" w:eastAsia="zh-CN" w:bidi="ar-SA"/>
    </w:rPr>
  </w:style>
  <w:style w:type="character" w:customStyle="1" w:styleId="384">
    <w:name w:val="Char Char10"/>
    <w:semiHidden/>
    <w:qFormat/>
    <w:uiPriority w:val="0"/>
    <w:rPr>
      <w:rFonts w:ascii="宋体" w:hAnsi="宋体"/>
      <w:kern w:val="2"/>
      <w:sz w:val="21"/>
      <w:szCs w:val="24"/>
      <w:lang w:val="en-US" w:eastAsia="zh-CN"/>
    </w:rPr>
  </w:style>
  <w:style w:type="character" w:customStyle="1" w:styleId="385">
    <w:name w:val="Body Text(ch) Char Char"/>
    <w:qFormat/>
    <w:uiPriority w:val="0"/>
    <w:rPr>
      <w:rFonts w:ascii="宋体"/>
      <w:kern w:val="2"/>
      <w:sz w:val="24"/>
      <w:szCs w:val="21"/>
      <w:lang w:val="zh-CN"/>
    </w:rPr>
  </w:style>
  <w:style w:type="character" w:customStyle="1" w:styleId="386">
    <w:name w:val="shadow11"/>
    <w:qFormat/>
    <w:uiPriority w:val="0"/>
    <w:rPr>
      <w:color w:val="000000"/>
      <w:sz w:val="21"/>
    </w:rPr>
  </w:style>
  <w:style w:type="character" w:customStyle="1" w:styleId="387">
    <w:name w:val="param-name"/>
    <w:qFormat/>
    <w:uiPriority w:val="99"/>
    <w:rPr>
      <w:rFonts w:ascii="Arial" w:hAnsi="Arial" w:eastAsia="黑体" w:cs="Arial"/>
      <w:snapToGrid w:val="0"/>
      <w:kern w:val="0"/>
      <w:szCs w:val="21"/>
    </w:rPr>
  </w:style>
  <w:style w:type="character" w:customStyle="1" w:styleId="388">
    <w:name w:val="正文非缩进 Char3"/>
    <w:qFormat/>
    <w:uiPriority w:val="0"/>
    <w:rPr>
      <w:rFonts w:ascii="宋体" w:eastAsia="宋体"/>
      <w:snapToGrid w:val="0"/>
      <w:color w:val="000000"/>
      <w:kern w:val="28"/>
      <w:sz w:val="28"/>
      <w:lang w:val="en-US" w:eastAsia="zh-CN" w:bidi="ar-SA"/>
    </w:rPr>
  </w:style>
  <w:style w:type="character" w:customStyle="1" w:styleId="389">
    <w:name w:val="Char Char82"/>
    <w:qFormat/>
    <w:uiPriority w:val="0"/>
    <w:rPr>
      <w:rFonts w:eastAsia="宋体"/>
      <w:b/>
      <w:sz w:val="24"/>
      <w:lang w:eastAsia="zh-CN"/>
    </w:rPr>
  </w:style>
  <w:style w:type="character" w:customStyle="1" w:styleId="390">
    <w:name w:val="Char Char"/>
    <w:qFormat/>
    <w:uiPriority w:val="0"/>
    <w:rPr>
      <w:rFonts w:ascii="宋体" w:hAnsi="Courier New" w:eastAsia="宋体"/>
      <w:kern w:val="2"/>
      <w:sz w:val="21"/>
      <w:lang w:val="en-US" w:eastAsia="zh-CN" w:bidi="ar-SA"/>
    </w:rPr>
  </w:style>
  <w:style w:type="character" w:customStyle="1" w:styleId="391">
    <w:name w:val="样式 宋体"/>
    <w:qFormat/>
    <w:uiPriority w:val="0"/>
    <w:rPr>
      <w:rFonts w:ascii="宋体" w:hAnsi="宋体"/>
      <w:sz w:val="24"/>
    </w:rPr>
  </w:style>
  <w:style w:type="character" w:customStyle="1" w:styleId="392">
    <w:name w:val="签名 Char1"/>
    <w:qFormat/>
    <w:uiPriority w:val="0"/>
    <w:rPr>
      <w:rFonts w:ascii="Times New Roman" w:hAnsi="Times New Roman" w:eastAsia="宋体" w:cs="Times New Roman"/>
      <w:szCs w:val="24"/>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Char Char18"/>
    <w:qFormat/>
    <w:uiPriority w:val="6"/>
    <w:rPr>
      <w:rFonts w:ascii="宋体" w:hAnsi="宋体"/>
      <w:sz w:val="28"/>
    </w:rPr>
  </w:style>
  <w:style w:type="character" w:customStyle="1" w:styleId="395">
    <w:name w:val="Table Text Char1"/>
    <w:qFormat/>
    <w:uiPriority w:val="0"/>
    <w:rPr>
      <w:rFonts w:eastAsia="宋体"/>
      <w:sz w:val="24"/>
      <w:szCs w:val="24"/>
      <w:lang w:val="en-US" w:eastAsia="zh-CN" w:bidi="ar-SA"/>
    </w:rPr>
  </w:style>
  <w:style w:type="character" w:customStyle="1" w:styleId="396">
    <w:name w:val="批注文字 Char"/>
    <w:qFormat/>
    <w:uiPriority w:val="99"/>
    <w:rPr>
      <w:kern w:val="2"/>
      <w:sz w:val="21"/>
      <w:szCs w:val="24"/>
    </w:rPr>
  </w:style>
  <w:style w:type="character" w:customStyle="1" w:styleId="397">
    <w:name w:val="标准正文格式 Char"/>
    <w:qFormat/>
    <w:uiPriority w:val="0"/>
    <w:rPr>
      <w:rFonts w:ascii="宋体" w:eastAsia="仿宋_GB2312" w:cs="宋体"/>
      <w:color w:val="000000"/>
      <w:sz w:val="24"/>
      <w:lang w:val="en-US" w:eastAsia="zh-CN" w:bidi="ar-SA"/>
    </w:rPr>
  </w:style>
  <w:style w:type="character" w:customStyle="1" w:styleId="398">
    <w:name w:val="Char Char22"/>
    <w:qFormat/>
    <w:uiPriority w:val="6"/>
    <w:rPr>
      <w:rFonts w:ascii="宋体" w:hAnsi="宋体"/>
      <w:kern w:val="1"/>
      <w:sz w:val="24"/>
      <w:szCs w:val="24"/>
    </w:rPr>
  </w:style>
  <w:style w:type="character" w:customStyle="1" w:styleId="399">
    <w:name w:val="正文文字缩进 2 Char Char"/>
    <w:qFormat/>
    <w:uiPriority w:val="0"/>
    <w:rPr>
      <w:rFonts w:ascii="宋体"/>
      <w:sz w:val="28"/>
    </w:rPr>
  </w:style>
  <w:style w:type="character" w:customStyle="1" w:styleId="400">
    <w:name w:val="pt141"/>
    <w:qFormat/>
    <w:uiPriority w:val="0"/>
    <w:rPr>
      <w:color w:val="330066"/>
      <w:sz w:val="22"/>
      <w:szCs w:val="22"/>
    </w:rPr>
  </w:style>
  <w:style w:type="character" w:customStyle="1" w:styleId="401">
    <w:name w:val="正文文本缩进 2 Char1"/>
    <w:semiHidden/>
    <w:qFormat/>
    <w:uiPriority w:val="99"/>
    <w:rPr>
      <w:rFonts w:ascii="Times New Roman" w:hAnsi="Times New Roman" w:eastAsia="宋体" w:cs="Times New Roman"/>
      <w:szCs w:val="24"/>
    </w:rPr>
  </w:style>
  <w:style w:type="character" w:customStyle="1" w:styleId="402">
    <w:name w:val="Char Char611"/>
    <w:qFormat/>
    <w:uiPriority w:val="0"/>
    <w:rPr>
      <w:rFonts w:eastAsia="宋体"/>
      <w:kern w:val="2"/>
      <w:sz w:val="21"/>
      <w:szCs w:val="24"/>
      <w:lang w:val="en-US" w:eastAsia="zh-CN" w:bidi="ar-SA"/>
    </w:rPr>
  </w:style>
  <w:style w:type="character" w:customStyle="1" w:styleId="403">
    <w:name w:val="zbggtop11 style5"/>
    <w:qFormat/>
    <w:uiPriority w:val="0"/>
    <w:rPr>
      <w:rFonts w:ascii="Arial" w:hAnsi="Arial" w:eastAsia="黑体" w:cs="Arial"/>
      <w:snapToGrid w:val="0"/>
      <w:kern w:val="0"/>
      <w:szCs w:val="21"/>
    </w:rPr>
  </w:style>
  <w:style w:type="character" w:customStyle="1" w:styleId="404">
    <w:name w:val="highlight1"/>
    <w:qFormat/>
    <w:uiPriority w:val="0"/>
    <w:rPr>
      <w:rFonts w:ascii="仿宋_GB2312" w:eastAsia="微软雅黑"/>
      <w:b/>
      <w:kern w:val="2"/>
      <w:sz w:val="23"/>
      <w:szCs w:val="23"/>
      <w:lang w:val="en-US" w:eastAsia="zh-CN" w:bidi="ar-SA"/>
    </w:rPr>
  </w:style>
  <w:style w:type="character" w:customStyle="1" w:styleId="405">
    <w:name w:val="my正文 Char"/>
    <w:link w:val="406"/>
    <w:qFormat/>
    <w:locked/>
    <w:uiPriority w:val="0"/>
    <w:rPr>
      <w:rFonts w:ascii="Tahoma" w:hAnsi="Tahoma"/>
      <w:sz w:val="24"/>
      <w:szCs w:val="24"/>
    </w:rPr>
  </w:style>
  <w:style w:type="paragraph" w:customStyle="1" w:styleId="406">
    <w:name w:val="my正文"/>
    <w:basedOn w:val="1"/>
    <w:link w:val="405"/>
    <w:qFormat/>
    <w:uiPriority w:val="0"/>
    <w:pPr>
      <w:adjustRightInd/>
      <w:spacing w:line="360" w:lineRule="auto"/>
      <w:ind w:firstLine="480" w:firstLineChars="200"/>
    </w:pPr>
    <w:rPr>
      <w:rFonts w:ascii="Tahoma" w:hAnsi="Tahoma"/>
      <w:kern w:val="0"/>
      <w:sz w:val="24"/>
    </w:rPr>
  </w:style>
  <w:style w:type="character" w:customStyle="1" w:styleId="407">
    <w:name w:val="Char Char9"/>
    <w:qFormat/>
    <w:uiPriority w:val="0"/>
    <w:rPr>
      <w:rFonts w:eastAsia="宋体"/>
      <w:kern w:val="2"/>
      <w:sz w:val="18"/>
      <w:szCs w:val="18"/>
      <w:lang w:val="en-US" w:eastAsia="zh-CN" w:bidi="ar-SA"/>
    </w:rPr>
  </w:style>
  <w:style w:type="character" w:customStyle="1" w:styleId="408">
    <w:name w:val="Used by Word for text of Help footnotes Char Char1"/>
    <w:qFormat/>
    <w:uiPriority w:val="0"/>
    <w:rPr>
      <w:color w:val="0000FF"/>
      <w:sz w:val="21"/>
    </w:rPr>
  </w:style>
  <w:style w:type="character" w:customStyle="1" w:styleId="409">
    <w:name w:val="页眉 Char"/>
    <w:qFormat/>
    <w:uiPriority w:val="0"/>
    <w:rPr>
      <w:rFonts w:eastAsia="仿宋_GB2312"/>
      <w:kern w:val="2"/>
      <w:sz w:val="18"/>
      <w:lang w:val="en-US" w:eastAsia="zh-CN"/>
    </w:rPr>
  </w:style>
  <w:style w:type="character" w:customStyle="1" w:styleId="410">
    <w:name w:val="Char Char23"/>
    <w:qFormat/>
    <w:uiPriority w:val="6"/>
    <w:rPr>
      <w:color w:val="0000FF"/>
      <w:sz w:val="21"/>
    </w:rPr>
  </w:style>
  <w:style w:type="character" w:customStyle="1" w:styleId="411">
    <w:name w:val="批注框文本 字符"/>
    <w:qFormat/>
    <w:uiPriority w:val="0"/>
    <w:rPr>
      <w:rFonts w:ascii="Arial" w:hAnsi="Arial" w:eastAsia="黑体" w:cs="Arial"/>
      <w:snapToGrid w:val="0"/>
      <w:kern w:val="0"/>
      <w:sz w:val="18"/>
      <w:szCs w:val="18"/>
    </w:rPr>
  </w:style>
  <w:style w:type="character" w:customStyle="1" w:styleId="412">
    <w:name w:val="纯文本 Char2"/>
    <w:semiHidden/>
    <w:qFormat/>
    <w:uiPriority w:val="99"/>
    <w:rPr>
      <w:rFonts w:ascii="宋体" w:hAnsi="Courier New" w:eastAsia="宋体" w:cs="Courier New"/>
    </w:rPr>
  </w:style>
  <w:style w:type="character" w:customStyle="1" w:styleId="413">
    <w:name w:val="Char Char25"/>
    <w:qFormat/>
    <w:uiPriority w:val="6"/>
    <w:rPr>
      <w:rFonts w:ascii="宋体" w:hAnsi="宋体"/>
      <w:kern w:val="1"/>
      <w:sz w:val="24"/>
      <w:lang w:val="zh-CN"/>
    </w:rPr>
  </w:style>
  <w:style w:type="character" w:customStyle="1" w:styleId="414">
    <w:name w:val="Char Char411"/>
    <w:qFormat/>
    <w:uiPriority w:val="0"/>
    <w:rPr>
      <w:rFonts w:eastAsia="宋体"/>
      <w:b/>
      <w:sz w:val="24"/>
      <w:lang w:eastAsia="zh-CN" w:bidi="ar-SA"/>
    </w:rPr>
  </w:style>
  <w:style w:type="character" w:customStyle="1" w:styleId="415">
    <w:name w:val="Heading 7 Char"/>
    <w:qFormat/>
    <w:locked/>
    <w:uiPriority w:val="0"/>
    <w:rPr>
      <w:rFonts w:ascii="宋体" w:hAnsi="宋体" w:eastAsia="宋体"/>
      <w:b/>
      <w:bCs/>
      <w:kern w:val="2"/>
      <w:sz w:val="24"/>
      <w:szCs w:val="24"/>
      <w:lang w:val="en-US" w:eastAsia="zh-CN" w:bidi="ar-SA"/>
    </w:rPr>
  </w:style>
  <w:style w:type="character" w:customStyle="1" w:styleId="416">
    <w:name w:val="此正文 Char"/>
    <w:link w:val="417"/>
    <w:qFormat/>
    <w:uiPriority w:val="0"/>
    <w:rPr>
      <w:kern w:val="2"/>
      <w:sz w:val="24"/>
      <w:szCs w:val="24"/>
    </w:rPr>
  </w:style>
  <w:style w:type="paragraph" w:customStyle="1" w:styleId="417">
    <w:name w:val="此正文"/>
    <w:basedOn w:val="1"/>
    <w:link w:val="416"/>
    <w:qFormat/>
    <w:uiPriority w:val="0"/>
    <w:pPr>
      <w:adjustRightInd/>
      <w:spacing w:line="360" w:lineRule="auto"/>
      <w:ind w:firstLine="200" w:firstLineChars="200"/>
    </w:pPr>
    <w:rPr>
      <w:sz w:val="24"/>
    </w:rPr>
  </w:style>
  <w:style w:type="character" w:customStyle="1" w:styleId="418">
    <w:name w:val="Char Char2"/>
    <w:qFormat/>
    <w:uiPriority w:val="0"/>
    <w:rPr>
      <w:rFonts w:eastAsia="宋体"/>
      <w:b/>
      <w:bCs/>
      <w:kern w:val="2"/>
      <w:sz w:val="21"/>
      <w:szCs w:val="24"/>
      <w:lang w:val="en-US" w:eastAsia="zh-CN" w:bidi="ar-SA"/>
    </w:rPr>
  </w:style>
  <w:style w:type="character" w:customStyle="1" w:styleId="419">
    <w:name w:val="Footer-Even Char1"/>
    <w:qFormat/>
    <w:uiPriority w:val="0"/>
    <w:rPr>
      <w:rFonts w:eastAsia="宋体"/>
      <w:kern w:val="2"/>
      <w:sz w:val="18"/>
      <w:szCs w:val="18"/>
      <w:lang w:val="en-US" w:eastAsia="zh-CN" w:bidi="ar-SA"/>
    </w:rPr>
  </w:style>
  <w:style w:type="character" w:customStyle="1" w:styleId="420">
    <w:name w:val="Char Char29"/>
    <w:qFormat/>
    <w:uiPriority w:val="6"/>
    <w:rPr>
      <w:rFonts w:ascii="Arial" w:hAnsi="Arial" w:eastAsia="微软雅黑"/>
      <w:b/>
      <w:kern w:val="1"/>
      <w:sz w:val="44"/>
      <w:szCs w:val="32"/>
      <w:lang w:val="en-US" w:eastAsia="zh-CN" w:bidi="ar-SA"/>
    </w:rPr>
  </w:style>
  <w:style w:type="character" w:customStyle="1" w:styleId="421">
    <w:name w:val="font81"/>
    <w:qFormat/>
    <w:uiPriority w:val="0"/>
    <w:rPr>
      <w:rFonts w:ascii="微软雅黑" w:hAnsi="微软雅黑" w:eastAsia="微软雅黑" w:cs="微软雅黑"/>
      <w:color w:val="000000"/>
      <w:sz w:val="20"/>
      <w:szCs w:val="20"/>
      <w:u w:val="none"/>
    </w:rPr>
  </w:style>
  <w:style w:type="character" w:customStyle="1" w:styleId="422">
    <w:name w:val="Char Char312"/>
    <w:qFormat/>
    <w:uiPriority w:val="0"/>
    <w:rPr>
      <w:rFonts w:ascii="Times New Roman" w:hAnsi="Times New Roman" w:eastAsia="宋体" w:cs="Times New Roman"/>
      <w:b/>
      <w:kern w:val="2"/>
      <w:sz w:val="32"/>
      <w:szCs w:val="24"/>
      <w:lang w:val="en-US" w:eastAsia="zh-CN" w:bidi="ar-SA"/>
    </w:rPr>
  </w:style>
  <w:style w:type="character" w:customStyle="1" w:styleId="423">
    <w:name w:val="t21"/>
    <w:qFormat/>
    <w:uiPriority w:val="0"/>
    <w:rPr>
      <w:rFonts w:ascii="仿宋_GB2312" w:eastAsia="微软雅黑"/>
      <w:b/>
      <w:kern w:val="2"/>
      <w:sz w:val="23"/>
      <w:szCs w:val="23"/>
      <w:lang w:val="en-US" w:eastAsia="zh-CN" w:bidi="ar-SA"/>
    </w:rPr>
  </w:style>
  <w:style w:type="character" w:customStyle="1" w:styleId="424">
    <w:name w:val="表格 Char Char"/>
    <w:qFormat/>
    <w:uiPriority w:val="0"/>
    <w:rPr>
      <w:rFonts w:ascii="宋体" w:hAnsi="宋体" w:eastAsia="宋体"/>
      <w:lang w:bidi="ar-SA"/>
    </w:rPr>
  </w:style>
  <w:style w:type="character" w:customStyle="1" w:styleId="425">
    <w:name w:val="标题 6 Char1"/>
    <w:qFormat/>
    <w:uiPriority w:val="0"/>
    <w:rPr>
      <w:rFonts w:ascii="Arial" w:hAnsi="Arial" w:eastAsia="黑体" w:cs="Times New Roman"/>
      <w:b/>
      <w:sz w:val="24"/>
      <w:szCs w:val="20"/>
      <w:lang w:bidi="ar-SA"/>
    </w:rPr>
  </w:style>
  <w:style w:type="character" w:customStyle="1" w:styleId="426">
    <w:name w:val="正文首行缩进 Char Char Char Char Char Char1"/>
    <w:qFormat/>
    <w:uiPriority w:val="0"/>
    <w:rPr>
      <w:rFonts w:ascii="宋体" w:eastAsia="宋体"/>
      <w:kern w:val="2"/>
      <w:sz w:val="24"/>
      <w:szCs w:val="24"/>
      <w:lang w:val="zh-CN" w:bidi="ar-SA"/>
    </w:rPr>
  </w:style>
  <w:style w:type="character" w:customStyle="1" w:styleId="427">
    <w:name w:val="文本正文 Char Char"/>
    <w:qFormat/>
    <w:locked/>
    <w:uiPriority w:val="0"/>
    <w:rPr>
      <w:sz w:val="24"/>
      <w:lang w:bidi="ar-SA"/>
    </w:rPr>
  </w:style>
  <w:style w:type="character" w:customStyle="1" w:styleId="428">
    <w:name w:val="样式 样式 标题 4h4H4Fab-4T5Ref Heading 1rh1Heading sqlsect 1.2.3.... +... Char"/>
    <w:link w:val="429"/>
    <w:qFormat/>
    <w:uiPriority w:val="0"/>
    <w:rPr>
      <w:rFonts w:ascii="微软雅黑" w:hAnsi="微软雅黑" w:eastAsia="微软雅黑"/>
      <w:b/>
      <w:bCs/>
      <w:kern w:val="2"/>
      <w:sz w:val="24"/>
      <w:szCs w:val="28"/>
    </w:rPr>
  </w:style>
  <w:style w:type="paragraph" w:customStyle="1" w:styleId="429">
    <w:name w:val="样式 样式 标题 4h4H4Fab-4T5Ref Heading 1rh1Heading sqlsect 1.2.3.... +..."/>
    <w:basedOn w:val="430"/>
    <w:link w:val="428"/>
    <w:qFormat/>
    <w:uiPriority w:val="0"/>
    <w:pPr>
      <w:tabs>
        <w:tab w:val="left" w:pos="2356"/>
      </w:tabs>
    </w:pPr>
  </w:style>
  <w:style w:type="paragraph" w:customStyle="1" w:styleId="430">
    <w:name w:val="样式 标题 4h4H4Fab-4T5Ref Heading 1rh1Heading sqlsect 1.2.3...."/>
    <w:basedOn w:val="6"/>
    <w:link w:val="4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431">
    <w:name w:val="样式 标题 4h4H4Fab-4T5Ref Heading 1rh1Heading sqlsect 1.2.3.... Char"/>
    <w:link w:val="430"/>
    <w:qFormat/>
    <w:uiPriority w:val="0"/>
    <w:rPr>
      <w:rFonts w:ascii="微软雅黑" w:hAnsi="微软雅黑" w:eastAsia="微软雅黑"/>
      <w:b/>
      <w:bCs/>
      <w:kern w:val="2"/>
      <w:sz w:val="24"/>
      <w:szCs w:val="28"/>
    </w:rPr>
  </w:style>
  <w:style w:type="character" w:customStyle="1" w:styleId="432">
    <w:name w:val="称呼 Char1"/>
    <w:qFormat/>
    <w:uiPriority w:val="0"/>
    <w:rPr>
      <w:rFonts w:ascii="Times New Roman" w:hAnsi="Times New Roman" w:eastAsia="宋体" w:cs="Times New Roman"/>
      <w:szCs w:val="24"/>
    </w:rPr>
  </w:style>
  <w:style w:type="character" w:customStyle="1" w:styleId="433">
    <w:name w:val="正文1 Char"/>
    <w:qFormat/>
    <w:uiPriority w:val="0"/>
    <w:rPr>
      <w:rFonts w:ascii="宋体" w:eastAsia="宋体"/>
      <w:snapToGrid w:val="0"/>
      <w:color w:val="000000"/>
      <w:kern w:val="28"/>
      <w:sz w:val="28"/>
      <w:lang w:val="en-US" w:eastAsia="zh-CN" w:bidi="ar-SA"/>
    </w:rPr>
  </w:style>
  <w:style w:type="character" w:customStyle="1" w:styleId="434">
    <w:name w:val="正文缩进 Char1"/>
    <w:qFormat/>
    <w:uiPriority w:val="0"/>
    <w:rPr>
      <w:rFonts w:ascii="宋体" w:eastAsia="宋体"/>
      <w:snapToGrid w:val="0"/>
      <w:color w:val="000000"/>
      <w:kern w:val="28"/>
      <w:sz w:val="28"/>
      <w:lang w:val="en-US" w:eastAsia="zh-CN" w:bidi="ar-SA"/>
    </w:rPr>
  </w:style>
  <w:style w:type="character" w:customStyle="1" w:styleId="435">
    <w:name w:val="批注框文本 Char1"/>
    <w:qFormat/>
    <w:uiPriority w:val="0"/>
    <w:rPr>
      <w:rFonts w:ascii="Times New Roman" w:hAnsi="Times New Roman" w:eastAsia="宋体" w:cs="Times New Roman"/>
      <w:sz w:val="18"/>
      <w:szCs w:val="18"/>
    </w:rPr>
  </w:style>
  <w:style w:type="character" w:customStyle="1" w:styleId="436">
    <w:name w:val="纯文本 Char1"/>
    <w:link w:val="437"/>
    <w:qFormat/>
    <w:uiPriority w:val="0"/>
    <w:rPr>
      <w:rFonts w:ascii="宋体" w:hAnsi="Courier New"/>
    </w:rPr>
  </w:style>
  <w:style w:type="paragraph" w:customStyle="1" w:styleId="437">
    <w:name w:val="纯文本1"/>
    <w:basedOn w:val="1"/>
    <w:link w:val="436"/>
    <w:qFormat/>
    <w:uiPriority w:val="0"/>
    <w:pPr>
      <w:adjustRightInd/>
    </w:pPr>
    <w:rPr>
      <w:rFonts w:ascii="宋体" w:hAnsi="Courier New"/>
      <w:kern w:val="0"/>
      <w:sz w:val="20"/>
      <w:szCs w:val="20"/>
    </w:rPr>
  </w:style>
  <w:style w:type="character" w:customStyle="1" w:styleId="438">
    <w:name w:val="Char Char31"/>
    <w:qFormat/>
    <w:uiPriority w:val="6"/>
    <w:rPr>
      <w:rFonts w:ascii="Arial" w:hAnsi="Arial" w:eastAsia="黑体"/>
      <w:kern w:val="1"/>
      <w:sz w:val="24"/>
      <w:szCs w:val="24"/>
    </w:rPr>
  </w:style>
  <w:style w:type="character" w:customStyle="1" w:styleId="439">
    <w:name w:val="h Char1"/>
    <w:qFormat/>
    <w:uiPriority w:val="0"/>
    <w:rPr>
      <w:sz w:val="18"/>
      <w:szCs w:val="18"/>
    </w:rPr>
  </w:style>
  <w:style w:type="character" w:customStyle="1" w:styleId="440">
    <w:name w:val="font31"/>
    <w:qFormat/>
    <w:uiPriority w:val="0"/>
    <w:rPr>
      <w:rFonts w:hint="eastAsia" w:ascii="仿宋" w:hAnsi="仿宋" w:eastAsia="仿宋" w:cs="仿宋"/>
      <w:color w:val="000000"/>
      <w:sz w:val="20"/>
      <w:szCs w:val="20"/>
      <w:u w:val="none"/>
    </w:rPr>
  </w:style>
  <w:style w:type="character" w:customStyle="1" w:styleId="441">
    <w:name w:val="脚注文本 Char1"/>
    <w:qFormat/>
    <w:uiPriority w:val="0"/>
    <w:rPr>
      <w:rFonts w:ascii="Times New Roman" w:hAnsi="Times New Roman" w:eastAsia="宋体" w:cs="Times New Roman"/>
      <w:sz w:val="18"/>
      <w:szCs w:val="18"/>
    </w:rPr>
  </w:style>
  <w:style w:type="character" w:customStyle="1" w:styleId="442">
    <w:name w:val="Char Char35"/>
    <w:qFormat/>
    <w:uiPriority w:val="6"/>
    <w:rPr>
      <w:rFonts w:ascii="Arial" w:hAnsi="Arial" w:eastAsia="黑体"/>
      <w:b/>
      <w:kern w:val="1"/>
      <w:sz w:val="28"/>
      <w:szCs w:val="28"/>
      <w:lang w:val="zh-CN"/>
    </w:rPr>
  </w:style>
  <w:style w:type="character" w:customStyle="1" w:styleId="443">
    <w:name w:val="纯文本 Char Char Char"/>
    <w:qFormat/>
    <w:uiPriority w:val="0"/>
    <w:rPr>
      <w:rFonts w:ascii="宋体" w:hAnsi="Courier New" w:eastAsia="宋体"/>
      <w:kern w:val="2"/>
      <w:sz w:val="21"/>
      <w:lang w:val="en-US" w:eastAsia="zh-CN" w:bidi="ar-SA"/>
    </w:rPr>
  </w:style>
  <w:style w:type="character" w:customStyle="1" w:styleId="444">
    <w:name w:val="正文1 Char1"/>
    <w:qFormat/>
    <w:uiPriority w:val="0"/>
    <w:rPr>
      <w:rFonts w:ascii="仿宋_GB2312" w:hAnsi="Courier New" w:eastAsia="仿宋_GB2312"/>
      <w:kern w:val="28"/>
      <w:sz w:val="24"/>
      <w:szCs w:val="24"/>
      <w:lang w:val="en-US" w:eastAsia="zh-CN"/>
    </w:rPr>
  </w:style>
  <w:style w:type="character" w:customStyle="1" w:styleId="445">
    <w:name w:val="页脚 Char1"/>
    <w:qFormat/>
    <w:uiPriority w:val="0"/>
    <w:rPr>
      <w:rFonts w:eastAsia="宋体"/>
      <w:kern w:val="2"/>
      <w:sz w:val="18"/>
      <w:szCs w:val="18"/>
      <w:lang w:val="en-US" w:eastAsia="zh-CN" w:bidi="ar-SA"/>
    </w:rPr>
  </w:style>
  <w:style w:type="character" w:customStyle="1" w:styleId="446">
    <w:name w:val="Char Char17"/>
    <w:qFormat/>
    <w:uiPriority w:val="6"/>
    <w:rPr>
      <w:rFonts w:eastAsia="仿宋_GB2312"/>
      <w:sz w:val="24"/>
    </w:rPr>
  </w:style>
  <w:style w:type="character" w:customStyle="1" w:styleId="447">
    <w:name w:val="Char Char16"/>
    <w:qFormat/>
    <w:uiPriority w:val="6"/>
    <w:rPr>
      <w:kern w:val="1"/>
      <w:sz w:val="18"/>
      <w:szCs w:val="18"/>
    </w:rPr>
  </w:style>
  <w:style w:type="character" w:customStyle="1" w:styleId="448">
    <w:name w:val="页眉 字符"/>
    <w:qFormat/>
    <w:uiPriority w:val="99"/>
    <w:rPr>
      <w:kern w:val="2"/>
      <w:sz w:val="18"/>
      <w:szCs w:val="18"/>
    </w:rPr>
  </w:style>
  <w:style w:type="character" w:customStyle="1" w:styleId="449">
    <w:name w:val="Footer-Even Char"/>
    <w:qFormat/>
    <w:uiPriority w:val="0"/>
    <w:rPr>
      <w:rFonts w:eastAsia="宋体"/>
      <w:kern w:val="2"/>
      <w:sz w:val="18"/>
      <w:lang w:val="en-US" w:eastAsia="zh-CN" w:bidi="ar-SA"/>
    </w:rPr>
  </w:style>
  <w:style w:type="character" w:customStyle="1" w:styleId="450">
    <w:name w:val="标题 3 Char2"/>
    <w:qFormat/>
    <w:uiPriority w:val="0"/>
    <w:rPr>
      <w:rFonts w:eastAsia="宋体"/>
      <w:b/>
      <w:bCs/>
      <w:kern w:val="2"/>
      <w:sz w:val="32"/>
      <w:szCs w:val="32"/>
      <w:lang w:val="en-US" w:eastAsia="zh-CN" w:bidi="ar-SA"/>
    </w:rPr>
  </w:style>
  <w:style w:type="character" w:customStyle="1" w:styleId="451">
    <w:name w:val="Char Char21"/>
    <w:qFormat/>
    <w:uiPriority w:val="6"/>
    <w:rPr>
      <w:rFonts w:ascii="宋体" w:hAnsi="宋体"/>
      <w:kern w:val="1"/>
      <w:sz w:val="24"/>
      <w:szCs w:val="21"/>
      <w:lang w:val="zh-CN"/>
    </w:rPr>
  </w:style>
  <w:style w:type="character" w:customStyle="1" w:styleId="452">
    <w:name w:val="标准文本 Char Char"/>
    <w:link w:val="453"/>
    <w:qFormat/>
    <w:uiPriority w:val="0"/>
    <w:rPr>
      <w:rFonts w:cs="宋体"/>
      <w:kern w:val="2"/>
      <w:sz w:val="24"/>
    </w:rPr>
  </w:style>
  <w:style w:type="paragraph" w:customStyle="1" w:styleId="453">
    <w:name w:val="标准文本"/>
    <w:basedOn w:val="1"/>
    <w:link w:val="452"/>
    <w:qFormat/>
    <w:uiPriority w:val="0"/>
    <w:pPr>
      <w:adjustRightInd/>
      <w:spacing w:line="360" w:lineRule="auto"/>
      <w:ind w:firstLine="480" w:firstLineChars="200"/>
    </w:pPr>
    <w:rPr>
      <w:sz w:val="24"/>
      <w:szCs w:val="20"/>
    </w:rPr>
  </w:style>
  <w:style w:type="character" w:customStyle="1" w:styleId="454">
    <w:name w:val="16"/>
    <w:qFormat/>
    <w:uiPriority w:val="0"/>
    <w:rPr>
      <w:rFonts w:hint="eastAsia" w:ascii="宋体" w:hAnsi="宋体" w:eastAsia="宋体"/>
      <w:color w:val="000000"/>
      <w:sz w:val="20"/>
      <w:szCs w:val="20"/>
    </w:rPr>
  </w:style>
  <w:style w:type="character" w:customStyle="1" w:styleId="455">
    <w:name w:val="tpc_content1"/>
    <w:qFormat/>
    <w:uiPriority w:val="0"/>
    <w:rPr>
      <w:sz w:val="20"/>
      <w:szCs w:val="20"/>
    </w:rPr>
  </w:style>
  <w:style w:type="character" w:customStyle="1" w:styleId="456">
    <w:name w:val="正文文本 2 字符"/>
    <w:qFormat/>
    <w:uiPriority w:val="0"/>
    <w:rPr>
      <w:rFonts w:ascii="Arial" w:hAnsi="Arial" w:eastAsia="宋体"/>
      <w:kern w:val="2"/>
      <w:sz w:val="24"/>
      <w:szCs w:val="24"/>
      <w:lang w:val="en-US" w:eastAsia="zh-CN" w:bidi="ar-SA"/>
    </w:rPr>
  </w:style>
  <w:style w:type="character" w:customStyle="1" w:styleId="457">
    <w:name w:val="font71"/>
    <w:qFormat/>
    <w:uiPriority w:val="0"/>
    <w:rPr>
      <w:rFonts w:hint="eastAsia" w:ascii="宋体" w:hAnsi="宋体" w:eastAsia="宋体" w:cs="宋体"/>
      <w:color w:val="000000"/>
      <w:sz w:val="22"/>
      <w:szCs w:val="22"/>
      <w:u w:val="none"/>
    </w:rPr>
  </w:style>
  <w:style w:type="character" w:customStyle="1" w:styleId="458">
    <w:name w:val="font91"/>
    <w:qFormat/>
    <w:uiPriority w:val="0"/>
    <w:rPr>
      <w:rFonts w:hint="eastAsia" w:ascii="仿宋" w:hAnsi="仿宋" w:eastAsia="仿宋" w:cs="仿宋"/>
      <w:color w:val="000000"/>
      <w:sz w:val="22"/>
      <w:szCs w:val="22"/>
      <w:u w:val="none"/>
    </w:rPr>
  </w:style>
  <w:style w:type="paragraph" w:customStyle="1" w:styleId="45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60">
    <w:name w:val="Char111"/>
    <w:basedOn w:val="1"/>
    <w:qFormat/>
    <w:uiPriority w:val="0"/>
    <w:rPr>
      <w:rFonts w:ascii="仿宋_GB2312" w:eastAsia="仿宋_GB2312"/>
      <w:b/>
      <w:sz w:val="32"/>
      <w:szCs w:val="32"/>
    </w:rPr>
  </w:style>
  <w:style w:type="paragraph" w:customStyle="1" w:styleId="461">
    <w:name w:val="首行缩进"/>
    <w:basedOn w:val="1"/>
    <w:qFormat/>
    <w:uiPriority w:val="0"/>
    <w:pPr>
      <w:spacing w:line="360" w:lineRule="auto"/>
      <w:ind w:firstLine="480" w:firstLineChars="200"/>
    </w:pPr>
    <w:rPr>
      <w:rFonts w:ascii="宋体"/>
      <w:sz w:val="24"/>
      <w:szCs w:val="20"/>
    </w:rPr>
  </w:style>
  <w:style w:type="paragraph" w:customStyle="1" w:styleId="462">
    <w:name w:val="EB_表格"/>
    <w:basedOn w:val="1"/>
    <w:qFormat/>
    <w:uiPriority w:val="0"/>
    <w:pPr>
      <w:adjustRightInd/>
      <w:spacing w:line="300" w:lineRule="auto"/>
      <w:jc w:val="center"/>
    </w:pPr>
  </w:style>
  <w:style w:type="paragraph" w:customStyle="1" w:styleId="46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6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66">
    <w:name w:val="MM Topic 3"/>
    <w:basedOn w:val="5"/>
    <w:qFormat/>
    <w:uiPriority w:val="0"/>
    <w:pPr>
      <w:tabs>
        <w:tab w:val="left" w:pos="1680"/>
        <w:tab w:val="clear" w:pos="900"/>
      </w:tabs>
      <w:adjustRightInd/>
      <w:ind w:left="1680" w:hanging="420"/>
    </w:pPr>
  </w:style>
  <w:style w:type="paragraph" w:customStyle="1" w:styleId="467">
    <w:name w:val="Char Char11 Char Char Char Char Char Char Char Char Char"/>
    <w:basedOn w:val="1"/>
    <w:qFormat/>
    <w:uiPriority w:val="0"/>
    <w:pPr>
      <w:spacing w:line="360" w:lineRule="auto"/>
    </w:pPr>
    <w:rPr>
      <w:szCs w:val="20"/>
    </w:rPr>
  </w:style>
  <w:style w:type="paragraph" w:customStyle="1" w:styleId="46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0">
    <w:name w:val="p0"/>
    <w:basedOn w:val="1"/>
    <w:qFormat/>
    <w:uiPriority w:val="0"/>
    <w:pPr>
      <w:widowControl/>
      <w:adjustRightInd/>
    </w:pPr>
    <w:rPr>
      <w:kern w:val="0"/>
      <w:szCs w:val="21"/>
    </w:rPr>
  </w:style>
  <w:style w:type="paragraph" w:customStyle="1" w:styleId="47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72">
    <w:name w:val="Char Char Char Char Char Char Char1"/>
    <w:basedOn w:val="1"/>
    <w:qFormat/>
    <w:uiPriority w:val="6"/>
    <w:rPr>
      <w:rFonts w:ascii="仿宋_GB2312" w:eastAsia="仿宋_GB2312"/>
      <w:b/>
      <w:sz w:val="32"/>
      <w:szCs w:val="32"/>
    </w:rPr>
  </w:style>
  <w:style w:type="paragraph" w:customStyle="1" w:styleId="47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7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5">
    <w:name w:val="无间隔2"/>
    <w:qFormat/>
    <w:uiPriority w:val="0"/>
    <w:pPr>
      <w:widowControl w:val="0"/>
      <w:jc w:val="both"/>
    </w:pPr>
    <w:rPr>
      <w:kern w:val="2"/>
      <w:sz w:val="21"/>
      <w:szCs w:val="22"/>
      <w:lang w:val="en-US" w:eastAsia="zh-CN" w:bidi="ar-SA"/>
    </w:rPr>
  </w:style>
  <w:style w:type="paragraph" w:customStyle="1" w:styleId="47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47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79">
    <w:name w:val="正文 项目2"/>
    <w:basedOn w:val="480"/>
    <w:qFormat/>
    <w:uiPriority w:val="0"/>
    <w:pPr>
      <w:tabs>
        <w:tab w:val="left" w:pos="840"/>
      </w:tabs>
      <w:spacing w:after="0"/>
      <w:ind w:left="900"/>
    </w:pPr>
  </w:style>
  <w:style w:type="paragraph" w:customStyle="1" w:styleId="48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48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8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84">
    <w:name w:val="Char2 Char Char1"/>
    <w:basedOn w:val="1"/>
    <w:qFormat/>
    <w:uiPriority w:val="6"/>
    <w:pPr>
      <w:adjustRightInd/>
    </w:pPr>
    <w:rPr>
      <w:rFonts w:ascii="Tahoma" w:hAnsi="Tahoma"/>
      <w:sz w:val="24"/>
      <w:szCs w:val="20"/>
    </w:rPr>
  </w:style>
  <w:style w:type="paragraph" w:customStyle="1" w:styleId="4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86">
    <w:name w:val="Char Char Char1 Char"/>
    <w:basedOn w:val="1"/>
    <w:qFormat/>
    <w:uiPriority w:val="0"/>
    <w:rPr>
      <w:szCs w:val="20"/>
    </w:rPr>
  </w:style>
  <w:style w:type="paragraph" w:customStyle="1" w:styleId="48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8">
    <w:name w:val="图中文字"/>
    <w:basedOn w:val="1"/>
    <w:qFormat/>
    <w:uiPriority w:val="0"/>
    <w:pPr>
      <w:snapToGrid w:val="0"/>
      <w:spacing w:line="0" w:lineRule="atLeast"/>
      <w:ind w:firstLine="200" w:firstLineChars="200"/>
      <w:jc w:val="center"/>
    </w:pPr>
    <w:rPr>
      <w:sz w:val="24"/>
      <w:szCs w:val="20"/>
    </w:rPr>
  </w:style>
  <w:style w:type="paragraph" w:customStyle="1" w:styleId="48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有符号正文"/>
    <w:basedOn w:val="1"/>
    <w:qFormat/>
    <w:uiPriority w:val="0"/>
    <w:pPr>
      <w:adjustRightInd/>
      <w:spacing w:line="400" w:lineRule="exact"/>
      <w:ind w:firstLine="200" w:firstLineChars="200"/>
    </w:pPr>
    <w:rPr>
      <w:rFonts w:ascii="Arial" w:hAnsi="Arial"/>
    </w:rPr>
  </w:style>
  <w:style w:type="paragraph" w:customStyle="1" w:styleId="49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93">
    <w:name w:val="标书表格字体格式"/>
    <w:next w:val="494"/>
    <w:qFormat/>
    <w:uiPriority w:val="0"/>
    <w:rPr>
      <w:kern w:val="2"/>
      <w:sz w:val="21"/>
      <w:szCs w:val="24"/>
      <w:lang w:val="en-US" w:eastAsia="zh-CN" w:bidi="ar-SA"/>
    </w:rPr>
  </w:style>
  <w:style w:type="paragraph" w:customStyle="1" w:styleId="494">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49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49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9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98">
    <w:name w:val="样式1 + (中宋体"/>
    <w:basedOn w:val="499"/>
    <w:qFormat/>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49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01">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04">
    <w:name w:val="Char Char Char Char11"/>
    <w:basedOn w:val="1"/>
    <w:qFormat/>
    <w:uiPriority w:val="0"/>
    <w:rPr>
      <w:rFonts w:ascii="Tahoma" w:hAnsi="Tahoma"/>
      <w:sz w:val="24"/>
      <w:szCs w:val="20"/>
    </w:rPr>
  </w:style>
  <w:style w:type="paragraph" w:customStyle="1" w:styleId="50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0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0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0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0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0">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11">
    <w:name w:val="标题4_自定义"/>
    <w:basedOn w:val="6"/>
    <w:qFormat/>
    <w:uiPriority w:val="0"/>
    <w:pPr>
      <w:adjustRightInd/>
      <w:spacing w:before="0" w:after="0" w:line="360" w:lineRule="auto"/>
    </w:pPr>
    <w:rPr>
      <w:rFonts w:ascii="Verdana" w:eastAsia="Verdana"/>
      <w:sz w:val="21"/>
      <w:lang w:val="en-US"/>
    </w:rPr>
  </w:style>
  <w:style w:type="paragraph" w:customStyle="1" w:styleId="5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1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4">
    <w:name w:val="Char1 Char Char Char2"/>
    <w:basedOn w:val="1"/>
    <w:qFormat/>
    <w:uiPriority w:val="0"/>
    <w:pPr>
      <w:adjustRightInd/>
      <w:ind w:firstLine="200" w:firstLineChars="200"/>
    </w:pPr>
    <w:rPr>
      <w:rFonts w:ascii="Tahoma" w:hAnsi="Tahoma"/>
      <w:sz w:val="24"/>
      <w:szCs w:val="20"/>
    </w:rPr>
  </w:style>
  <w:style w:type="paragraph" w:customStyle="1" w:styleId="5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51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1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18">
    <w:name w:val="段"/>
    <w:qFormat/>
    <w:uiPriority w:val="0"/>
    <w:pPr>
      <w:autoSpaceDE w:val="0"/>
      <w:autoSpaceDN w:val="0"/>
      <w:ind w:firstLine="200" w:firstLineChars="200"/>
      <w:jc w:val="both"/>
    </w:pPr>
    <w:rPr>
      <w:rFonts w:ascii="宋体"/>
      <w:sz w:val="21"/>
      <w:lang w:val="en-US" w:eastAsia="zh-CN" w:bidi="ar-SA"/>
    </w:rPr>
  </w:style>
  <w:style w:type="paragraph" w:customStyle="1" w:styleId="519">
    <w:name w:val="CM14"/>
    <w:basedOn w:val="219"/>
    <w:next w:val="219"/>
    <w:qFormat/>
    <w:uiPriority w:val="0"/>
    <w:pPr>
      <w:spacing w:after="68"/>
    </w:pPr>
    <w:rPr>
      <w:rFonts w:ascii="FHLHE E+ Futura Bk" w:eastAsia="FHLHE E+ Futura Bk" w:cs="Times New Roman"/>
      <w:color w:val="auto"/>
    </w:rPr>
  </w:style>
  <w:style w:type="paragraph" w:customStyle="1" w:styleId="520">
    <w:name w:val="二级条标题"/>
    <w:basedOn w:val="521"/>
    <w:next w:val="518"/>
    <w:qFormat/>
    <w:uiPriority w:val="0"/>
    <w:pPr>
      <w:tabs>
        <w:tab w:val="left" w:pos="2100"/>
      </w:tabs>
      <w:ind w:left="0"/>
      <w:outlineLvl w:val="3"/>
    </w:pPr>
  </w:style>
  <w:style w:type="paragraph" w:customStyle="1" w:styleId="521">
    <w:name w:val="一级条标题"/>
    <w:basedOn w:val="522"/>
    <w:next w:val="518"/>
    <w:qFormat/>
    <w:uiPriority w:val="0"/>
    <w:pPr>
      <w:tabs>
        <w:tab w:val="left" w:pos="1680"/>
      </w:tabs>
      <w:spacing w:before="0" w:beforeLines="0" w:after="0" w:afterLines="0"/>
      <w:ind w:left="1680"/>
      <w:outlineLvl w:val="2"/>
    </w:pPr>
  </w:style>
  <w:style w:type="paragraph" w:customStyle="1" w:styleId="522">
    <w:name w:val="章标题"/>
    <w:next w:val="518"/>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523">
    <w:name w:val="Char"/>
    <w:basedOn w:val="1"/>
    <w:qFormat/>
    <w:uiPriority w:val="0"/>
    <w:rPr>
      <w:rFonts w:ascii="仿宋_GB2312" w:eastAsia="仿宋_GB2312"/>
      <w:b/>
      <w:sz w:val="32"/>
      <w:szCs w:val="32"/>
    </w:rPr>
  </w:style>
  <w:style w:type="paragraph" w:customStyle="1" w:styleId="524">
    <w:name w:val="Char Char1 Char Char Char1"/>
    <w:basedOn w:val="1"/>
    <w:qFormat/>
    <w:uiPriority w:val="6"/>
    <w:rPr>
      <w:rFonts w:ascii="仿宋_GB2312" w:eastAsia="仿宋_GB2312"/>
      <w:b/>
      <w:sz w:val="32"/>
      <w:szCs w:val="20"/>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30">
    <w:name w:val="Char Char Char Char Char Char Char Char2"/>
    <w:basedOn w:val="1"/>
    <w:qFormat/>
    <w:uiPriority w:val="0"/>
    <w:pPr>
      <w:tabs>
        <w:tab w:val="left" w:pos="360"/>
      </w:tabs>
    </w:pPr>
    <w:rPr>
      <w:sz w:val="24"/>
      <w:szCs w:val="20"/>
    </w:rPr>
  </w:style>
  <w:style w:type="paragraph" w:customStyle="1" w:styleId="5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32">
    <w:name w:val="Char Char1121"/>
    <w:basedOn w:val="1"/>
    <w:qFormat/>
    <w:uiPriority w:val="0"/>
    <w:pPr>
      <w:spacing w:line="360" w:lineRule="auto"/>
    </w:pPr>
    <w:rPr>
      <w:szCs w:val="20"/>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36">
    <w:name w:val="trademark"/>
    <w:qFormat/>
    <w:uiPriority w:val="0"/>
    <w:pPr>
      <w:spacing w:after="60"/>
    </w:pPr>
    <w:rPr>
      <w:rFonts w:ascii="Futura Bk" w:hAnsi="Futura Bk"/>
      <w:sz w:val="15"/>
      <w:lang w:val="en-US" w:eastAsia="en-US" w:bidi="ar-SA"/>
    </w:rPr>
  </w:style>
  <w:style w:type="paragraph" w:customStyle="1" w:styleId="5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3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39">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540">
    <w:name w:val="正文主体"/>
    <w:basedOn w:val="541"/>
    <w:qFormat/>
    <w:uiPriority w:val="0"/>
  </w:style>
  <w:style w:type="paragraph" w:customStyle="1" w:styleId="54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42">
    <w:name w:val="_Style 5"/>
    <w:basedOn w:val="1"/>
    <w:qFormat/>
    <w:uiPriority w:val="34"/>
    <w:pPr>
      <w:adjustRightInd/>
      <w:ind w:firstLine="420" w:firstLineChars="200"/>
    </w:pPr>
    <w:rPr>
      <w:rFonts w:eastAsia="仿宋_GB2312"/>
      <w:sz w:val="28"/>
    </w:rPr>
  </w:style>
  <w:style w:type="paragraph" w:customStyle="1" w:styleId="54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44">
    <w:name w:val="样式 标题 4PIM 4H4h4bulletblbbH41H42H43H44H45H46H47H48...1"/>
    <w:basedOn w:val="6"/>
    <w:qFormat/>
    <w:uiPriority w:val="0"/>
    <w:pPr>
      <w:widowControl/>
      <w:jc w:val="left"/>
    </w:pPr>
    <w:rPr>
      <w:rFonts w:cs="宋体"/>
      <w:sz w:val="24"/>
      <w:szCs w:val="20"/>
    </w:rPr>
  </w:style>
  <w:style w:type="paragraph" w:customStyle="1" w:styleId="54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46">
    <w:name w:val="Body Text 2*"/>
    <w:basedOn w:val="1"/>
    <w:qFormat/>
    <w:uiPriority w:val="6"/>
    <w:pPr>
      <w:widowControl/>
      <w:adjustRightInd/>
      <w:ind w:left="720" w:hanging="720"/>
    </w:pPr>
    <w:rPr>
      <w:color w:val="000000"/>
      <w:kern w:val="0"/>
      <w:sz w:val="24"/>
      <w:szCs w:val="20"/>
      <w:lang/>
    </w:rPr>
  </w:style>
  <w:style w:type="paragraph" w:customStyle="1" w:styleId="54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4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49">
    <w:name w:val="Normal0"/>
    <w:qFormat/>
    <w:uiPriority w:val="0"/>
    <w:rPr>
      <w:lang w:val="en-US" w:eastAsia="en-US" w:bidi="ar-SA"/>
    </w:rPr>
  </w:style>
  <w:style w:type="paragraph" w:customStyle="1" w:styleId="550">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551">
    <w:name w:val="Char Char Char Char Char Char Char Char"/>
    <w:basedOn w:val="1"/>
    <w:qFormat/>
    <w:uiPriority w:val="0"/>
    <w:pPr>
      <w:tabs>
        <w:tab w:val="left" w:pos="360"/>
      </w:tabs>
    </w:pPr>
    <w:rPr>
      <w:sz w:val="24"/>
      <w:szCs w:val="20"/>
    </w:rPr>
  </w:style>
  <w:style w:type="paragraph" w:customStyle="1" w:styleId="552">
    <w:name w:val="Char Char1 Char Char Char2"/>
    <w:basedOn w:val="1"/>
    <w:qFormat/>
    <w:uiPriority w:val="0"/>
    <w:rPr>
      <w:rFonts w:ascii="仿宋_GB2312" w:eastAsia="仿宋_GB2312"/>
      <w:b/>
      <w:sz w:val="32"/>
      <w:szCs w:val="32"/>
    </w:rPr>
  </w:style>
  <w:style w:type="paragraph" w:customStyle="1" w:styleId="55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54">
    <w:name w:val="_正文段落"/>
    <w:basedOn w:val="1"/>
    <w:qFormat/>
    <w:uiPriority w:val="0"/>
    <w:pPr>
      <w:adjustRightInd/>
      <w:ind w:firstLine="560"/>
    </w:pPr>
    <w:rPr>
      <w:rFonts w:ascii="仿宋_GB2312" w:hAnsi="仿宋" w:eastAsia="仿宋_GB2312"/>
      <w:kern w:val="0"/>
      <w:sz w:val="28"/>
      <w:szCs w:val="28"/>
    </w:rPr>
  </w:style>
  <w:style w:type="paragraph" w:customStyle="1" w:styleId="555">
    <w:name w:val="Char3 Char Char Char1"/>
    <w:basedOn w:val="1"/>
    <w:qFormat/>
    <w:uiPriority w:val="6"/>
    <w:pPr>
      <w:widowControl/>
      <w:adjustRightInd/>
      <w:spacing w:after="160" w:line="240" w:lineRule="exact"/>
      <w:jc w:val="left"/>
    </w:pPr>
    <w:rPr>
      <w:szCs w:val="20"/>
    </w:rPr>
  </w:style>
  <w:style w:type="paragraph" w:customStyle="1" w:styleId="556">
    <w:name w:val="Char Char Char Char Char Char Char Char Char Char Char Char1 Char1"/>
    <w:basedOn w:val="1"/>
    <w:qFormat/>
    <w:uiPriority w:val="6"/>
    <w:rPr>
      <w:rFonts w:ascii="Tahoma" w:hAnsi="Tahoma" w:cs="仿宋_GB2312"/>
      <w:sz w:val="24"/>
      <w:szCs w:val="20"/>
    </w:rPr>
  </w:style>
  <w:style w:type="paragraph" w:customStyle="1" w:styleId="5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5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5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_Style 12"/>
    <w:basedOn w:val="19"/>
    <w:qFormat/>
    <w:uiPriority w:val="0"/>
    <w:pPr>
      <w:snapToGrid w:val="0"/>
      <w:spacing w:line="360" w:lineRule="auto"/>
    </w:pPr>
  </w:style>
  <w:style w:type="paragraph" w:customStyle="1" w:styleId="56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Char1 Char Char Char1"/>
    <w:basedOn w:val="1"/>
    <w:qFormat/>
    <w:uiPriority w:val="0"/>
    <w:pPr>
      <w:adjustRightInd/>
      <w:ind w:firstLine="200" w:firstLineChars="200"/>
    </w:pPr>
    <w:rPr>
      <w:rFonts w:ascii="Tahoma" w:hAnsi="Tahoma"/>
      <w:sz w:val="24"/>
      <w:szCs w:val="20"/>
    </w:rPr>
  </w:style>
  <w:style w:type="paragraph" w:customStyle="1" w:styleId="565">
    <w:name w:val="Char Char Char 字元 字元"/>
    <w:basedOn w:val="1"/>
    <w:qFormat/>
    <w:uiPriority w:val="0"/>
    <w:pPr>
      <w:adjustRightInd/>
      <w:spacing w:line="360" w:lineRule="auto"/>
      <w:ind w:firstLine="200" w:firstLineChars="200"/>
    </w:pPr>
    <w:rPr>
      <w:szCs w:val="20"/>
    </w:rPr>
  </w:style>
  <w:style w:type="paragraph" w:customStyle="1" w:styleId="566">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6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5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69">
    <w:name w:val="正文文字表格居中"/>
    <w:basedOn w:val="1"/>
    <w:next w:val="55"/>
    <w:qFormat/>
    <w:uiPriority w:val="0"/>
    <w:pPr>
      <w:snapToGrid w:val="0"/>
      <w:spacing w:line="360" w:lineRule="auto"/>
    </w:pPr>
    <w:rPr>
      <w:rFonts w:ascii="宋体"/>
      <w:b/>
      <w:sz w:val="24"/>
      <w:szCs w:val="20"/>
    </w:rPr>
  </w:style>
  <w:style w:type="paragraph" w:customStyle="1" w:styleId="57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7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72">
    <w:name w:val="bullet"/>
    <w:basedOn w:val="1"/>
    <w:qFormat/>
    <w:uiPriority w:val="0"/>
    <w:pPr>
      <w:tabs>
        <w:tab w:val="left" w:pos="840"/>
      </w:tabs>
      <w:adjustRightInd/>
      <w:ind w:left="840" w:hanging="420"/>
    </w:pPr>
  </w:style>
  <w:style w:type="paragraph" w:customStyle="1" w:styleId="57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Char Char11 Char Char Char Char Char Char Char Char Char11"/>
    <w:basedOn w:val="1"/>
    <w:qFormat/>
    <w:uiPriority w:val="0"/>
    <w:pPr>
      <w:spacing w:line="360" w:lineRule="auto"/>
    </w:pPr>
    <w:rPr>
      <w:szCs w:val="20"/>
    </w:rPr>
  </w:style>
  <w:style w:type="paragraph" w:customStyle="1" w:styleId="575">
    <w:name w:val="_Style 6"/>
    <w:basedOn w:val="1"/>
    <w:qFormat/>
    <w:uiPriority w:val="34"/>
    <w:pPr>
      <w:adjustRightInd/>
      <w:ind w:firstLine="420" w:firstLineChars="200"/>
    </w:pPr>
    <w:rPr>
      <w:rFonts w:eastAsia="仿宋_GB2312"/>
      <w:sz w:val="28"/>
    </w:rPr>
  </w:style>
  <w:style w:type="paragraph" w:customStyle="1" w:styleId="57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7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78">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8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8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83">
    <w:name w:val="标准小四"/>
    <w:basedOn w:val="1"/>
    <w:qFormat/>
    <w:uiPriority w:val="0"/>
    <w:pPr>
      <w:spacing w:line="360" w:lineRule="auto"/>
      <w:ind w:firstLine="480" w:firstLineChars="200"/>
    </w:pPr>
    <w:rPr>
      <w:rFonts w:ascii="Arial" w:hAnsi="Arial"/>
      <w:sz w:val="24"/>
      <w:szCs w:val="21"/>
    </w:rPr>
  </w:style>
  <w:style w:type="paragraph" w:customStyle="1" w:styleId="584">
    <w:name w:val="彩色列表 - 强调文字颜色 11"/>
    <w:basedOn w:val="1"/>
    <w:qFormat/>
    <w:uiPriority w:val="0"/>
    <w:pPr>
      <w:adjustRightInd/>
      <w:ind w:firstLine="420" w:firstLineChars="200"/>
    </w:pPr>
    <w:rPr>
      <w:rFonts w:ascii="Calibri" w:hAnsi="Calibri"/>
      <w:szCs w:val="22"/>
    </w:rPr>
  </w:style>
  <w:style w:type="paragraph" w:customStyle="1" w:styleId="58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8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8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88">
    <w:name w:val="Char Char Char"/>
    <w:basedOn w:val="1"/>
    <w:qFormat/>
    <w:uiPriority w:val="0"/>
    <w:rPr>
      <w:rFonts w:ascii="Tahoma" w:hAnsi="Tahoma"/>
      <w:sz w:val="24"/>
      <w:szCs w:val="20"/>
    </w:rPr>
  </w:style>
  <w:style w:type="paragraph" w:customStyle="1" w:styleId="58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9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9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93">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594">
    <w:name w:val="正文 A"/>
    <w:qFormat/>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595">
    <w:name w:val="MM Topic 5"/>
    <w:basedOn w:val="7"/>
    <w:qFormat/>
    <w:uiPriority w:val="0"/>
    <w:pPr>
      <w:tabs>
        <w:tab w:val="left" w:pos="2520"/>
        <w:tab w:val="clear" w:pos="1008"/>
      </w:tabs>
      <w:adjustRightInd/>
      <w:ind w:left="2520" w:hanging="420"/>
    </w:pPr>
  </w:style>
  <w:style w:type="paragraph" w:customStyle="1" w:styleId="59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1.25"/>
    <w:basedOn w:val="1"/>
    <w:qFormat/>
    <w:uiPriority w:val="0"/>
    <w:pPr>
      <w:adjustRightInd/>
      <w:spacing w:line="300" w:lineRule="auto"/>
      <w:ind w:firstLine="480" w:firstLineChars="200"/>
    </w:pPr>
    <w:rPr>
      <w:sz w:val="24"/>
      <w:szCs w:val="20"/>
    </w:rPr>
  </w:style>
  <w:style w:type="paragraph" w:customStyle="1" w:styleId="5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6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0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0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603">
    <w:name w:val="4级标题"/>
    <w:basedOn w:val="25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606">
    <w:name w:val="My正文"/>
    <w:basedOn w:val="1"/>
    <w:qFormat/>
    <w:uiPriority w:val="0"/>
    <w:pPr>
      <w:spacing w:before="120" w:line="360" w:lineRule="auto"/>
      <w:ind w:firstLine="567"/>
    </w:pPr>
    <w:rPr>
      <w:rFonts w:ascii="Arial" w:hAnsi="Arial"/>
      <w:sz w:val="20"/>
      <w:szCs w:val="20"/>
    </w:rPr>
  </w:style>
  <w:style w:type="paragraph" w:customStyle="1" w:styleId="60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608">
    <w:name w:val="5级标题"/>
    <w:basedOn w:val="60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0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11">
    <w:name w:val="正文 首行缩进:  2 字符 Char"/>
    <w:basedOn w:val="1"/>
    <w:qFormat/>
    <w:uiPriority w:val="0"/>
    <w:pPr>
      <w:adjustRightInd/>
      <w:spacing w:line="360" w:lineRule="auto"/>
      <w:ind w:firstLine="480"/>
    </w:pPr>
    <w:rPr>
      <w:rFonts w:cs="宋体"/>
      <w:sz w:val="24"/>
      <w:szCs w:val="20"/>
    </w:rPr>
  </w:style>
  <w:style w:type="paragraph" w:customStyle="1" w:styleId="61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613">
    <w:name w:val="默认段落样式"/>
    <w:basedOn w:val="325"/>
    <w:qFormat/>
    <w:uiPriority w:val="0"/>
    <w:pPr>
      <w:spacing w:before="0"/>
      <w:ind w:firstLine="480"/>
      <w:outlineLvl w:val="2"/>
    </w:pPr>
    <w:rPr>
      <w:rFonts w:ascii="仿宋_GB2312" w:hAnsi="宋体" w:eastAsia="仿宋_GB2312"/>
      <w:color w:val="000000"/>
      <w:szCs w:val="24"/>
    </w:rPr>
  </w:style>
  <w:style w:type="paragraph" w:customStyle="1" w:styleId="614">
    <w:name w:val="_Style 94"/>
    <w:basedOn w:val="1"/>
    <w:next w:val="253"/>
    <w:qFormat/>
    <w:uiPriority w:val="34"/>
    <w:pPr>
      <w:adjustRightInd/>
      <w:spacing w:line="360" w:lineRule="auto"/>
      <w:ind w:firstLine="200" w:firstLineChars="200"/>
    </w:pPr>
    <w:rPr>
      <w:rFonts w:ascii="Calibri" w:hAnsi="Calibri"/>
      <w:sz w:val="28"/>
      <w:szCs w:val="20"/>
    </w:rPr>
  </w:style>
  <w:style w:type="paragraph" w:customStyle="1" w:styleId="615">
    <w:name w:val="FA正文"/>
    <w:basedOn w:val="1"/>
    <w:qFormat/>
    <w:uiPriority w:val="0"/>
    <w:pPr>
      <w:spacing w:line="360" w:lineRule="auto"/>
      <w:ind w:firstLine="480" w:firstLineChars="200"/>
    </w:pPr>
    <w:rPr>
      <w:rFonts w:hAnsi="宋体"/>
      <w:sz w:val="24"/>
      <w:szCs w:val="20"/>
    </w:rPr>
  </w:style>
  <w:style w:type="paragraph" w:customStyle="1" w:styleId="61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18">
    <w:name w:val="正文 内标 序号标"/>
    <w:basedOn w:val="606"/>
    <w:qFormat/>
    <w:uiPriority w:val="0"/>
    <w:pPr>
      <w:tabs>
        <w:tab w:val="left" w:pos="0"/>
      </w:tabs>
      <w:adjustRightInd/>
      <w:spacing w:before="0"/>
      <w:ind w:firstLine="482"/>
    </w:pPr>
    <w:rPr>
      <w:rFonts w:ascii="微软雅黑" w:hAnsi="微软雅黑"/>
      <w:sz w:val="24"/>
      <w:szCs w:val="24"/>
    </w:rPr>
  </w:style>
  <w:style w:type="paragraph" w:customStyle="1" w:styleId="61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0">
    <w:name w:val="修订1"/>
    <w:qFormat/>
    <w:uiPriority w:val="3"/>
    <w:rPr>
      <w:color w:val="000000"/>
      <w:kern w:val="1"/>
      <w:sz w:val="21"/>
      <w:lang w:val="en-US" w:eastAsia="zh-CN" w:bidi="ar-SA"/>
    </w:rPr>
  </w:style>
  <w:style w:type="paragraph" w:customStyle="1" w:styleId="621">
    <w:name w:val="6级标题"/>
    <w:basedOn w:val="608"/>
    <w:qFormat/>
    <w:uiPriority w:val="0"/>
    <w:pPr>
      <w:keepNext/>
      <w:spacing w:before="0" w:after="0"/>
      <w:outlineLvl w:val="5"/>
    </w:pPr>
  </w:style>
  <w:style w:type="paragraph" w:customStyle="1" w:styleId="622">
    <w:name w:val="4"/>
    <w:basedOn w:val="1"/>
    <w:next w:val="36"/>
    <w:qFormat/>
    <w:uiPriority w:val="0"/>
    <w:pPr>
      <w:spacing w:after="120" w:line="480" w:lineRule="auto"/>
      <w:ind w:left="420" w:leftChars="200"/>
    </w:pPr>
    <w:rPr>
      <w:sz w:val="24"/>
      <w:szCs w:val="20"/>
    </w:rPr>
  </w:style>
  <w:style w:type="paragraph" w:customStyle="1" w:styleId="623">
    <w:name w:val="样式 样式2 + 左侧:  1 字符 右侧:  1 字符"/>
    <w:basedOn w:val="624"/>
    <w:qFormat/>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2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2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26">
    <w:name w:val="表1"/>
    <w:basedOn w:val="1"/>
    <w:qFormat/>
    <w:uiPriority w:val="0"/>
    <w:pPr>
      <w:tabs>
        <w:tab w:val="left" w:pos="703"/>
      </w:tabs>
      <w:adjustRightInd/>
      <w:spacing w:line="360" w:lineRule="auto"/>
      <w:ind w:left="703"/>
      <w:jc w:val="center"/>
    </w:pPr>
  </w:style>
  <w:style w:type="paragraph" w:customStyle="1" w:styleId="62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628">
    <w:name w:val="Char23"/>
    <w:basedOn w:val="1"/>
    <w:qFormat/>
    <w:uiPriority w:val="0"/>
    <w:rPr>
      <w:rFonts w:ascii="仿宋_GB2312" w:eastAsia="仿宋_GB2312"/>
      <w:b/>
      <w:sz w:val="32"/>
      <w:szCs w:val="32"/>
    </w:rPr>
  </w:style>
  <w:style w:type="paragraph" w:customStyle="1" w:styleId="629">
    <w:name w:val="默认段落字体 Para Char"/>
    <w:basedOn w:val="1"/>
    <w:qFormat/>
    <w:uiPriority w:val="0"/>
    <w:rPr>
      <w:rFonts w:ascii="Tahoma" w:hAnsi="Tahoma"/>
      <w:sz w:val="24"/>
      <w:szCs w:val="20"/>
    </w:rPr>
  </w:style>
  <w:style w:type="paragraph" w:customStyle="1" w:styleId="63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31">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u w:val="none" w:color="000000"/>
      <w:lang w:val="en-US" w:eastAsia="zh-CN" w:bidi="ar-SA"/>
    </w:rPr>
  </w:style>
  <w:style w:type="paragraph" w:customStyle="1" w:styleId="632">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63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3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36">
    <w:name w:val="Char Char Char Char Char Char Char Char1"/>
    <w:basedOn w:val="1"/>
    <w:qFormat/>
    <w:uiPriority w:val="0"/>
    <w:pPr>
      <w:tabs>
        <w:tab w:val="left" w:pos="360"/>
      </w:tabs>
    </w:pPr>
    <w:rPr>
      <w:sz w:val="24"/>
      <w:szCs w:val="20"/>
    </w:rPr>
  </w:style>
  <w:style w:type="paragraph" w:customStyle="1" w:styleId="6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638">
    <w:name w:val="Char Char1 Char Char Char Char Char Char"/>
    <w:basedOn w:val="1"/>
    <w:qFormat/>
    <w:uiPriority w:val="0"/>
    <w:rPr>
      <w:rFonts w:ascii="仿宋_GB2312" w:eastAsia="仿宋_GB2312"/>
      <w:b/>
      <w:sz w:val="32"/>
      <w:szCs w:val="20"/>
    </w:rPr>
  </w:style>
  <w:style w:type="paragraph" w:customStyle="1" w:styleId="63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640">
    <w:name w:val="样式 标题 3H3 + 两端对齐"/>
    <w:basedOn w:val="5"/>
    <w:qFormat/>
    <w:uiPriority w:val="0"/>
    <w:pPr>
      <w:keepLines w:val="0"/>
      <w:spacing w:before="0" w:after="0" w:line="240" w:lineRule="auto"/>
      <w:jc w:val="left"/>
    </w:pPr>
    <w:rPr>
      <w:rFonts w:cs="宋体"/>
      <w:sz w:val="21"/>
      <w:szCs w:val="20"/>
    </w:rPr>
  </w:style>
  <w:style w:type="paragraph" w:customStyle="1" w:styleId="641">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u w:val="none" w:color="000000"/>
      <w:lang w:val="en-US" w:eastAsia="zh-CN" w:bidi="ar-SA"/>
    </w:rPr>
  </w:style>
  <w:style w:type="paragraph" w:customStyle="1" w:styleId="64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4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645">
    <w:name w:val="默认段落字体 Para Char Char Char Char"/>
    <w:basedOn w:val="1"/>
    <w:qFormat/>
    <w:uiPriority w:val="0"/>
    <w:pPr>
      <w:spacing w:line="360" w:lineRule="auto"/>
    </w:pPr>
    <w:rPr>
      <w:szCs w:val="20"/>
    </w:rPr>
  </w:style>
  <w:style w:type="paragraph" w:customStyle="1" w:styleId="646">
    <w:name w:val="Char Char1101"/>
    <w:basedOn w:val="1"/>
    <w:qFormat/>
    <w:uiPriority w:val="0"/>
    <w:pPr>
      <w:spacing w:line="360" w:lineRule="auto"/>
    </w:pPr>
    <w:rPr>
      <w:rFonts w:ascii="Tahoma" w:hAnsi="Tahoma"/>
      <w:sz w:val="24"/>
      <w:szCs w:val="20"/>
    </w:rPr>
  </w:style>
  <w:style w:type="paragraph" w:customStyle="1" w:styleId="6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6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49">
    <w:name w:val="左对齐表格文字"/>
    <w:basedOn w:val="1"/>
    <w:qFormat/>
    <w:uiPriority w:val="0"/>
    <w:pPr>
      <w:adjustRightInd/>
      <w:ind w:firstLine="200" w:firstLineChars="200"/>
      <w:jc w:val="right"/>
    </w:pPr>
  </w:style>
  <w:style w:type="paragraph" w:customStyle="1" w:styleId="6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52">
    <w:name w:val="Char1"/>
    <w:basedOn w:val="1"/>
    <w:qFormat/>
    <w:uiPriority w:val="0"/>
    <w:rPr>
      <w:rFonts w:ascii="仿宋_GB2312" w:eastAsia="仿宋_GB2312"/>
      <w:b/>
      <w:sz w:val="32"/>
      <w:szCs w:val="32"/>
    </w:rPr>
  </w:style>
  <w:style w:type="paragraph" w:customStyle="1" w:styleId="653">
    <w:name w:val="Char Char Char Char Char Char Char2"/>
    <w:basedOn w:val="1"/>
    <w:qFormat/>
    <w:uiPriority w:val="0"/>
    <w:rPr>
      <w:rFonts w:ascii="仿宋_GB2312" w:eastAsia="仿宋_GB2312"/>
      <w:b/>
      <w:sz w:val="32"/>
      <w:szCs w:val="32"/>
    </w:rPr>
  </w:style>
  <w:style w:type="paragraph" w:customStyle="1" w:styleId="65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5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5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58">
    <w:name w:val="方案正文无缩进"/>
    <w:qFormat/>
    <w:uiPriority w:val="0"/>
    <w:pPr>
      <w:spacing w:line="360" w:lineRule="auto"/>
    </w:pPr>
    <w:rPr>
      <w:kern w:val="2"/>
      <w:sz w:val="24"/>
      <w:szCs w:val="24"/>
      <w:lang w:val="en-US" w:eastAsia="zh-CN" w:bidi="ar-SA"/>
    </w:rPr>
  </w:style>
  <w:style w:type="paragraph" w:customStyle="1" w:styleId="659">
    <w:name w:val="列出段落2"/>
    <w:basedOn w:val="1"/>
    <w:qFormat/>
    <w:uiPriority w:val="0"/>
    <w:pPr>
      <w:adjustRightInd/>
      <w:ind w:firstLine="420" w:firstLineChars="200"/>
    </w:pPr>
    <w:rPr>
      <w:rFonts w:ascii="宋体" w:hAnsi="宋体"/>
      <w:sz w:val="24"/>
    </w:rPr>
  </w:style>
  <w:style w:type="paragraph" w:customStyle="1" w:styleId="66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61">
    <w:name w:val="Char Char Char Char Char Char Char Char Char Char Char1 Char"/>
    <w:basedOn w:val="1"/>
    <w:qFormat/>
    <w:uiPriority w:val="0"/>
    <w:pPr>
      <w:adjustRightInd/>
    </w:pPr>
    <w:rPr>
      <w:rFonts w:ascii="Tahoma" w:hAnsi="Tahoma"/>
      <w:sz w:val="24"/>
    </w:rPr>
  </w:style>
  <w:style w:type="paragraph" w:customStyle="1" w:styleId="662">
    <w:name w:val="彩色列表 - 强调文字颜色 12"/>
    <w:basedOn w:val="1"/>
    <w:qFormat/>
    <w:uiPriority w:val="0"/>
    <w:pPr>
      <w:adjustRightInd/>
      <w:ind w:firstLine="420" w:firstLineChars="200"/>
    </w:pPr>
    <w:rPr>
      <w:rFonts w:ascii="Calibri" w:hAnsi="Calibri"/>
      <w:szCs w:val="22"/>
    </w:rPr>
  </w:style>
  <w:style w:type="paragraph" w:customStyle="1" w:styleId="6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4">
    <w:name w:val="P1"/>
    <w:basedOn w:val="1"/>
    <w:qFormat/>
    <w:uiPriority w:val="0"/>
    <w:pPr>
      <w:adjustRightInd/>
      <w:spacing w:line="288" w:lineRule="auto"/>
      <w:ind w:firstLine="425" w:firstLineChars="200"/>
    </w:pPr>
  </w:style>
  <w:style w:type="paragraph" w:customStyle="1" w:styleId="66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6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67">
    <w:name w:val="a1"/>
    <w:basedOn w:val="1"/>
    <w:qFormat/>
    <w:uiPriority w:val="0"/>
    <w:pPr>
      <w:widowControl/>
      <w:spacing w:line="300" w:lineRule="atLeast"/>
      <w:jc w:val="left"/>
    </w:pPr>
    <w:rPr>
      <w:rFonts w:ascii="宋体" w:hAnsi="宋体"/>
      <w:kern w:val="0"/>
      <w:sz w:val="18"/>
      <w:szCs w:val="20"/>
    </w:rPr>
  </w:style>
  <w:style w:type="paragraph" w:customStyle="1" w:styleId="66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66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7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72">
    <w:name w:val="subhead"/>
    <w:qFormat/>
    <w:uiPriority w:val="0"/>
    <w:pPr>
      <w:spacing w:after="120" w:line="300" w:lineRule="exact"/>
    </w:pPr>
    <w:rPr>
      <w:rFonts w:ascii="Arial" w:hAnsi="Arial"/>
      <w:b/>
      <w:sz w:val="26"/>
      <w:lang w:val="en-US" w:eastAsia="en-US" w:bidi="ar-SA"/>
    </w:rPr>
  </w:style>
  <w:style w:type="paragraph" w:customStyle="1" w:styleId="673">
    <w:name w:val="Char Char Char Char"/>
    <w:basedOn w:val="1"/>
    <w:qFormat/>
    <w:uiPriority w:val="0"/>
    <w:rPr>
      <w:rFonts w:ascii="Tahoma" w:hAnsi="Tahoma"/>
      <w:sz w:val="24"/>
      <w:szCs w:val="20"/>
    </w:rPr>
  </w:style>
  <w:style w:type="paragraph" w:customStyle="1" w:styleId="67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6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76">
    <w:name w:val="Char3"/>
    <w:basedOn w:val="1"/>
    <w:qFormat/>
    <w:uiPriority w:val="0"/>
    <w:pPr>
      <w:adjustRightInd/>
    </w:pPr>
    <w:rPr>
      <w:rFonts w:ascii="仿宋_GB2312" w:eastAsia="仿宋_GB2312"/>
      <w:b/>
      <w:sz w:val="32"/>
      <w:szCs w:val="32"/>
    </w:rPr>
  </w:style>
  <w:style w:type="paragraph" w:customStyle="1" w:styleId="67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7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8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1">
    <w:name w:val="正文文本 221"/>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682">
    <w:name w:val="Char2 Char Char2"/>
    <w:basedOn w:val="1"/>
    <w:qFormat/>
    <w:uiPriority w:val="0"/>
    <w:pPr>
      <w:adjustRightInd/>
    </w:pPr>
    <w:rPr>
      <w:rFonts w:ascii="Tahoma" w:hAnsi="Tahoma"/>
      <w:sz w:val="24"/>
      <w:szCs w:val="20"/>
    </w:rPr>
  </w:style>
  <w:style w:type="paragraph" w:customStyle="1" w:styleId="68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85">
    <w:name w:val="表格内文"/>
    <w:basedOn w:val="1"/>
    <w:qFormat/>
    <w:uiPriority w:val="0"/>
    <w:pPr>
      <w:adjustRightInd/>
      <w:spacing w:line="360" w:lineRule="auto"/>
    </w:pPr>
    <w:rPr>
      <w:rFonts w:ascii="宋体" w:hAnsi="宋体" w:cs="宋体"/>
      <w:color w:val="000000"/>
      <w:szCs w:val="20"/>
    </w:rPr>
  </w:style>
  <w:style w:type="paragraph" w:customStyle="1" w:styleId="686">
    <w:name w:val="Char Char Char1 Char2"/>
    <w:basedOn w:val="1"/>
    <w:qFormat/>
    <w:uiPriority w:val="0"/>
    <w:rPr>
      <w:szCs w:val="20"/>
    </w:rPr>
  </w:style>
  <w:style w:type="paragraph" w:customStyle="1" w:styleId="6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8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91">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692">
    <w:name w:val="gjt_正文"/>
    <w:qFormat/>
    <w:uiPriority w:val="0"/>
    <w:pPr>
      <w:widowControl w:val="0"/>
      <w:spacing w:line="360" w:lineRule="auto"/>
      <w:ind w:firstLine="420"/>
      <w:jc w:val="both"/>
    </w:pPr>
    <w:rPr>
      <w:rFonts w:ascii="Calibri" w:hAnsi="Calibri" w:eastAsia="仿宋_GB2312"/>
      <w:color w:val="000000"/>
      <w:kern w:val="2"/>
      <w:sz w:val="24"/>
      <w:szCs w:val="24"/>
      <w:u w:val="none" w:color="000000"/>
      <w:lang w:val="en-US" w:eastAsia="zh-CN" w:bidi="ar-SA"/>
    </w:rPr>
  </w:style>
  <w:style w:type="paragraph" w:customStyle="1" w:styleId="693">
    <w:name w:val="正文21"/>
    <w:basedOn w:val="1"/>
    <w:qFormat/>
    <w:uiPriority w:val="0"/>
    <w:pPr>
      <w:adjustRightInd/>
      <w:spacing w:before="156" w:line="360" w:lineRule="auto"/>
      <w:ind w:firstLine="510" w:firstLineChars="200"/>
    </w:pPr>
    <w:rPr>
      <w:sz w:val="24"/>
      <w:szCs w:val="20"/>
    </w:rPr>
  </w:style>
  <w:style w:type="paragraph" w:customStyle="1" w:styleId="694">
    <w:name w:val="正文文本 22"/>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69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7">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6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99">
    <w:name w:val="三级条标题"/>
    <w:basedOn w:val="520"/>
    <w:next w:val="518"/>
    <w:qFormat/>
    <w:uiPriority w:val="0"/>
    <w:pPr>
      <w:tabs>
        <w:tab w:val="left" w:pos="2520"/>
        <w:tab w:val="clear" w:pos="2100"/>
      </w:tabs>
      <w:ind w:left="2520"/>
      <w:outlineLvl w:val="4"/>
    </w:pPr>
  </w:style>
  <w:style w:type="paragraph" w:customStyle="1" w:styleId="70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0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02">
    <w:name w:val="Char Char11 Char Char Char1"/>
    <w:basedOn w:val="1"/>
    <w:qFormat/>
    <w:uiPriority w:val="6"/>
    <w:pPr>
      <w:spacing w:line="360" w:lineRule="auto"/>
    </w:pPr>
    <w:rPr>
      <w:szCs w:val="20"/>
    </w:rPr>
  </w:style>
  <w:style w:type="paragraph" w:customStyle="1" w:styleId="703">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05">
    <w:name w:val="正文（首行缩进2字符）"/>
    <w:basedOn w:val="1"/>
    <w:qFormat/>
    <w:uiPriority w:val="0"/>
    <w:pPr>
      <w:adjustRightInd/>
      <w:spacing w:line="360" w:lineRule="auto"/>
      <w:ind w:firstLine="480" w:firstLineChars="200"/>
    </w:pPr>
    <w:rPr>
      <w:sz w:val="24"/>
      <w:szCs w:val="20"/>
    </w:rPr>
  </w:style>
  <w:style w:type="paragraph" w:customStyle="1" w:styleId="706">
    <w:name w:val="WW-正文文字缩进 2"/>
    <w:basedOn w:val="1"/>
    <w:qFormat/>
    <w:uiPriority w:val="0"/>
    <w:pPr>
      <w:suppressAutoHyphens/>
      <w:adjustRightInd/>
      <w:ind w:firstLine="420"/>
    </w:pPr>
    <w:rPr>
      <w:kern w:val="1"/>
      <w:szCs w:val="20"/>
    </w:rPr>
  </w:style>
  <w:style w:type="paragraph" w:customStyle="1" w:styleId="707">
    <w:name w:val="Char Char Char1 Char1"/>
    <w:basedOn w:val="1"/>
    <w:qFormat/>
    <w:uiPriority w:val="6"/>
    <w:rPr>
      <w:szCs w:val="20"/>
    </w:rPr>
  </w:style>
  <w:style w:type="paragraph" w:customStyle="1" w:styleId="70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09">
    <w:name w:val="Char3 Char Char Char"/>
    <w:basedOn w:val="1"/>
    <w:qFormat/>
    <w:uiPriority w:val="0"/>
    <w:pPr>
      <w:widowControl/>
      <w:adjustRightInd/>
      <w:spacing w:after="160" w:line="240" w:lineRule="exact"/>
      <w:jc w:val="left"/>
    </w:pPr>
    <w:rPr>
      <w:szCs w:val="20"/>
    </w:rPr>
  </w:style>
  <w:style w:type="paragraph" w:customStyle="1" w:styleId="71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修订3"/>
    <w:qFormat/>
    <w:uiPriority w:val="0"/>
    <w:rPr>
      <w:kern w:val="2"/>
      <w:sz w:val="21"/>
      <w:lang w:val="en-US" w:eastAsia="zh-CN" w:bidi="ar-SA"/>
    </w:rPr>
  </w:style>
  <w:style w:type="paragraph" w:customStyle="1" w:styleId="712">
    <w:name w:val="四级条标题"/>
    <w:basedOn w:val="699"/>
    <w:next w:val="518"/>
    <w:qFormat/>
    <w:uiPriority w:val="0"/>
    <w:pPr>
      <w:tabs>
        <w:tab w:val="left" w:pos="2940"/>
        <w:tab w:val="clear" w:pos="2520"/>
      </w:tabs>
      <w:ind w:left="2940"/>
      <w:outlineLvl w:val="5"/>
    </w:pPr>
  </w:style>
  <w:style w:type="paragraph" w:customStyle="1" w:styleId="71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715">
    <w:name w:val="文档正文"/>
    <w:basedOn w:val="1"/>
    <w:qFormat/>
    <w:uiPriority w:val="0"/>
    <w:pPr>
      <w:spacing w:line="480" w:lineRule="atLeast"/>
      <w:ind w:firstLine="567"/>
      <w:textAlignment w:val="baseline"/>
    </w:pPr>
    <w:rPr>
      <w:kern w:val="0"/>
      <w:sz w:val="24"/>
      <w:szCs w:val="20"/>
    </w:rPr>
  </w:style>
  <w:style w:type="paragraph" w:customStyle="1" w:styleId="71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17">
    <w:name w:val="彩色底纹 - 强调文字颜色 11"/>
    <w:qFormat/>
    <w:uiPriority w:val="0"/>
    <w:rPr>
      <w:kern w:val="2"/>
      <w:sz w:val="21"/>
      <w:szCs w:val="24"/>
      <w:lang w:val="en-US" w:eastAsia="zh-CN" w:bidi="ar-SA"/>
    </w:rPr>
  </w:style>
  <w:style w:type="paragraph" w:customStyle="1" w:styleId="718">
    <w:name w:val="Char Char111"/>
    <w:basedOn w:val="1"/>
    <w:qFormat/>
    <w:uiPriority w:val="0"/>
    <w:pPr>
      <w:spacing w:line="360" w:lineRule="auto"/>
    </w:pPr>
    <w:rPr>
      <w:szCs w:val="20"/>
    </w:rPr>
  </w:style>
  <w:style w:type="paragraph" w:customStyle="1" w:styleId="719">
    <w:name w:val="标题五"/>
    <w:basedOn w:val="1"/>
    <w:qFormat/>
    <w:uiPriority w:val="0"/>
    <w:pPr>
      <w:adjustRightInd/>
      <w:spacing w:before="156" w:beforeLines="50" w:line="360" w:lineRule="auto"/>
    </w:pPr>
    <w:rPr>
      <w:b/>
      <w:sz w:val="24"/>
    </w:rPr>
  </w:style>
  <w:style w:type="paragraph" w:customStyle="1" w:styleId="720">
    <w:name w:val="Char2"/>
    <w:basedOn w:val="1"/>
    <w:qFormat/>
    <w:uiPriority w:val="0"/>
    <w:rPr>
      <w:rFonts w:ascii="仿宋_GB2312" w:eastAsia="仿宋_GB2312"/>
      <w:b/>
      <w:sz w:val="32"/>
      <w:szCs w:val="32"/>
    </w:rPr>
  </w:style>
  <w:style w:type="paragraph" w:customStyle="1" w:styleId="72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2">
    <w:name w:val="0"/>
    <w:basedOn w:val="1"/>
    <w:qFormat/>
    <w:uiPriority w:val="0"/>
    <w:pPr>
      <w:widowControl/>
    </w:pPr>
    <w:rPr>
      <w:kern w:val="0"/>
      <w:sz w:val="24"/>
      <w:szCs w:val="20"/>
    </w:rPr>
  </w:style>
  <w:style w:type="paragraph" w:customStyle="1" w:styleId="723">
    <w:name w:val="四号　首行缩进"/>
    <w:basedOn w:val="1"/>
    <w:qFormat/>
    <w:uiPriority w:val="0"/>
    <w:pPr>
      <w:adjustRightInd/>
      <w:spacing w:line="360" w:lineRule="auto"/>
    </w:pPr>
    <w:rPr>
      <w:rFonts w:ascii="宋体" w:hAnsi="宋体"/>
      <w:szCs w:val="20"/>
    </w:rPr>
  </w:style>
  <w:style w:type="paragraph" w:customStyle="1" w:styleId="724">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725">
    <w:name w:val="Char Char Char Char Char Char Char Char Char Char1"/>
    <w:basedOn w:val="1"/>
    <w:qFormat/>
    <w:uiPriority w:val="0"/>
    <w:rPr>
      <w:rFonts w:ascii="仿宋_GB2312" w:eastAsia="仿宋_GB2312"/>
      <w:b/>
      <w:sz w:val="32"/>
      <w:szCs w:val="32"/>
    </w:rPr>
  </w:style>
  <w:style w:type="paragraph" w:customStyle="1" w:styleId="72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27">
    <w:name w:val="正文表标题"/>
    <w:next w:val="518"/>
    <w:qFormat/>
    <w:uiPriority w:val="0"/>
    <w:pPr>
      <w:tabs>
        <w:tab w:val="left" w:pos="840"/>
      </w:tabs>
      <w:ind w:left="840" w:hanging="420"/>
      <w:jc w:val="center"/>
    </w:pPr>
    <w:rPr>
      <w:rFonts w:ascii="黑体" w:eastAsia="黑体"/>
      <w:sz w:val="21"/>
      <w:lang w:val="en-US" w:eastAsia="zh-CN" w:bidi="ar-SA"/>
    </w:rPr>
  </w:style>
  <w:style w:type="paragraph" w:customStyle="1" w:styleId="72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729">
    <w:name w:val="样式7"/>
    <w:basedOn w:val="509"/>
    <w:next w:val="1"/>
    <w:qFormat/>
    <w:uiPriority w:val="0"/>
    <w:pPr>
      <w:spacing w:after="156" w:afterLines="50"/>
      <w:jc w:val="left"/>
      <w:outlineLvl w:val="3"/>
    </w:pPr>
    <w:rPr>
      <w:sz w:val="24"/>
      <w:szCs w:val="24"/>
    </w:rPr>
  </w:style>
  <w:style w:type="paragraph" w:customStyle="1" w:styleId="730">
    <w:name w:val="封面公司名"/>
    <w:qFormat/>
    <w:uiPriority w:val="0"/>
    <w:pPr>
      <w:jc w:val="center"/>
    </w:pPr>
    <w:rPr>
      <w:rFonts w:ascii="Arial" w:hAnsi="Arial" w:eastAsia="楷体_GB2312" w:cs="宋体"/>
      <w:bCs/>
      <w:kern w:val="2"/>
      <w:sz w:val="28"/>
      <w:lang w:val="en-US" w:eastAsia="zh-CN" w:bidi="ar-SA"/>
    </w:rPr>
  </w:style>
  <w:style w:type="paragraph" w:customStyle="1" w:styleId="7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3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34">
    <w:name w:val="Char2 Char Char Char2"/>
    <w:basedOn w:val="1"/>
    <w:qFormat/>
    <w:uiPriority w:val="0"/>
    <w:rPr>
      <w:rFonts w:ascii="仿宋_GB2312" w:eastAsia="仿宋_GB2312"/>
      <w:b/>
      <w:sz w:val="32"/>
      <w:szCs w:val="32"/>
    </w:rPr>
  </w:style>
  <w:style w:type="paragraph" w:customStyle="1" w:styleId="735">
    <w:name w:val="正文文本 21"/>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73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3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738">
    <w:name w:val="Char1 Char Char Char4"/>
    <w:basedOn w:val="1"/>
    <w:qFormat/>
    <w:uiPriority w:val="0"/>
    <w:pPr>
      <w:adjustRightInd/>
      <w:ind w:firstLine="200" w:firstLineChars="200"/>
    </w:pPr>
    <w:rPr>
      <w:rFonts w:ascii="Tahoma" w:hAnsi="Tahoma"/>
      <w:sz w:val="24"/>
      <w:szCs w:val="20"/>
    </w:rPr>
  </w:style>
  <w:style w:type="paragraph" w:customStyle="1" w:styleId="739">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740">
    <w:name w:val="默认段落字体 Para Char Char Char1 Char"/>
    <w:basedOn w:val="1"/>
    <w:qFormat/>
    <w:uiPriority w:val="0"/>
    <w:pPr>
      <w:spacing w:line="240" w:lineRule="atLeast"/>
      <w:ind w:left="420" w:firstLine="420"/>
    </w:pPr>
    <w:rPr>
      <w:sz w:val="24"/>
    </w:rPr>
  </w:style>
  <w:style w:type="paragraph" w:customStyle="1" w:styleId="741">
    <w:name w:val="_Style 8"/>
    <w:basedOn w:val="1"/>
    <w:qFormat/>
    <w:uiPriority w:val="34"/>
    <w:pPr>
      <w:adjustRightInd/>
      <w:ind w:firstLine="420" w:firstLineChars="200"/>
    </w:pPr>
    <w:rPr>
      <w:rFonts w:eastAsia="仿宋_GB2312"/>
      <w:sz w:val="28"/>
    </w:rPr>
  </w:style>
  <w:style w:type="paragraph" w:customStyle="1" w:styleId="74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43">
    <w:name w:val="Th"/>
    <w:qFormat/>
    <w:uiPriority w:val="0"/>
    <w:pPr>
      <w:keepNext/>
      <w:keepLines/>
      <w:spacing w:before="20" w:after="60" w:line="220" w:lineRule="exact"/>
      <w:ind w:left="240"/>
    </w:pPr>
    <w:rPr>
      <w:b/>
      <w:sz w:val="19"/>
      <w:lang w:val="en-US" w:eastAsia="en-US" w:bidi="ar-SA"/>
    </w:rPr>
  </w:style>
  <w:style w:type="paragraph" w:customStyle="1" w:styleId="744">
    <w:name w:val="Char1 Char Char Char21"/>
    <w:basedOn w:val="1"/>
    <w:qFormat/>
    <w:uiPriority w:val="0"/>
    <w:rPr>
      <w:rFonts w:ascii="Tahoma" w:hAnsi="Tahoma"/>
      <w:sz w:val="24"/>
      <w:szCs w:val="20"/>
    </w:rPr>
  </w:style>
  <w:style w:type="paragraph" w:customStyle="1" w:styleId="74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46">
    <w:name w:val="Char Char113"/>
    <w:basedOn w:val="1"/>
    <w:qFormat/>
    <w:uiPriority w:val="0"/>
    <w:pPr>
      <w:widowControl/>
      <w:spacing w:after="160" w:line="240" w:lineRule="exact"/>
      <w:jc w:val="left"/>
    </w:pPr>
    <w:rPr>
      <w:rFonts w:eastAsia="仿宋_GB2312"/>
      <w:sz w:val="28"/>
    </w:rPr>
  </w:style>
  <w:style w:type="paragraph" w:customStyle="1" w:styleId="747">
    <w:name w:val="Char Char1 Char Char Char Char Char Char1"/>
    <w:basedOn w:val="1"/>
    <w:qFormat/>
    <w:uiPriority w:val="0"/>
    <w:rPr>
      <w:rFonts w:ascii="仿宋_GB2312" w:eastAsia="仿宋_GB2312"/>
      <w:b/>
      <w:sz w:val="32"/>
      <w:szCs w:val="20"/>
    </w:rPr>
  </w:style>
  <w:style w:type="paragraph" w:customStyle="1" w:styleId="748">
    <w:name w:val="Char6"/>
    <w:basedOn w:val="1"/>
    <w:qFormat/>
    <w:uiPriority w:val="0"/>
    <w:rPr>
      <w:rFonts w:ascii="仿宋_GB2312" w:eastAsia="仿宋_GB2312"/>
      <w:b/>
      <w:sz w:val="32"/>
      <w:szCs w:val="32"/>
    </w:rPr>
  </w:style>
  <w:style w:type="paragraph" w:customStyle="1" w:styleId="749">
    <w:name w:val="正文文字 2"/>
    <w:basedOn w:val="219"/>
    <w:next w:val="219"/>
    <w:qFormat/>
    <w:uiPriority w:val="0"/>
    <w:rPr>
      <w:rFonts w:ascii="宋体" w:eastAsia="宋体" w:cs="Times New Roman"/>
      <w:color w:val="auto"/>
    </w:rPr>
  </w:style>
  <w:style w:type="paragraph" w:customStyle="1" w:styleId="75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51">
    <w:name w:val="Char Char11 Char Char Char Char Char Char Char Char Char1"/>
    <w:basedOn w:val="1"/>
    <w:qFormat/>
    <w:uiPriority w:val="6"/>
    <w:pPr>
      <w:spacing w:line="360" w:lineRule="auto"/>
    </w:pPr>
    <w:rPr>
      <w:szCs w:val="20"/>
    </w:rPr>
  </w:style>
  <w:style w:type="paragraph" w:customStyle="1" w:styleId="752">
    <w:name w:val="列表内容"/>
    <w:basedOn w:val="1"/>
    <w:next w:val="1"/>
    <w:qFormat/>
    <w:uiPriority w:val="0"/>
    <w:pPr>
      <w:widowControl/>
      <w:tabs>
        <w:tab w:val="left" w:pos="840"/>
      </w:tabs>
      <w:ind w:left="840" w:hanging="420"/>
      <w:jc w:val="left"/>
    </w:pPr>
    <w:rPr>
      <w:kern w:val="0"/>
      <w:sz w:val="18"/>
    </w:rPr>
  </w:style>
  <w:style w:type="paragraph" w:customStyle="1" w:styleId="753">
    <w:name w:val="Char2 Char Char"/>
    <w:basedOn w:val="1"/>
    <w:qFormat/>
    <w:uiPriority w:val="0"/>
    <w:pPr>
      <w:adjustRightInd/>
    </w:pPr>
    <w:rPr>
      <w:rFonts w:ascii="Tahoma" w:hAnsi="Tahoma"/>
      <w:sz w:val="24"/>
      <w:szCs w:val="20"/>
    </w:rPr>
  </w:style>
  <w:style w:type="paragraph" w:customStyle="1" w:styleId="754">
    <w:name w:val="Char2 Char Char Char1"/>
    <w:basedOn w:val="1"/>
    <w:qFormat/>
    <w:uiPriority w:val="6"/>
    <w:rPr>
      <w:rFonts w:ascii="仿宋_GB2312" w:eastAsia="仿宋_GB2312"/>
      <w:b/>
      <w:sz w:val="32"/>
      <w:szCs w:val="32"/>
    </w:rPr>
  </w:style>
  <w:style w:type="paragraph" w:customStyle="1" w:styleId="7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5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5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758">
    <w:name w:val="默认段落字体 Para Char Char Char Char Char Char Char"/>
    <w:basedOn w:val="1"/>
    <w:qFormat/>
    <w:uiPriority w:val="0"/>
    <w:rPr>
      <w:rFonts w:eastAsia="仿宋_GB2312"/>
      <w:sz w:val="28"/>
      <w:szCs w:val="20"/>
    </w:rPr>
  </w:style>
  <w:style w:type="paragraph" w:customStyle="1" w:styleId="7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6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6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6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5"/>
    <w:basedOn w:val="1"/>
    <w:qFormat/>
    <w:uiPriority w:val="0"/>
    <w:pPr>
      <w:spacing w:line="360" w:lineRule="auto"/>
      <w:ind w:firstLine="200" w:firstLineChars="200"/>
    </w:pPr>
    <w:rPr>
      <w:rFonts w:eastAsia="楷体_GB2312" w:cs="Lucida Sans"/>
      <w:sz w:val="24"/>
    </w:rPr>
  </w:style>
  <w:style w:type="paragraph" w:customStyle="1" w:styleId="769">
    <w:name w:val="索引 11"/>
    <w:basedOn w:val="1"/>
    <w:next w:val="1"/>
    <w:qFormat/>
    <w:uiPriority w:val="99"/>
    <w:pPr>
      <w:adjustRightInd/>
      <w:spacing w:line="360" w:lineRule="auto"/>
    </w:pPr>
    <w:rPr>
      <w:rFonts w:ascii="仿宋_GB2312" w:eastAsia="仿宋_GB2312"/>
      <w:sz w:val="24"/>
      <w:szCs w:val="20"/>
    </w:rPr>
  </w:style>
  <w:style w:type="paragraph" w:customStyle="1" w:styleId="77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1">
    <w:name w:val="MM Topic 4"/>
    <w:basedOn w:val="6"/>
    <w:qFormat/>
    <w:uiPriority w:val="0"/>
    <w:pPr>
      <w:tabs>
        <w:tab w:val="left" w:pos="2100"/>
        <w:tab w:val="clear" w:pos="864"/>
      </w:tabs>
      <w:adjustRightInd/>
      <w:ind w:left="2100" w:hanging="420"/>
    </w:pPr>
    <w:rPr>
      <w:lang w:val="en-US"/>
    </w:rPr>
  </w:style>
  <w:style w:type="paragraph" w:customStyle="1" w:styleId="77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7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7">
    <w:name w:val="表格（小）"/>
    <w:basedOn w:val="1"/>
    <w:qFormat/>
    <w:uiPriority w:val="0"/>
    <w:pPr>
      <w:adjustRightInd/>
      <w:snapToGrid w:val="0"/>
      <w:spacing w:line="300" w:lineRule="auto"/>
    </w:pPr>
    <w:rPr>
      <w:rFonts w:eastAsia="仿宋"/>
      <w:szCs w:val="21"/>
    </w:rPr>
  </w:style>
  <w:style w:type="paragraph" w:customStyle="1" w:styleId="778">
    <w:name w:val="List Paragraph1"/>
    <w:basedOn w:val="1"/>
    <w:qFormat/>
    <w:uiPriority w:val="0"/>
    <w:pPr>
      <w:spacing w:line="360" w:lineRule="auto"/>
      <w:ind w:firstLine="200" w:firstLineChars="200"/>
    </w:pPr>
    <w:rPr>
      <w:rFonts w:eastAsia="楷体_GB2312" w:cs="Lucida Sans"/>
      <w:sz w:val="24"/>
    </w:rPr>
  </w:style>
  <w:style w:type="paragraph" w:customStyle="1" w:styleId="779">
    <w:name w:val="单元格居中"/>
    <w:basedOn w:val="1"/>
    <w:qFormat/>
    <w:uiPriority w:val="0"/>
    <w:pPr>
      <w:adjustRightInd/>
      <w:spacing w:line="360" w:lineRule="auto"/>
      <w:jc w:val="center"/>
    </w:pPr>
    <w:rPr>
      <w:sz w:val="24"/>
    </w:rPr>
  </w:style>
  <w:style w:type="paragraph" w:customStyle="1" w:styleId="780">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7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8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8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84">
    <w:name w:val="Char Char Char Char Char Char Char"/>
    <w:basedOn w:val="1"/>
    <w:qFormat/>
    <w:uiPriority w:val="0"/>
    <w:rPr>
      <w:rFonts w:ascii="仿宋_GB2312" w:eastAsia="仿宋_GB2312"/>
      <w:b/>
      <w:sz w:val="32"/>
      <w:szCs w:val="32"/>
    </w:rPr>
  </w:style>
  <w:style w:type="paragraph" w:customStyle="1" w:styleId="7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86">
    <w:name w:val="带编号样式"/>
    <w:basedOn w:val="787"/>
    <w:qFormat/>
    <w:uiPriority w:val="0"/>
    <w:pPr>
      <w:tabs>
        <w:tab w:val="left" w:pos="840"/>
      </w:tabs>
      <w:snapToGrid w:val="0"/>
      <w:ind w:left="840" w:hanging="420" w:firstLineChars="0"/>
    </w:pPr>
    <w:rPr>
      <w:rFonts w:ascii="仿宋_GB2312" w:eastAsia="仿宋_GB2312"/>
      <w:color w:val="000000"/>
    </w:rPr>
  </w:style>
  <w:style w:type="paragraph" w:customStyle="1" w:styleId="787">
    <w:name w:val="文本正文 Char"/>
    <w:basedOn w:val="1"/>
    <w:qFormat/>
    <w:uiPriority w:val="0"/>
    <w:pPr>
      <w:spacing w:line="360" w:lineRule="auto"/>
      <w:ind w:firstLine="200" w:firstLineChars="200"/>
    </w:pPr>
    <w:rPr>
      <w:kern w:val="0"/>
      <w:sz w:val="24"/>
      <w:szCs w:val="20"/>
    </w:rPr>
  </w:style>
  <w:style w:type="paragraph" w:customStyle="1" w:styleId="78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8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90">
    <w:name w:val="Char2 Char Char Char"/>
    <w:basedOn w:val="1"/>
    <w:qFormat/>
    <w:uiPriority w:val="0"/>
    <w:rPr>
      <w:rFonts w:ascii="仿宋_GB2312" w:eastAsia="仿宋_GB2312"/>
      <w:b/>
      <w:sz w:val="32"/>
      <w:szCs w:val="32"/>
    </w:rPr>
  </w:style>
  <w:style w:type="paragraph" w:customStyle="1" w:styleId="79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9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793">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794">
    <w:name w:val="MM Topic 1"/>
    <w:basedOn w:val="3"/>
    <w:qFormat/>
    <w:uiPriority w:val="0"/>
    <w:pPr>
      <w:tabs>
        <w:tab w:val="left" w:pos="840"/>
        <w:tab w:val="clear" w:pos="432"/>
      </w:tabs>
      <w:adjustRightInd/>
      <w:ind w:left="840" w:hanging="420"/>
    </w:pPr>
  </w:style>
  <w:style w:type="paragraph" w:customStyle="1" w:styleId="79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9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7">
    <w:name w:val="Char Char1 Char Char Char"/>
    <w:basedOn w:val="1"/>
    <w:qFormat/>
    <w:uiPriority w:val="0"/>
    <w:rPr>
      <w:rFonts w:ascii="仿宋_GB2312" w:eastAsia="仿宋_GB2312"/>
      <w:b/>
      <w:sz w:val="32"/>
      <w:szCs w:val="20"/>
    </w:rPr>
  </w:style>
  <w:style w:type="paragraph" w:customStyle="1" w:styleId="7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9">
    <w:name w:val="正文（标题三）"/>
    <w:basedOn w:val="1"/>
    <w:qFormat/>
    <w:uiPriority w:val="0"/>
    <w:pPr>
      <w:spacing w:line="360" w:lineRule="auto"/>
      <w:ind w:firstLine="200" w:firstLineChars="200"/>
    </w:pPr>
    <w:rPr>
      <w:sz w:val="24"/>
    </w:rPr>
  </w:style>
  <w:style w:type="paragraph" w:customStyle="1" w:styleId="80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0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02">
    <w:name w:val="Table Cell"/>
    <w:qFormat/>
    <w:uiPriority w:val="0"/>
    <w:pPr>
      <w:adjustRightInd w:val="0"/>
      <w:snapToGrid w:val="0"/>
      <w:spacing w:before="20" w:after="20"/>
    </w:pPr>
    <w:rPr>
      <w:rFonts w:ascii="Courier New" w:hAnsi="Courier New"/>
      <w:sz w:val="24"/>
      <w:lang w:val="en-US" w:eastAsia="zh-CN" w:bidi="ar-SA"/>
    </w:rPr>
  </w:style>
  <w:style w:type="paragraph" w:customStyle="1" w:styleId="803">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8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0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06">
    <w:name w:val="正文 New New New New"/>
    <w:qFormat/>
    <w:uiPriority w:val="0"/>
    <w:pPr>
      <w:widowControl w:val="0"/>
      <w:jc w:val="both"/>
    </w:pPr>
    <w:rPr>
      <w:color w:val="000000"/>
      <w:szCs w:val="24"/>
      <w:lang w:val="en-US" w:eastAsia="zh-CN" w:bidi="ar-SA"/>
    </w:rPr>
  </w:style>
  <w:style w:type="paragraph" w:customStyle="1" w:styleId="807">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808">
    <w:name w:val="无间隔*"/>
    <w:qFormat/>
    <w:uiPriority w:val="0"/>
    <w:pPr>
      <w:widowControl w:val="0"/>
      <w:jc w:val="both"/>
    </w:pPr>
    <w:rPr>
      <w:rFonts w:cs="Calibri"/>
      <w:color w:val="000000"/>
      <w:kern w:val="1"/>
      <w:sz w:val="21"/>
      <w:szCs w:val="22"/>
      <w:lang w:val="en-US" w:eastAsia="zh-CN" w:bidi="ar-SA"/>
    </w:rPr>
  </w:style>
  <w:style w:type="paragraph" w:customStyle="1" w:styleId="809">
    <w:name w:val="封面"/>
    <w:basedOn w:val="1"/>
    <w:qFormat/>
    <w:uiPriority w:val="0"/>
    <w:pPr>
      <w:spacing w:line="360" w:lineRule="atLeast"/>
      <w:jc w:val="right"/>
      <w:textAlignment w:val="baseline"/>
    </w:pPr>
    <w:rPr>
      <w:rFonts w:ascii="Symbol" w:hAnsi="Symbol"/>
      <w:kern w:val="0"/>
      <w:szCs w:val="20"/>
    </w:rPr>
  </w:style>
  <w:style w:type="paragraph" w:customStyle="1" w:styleId="810">
    <w:name w:val="文章标题"/>
    <w:next w:val="73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811">
    <w:name w:val="五级无标题条"/>
    <w:basedOn w:val="1"/>
    <w:qFormat/>
    <w:uiPriority w:val="0"/>
    <w:pPr>
      <w:adjustRightInd/>
    </w:p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Char Char1 Char Char1 Char Char1"/>
    <w:basedOn w:val="1"/>
    <w:qFormat/>
    <w:uiPriority w:val="0"/>
    <w:pPr>
      <w:tabs>
        <w:tab w:val="left" w:pos="840"/>
      </w:tabs>
      <w:ind w:left="840" w:hanging="420"/>
    </w:pPr>
    <w:rPr>
      <w:rFonts w:ascii="Tahoma" w:hAnsi="Tahoma"/>
      <w:sz w:val="24"/>
    </w:rPr>
  </w:style>
  <w:style w:type="paragraph" w:customStyle="1" w:styleId="81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81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81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1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18">
    <w:name w:val="样式 正文文本缩进 + 段前: 2 字符"/>
    <w:basedOn w:val="1"/>
    <w:qFormat/>
    <w:uiPriority w:val="0"/>
    <w:pPr>
      <w:adjustRightInd/>
      <w:ind w:left="420" w:leftChars="200"/>
      <w:jc w:val="left"/>
    </w:pPr>
    <w:rPr>
      <w:sz w:val="28"/>
      <w:szCs w:val="20"/>
      <w:lang w:eastAsia="zh-TW"/>
    </w:rPr>
  </w:style>
  <w:style w:type="paragraph" w:customStyle="1" w:styleId="819">
    <w:name w:val="Char Char Char Char Char Char Char Char Char Char"/>
    <w:basedOn w:val="1"/>
    <w:qFormat/>
    <w:uiPriority w:val="0"/>
    <w:rPr>
      <w:rFonts w:ascii="仿宋_GB2312" w:eastAsia="仿宋_GB2312"/>
      <w:b/>
      <w:sz w:val="32"/>
      <w:szCs w:val="32"/>
    </w:rPr>
  </w:style>
  <w:style w:type="paragraph" w:customStyle="1" w:styleId="82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1">
    <w:name w:val="_Style 11"/>
    <w:basedOn w:val="1"/>
    <w:qFormat/>
    <w:uiPriority w:val="34"/>
    <w:pPr>
      <w:adjustRightInd/>
      <w:ind w:firstLine="420" w:firstLineChars="200"/>
    </w:pPr>
    <w:rPr>
      <w:rFonts w:eastAsia="仿宋_GB2312"/>
      <w:sz w:val="28"/>
    </w:rPr>
  </w:style>
  <w:style w:type="paragraph" w:customStyle="1" w:styleId="822">
    <w:name w:val="_标题2"/>
    <w:basedOn w:val="632"/>
    <w:next w:val="63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824">
    <w:name w:val="Char5"/>
    <w:basedOn w:val="1"/>
    <w:qFormat/>
    <w:uiPriority w:val="0"/>
    <w:rPr>
      <w:rFonts w:ascii="仿宋_GB2312" w:eastAsia="仿宋_GB2312"/>
      <w:b/>
      <w:sz w:val="32"/>
      <w:szCs w:val="32"/>
    </w:rPr>
  </w:style>
  <w:style w:type="paragraph" w:customStyle="1" w:styleId="825">
    <w:name w:val="Char1 Char Char Char5"/>
    <w:basedOn w:val="1"/>
    <w:qFormat/>
    <w:uiPriority w:val="0"/>
    <w:pPr>
      <w:adjustRightInd/>
      <w:ind w:firstLine="200" w:firstLineChars="200"/>
    </w:pPr>
    <w:rPr>
      <w:rFonts w:ascii="Tahoma" w:hAnsi="Tahoma"/>
      <w:sz w:val="24"/>
      <w:szCs w:val="20"/>
    </w:rPr>
  </w:style>
  <w:style w:type="paragraph" w:customStyle="1" w:styleId="826">
    <w:name w:val="五级条标题"/>
    <w:basedOn w:val="712"/>
    <w:next w:val="518"/>
    <w:qFormat/>
    <w:uiPriority w:val="0"/>
    <w:pPr>
      <w:tabs>
        <w:tab w:val="left" w:pos="3360"/>
        <w:tab w:val="clear" w:pos="2940"/>
      </w:tabs>
      <w:ind w:left="3360"/>
      <w:outlineLvl w:val="6"/>
    </w:pPr>
  </w:style>
  <w:style w:type="paragraph" w:customStyle="1" w:styleId="82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28">
    <w:name w:val="Plain Text1"/>
    <w:basedOn w:val="1"/>
    <w:qFormat/>
    <w:uiPriority w:val="7"/>
    <w:pPr>
      <w:adjustRightInd/>
    </w:pPr>
    <w:rPr>
      <w:rFonts w:ascii="宋体" w:hAnsi="Courier New"/>
    </w:rPr>
  </w:style>
  <w:style w:type="paragraph" w:customStyle="1" w:styleId="82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3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32">
    <w:name w:val="Char Char11 Char Char Char"/>
    <w:basedOn w:val="1"/>
    <w:qFormat/>
    <w:uiPriority w:val="0"/>
    <w:pPr>
      <w:spacing w:line="360" w:lineRule="auto"/>
    </w:pPr>
    <w:rPr>
      <w:szCs w:val="20"/>
    </w:rPr>
  </w:style>
  <w:style w:type="paragraph" w:customStyle="1" w:styleId="833">
    <w:name w:val="数字标题3"/>
    <w:basedOn w:val="5"/>
    <w:next w:val="1"/>
    <w:qFormat/>
    <w:uiPriority w:val="0"/>
    <w:pPr>
      <w:spacing w:line="240" w:lineRule="auto"/>
    </w:pPr>
    <w:rPr>
      <w:sz w:val="28"/>
      <w:szCs w:val="28"/>
    </w:rPr>
  </w:style>
  <w:style w:type="paragraph" w:customStyle="1" w:styleId="834">
    <w:name w:val="修订2"/>
    <w:qFormat/>
    <w:uiPriority w:val="0"/>
    <w:rPr>
      <w:kern w:val="2"/>
      <w:sz w:val="21"/>
      <w:lang w:val="en-US" w:eastAsia="zh-CN" w:bidi="ar-SA"/>
    </w:rPr>
  </w:style>
  <w:style w:type="paragraph" w:customStyle="1" w:styleId="8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37">
    <w:name w:val="样式3"/>
    <w:basedOn w:val="624"/>
    <w:qFormat/>
    <w:uiPriority w:val="0"/>
    <w:pPr>
      <w:spacing w:before="312" w:beforeLines="100"/>
      <w:jc w:val="left"/>
    </w:pPr>
  </w:style>
  <w:style w:type="paragraph" w:customStyle="1" w:styleId="838">
    <w:name w:val="单元格左对齐"/>
    <w:basedOn w:val="1"/>
    <w:qFormat/>
    <w:uiPriority w:val="0"/>
    <w:pPr>
      <w:adjustRightInd/>
      <w:spacing w:line="360" w:lineRule="auto"/>
    </w:pPr>
    <w:rPr>
      <w:sz w:val="24"/>
    </w:rPr>
  </w:style>
  <w:style w:type="paragraph" w:customStyle="1" w:styleId="839">
    <w:name w:val="批注框文本 Char Char"/>
    <w:basedOn w:val="1"/>
    <w:qFormat/>
    <w:uiPriority w:val="0"/>
    <w:pPr>
      <w:adjustRightInd/>
    </w:pPr>
    <w:rPr>
      <w:sz w:val="18"/>
      <w:szCs w:val="20"/>
    </w:rPr>
  </w:style>
  <w:style w:type="paragraph" w:customStyle="1" w:styleId="84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84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2">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8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4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4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46">
    <w:name w:val="表文字"/>
    <w:qFormat/>
    <w:uiPriority w:val="0"/>
    <w:rPr>
      <w:rFonts w:ascii="宋体"/>
      <w:kern w:val="2"/>
      <w:lang w:val="en-US" w:eastAsia="zh-CN" w:bidi="ar-SA"/>
    </w:rPr>
  </w:style>
  <w:style w:type="paragraph" w:customStyle="1" w:styleId="84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48">
    <w:name w:val="Char19"/>
    <w:basedOn w:val="1"/>
    <w:qFormat/>
    <w:uiPriority w:val="0"/>
    <w:pPr>
      <w:adjustRightInd/>
    </w:pPr>
    <w:rPr>
      <w:szCs w:val="20"/>
    </w:rPr>
  </w:style>
  <w:style w:type="paragraph" w:customStyle="1" w:styleId="8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851">
    <w:name w:val="Char Char1 Char"/>
    <w:basedOn w:val="1"/>
    <w:qFormat/>
    <w:uiPriority w:val="0"/>
    <w:rPr>
      <w:rFonts w:ascii="仿宋_GB2312" w:eastAsia="仿宋_GB2312"/>
      <w:b/>
      <w:sz w:val="32"/>
      <w:szCs w:val="32"/>
    </w:rPr>
  </w:style>
  <w:style w:type="paragraph" w:customStyle="1" w:styleId="8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5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54">
    <w:name w:val="Char3 Char Char Char11"/>
    <w:basedOn w:val="1"/>
    <w:qFormat/>
    <w:uiPriority w:val="0"/>
    <w:pPr>
      <w:widowControl/>
      <w:adjustRightInd/>
      <w:spacing w:after="160" w:line="240" w:lineRule="exact"/>
      <w:jc w:val="left"/>
    </w:pPr>
    <w:rPr>
      <w:szCs w:val="20"/>
    </w:rPr>
  </w:style>
  <w:style w:type="paragraph" w:customStyle="1" w:styleId="85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8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58">
    <w:name w:val="表格标题2"/>
    <w:basedOn w:val="685"/>
    <w:qFormat/>
    <w:uiPriority w:val="0"/>
    <w:rPr>
      <w:b/>
    </w:rPr>
  </w:style>
  <w:style w:type="paragraph" w:customStyle="1" w:styleId="85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0">
    <w:name w:val="Char Char Char Char Char Char Char Char Char Char2"/>
    <w:basedOn w:val="1"/>
    <w:qFormat/>
    <w:uiPriority w:val="0"/>
    <w:rPr>
      <w:rFonts w:ascii="仿宋_GB2312" w:eastAsia="仿宋_GB2312"/>
      <w:b/>
      <w:sz w:val="32"/>
      <w:szCs w:val="32"/>
    </w:rPr>
  </w:style>
  <w:style w:type="paragraph" w:customStyle="1" w:styleId="86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3">
    <w:name w:val="2级标题"/>
    <w:basedOn w:val="495"/>
    <w:qFormat/>
    <w:uiPriority w:val="0"/>
    <w:pPr>
      <w:jc w:val="left"/>
      <w:outlineLvl w:val="1"/>
    </w:pPr>
    <w:rPr>
      <w:rFonts w:ascii="Times New Roman" w:hAnsi="Times New Roman" w:eastAsia="仿宋"/>
      <w:sz w:val="30"/>
    </w:rPr>
  </w:style>
  <w:style w:type="paragraph" w:customStyle="1" w:styleId="864">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86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Char Char4 Char Char"/>
    <w:basedOn w:val="1"/>
    <w:qFormat/>
    <w:uiPriority w:val="0"/>
    <w:pPr>
      <w:widowControl/>
      <w:adjustRightInd/>
      <w:spacing w:after="160" w:line="240" w:lineRule="exact"/>
      <w:jc w:val="left"/>
    </w:pPr>
  </w:style>
  <w:style w:type="paragraph" w:customStyle="1" w:styleId="86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68">
    <w:name w:val="Char Char11 Char Char Char2"/>
    <w:basedOn w:val="1"/>
    <w:qFormat/>
    <w:uiPriority w:val="0"/>
    <w:pPr>
      <w:spacing w:line="360" w:lineRule="auto"/>
    </w:pPr>
    <w:rPr>
      <w:szCs w:val="20"/>
    </w:rPr>
  </w:style>
  <w:style w:type="paragraph" w:customStyle="1" w:styleId="869">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7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7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7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7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7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75">
    <w:name w:val="Char311"/>
    <w:basedOn w:val="1"/>
    <w:qFormat/>
    <w:uiPriority w:val="0"/>
    <w:pPr>
      <w:adjustRightInd/>
      <w:ind w:firstLine="200" w:firstLineChars="200"/>
    </w:pPr>
    <w:rPr>
      <w:rFonts w:ascii="Tahoma" w:hAnsi="Tahoma"/>
      <w:sz w:val="24"/>
      <w:szCs w:val="20"/>
    </w:rPr>
  </w:style>
  <w:style w:type="paragraph" w:customStyle="1" w:styleId="876">
    <w:name w:val="正文文本 23"/>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877">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78">
    <w:name w:val="正文 内标"/>
    <w:basedOn w:val="617"/>
    <w:qFormat/>
    <w:uiPriority w:val="0"/>
    <w:pPr>
      <w:tabs>
        <w:tab w:val="left" w:pos="0"/>
      </w:tabs>
      <w:ind w:left="900" w:firstLine="0" w:firstLineChars="0"/>
    </w:pPr>
  </w:style>
  <w:style w:type="paragraph" w:customStyle="1" w:styleId="879">
    <w:name w:val="Bulleted List"/>
    <w:basedOn w:val="1"/>
    <w:qFormat/>
    <w:uiPriority w:val="0"/>
    <w:pPr>
      <w:tabs>
        <w:tab w:val="left" w:pos="1260"/>
      </w:tabs>
      <w:adjustRightInd/>
      <w:ind w:left="1260" w:hanging="420"/>
    </w:pPr>
  </w:style>
  <w:style w:type="paragraph" w:customStyle="1" w:styleId="880">
    <w:name w:val="样式 左侧:  0.85 厘米"/>
    <w:basedOn w:val="1"/>
    <w:qFormat/>
    <w:uiPriority w:val="2"/>
    <w:pPr>
      <w:adjustRightInd/>
      <w:spacing w:line="360" w:lineRule="auto"/>
    </w:pPr>
    <w:rPr>
      <w:rFonts w:cs="宋体"/>
      <w:sz w:val="24"/>
      <w:szCs w:val="20"/>
    </w:rPr>
  </w:style>
  <w:style w:type="paragraph" w:customStyle="1" w:styleId="881">
    <w:name w:val="Char Char Char Char Char Char Char Char Char Char Char Char1 Char"/>
    <w:basedOn w:val="1"/>
    <w:qFormat/>
    <w:uiPriority w:val="0"/>
    <w:rPr>
      <w:rFonts w:ascii="Tahoma" w:hAnsi="Tahoma" w:cs="仿宋_GB2312"/>
      <w:sz w:val="24"/>
      <w:szCs w:val="20"/>
    </w:rPr>
  </w:style>
  <w:style w:type="paragraph" w:customStyle="1" w:styleId="88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83">
    <w:name w:val="Char Char1 Char Char Char Char Char Char2"/>
    <w:basedOn w:val="1"/>
    <w:qFormat/>
    <w:uiPriority w:val="0"/>
    <w:rPr>
      <w:rFonts w:ascii="仿宋_GB2312" w:eastAsia="仿宋_GB2312"/>
      <w:b/>
      <w:sz w:val="32"/>
      <w:szCs w:val="20"/>
    </w:rPr>
  </w:style>
  <w:style w:type="paragraph" w:customStyle="1" w:styleId="88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8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8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8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9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9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93">
    <w:name w:val="Char31"/>
    <w:basedOn w:val="1"/>
    <w:qFormat/>
    <w:uiPriority w:val="0"/>
    <w:pPr>
      <w:adjustRightInd/>
    </w:pPr>
    <w:rPr>
      <w:rFonts w:ascii="仿宋_GB2312" w:eastAsia="仿宋_GB2312"/>
      <w:b/>
      <w:sz w:val="32"/>
      <w:szCs w:val="32"/>
    </w:rPr>
  </w:style>
  <w:style w:type="paragraph" w:customStyle="1" w:styleId="89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9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9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7">
    <w:name w:val="Char Char1"/>
    <w:basedOn w:val="1"/>
    <w:qFormat/>
    <w:uiPriority w:val="0"/>
    <w:pPr>
      <w:widowControl/>
      <w:spacing w:after="160" w:line="240" w:lineRule="exact"/>
      <w:jc w:val="left"/>
    </w:pPr>
    <w:rPr>
      <w:rFonts w:eastAsia="仿宋_GB2312"/>
      <w:sz w:val="28"/>
    </w:rPr>
  </w:style>
  <w:style w:type="paragraph" w:customStyle="1" w:styleId="898">
    <w:name w:val="Char21"/>
    <w:basedOn w:val="1"/>
    <w:qFormat/>
    <w:uiPriority w:val="0"/>
    <w:pPr>
      <w:adjustRightInd/>
      <w:ind w:firstLine="200" w:firstLineChars="200"/>
    </w:pPr>
    <w:rPr>
      <w:rFonts w:ascii="仿宋_GB2312" w:eastAsia="仿宋_GB2312"/>
      <w:b/>
      <w:sz w:val="32"/>
      <w:szCs w:val="32"/>
    </w:rPr>
  </w:style>
  <w:style w:type="paragraph" w:customStyle="1" w:styleId="899">
    <w:name w:val="列表段落1"/>
    <w:basedOn w:val="1"/>
    <w:qFormat/>
    <w:uiPriority w:val="34"/>
    <w:pPr>
      <w:adjustRightInd/>
      <w:ind w:right="238" w:firstLine="420"/>
    </w:pPr>
    <w:rPr>
      <w:rFonts w:ascii="Calibri" w:hAnsi="Calibri"/>
      <w:sz w:val="24"/>
    </w:rPr>
  </w:style>
  <w:style w:type="paragraph" w:customStyle="1" w:styleId="900">
    <w:name w:val="Char Char110"/>
    <w:basedOn w:val="1"/>
    <w:qFormat/>
    <w:uiPriority w:val="6"/>
    <w:pPr>
      <w:spacing w:line="360" w:lineRule="auto"/>
    </w:pPr>
    <w:rPr>
      <w:rFonts w:ascii="Tahoma" w:hAnsi="Tahoma"/>
      <w:sz w:val="24"/>
      <w:szCs w:val="20"/>
    </w:rPr>
  </w:style>
  <w:style w:type="paragraph" w:customStyle="1" w:styleId="90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0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03">
    <w:name w:val="浅色底纹 - 强调文字颜色 51"/>
    <w:qFormat/>
    <w:uiPriority w:val="0"/>
    <w:rPr>
      <w:kern w:val="2"/>
      <w:sz w:val="21"/>
      <w:szCs w:val="24"/>
      <w:lang w:val="en-US" w:eastAsia="zh-CN" w:bidi="ar-SA"/>
    </w:rPr>
  </w:style>
  <w:style w:type="paragraph" w:customStyle="1" w:styleId="904">
    <w:name w:val="Char Char Char Char Char Char Char Char Char Char Char Char1 Char2"/>
    <w:basedOn w:val="1"/>
    <w:qFormat/>
    <w:uiPriority w:val="0"/>
    <w:rPr>
      <w:rFonts w:ascii="Tahoma" w:hAnsi="Tahoma" w:cs="仿宋_GB2312"/>
      <w:sz w:val="24"/>
      <w:szCs w:val="20"/>
    </w:rPr>
  </w:style>
  <w:style w:type="paragraph" w:customStyle="1" w:styleId="90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0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0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90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0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1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1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12">
    <w:name w:val="3级标题"/>
    <w:basedOn w:val="863"/>
    <w:qFormat/>
    <w:uiPriority w:val="0"/>
    <w:pPr>
      <w:outlineLvl w:val="2"/>
    </w:pPr>
  </w:style>
  <w:style w:type="paragraph" w:customStyle="1" w:styleId="913">
    <w:name w:val="Char1 Char Char Char3"/>
    <w:basedOn w:val="1"/>
    <w:qFormat/>
    <w:uiPriority w:val="0"/>
    <w:pPr>
      <w:adjustRightInd/>
      <w:ind w:firstLine="200" w:firstLineChars="200"/>
    </w:pPr>
    <w:rPr>
      <w:rFonts w:ascii="Tahoma" w:hAnsi="Tahoma"/>
      <w:sz w:val="24"/>
      <w:szCs w:val="20"/>
    </w:rPr>
  </w:style>
  <w:style w:type="paragraph" w:customStyle="1" w:styleId="91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15">
    <w:name w:val="MM Empty"/>
    <w:basedOn w:val="1"/>
    <w:qFormat/>
    <w:uiPriority w:val="0"/>
    <w:pPr>
      <w:adjustRightInd/>
    </w:pPr>
  </w:style>
  <w:style w:type="paragraph" w:customStyle="1" w:styleId="916">
    <w:name w:val="Char24"/>
    <w:basedOn w:val="1"/>
    <w:qFormat/>
    <w:uiPriority w:val="0"/>
    <w:rPr>
      <w:rFonts w:ascii="仿宋_GB2312" w:eastAsia="仿宋_GB2312"/>
      <w:b/>
      <w:sz w:val="32"/>
      <w:szCs w:val="32"/>
    </w:rPr>
  </w:style>
  <w:style w:type="paragraph" w:customStyle="1" w:styleId="917">
    <w:name w:val="正文箭头"/>
    <w:basedOn w:val="657"/>
    <w:qFormat/>
    <w:uiPriority w:val="0"/>
  </w:style>
  <w:style w:type="paragraph" w:customStyle="1" w:styleId="918">
    <w:name w:val="U_编号2"/>
    <w:basedOn w:val="1"/>
    <w:qFormat/>
    <w:uiPriority w:val="0"/>
    <w:pPr>
      <w:tabs>
        <w:tab w:val="left" w:pos="785"/>
      </w:tabs>
      <w:adjustRightInd/>
      <w:spacing w:beforeLines="10" w:afterLines="10" w:line="300" w:lineRule="auto"/>
    </w:pPr>
    <w:rPr>
      <w:sz w:val="24"/>
    </w:rPr>
  </w:style>
  <w:style w:type="paragraph" w:customStyle="1" w:styleId="91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2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23">
    <w:name w:val="_Style 1"/>
    <w:basedOn w:val="1"/>
    <w:qFormat/>
    <w:uiPriority w:val="34"/>
    <w:pPr>
      <w:adjustRightInd/>
      <w:ind w:firstLine="420" w:firstLineChars="200"/>
    </w:pPr>
    <w:rPr>
      <w:rFonts w:eastAsia="仿宋_GB2312"/>
      <w:sz w:val="28"/>
    </w:rPr>
  </w:style>
  <w:style w:type="paragraph" w:customStyle="1" w:styleId="924">
    <w:name w:val="表格 内容"/>
    <w:basedOn w:val="512"/>
    <w:qFormat/>
    <w:uiPriority w:val="0"/>
    <w:rPr>
      <w:b w:val="0"/>
      <w:sz w:val="20"/>
    </w:rPr>
  </w:style>
  <w:style w:type="paragraph" w:customStyle="1" w:styleId="92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26">
    <w:name w:val="数字标题5"/>
    <w:basedOn w:val="7"/>
    <w:next w:val="1"/>
    <w:qFormat/>
    <w:uiPriority w:val="0"/>
    <w:pPr>
      <w:tabs>
        <w:tab w:val="left" w:pos="1080"/>
        <w:tab w:val="clear" w:pos="1008"/>
      </w:tabs>
      <w:ind w:left="1080" w:hanging="1080"/>
    </w:pPr>
  </w:style>
  <w:style w:type="paragraph" w:customStyle="1" w:styleId="927">
    <w:name w:val="数字标题1"/>
    <w:basedOn w:val="3"/>
    <w:next w:val="1"/>
    <w:qFormat/>
    <w:uiPriority w:val="0"/>
    <w:pPr>
      <w:tabs>
        <w:tab w:val="left" w:pos="480"/>
        <w:tab w:val="clear" w:pos="432"/>
      </w:tabs>
      <w:ind w:left="480" w:hanging="480"/>
    </w:pPr>
  </w:style>
  <w:style w:type="paragraph" w:customStyle="1" w:styleId="92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2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3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3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3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35">
    <w:name w:val="Char Char112"/>
    <w:basedOn w:val="1"/>
    <w:qFormat/>
    <w:uiPriority w:val="6"/>
    <w:pPr>
      <w:widowControl/>
      <w:spacing w:after="160" w:line="240" w:lineRule="exact"/>
      <w:jc w:val="left"/>
    </w:pPr>
    <w:rPr>
      <w:rFonts w:eastAsia="仿宋_GB2312"/>
      <w:sz w:val="28"/>
    </w:rPr>
  </w:style>
  <w:style w:type="paragraph" w:customStyle="1" w:styleId="936">
    <w:name w:val="正文 图"/>
    <w:basedOn w:val="606"/>
    <w:qFormat/>
    <w:uiPriority w:val="0"/>
    <w:pPr>
      <w:adjustRightInd/>
      <w:spacing w:before="0"/>
      <w:ind w:firstLine="0"/>
      <w:jc w:val="center"/>
    </w:pPr>
    <w:rPr>
      <w:rFonts w:ascii="微软雅黑" w:hAnsi="微软雅黑"/>
    </w:rPr>
  </w:style>
  <w:style w:type="paragraph" w:customStyle="1" w:styleId="93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9">
    <w:name w:val="Thf"/>
    <w:basedOn w:val="743"/>
    <w:qFormat/>
    <w:uiPriority w:val="0"/>
    <w:pPr>
      <w:ind w:left="0"/>
    </w:pPr>
  </w:style>
  <w:style w:type="paragraph" w:customStyle="1" w:styleId="94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41">
    <w:name w:val="subhead 2"/>
    <w:qFormat/>
    <w:uiPriority w:val="0"/>
    <w:pPr>
      <w:spacing w:after="60" w:line="240" w:lineRule="exact"/>
    </w:pPr>
    <w:rPr>
      <w:rFonts w:ascii="Arial" w:hAnsi="Arial"/>
      <w:b/>
      <w:sz w:val="22"/>
      <w:lang w:val="en-US" w:eastAsia="en-US" w:bidi="ar-SA"/>
    </w:rPr>
  </w:style>
  <w:style w:type="paragraph" w:customStyle="1" w:styleId="942">
    <w:name w:val="注释"/>
    <w:basedOn w:val="1"/>
    <w:qFormat/>
    <w:uiPriority w:val="0"/>
    <w:pPr>
      <w:adjustRightInd/>
      <w:spacing w:line="360" w:lineRule="auto"/>
      <w:ind w:firstLine="480"/>
    </w:pPr>
    <w:rPr>
      <w:sz w:val="24"/>
    </w:rPr>
  </w:style>
  <w:style w:type="paragraph" w:customStyle="1" w:styleId="943">
    <w:name w:val="列出段落111"/>
    <w:basedOn w:val="1"/>
    <w:qFormat/>
    <w:uiPriority w:val="34"/>
    <w:pPr>
      <w:ind w:firstLine="420" w:firstLineChars="200"/>
    </w:pPr>
  </w:style>
  <w:style w:type="paragraph" w:customStyle="1" w:styleId="944">
    <w:name w:val="_Style 947"/>
    <w:basedOn w:val="1"/>
    <w:next w:val="253"/>
    <w:qFormat/>
    <w:uiPriority w:val="34"/>
    <w:pPr>
      <w:adjustRightInd/>
      <w:ind w:firstLine="420" w:firstLineChars="200"/>
    </w:pPr>
  </w:style>
  <w:style w:type="paragraph" w:customStyle="1" w:styleId="945">
    <w:name w:val="正文5"/>
    <w:qFormat/>
    <w:uiPriority w:val="0"/>
    <w:pPr>
      <w:jc w:val="both"/>
    </w:pPr>
    <w:rPr>
      <w:rFonts w:cs="宋体"/>
      <w:kern w:val="2"/>
      <w:sz w:val="21"/>
      <w:szCs w:val="21"/>
      <w:lang w:val="en-US" w:eastAsia="zh-CN" w:bidi="ar-SA"/>
    </w:rPr>
  </w:style>
  <w:style w:type="paragraph" w:customStyle="1" w:styleId="946">
    <w:name w:val="纯文本2"/>
    <w:basedOn w:val="1"/>
    <w:qFormat/>
    <w:uiPriority w:val="0"/>
    <w:pPr>
      <w:adjustRightInd/>
      <w:snapToGrid w:val="0"/>
      <w:jc w:val="left"/>
    </w:pPr>
    <w:rPr>
      <w:rFonts w:ascii="Century Gothic" w:hAnsi="楷体_GB2312" w:eastAsia="Century Gothic"/>
      <w:szCs w:val="20"/>
    </w:rPr>
  </w:style>
  <w:style w:type="paragraph" w:customStyle="1" w:styleId="947">
    <w:name w:val="*Body 1"/>
    <w:qFormat/>
    <w:uiPriority w:val="0"/>
    <w:pPr>
      <w:spacing w:after="240" w:line="360" w:lineRule="auto"/>
      <w:ind w:left="-1276" w:firstLine="454"/>
    </w:pPr>
    <w:rPr>
      <w:sz w:val="22"/>
      <w:lang w:val="en-US" w:eastAsia="en-US" w:bidi="ar-SA"/>
    </w:rPr>
  </w:style>
  <w:style w:type="paragraph" w:customStyle="1" w:styleId="94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4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0">
    <w:name w:val="Blockquote"/>
    <w:basedOn w:val="1"/>
    <w:qFormat/>
    <w:uiPriority w:val="0"/>
    <w:pPr>
      <w:autoSpaceDE w:val="0"/>
      <w:autoSpaceDN w:val="0"/>
      <w:spacing w:before="100" w:after="100"/>
      <w:ind w:left="360" w:right="360"/>
      <w:jc w:val="left"/>
    </w:pPr>
    <w:rPr>
      <w:kern w:val="0"/>
      <w:sz w:val="24"/>
      <w:szCs w:val="20"/>
    </w:rPr>
  </w:style>
  <w:style w:type="paragraph" w:customStyle="1" w:styleId="951">
    <w:name w:val="p1"/>
    <w:basedOn w:val="1"/>
    <w:qFormat/>
    <w:uiPriority w:val="0"/>
    <w:pPr>
      <w:widowControl/>
      <w:adjustRightInd/>
      <w:jc w:val="left"/>
    </w:pPr>
    <w:rPr>
      <w:rFonts w:ascii=".PingFang SC" w:eastAsia=".PingFang SC"/>
      <w:color w:val="454545"/>
      <w:kern w:val="0"/>
      <w:sz w:val="18"/>
      <w:szCs w:val="18"/>
    </w:rPr>
  </w:style>
  <w:style w:type="paragraph" w:customStyle="1" w:styleId="952">
    <w:name w:val="Table Paragraph"/>
    <w:basedOn w:val="1"/>
    <w:qFormat/>
    <w:uiPriority w:val="0"/>
    <w:pPr>
      <w:adjustRightInd/>
      <w:jc w:val="left"/>
    </w:pPr>
    <w:rPr>
      <w:rFonts w:ascii="Calibri" w:hAnsi="Calibri"/>
      <w:kern w:val="0"/>
      <w:sz w:val="22"/>
      <w:szCs w:val="22"/>
      <w:lang w:eastAsia="en-US"/>
    </w:rPr>
  </w:style>
  <w:style w:type="paragraph" w:customStyle="1" w:styleId="95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56">
    <w:name w:val="投标正文"/>
    <w:basedOn w:val="1"/>
    <w:qFormat/>
    <w:uiPriority w:val="0"/>
    <w:pPr>
      <w:spacing w:line="360" w:lineRule="auto"/>
      <w:ind w:firstLine="200" w:firstLineChars="200"/>
    </w:pPr>
    <w:rPr>
      <w:rFonts w:ascii="宋体" w:hAnsi="Calibri"/>
      <w:sz w:val="24"/>
    </w:rPr>
  </w:style>
  <w:style w:type="table" w:customStyle="1" w:styleId="957">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BodyText1I2"/>
    <w:basedOn w:val="964"/>
    <w:qFormat/>
    <w:uiPriority w:val="0"/>
    <w:pPr>
      <w:spacing w:line="520" w:lineRule="exact"/>
      <w:ind w:left="570" w:firstLine="420"/>
      <w:jc w:val="both"/>
      <w:textAlignment w:val="baseline"/>
    </w:pPr>
  </w:style>
  <w:style w:type="paragraph" w:customStyle="1" w:styleId="964">
    <w:name w:val="BodyTextIndent"/>
    <w:basedOn w:val="1"/>
    <w:qFormat/>
    <w:uiPriority w:val="0"/>
    <w:pPr>
      <w:spacing w:line="520" w:lineRule="exact"/>
      <w:ind w:left="570"/>
      <w:jc w:val="both"/>
      <w:textAlignment w:val="baseline"/>
    </w:pPr>
    <w:rPr>
      <w:rFonts w:ascii="方正仿宋简体" w:hAnsi="创艺简仿宋" w:eastAsia="方正仿宋简体"/>
      <w:sz w:val="24"/>
      <w:lang w:val="en-US" w:eastAsia="zh-CN" w:bidi="ar-SA"/>
    </w:rPr>
  </w:style>
  <w:style w:type="paragraph" w:customStyle="1" w:styleId="965">
    <w:name w:val="图表"/>
    <w:next w:val="1"/>
    <w:qFormat/>
    <w:uiPriority w:val="1"/>
    <w:pPr>
      <w:jc w:val="center"/>
    </w:pPr>
    <w:rPr>
      <w:rFonts w:ascii="仿宋_GB2312" w:hAnsi="Times New Roman" w:eastAsia="黑体" w:cs="Times New Roman"/>
      <w:kern w:val="2"/>
      <w:sz w:val="21"/>
      <w:szCs w:val="5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header9.xml" Type="http://schemas.openxmlformats.org/officeDocument/2006/relationships/header"/><Relationship Id="rId22" Target="header10.xml" Type="http://schemas.openxmlformats.org/officeDocument/2006/relationships/header"/><Relationship Id="rId23" Target="footer11.xml" Type="http://schemas.openxmlformats.org/officeDocument/2006/relationships/footer"/><Relationship Id="rId24" Target="footer12.xml" Type="http://schemas.openxmlformats.org/officeDocument/2006/relationships/footer"/><Relationship Id="rId25" Target="footer13.xml" Type="http://schemas.openxmlformats.org/officeDocument/2006/relationships/footer"/><Relationship Id="rId26" Target="theme/theme1.xml" Type="http://schemas.openxmlformats.org/officeDocument/2006/relationships/theme"/><Relationship Id="rId27" Target="media/image2.png" Type="http://schemas.openxmlformats.org/officeDocument/2006/relationships/image"/><Relationship Id="rId28" Target="../customXml/item1.xml" Type="http://schemas.openxmlformats.org/officeDocument/2006/relationships/customXml"/><Relationship Id="rId29" Target="numbering.xml" Type="http://schemas.openxmlformats.org/officeDocument/2006/relationships/numbering"/><Relationship Id="rId3" Target="header1.xml" Type="http://schemas.openxmlformats.org/officeDocument/2006/relationships/header"/><Relationship Id="rId30" Target="fontTable.xml" Type="http://schemas.openxmlformats.org/officeDocument/2006/relationships/fontTable"/><Relationship Id="rId31" Target="people.xml" Type="http://schemas.microsoft.com/office/2011/relationships/peop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_rels/header2.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104</Pages>
  <Words>55411</Words>
  <Characters>57889</Characters>
  <Lines>447</Lines>
  <Paragraphs>125</Paragraphs>
  <TotalTime>0</TotalTime>
  <ScaleCrop>false</ScaleCrop>
  <LinksUpToDate>false</LinksUpToDate>
  <CharactersWithSpaces>64621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WPS_1548318462</cp:lastModifiedBy>
  <cp:lastPrinted>2021-12-27T03:06:00Z</cp:lastPrinted>
  <dcterms:modified xsi:type="dcterms:W3CDTF">2024-01-30T08:34:34Z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2D7018838FD84D44BCBD476A98B5CD8D_13</vt:lpwstr>
  </property>
</Properties>
</file>