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distribute"/>
        <w:rPr>
          <w:rFonts w:hint="eastAsia" w:ascii="新宋体" w:hAnsi="新宋体" w:eastAsia="新宋体"/>
          <w:color w:val="auto"/>
          <w:spacing w:val="20"/>
          <w:sz w:val="84"/>
          <w:highlight w:val="none"/>
        </w:rPr>
      </w:pPr>
      <w:bookmarkStart w:id="223" w:name="_GoBack"/>
      <w:bookmarkEnd w:id="223"/>
    </w:p>
    <w:p>
      <w:pPr>
        <w:jc w:val="distribute"/>
        <w:rPr>
          <w:rFonts w:ascii="新宋体" w:hAnsi="新宋体" w:eastAsia="新宋体" w:cs="新宋体"/>
          <w:b/>
          <w:bCs/>
          <w:color w:val="auto"/>
          <w:sz w:val="52"/>
          <w:szCs w:val="52"/>
          <w:highlight w:val="none"/>
        </w:rPr>
      </w:pPr>
      <w:r>
        <w:rPr>
          <w:rFonts w:hint="eastAsia" w:ascii="新宋体" w:hAnsi="新宋体" w:eastAsia="新宋体"/>
          <w:color w:val="auto"/>
          <w:spacing w:val="20"/>
          <w:sz w:val="84"/>
          <w:highlight w:val="none"/>
        </w:rPr>
        <w:t>温州市政府（分散）采购</w:t>
      </w:r>
    </w:p>
    <w:p>
      <w:pPr>
        <w:jc w:val="center"/>
        <w:rPr>
          <w:rFonts w:hint="eastAsia" w:ascii="新宋体" w:hAnsi="新宋体" w:eastAsia="新宋体" w:cs="新宋体"/>
          <w:b/>
          <w:bCs/>
          <w:color w:val="auto"/>
          <w:spacing w:val="26"/>
          <w:sz w:val="52"/>
          <w:highlight w:val="none"/>
        </w:rPr>
      </w:pPr>
    </w:p>
    <w:p>
      <w:pPr>
        <w:ind w:firstLine="2357" w:firstLineChars="235"/>
        <w:rPr>
          <w:rFonts w:hint="eastAsia" w:ascii="新宋体" w:hAnsi="新宋体" w:eastAsia="新宋体" w:cs="新宋体"/>
          <w:b/>
          <w:bCs/>
          <w:color w:val="auto"/>
          <w:spacing w:val="140"/>
          <w:sz w:val="72"/>
          <w:highlight w:val="none"/>
        </w:rPr>
      </w:pPr>
    </w:p>
    <w:p>
      <w:pPr>
        <w:adjustRightInd w:val="0"/>
        <w:snapToGrid w:val="0"/>
        <w:spacing w:line="480" w:lineRule="auto"/>
        <w:ind w:right="361"/>
        <w:jc w:val="center"/>
        <w:rPr>
          <w:rFonts w:hint="eastAsia" w:ascii="新宋体" w:hAnsi="新宋体" w:eastAsia="新宋体" w:cs="新宋体"/>
          <w:color w:val="auto"/>
          <w:sz w:val="84"/>
          <w:szCs w:val="84"/>
          <w:highlight w:val="none"/>
        </w:rPr>
      </w:pPr>
      <w:r>
        <w:rPr>
          <w:rFonts w:hint="eastAsia" w:ascii="新宋体" w:hAnsi="新宋体" w:eastAsia="新宋体" w:cs="新宋体"/>
          <w:b/>
          <w:bCs/>
          <w:color w:val="auto"/>
          <w:sz w:val="84"/>
          <w:szCs w:val="84"/>
          <w:highlight w:val="none"/>
        </w:rPr>
        <w:t>招 标 文 件</w:t>
      </w:r>
    </w:p>
    <w:p>
      <w:pPr>
        <w:spacing w:line="800" w:lineRule="exact"/>
        <w:ind w:firstLine="1140" w:firstLineChars="300"/>
        <w:jc w:val="left"/>
        <w:rPr>
          <w:rFonts w:hint="eastAsia" w:ascii="新宋体" w:hAnsi="新宋体" w:eastAsia="新宋体" w:cs="新宋体"/>
          <w:color w:val="auto"/>
          <w:spacing w:val="40"/>
          <w:sz w:val="30"/>
          <w:szCs w:val="30"/>
          <w:highlight w:val="none"/>
        </w:rPr>
      </w:pPr>
    </w:p>
    <w:p>
      <w:pPr>
        <w:spacing w:line="800" w:lineRule="exact"/>
        <w:ind w:firstLine="1140" w:firstLineChars="300"/>
        <w:jc w:val="left"/>
        <w:rPr>
          <w:rFonts w:hint="eastAsia" w:ascii="新宋体" w:hAnsi="新宋体" w:eastAsia="新宋体" w:cs="新宋体"/>
          <w:b/>
          <w:color w:val="auto"/>
          <w:spacing w:val="40"/>
          <w:sz w:val="30"/>
          <w:szCs w:val="30"/>
          <w:highlight w:val="none"/>
        </w:rPr>
      </w:pPr>
      <w:r>
        <w:rPr>
          <w:rFonts w:hint="eastAsia" w:ascii="新宋体" w:hAnsi="新宋体" w:eastAsia="新宋体" w:cs="新宋体"/>
          <w:color w:val="auto"/>
          <w:spacing w:val="40"/>
          <w:sz w:val="30"/>
          <w:szCs w:val="30"/>
          <w:highlight w:val="none"/>
        </w:rPr>
        <w:t>项 目 编 号</w:t>
      </w:r>
      <w:r>
        <w:rPr>
          <w:rFonts w:hint="eastAsia" w:ascii="新宋体" w:hAnsi="新宋体" w:eastAsia="新宋体" w:cs="新宋体"/>
          <w:color w:val="auto"/>
          <w:spacing w:val="40"/>
          <w:sz w:val="28"/>
          <w:highlight w:val="none"/>
        </w:rPr>
        <w:t>：WZLCZB-2020-08124</w:t>
      </w:r>
      <w:r>
        <w:rPr>
          <w:rFonts w:hint="eastAsia" w:ascii="新宋体" w:hAnsi="新宋体" w:eastAsia="新宋体" w:cs="新宋体"/>
          <w:b/>
          <w:bCs/>
          <w:color w:val="auto"/>
          <w:sz w:val="30"/>
          <w:szCs w:val="30"/>
          <w:highlight w:val="none"/>
        </w:rPr>
        <w:t xml:space="preserve">  </w:t>
      </w:r>
    </w:p>
    <w:p>
      <w:pPr>
        <w:spacing w:line="800" w:lineRule="exact"/>
        <w:ind w:firstLine="1140" w:firstLineChars="300"/>
        <w:rPr>
          <w:rFonts w:hint="eastAsia" w:ascii="新宋体" w:hAnsi="新宋体" w:eastAsia="新宋体" w:cs="新宋体"/>
          <w:b/>
          <w:color w:val="auto"/>
          <w:spacing w:val="28"/>
          <w:sz w:val="30"/>
          <w:szCs w:val="30"/>
          <w:highlight w:val="none"/>
        </w:rPr>
      </w:pPr>
      <w:r>
        <w:rPr>
          <w:rFonts w:hint="eastAsia" w:ascii="新宋体" w:hAnsi="新宋体" w:eastAsia="新宋体" w:cs="新宋体"/>
          <w:color w:val="auto"/>
          <w:spacing w:val="40"/>
          <w:sz w:val="30"/>
          <w:szCs w:val="30"/>
          <w:highlight w:val="none"/>
        </w:rPr>
        <w:t>项 目 名 称：</w:t>
      </w:r>
      <w:r>
        <w:rPr>
          <w:rFonts w:hint="eastAsia" w:ascii="新宋体" w:hAnsi="新宋体" w:eastAsia="新宋体" w:cs="新宋体"/>
          <w:b/>
          <w:bCs/>
          <w:color w:val="auto"/>
          <w:spacing w:val="40"/>
          <w:sz w:val="30"/>
          <w:szCs w:val="30"/>
          <w:highlight w:val="none"/>
        </w:rPr>
        <w:t>瓯江口雪亮工程建设项目</w:t>
      </w:r>
    </w:p>
    <w:p>
      <w:pPr>
        <w:spacing w:line="800" w:lineRule="exact"/>
        <w:ind w:left="3794" w:leftChars="540" w:hanging="2660" w:hangingChars="700"/>
        <w:rPr>
          <w:rFonts w:hint="eastAsia" w:ascii="新宋体" w:hAnsi="新宋体" w:eastAsia="新宋体" w:cs="新宋体"/>
          <w:b/>
          <w:color w:val="auto"/>
          <w:spacing w:val="40"/>
          <w:sz w:val="30"/>
          <w:szCs w:val="30"/>
          <w:highlight w:val="none"/>
        </w:rPr>
      </w:pPr>
      <w:r>
        <w:rPr>
          <w:rFonts w:hint="eastAsia" w:ascii="新宋体" w:hAnsi="新宋体" w:eastAsia="新宋体" w:cs="新宋体"/>
          <w:color w:val="auto"/>
          <w:spacing w:val="40"/>
          <w:sz w:val="30"/>
          <w:szCs w:val="30"/>
          <w:highlight w:val="none"/>
        </w:rPr>
        <w:t>采 购 方 式：</w:t>
      </w:r>
      <w:r>
        <w:rPr>
          <w:rFonts w:hint="eastAsia" w:ascii="新宋体" w:hAnsi="新宋体" w:eastAsia="新宋体" w:cs="新宋体"/>
          <w:b/>
          <w:color w:val="auto"/>
          <w:spacing w:val="40"/>
          <w:sz w:val="30"/>
          <w:szCs w:val="30"/>
          <w:highlight w:val="none"/>
        </w:rPr>
        <w:t>公开招标</w:t>
      </w:r>
    </w:p>
    <w:p>
      <w:pPr>
        <w:spacing w:line="800" w:lineRule="exact"/>
        <w:ind w:left="3794" w:leftChars="540" w:hanging="2660" w:hangingChars="700"/>
        <w:rPr>
          <w:rFonts w:hint="eastAsia"/>
          <w:color w:val="auto"/>
          <w:highlight w:val="none"/>
        </w:rPr>
      </w:pPr>
      <w:r>
        <w:rPr>
          <w:rFonts w:hint="eastAsia" w:ascii="新宋体" w:hAnsi="新宋体" w:eastAsia="新宋体"/>
          <w:color w:val="auto"/>
          <w:spacing w:val="40"/>
          <w:sz w:val="30"/>
          <w:szCs w:val="30"/>
          <w:highlight w:val="none"/>
        </w:rPr>
        <w:t>评 审 方 式：</w:t>
      </w:r>
      <w:r>
        <w:rPr>
          <w:rFonts w:hint="eastAsia" w:ascii="新宋体" w:hAnsi="新宋体" w:eastAsia="新宋体"/>
          <w:b/>
          <w:bCs/>
          <w:color w:val="auto"/>
          <w:spacing w:val="40"/>
          <w:sz w:val="30"/>
          <w:szCs w:val="30"/>
          <w:highlight w:val="none"/>
        </w:rPr>
        <w:t>线上电子招投标</w:t>
      </w:r>
    </w:p>
    <w:p>
      <w:pPr>
        <w:spacing w:line="600" w:lineRule="exact"/>
        <w:ind w:firstLine="1620" w:firstLineChars="450"/>
        <w:rPr>
          <w:rFonts w:hint="eastAsia" w:ascii="新宋体" w:hAnsi="新宋体" w:eastAsia="新宋体" w:cs="新宋体"/>
          <w:color w:val="auto"/>
          <w:spacing w:val="30"/>
          <w:sz w:val="30"/>
          <w:highlight w:val="none"/>
        </w:rPr>
      </w:pPr>
    </w:p>
    <w:p>
      <w:pPr>
        <w:rPr>
          <w:rFonts w:hint="eastAsia" w:ascii="新宋体" w:hAnsi="新宋体" w:eastAsia="新宋体" w:cs="新宋体"/>
          <w:color w:val="auto"/>
          <w:spacing w:val="30"/>
          <w:sz w:val="30"/>
          <w:highlight w:val="none"/>
        </w:rPr>
      </w:pPr>
    </w:p>
    <w:p>
      <w:pPr>
        <w:rPr>
          <w:rFonts w:hint="eastAsia" w:ascii="新宋体" w:hAnsi="新宋体" w:eastAsia="新宋体" w:cs="新宋体"/>
          <w:color w:val="auto"/>
          <w:spacing w:val="30"/>
          <w:sz w:val="30"/>
          <w:highlight w:val="none"/>
        </w:rPr>
      </w:pPr>
    </w:p>
    <w:p>
      <w:pPr>
        <w:rPr>
          <w:rFonts w:hint="eastAsia"/>
          <w:color w:val="auto"/>
          <w:highlight w:val="none"/>
        </w:rPr>
      </w:pPr>
    </w:p>
    <w:p>
      <w:pPr>
        <w:spacing w:line="600" w:lineRule="exact"/>
        <w:ind w:firstLine="1800" w:firstLineChars="500"/>
        <w:rPr>
          <w:rFonts w:hint="eastAsia" w:ascii="新宋体" w:hAnsi="新宋体" w:eastAsia="新宋体" w:cs="新宋体"/>
          <w:color w:val="auto"/>
          <w:sz w:val="30"/>
          <w:highlight w:val="none"/>
        </w:rPr>
      </w:pPr>
      <w:r>
        <w:rPr>
          <w:rFonts w:hint="eastAsia" w:ascii="新宋体" w:hAnsi="新宋体" w:eastAsia="新宋体" w:cs="新宋体"/>
          <w:color w:val="auto"/>
          <w:spacing w:val="30"/>
          <w:sz w:val="30"/>
          <w:highlight w:val="none"/>
        </w:rPr>
        <w:t>招 标 人:</w:t>
      </w:r>
      <w:r>
        <w:rPr>
          <w:rFonts w:hint="eastAsia" w:ascii="新宋体" w:hAnsi="新宋体" w:eastAsia="新宋体" w:cs="新宋体"/>
          <w:b/>
          <w:color w:val="auto"/>
          <w:sz w:val="22"/>
          <w:szCs w:val="22"/>
          <w:highlight w:val="none"/>
        </w:rPr>
        <w:t xml:space="preserve"> </w:t>
      </w:r>
      <w:r>
        <w:rPr>
          <w:rFonts w:hint="eastAsia" w:ascii="新宋体" w:hAnsi="新宋体" w:eastAsia="新宋体" w:cs="新宋体"/>
          <w:color w:val="auto"/>
          <w:sz w:val="30"/>
          <w:highlight w:val="none"/>
        </w:rPr>
        <w:t xml:space="preserve">温州市公安局瓯江口分局     </w:t>
      </w:r>
    </w:p>
    <w:p>
      <w:pPr>
        <w:spacing w:line="600" w:lineRule="exact"/>
        <w:ind w:firstLine="1800" w:firstLineChars="500"/>
        <w:rPr>
          <w:rFonts w:hint="eastAsia" w:ascii="新宋体" w:hAnsi="新宋体" w:eastAsia="新宋体" w:cs="新宋体"/>
          <w:color w:val="auto"/>
          <w:spacing w:val="30"/>
          <w:sz w:val="30"/>
          <w:highlight w:val="none"/>
        </w:rPr>
      </w:pPr>
      <w:r>
        <w:rPr>
          <w:rFonts w:hint="eastAsia" w:ascii="新宋体" w:hAnsi="新宋体" w:eastAsia="新宋体" w:cs="新宋体"/>
          <w:color w:val="auto"/>
          <w:spacing w:val="30"/>
          <w:sz w:val="30"/>
          <w:highlight w:val="none"/>
        </w:rPr>
        <w:t>招标代理机构：温州历程招标有限公司</w:t>
      </w:r>
    </w:p>
    <w:p>
      <w:pPr>
        <w:spacing w:line="600" w:lineRule="exact"/>
        <w:jc w:val="center"/>
        <w:rPr>
          <w:rFonts w:hint="eastAsia" w:ascii="新宋体" w:hAnsi="新宋体" w:eastAsia="新宋体" w:cs="新宋体"/>
          <w:color w:val="auto"/>
          <w:spacing w:val="30"/>
          <w:sz w:val="30"/>
          <w:highlight w:val="none"/>
        </w:rPr>
      </w:pPr>
      <w:r>
        <w:rPr>
          <w:rFonts w:hint="eastAsia" w:ascii="新宋体" w:hAnsi="新宋体" w:eastAsia="新宋体" w:cs="新宋体"/>
          <w:color w:val="auto"/>
          <w:spacing w:val="30"/>
          <w:sz w:val="30"/>
          <w:highlight w:val="none"/>
        </w:rPr>
        <w:t>二0二0年八月</w:t>
      </w:r>
    </w:p>
    <w:p>
      <w:pPr>
        <w:rPr>
          <w:rFonts w:hint="eastAsia" w:ascii="新宋体" w:hAnsi="新宋体" w:eastAsia="新宋体" w:cs="新宋体"/>
          <w:color w:val="auto"/>
          <w:spacing w:val="30"/>
          <w:sz w:val="30"/>
          <w:highlight w:val="none"/>
        </w:rPr>
      </w:pPr>
    </w:p>
    <w:p>
      <w:pPr>
        <w:rPr>
          <w:rFonts w:hint="eastAsia" w:ascii="新宋体" w:hAnsi="新宋体" w:eastAsia="新宋体" w:cs="新宋体"/>
          <w:color w:val="auto"/>
          <w:spacing w:val="30"/>
          <w:sz w:val="30"/>
          <w:highlight w:val="none"/>
        </w:rPr>
      </w:pPr>
    </w:p>
    <w:p>
      <w:pPr>
        <w:rPr>
          <w:rFonts w:hint="eastAsia" w:ascii="新宋体" w:hAnsi="新宋体" w:eastAsia="新宋体" w:cs="新宋体"/>
          <w:color w:val="auto"/>
          <w:spacing w:val="30"/>
          <w:sz w:val="30"/>
          <w:highlight w:val="none"/>
        </w:rPr>
      </w:pPr>
    </w:p>
    <w:p>
      <w:pPr>
        <w:rPr>
          <w:rFonts w:hint="eastAsia"/>
          <w:color w:val="auto"/>
          <w:highlight w:val="none"/>
        </w:rPr>
      </w:pPr>
    </w:p>
    <w:p>
      <w:pPr>
        <w:rPr>
          <w:rFonts w:hint="eastAsia"/>
          <w:color w:val="auto"/>
          <w:highlight w:val="none"/>
        </w:rPr>
      </w:pPr>
    </w:p>
    <w:p>
      <w:pPr>
        <w:spacing w:before="100" w:beforeAutospacing="1" w:after="100" w:afterAutospacing="1" w:line="440" w:lineRule="exact"/>
        <w:jc w:val="center"/>
        <w:outlineLvl w:val="0"/>
        <w:rPr>
          <w:rFonts w:hint="eastAsia" w:ascii="新宋体" w:hAnsi="新宋体" w:eastAsia="新宋体" w:cs="新宋体"/>
          <w:b/>
          <w:bCs/>
          <w:color w:val="auto"/>
          <w:sz w:val="32"/>
          <w:szCs w:val="32"/>
          <w:highlight w:val="none"/>
        </w:rPr>
      </w:pPr>
      <w:r>
        <w:rPr>
          <w:rFonts w:hint="eastAsia" w:ascii="新宋体" w:hAnsi="新宋体" w:eastAsia="新宋体" w:cs="新宋体"/>
          <w:b/>
          <w:bCs/>
          <w:color w:val="auto"/>
          <w:sz w:val="32"/>
          <w:szCs w:val="32"/>
          <w:highlight w:val="none"/>
        </w:rPr>
        <w:t>目    录</w:t>
      </w:r>
    </w:p>
    <w:p>
      <w:pPr>
        <w:spacing w:line="600" w:lineRule="exact"/>
        <w:ind w:firstLine="550" w:firstLineChars="25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第一册   通  用  文  本    …………………………………………………………………3</w:t>
      </w:r>
    </w:p>
    <w:p>
      <w:pPr>
        <w:spacing w:line="600" w:lineRule="exact"/>
        <w:ind w:firstLine="550" w:firstLineChars="25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招标公告                   …………………………………………………………………4</w:t>
      </w:r>
    </w:p>
    <w:p>
      <w:pPr>
        <w:numPr>
          <w:ilvl w:val="0"/>
          <w:numId w:val="2"/>
        </w:numPr>
        <w:spacing w:line="600" w:lineRule="exact"/>
        <w:ind w:firstLine="550" w:firstLineChars="250"/>
        <w:rPr>
          <w:rFonts w:hint="eastAsia"/>
          <w:color w:val="auto"/>
          <w:highlight w:val="none"/>
        </w:rPr>
      </w:pPr>
      <w:r>
        <w:rPr>
          <w:rFonts w:hint="eastAsia" w:ascii="新宋体" w:hAnsi="新宋体" w:eastAsia="新宋体" w:cs="新宋体"/>
          <w:color w:val="auto"/>
          <w:sz w:val="22"/>
          <w:highlight w:val="none"/>
        </w:rPr>
        <w:t xml:space="preserve"> 投标人须知       …………………………………………………………………8</w:t>
      </w:r>
    </w:p>
    <w:p>
      <w:pPr>
        <w:spacing w:line="600" w:lineRule="exact"/>
        <w:ind w:firstLine="550" w:firstLineChars="250"/>
        <w:rPr>
          <w:rFonts w:hint="eastAsia" w:eastAsia="新宋体"/>
          <w:color w:val="auto"/>
          <w:highlight w:val="none"/>
        </w:rPr>
      </w:pPr>
      <w:r>
        <w:rPr>
          <w:rFonts w:hint="eastAsia" w:ascii="新宋体" w:hAnsi="新宋体" w:eastAsia="新宋体" w:cs="新宋体"/>
          <w:color w:val="auto"/>
          <w:sz w:val="22"/>
          <w:highlight w:val="none"/>
        </w:rPr>
        <w:t>投标须知前附表             …………………………………………………………………8</w:t>
      </w:r>
    </w:p>
    <w:p>
      <w:pPr>
        <w:spacing w:line="600" w:lineRule="exact"/>
        <w:ind w:firstLine="550" w:firstLineChars="25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一、说明                   …………………………………………………………………11</w:t>
      </w:r>
    </w:p>
    <w:p>
      <w:pPr>
        <w:spacing w:line="600" w:lineRule="exact"/>
        <w:ind w:firstLine="550" w:firstLineChars="25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二、招标文件               …………………………………………………………………12</w:t>
      </w:r>
    </w:p>
    <w:p>
      <w:pPr>
        <w:spacing w:line="600" w:lineRule="exact"/>
        <w:ind w:firstLine="550" w:firstLineChars="25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三、投标文件的编制         …………………………………………………………………13</w:t>
      </w:r>
    </w:p>
    <w:p>
      <w:pPr>
        <w:spacing w:line="600" w:lineRule="exact"/>
        <w:ind w:firstLine="550" w:firstLineChars="25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四、投标文件的递交         …………………………………………………………………17</w:t>
      </w:r>
    </w:p>
    <w:p>
      <w:pPr>
        <w:spacing w:line="600" w:lineRule="exact"/>
        <w:ind w:firstLine="550" w:firstLineChars="25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五、开标和评标             …………………………………………………………………17</w:t>
      </w:r>
    </w:p>
    <w:p>
      <w:pPr>
        <w:spacing w:line="600" w:lineRule="exact"/>
        <w:ind w:firstLine="550" w:firstLineChars="25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六、授予合同               …………………………………………………………………21</w:t>
      </w:r>
    </w:p>
    <w:p>
      <w:pPr>
        <w:spacing w:line="600" w:lineRule="exact"/>
        <w:ind w:firstLine="550" w:firstLineChars="25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第二部分  合同主要条款     …………………………………………………………………23</w:t>
      </w:r>
    </w:p>
    <w:p>
      <w:pPr>
        <w:spacing w:line="600" w:lineRule="exact"/>
        <w:ind w:firstLine="550" w:firstLineChars="25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第三部分  附件             …………………………………………………………………33</w:t>
      </w:r>
    </w:p>
    <w:p>
      <w:pPr>
        <w:spacing w:line="600" w:lineRule="exact"/>
        <w:ind w:firstLine="550" w:firstLineChars="25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第二册    专用文本         …………………………………………………………………76</w:t>
      </w:r>
    </w:p>
    <w:p>
      <w:pPr>
        <w:spacing w:line="600" w:lineRule="exact"/>
        <w:ind w:firstLine="550" w:firstLineChars="25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第四部分 项目技术规范和服务要求    ………………………………………………………77</w:t>
      </w:r>
    </w:p>
    <w:p>
      <w:pPr>
        <w:spacing w:line="60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标段一：瓯江口雪亮工程建设项目-公安监控建设      ……………………………………126</w:t>
      </w:r>
    </w:p>
    <w:p>
      <w:pPr>
        <w:spacing w:line="60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标段二：瓯江口雪亮工程建设项目-水利等部门可视化工程建设    ………………………162</w:t>
      </w:r>
    </w:p>
    <w:p>
      <w:pPr>
        <w:spacing w:line="600" w:lineRule="exact"/>
        <w:ind w:firstLine="550" w:firstLineChars="250"/>
        <w:rPr>
          <w:rFonts w:eastAsia="新宋体"/>
          <w:color w:val="auto"/>
          <w:highlight w:val="none"/>
        </w:rPr>
      </w:pPr>
      <w:r>
        <w:rPr>
          <w:rFonts w:hint="eastAsia" w:ascii="新宋体" w:hAnsi="新宋体" w:eastAsia="新宋体"/>
          <w:color w:val="auto"/>
          <w:sz w:val="22"/>
          <w:highlight w:val="none"/>
        </w:rPr>
        <w:t>标段三：项目咨询监理                       ……………………………………………182</w:t>
      </w:r>
    </w:p>
    <w:p>
      <w:pPr>
        <w:spacing w:line="600" w:lineRule="exact"/>
        <w:ind w:firstLine="550" w:firstLineChars="25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第五部分 评标原则及方法    …………………………………………………………………188</w:t>
      </w:r>
    </w:p>
    <w:p>
      <w:pPr>
        <w:spacing w:line="600" w:lineRule="exact"/>
        <w:ind w:firstLine="550" w:firstLineChars="250"/>
        <w:rPr>
          <w:rFonts w:ascii="新宋体" w:hAnsi="新宋体" w:eastAsia="新宋体" w:cs="新宋体"/>
          <w:color w:val="auto"/>
          <w:sz w:val="22"/>
          <w:highlight w:val="none"/>
        </w:rPr>
      </w:pPr>
    </w:p>
    <w:p>
      <w:pPr>
        <w:spacing w:line="360" w:lineRule="auto"/>
        <w:jc w:val="center"/>
        <w:rPr>
          <w:rFonts w:hint="eastAsia" w:ascii="新宋体" w:hAnsi="新宋体" w:eastAsia="新宋体" w:cs="新宋体"/>
          <w:b/>
          <w:color w:val="auto"/>
          <w:sz w:val="22"/>
          <w:szCs w:val="22"/>
          <w:highlight w:val="none"/>
        </w:rPr>
      </w:pPr>
    </w:p>
    <w:p>
      <w:pPr>
        <w:spacing w:line="360" w:lineRule="auto"/>
        <w:jc w:val="center"/>
        <w:rPr>
          <w:rFonts w:hint="eastAsia" w:ascii="新宋体" w:hAnsi="新宋体" w:eastAsia="新宋体" w:cs="新宋体"/>
          <w:b/>
          <w:color w:val="auto"/>
          <w:sz w:val="22"/>
          <w:szCs w:val="22"/>
          <w:highlight w:val="none"/>
        </w:rPr>
      </w:pPr>
    </w:p>
    <w:p>
      <w:pPr>
        <w:spacing w:line="360" w:lineRule="auto"/>
        <w:jc w:val="center"/>
        <w:rPr>
          <w:rFonts w:hint="eastAsia" w:ascii="新宋体" w:hAnsi="新宋体" w:eastAsia="新宋体" w:cs="新宋体"/>
          <w:b/>
          <w:color w:val="auto"/>
          <w:sz w:val="22"/>
          <w:szCs w:val="22"/>
          <w:highlight w:val="none"/>
        </w:rPr>
      </w:pPr>
    </w:p>
    <w:p>
      <w:pPr>
        <w:spacing w:line="360" w:lineRule="auto"/>
        <w:jc w:val="center"/>
        <w:rPr>
          <w:rFonts w:hint="eastAsia" w:ascii="新宋体" w:hAnsi="新宋体" w:eastAsia="新宋体" w:cs="新宋体"/>
          <w:b/>
          <w:color w:val="auto"/>
          <w:sz w:val="22"/>
          <w:szCs w:val="22"/>
          <w:highlight w:val="none"/>
        </w:rPr>
      </w:pPr>
    </w:p>
    <w:p>
      <w:pPr>
        <w:spacing w:line="360" w:lineRule="auto"/>
        <w:jc w:val="center"/>
        <w:rPr>
          <w:rFonts w:hint="eastAsia" w:ascii="新宋体" w:hAnsi="新宋体" w:eastAsia="新宋体" w:cs="新宋体"/>
          <w:b/>
          <w:color w:val="auto"/>
          <w:sz w:val="22"/>
          <w:szCs w:val="22"/>
          <w:highlight w:val="none"/>
        </w:rPr>
      </w:pPr>
    </w:p>
    <w:p>
      <w:pPr>
        <w:spacing w:line="360" w:lineRule="auto"/>
        <w:jc w:val="center"/>
        <w:rPr>
          <w:rFonts w:hint="eastAsia" w:ascii="新宋体" w:hAnsi="新宋体" w:eastAsia="新宋体" w:cs="新宋体"/>
          <w:b/>
          <w:color w:val="auto"/>
          <w:sz w:val="22"/>
          <w:szCs w:val="22"/>
          <w:highlight w:val="none"/>
        </w:rPr>
      </w:pPr>
    </w:p>
    <w:p>
      <w:pPr>
        <w:spacing w:line="360" w:lineRule="auto"/>
        <w:jc w:val="center"/>
        <w:rPr>
          <w:rFonts w:hint="eastAsia" w:ascii="新宋体" w:hAnsi="新宋体" w:eastAsia="新宋体" w:cs="新宋体"/>
          <w:b/>
          <w:color w:val="auto"/>
          <w:sz w:val="22"/>
          <w:szCs w:val="22"/>
          <w:highlight w:val="none"/>
        </w:rPr>
      </w:pPr>
    </w:p>
    <w:p>
      <w:pPr>
        <w:spacing w:line="360" w:lineRule="auto"/>
        <w:jc w:val="center"/>
        <w:rPr>
          <w:rFonts w:hint="eastAsia" w:ascii="新宋体" w:hAnsi="新宋体" w:eastAsia="新宋体" w:cs="新宋体"/>
          <w:b/>
          <w:color w:val="auto"/>
          <w:sz w:val="22"/>
          <w:szCs w:val="22"/>
          <w:highlight w:val="none"/>
        </w:rPr>
      </w:pPr>
    </w:p>
    <w:p>
      <w:pPr>
        <w:spacing w:line="360" w:lineRule="auto"/>
        <w:jc w:val="center"/>
        <w:rPr>
          <w:rFonts w:hint="eastAsia" w:ascii="新宋体" w:hAnsi="新宋体" w:eastAsia="新宋体" w:cs="新宋体"/>
          <w:b/>
          <w:color w:val="auto"/>
          <w:sz w:val="22"/>
          <w:szCs w:val="22"/>
          <w:highlight w:val="none"/>
        </w:rPr>
      </w:pPr>
    </w:p>
    <w:p>
      <w:pPr>
        <w:spacing w:line="360" w:lineRule="auto"/>
        <w:jc w:val="center"/>
        <w:rPr>
          <w:rFonts w:hint="eastAsia" w:ascii="新宋体" w:hAnsi="新宋体" w:eastAsia="新宋体" w:cs="新宋体"/>
          <w:b/>
          <w:color w:val="auto"/>
          <w:sz w:val="22"/>
          <w:szCs w:val="22"/>
          <w:highlight w:val="none"/>
        </w:rPr>
      </w:pPr>
    </w:p>
    <w:p>
      <w:pPr>
        <w:spacing w:line="360" w:lineRule="auto"/>
        <w:jc w:val="center"/>
        <w:rPr>
          <w:rFonts w:hint="eastAsia" w:ascii="新宋体" w:hAnsi="新宋体" w:eastAsia="新宋体" w:cs="新宋体"/>
          <w:b/>
          <w:color w:val="auto"/>
          <w:sz w:val="22"/>
          <w:szCs w:val="22"/>
          <w:highlight w:val="none"/>
        </w:rPr>
      </w:pPr>
    </w:p>
    <w:p>
      <w:pPr>
        <w:spacing w:line="360" w:lineRule="auto"/>
        <w:jc w:val="center"/>
        <w:rPr>
          <w:rFonts w:hint="eastAsia" w:ascii="新宋体" w:hAnsi="新宋体" w:eastAsia="新宋体" w:cs="新宋体"/>
          <w:b/>
          <w:color w:val="auto"/>
          <w:sz w:val="22"/>
          <w:szCs w:val="22"/>
          <w:highlight w:val="none"/>
        </w:rPr>
      </w:pPr>
    </w:p>
    <w:p>
      <w:pPr>
        <w:spacing w:line="360" w:lineRule="auto"/>
        <w:jc w:val="center"/>
        <w:rPr>
          <w:rFonts w:hint="eastAsia" w:ascii="新宋体" w:hAnsi="新宋体" w:eastAsia="新宋体" w:cs="新宋体"/>
          <w:b/>
          <w:color w:val="auto"/>
          <w:sz w:val="22"/>
          <w:szCs w:val="22"/>
          <w:highlight w:val="none"/>
        </w:rPr>
      </w:pPr>
    </w:p>
    <w:p>
      <w:pPr>
        <w:spacing w:line="360" w:lineRule="auto"/>
        <w:jc w:val="center"/>
        <w:rPr>
          <w:rFonts w:hint="eastAsia" w:ascii="新宋体" w:hAnsi="新宋体" w:eastAsia="新宋体" w:cs="新宋体"/>
          <w:b/>
          <w:color w:val="auto"/>
          <w:sz w:val="22"/>
          <w:szCs w:val="22"/>
          <w:highlight w:val="none"/>
        </w:rPr>
      </w:pPr>
    </w:p>
    <w:p>
      <w:pPr>
        <w:pStyle w:val="25"/>
        <w:rPr>
          <w:rFonts w:hint="eastAsia" w:ascii="新宋体" w:hAnsi="新宋体" w:eastAsia="新宋体" w:cs="新宋体"/>
          <w:color w:val="auto"/>
          <w:highlight w:val="none"/>
        </w:rPr>
      </w:pPr>
    </w:p>
    <w:p>
      <w:pPr>
        <w:spacing w:line="360" w:lineRule="auto"/>
        <w:jc w:val="center"/>
        <w:rPr>
          <w:rFonts w:hint="eastAsia" w:ascii="新宋体" w:hAnsi="新宋体" w:eastAsia="新宋体" w:cs="新宋体"/>
          <w:b/>
          <w:color w:val="auto"/>
          <w:sz w:val="22"/>
          <w:szCs w:val="22"/>
          <w:highlight w:val="none"/>
        </w:rPr>
      </w:pPr>
    </w:p>
    <w:p>
      <w:pPr>
        <w:spacing w:line="360" w:lineRule="auto"/>
        <w:jc w:val="center"/>
        <w:rPr>
          <w:rFonts w:hint="eastAsia" w:ascii="新宋体" w:hAnsi="新宋体" w:eastAsia="新宋体" w:cs="新宋体"/>
          <w:b/>
          <w:color w:val="auto"/>
          <w:sz w:val="22"/>
          <w:szCs w:val="22"/>
          <w:highlight w:val="none"/>
        </w:rPr>
      </w:pPr>
    </w:p>
    <w:p>
      <w:pPr>
        <w:spacing w:line="360" w:lineRule="auto"/>
        <w:jc w:val="center"/>
        <w:rPr>
          <w:rFonts w:hint="eastAsia" w:ascii="新宋体" w:hAnsi="新宋体" w:eastAsia="新宋体" w:cs="新宋体"/>
          <w:b/>
          <w:color w:val="auto"/>
          <w:sz w:val="22"/>
          <w:szCs w:val="22"/>
          <w:highlight w:val="none"/>
        </w:rPr>
      </w:pPr>
    </w:p>
    <w:p>
      <w:pPr>
        <w:spacing w:line="360" w:lineRule="auto"/>
        <w:jc w:val="center"/>
        <w:rPr>
          <w:rFonts w:hint="eastAsia" w:ascii="新宋体" w:hAnsi="新宋体" w:eastAsia="新宋体" w:cs="新宋体"/>
          <w:b/>
          <w:color w:val="auto"/>
          <w:sz w:val="22"/>
          <w:szCs w:val="22"/>
          <w:highlight w:val="none"/>
        </w:rPr>
      </w:pPr>
    </w:p>
    <w:p>
      <w:pPr>
        <w:spacing w:line="360" w:lineRule="auto"/>
        <w:jc w:val="center"/>
        <w:rPr>
          <w:rFonts w:hint="eastAsia" w:ascii="新宋体" w:hAnsi="新宋体" w:eastAsia="新宋体" w:cs="新宋体"/>
          <w:b/>
          <w:color w:val="auto"/>
          <w:sz w:val="22"/>
          <w:szCs w:val="22"/>
          <w:highlight w:val="none"/>
        </w:rPr>
      </w:pPr>
    </w:p>
    <w:p>
      <w:pPr>
        <w:jc w:val="center"/>
        <w:outlineLvl w:val="0"/>
        <w:rPr>
          <w:rFonts w:hint="eastAsia" w:ascii="新宋体" w:hAnsi="新宋体" w:eastAsia="新宋体" w:cs="新宋体"/>
          <w:b/>
          <w:bCs/>
          <w:color w:val="auto"/>
          <w:sz w:val="52"/>
          <w:szCs w:val="52"/>
          <w:highlight w:val="none"/>
        </w:rPr>
      </w:pPr>
      <w:r>
        <w:rPr>
          <w:rFonts w:hint="eastAsia" w:ascii="新宋体" w:hAnsi="新宋体" w:eastAsia="新宋体" w:cs="新宋体"/>
          <w:b/>
          <w:bCs/>
          <w:color w:val="auto"/>
          <w:sz w:val="52"/>
          <w:szCs w:val="52"/>
          <w:highlight w:val="none"/>
        </w:rPr>
        <w:t>第一册</w:t>
      </w:r>
    </w:p>
    <w:p>
      <w:pPr>
        <w:rPr>
          <w:rFonts w:hint="eastAsia" w:ascii="新宋体" w:hAnsi="新宋体" w:eastAsia="新宋体" w:cs="新宋体"/>
          <w:b/>
          <w:bCs/>
          <w:color w:val="auto"/>
          <w:sz w:val="48"/>
          <w:highlight w:val="none"/>
        </w:rPr>
      </w:pPr>
    </w:p>
    <w:p>
      <w:pPr>
        <w:jc w:val="center"/>
        <w:outlineLvl w:val="1"/>
        <w:rPr>
          <w:rFonts w:hint="eastAsia" w:ascii="新宋体" w:hAnsi="新宋体" w:eastAsia="新宋体" w:cs="新宋体"/>
          <w:b/>
          <w:bCs/>
          <w:color w:val="auto"/>
          <w:sz w:val="48"/>
          <w:highlight w:val="none"/>
        </w:rPr>
      </w:pPr>
      <w:r>
        <w:rPr>
          <w:rFonts w:hint="eastAsia" w:ascii="新宋体" w:hAnsi="新宋体" w:eastAsia="新宋体" w:cs="新宋体"/>
          <w:b/>
          <w:bCs/>
          <w:color w:val="auto"/>
          <w:sz w:val="48"/>
          <w:highlight w:val="none"/>
        </w:rPr>
        <w:t>通  用  文  本</w:t>
      </w:r>
    </w:p>
    <w:p>
      <w:pPr>
        <w:spacing w:line="360" w:lineRule="auto"/>
        <w:jc w:val="center"/>
        <w:rPr>
          <w:rFonts w:hint="eastAsia" w:ascii="新宋体" w:hAnsi="新宋体" w:eastAsia="新宋体" w:cs="新宋体"/>
          <w:b/>
          <w:color w:val="auto"/>
          <w:sz w:val="22"/>
          <w:szCs w:val="22"/>
          <w:highlight w:val="none"/>
        </w:rPr>
      </w:pPr>
    </w:p>
    <w:p>
      <w:pPr>
        <w:spacing w:line="360" w:lineRule="auto"/>
        <w:jc w:val="center"/>
        <w:rPr>
          <w:rFonts w:hint="eastAsia" w:ascii="新宋体" w:hAnsi="新宋体" w:eastAsia="新宋体" w:cs="新宋体"/>
          <w:b/>
          <w:color w:val="auto"/>
          <w:sz w:val="22"/>
          <w:szCs w:val="22"/>
          <w:highlight w:val="none"/>
        </w:rPr>
      </w:pPr>
    </w:p>
    <w:p>
      <w:pPr>
        <w:spacing w:line="360" w:lineRule="auto"/>
        <w:jc w:val="center"/>
        <w:rPr>
          <w:rFonts w:hint="eastAsia" w:ascii="新宋体" w:hAnsi="新宋体" w:eastAsia="新宋体" w:cs="新宋体"/>
          <w:b/>
          <w:color w:val="auto"/>
          <w:sz w:val="22"/>
          <w:szCs w:val="22"/>
          <w:highlight w:val="none"/>
        </w:rPr>
      </w:pPr>
    </w:p>
    <w:p>
      <w:pPr>
        <w:pStyle w:val="9"/>
        <w:rPr>
          <w:rFonts w:hint="eastAsia" w:ascii="新宋体" w:hAnsi="新宋体" w:eastAsia="新宋体" w:cs="新宋体"/>
          <w:b w:val="0"/>
          <w:color w:val="auto"/>
          <w:sz w:val="22"/>
          <w:szCs w:val="22"/>
          <w:highlight w:val="none"/>
        </w:rPr>
      </w:pPr>
    </w:p>
    <w:p>
      <w:pPr>
        <w:rPr>
          <w:rFonts w:hint="eastAsia" w:ascii="新宋体" w:hAnsi="新宋体" w:eastAsia="新宋体" w:cs="新宋体"/>
          <w:b/>
          <w:color w:val="auto"/>
          <w:sz w:val="22"/>
          <w:szCs w:val="22"/>
          <w:highlight w:val="none"/>
        </w:rPr>
      </w:pPr>
    </w:p>
    <w:p>
      <w:pPr>
        <w:pStyle w:val="9"/>
        <w:rPr>
          <w:rFonts w:hint="eastAsia" w:ascii="新宋体" w:hAnsi="新宋体" w:eastAsia="新宋体" w:cs="新宋体"/>
          <w:b w:val="0"/>
          <w:color w:val="auto"/>
          <w:sz w:val="22"/>
          <w:szCs w:val="22"/>
          <w:highlight w:val="none"/>
        </w:rPr>
      </w:pPr>
    </w:p>
    <w:p>
      <w:pPr>
        <w:rPr>
          <w:rFonts w:hint="eastAsia" w:ascii="新宋体" w:hAnsi="新宋体" w:eastAsia="新宋体" w:cs="新宋体"/>
          <w:b/>
          <w:color w:val="auto"/>
          <w:sz w:val="22"/>
          <w:szCs w:val="22"/>
          <w:highlight w:val="none"/>
        </w:rPr>
      </w:pPr>
    </w:p>
    <w:p>
      <w:pPr>
        <w:pStyle w:val="9"/>
        <w:rPr>
          <w:rFonts w:hint="eastAsia" w:ascii="新宋体" w:hAnsi="新宋体" w:eastAsia="新宋体" w:cs="新宋体"/>
          <w:b w:val="0"/>
          <w:color w:val="auto"/>
          <w:sz w:val="22"/>
          <w:szCs w:val="22"/>
          <w:highlight w:val="none"/>
        </w:rPr>
      </w:pPr>
    </w:p>
    <w:p>
      <w:pPr>
        <w:rPr>
          <w:rFonts w:hint="eastAsia" w:ascii="新宋体" w:hAnsi="新宋体" w:eastAsia="新宋体" w:cs="新宋体"/>
          <w:b/>
          <w:color w:val="auto"/>
          <w:sz w:val="22"/>
          <w:szCs w:val="22"/>
          <w:highlight w:val="none"/>
        </w:rPr>
      </w:pPr>
    </w:p>
    <w:p>
      <w:pPr>
        <w:pStyle w:val="9"/>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spacing w:line="360" w:lineRule="auto"/>
        <w:jc w:val="center"/>
        <w:rPr>
          <w:rFonts w:hint="eastAsia" w:ascii="新宋体" w:hAnsi="新宋体" w:eastAsia="新宋体" w:cs="新宋体"/>
          <w:b/>
          <w:color w:val="auto"/>
          <w:sz w:val="22"/>
          <w:szCs w:val="22"/>
          <w:highlight w:val="none"/>
        </w:rPr>
      </w:pPr>
    </w:p>
    <w:p>
      <w:pPr>
        <w:pStyle w:val="23"/>
        <w:spacing w:line="460" w:lineRule="exact"/>
        <w:ind w:left="433" w:leftChars="206" w:firstLine="0" w:firstLineChars="0"/>
        <w:jc w:val="center"/>
        <w:outlineLvl w:val="0"/>
        <w:rPr>
          <w:rFonts w:ascii="新宋体" w:hAnsi="新宋体" w:eastAsia="新宋体"/>
          <w:b/>
          <w:color w:val="auto"/>
          <w:sz w:val="30"/>
          <w:highlight w:val="none"/>
        </w:rPr>
      </w:pPr>
      <w:bookmarkStart w:id="0" w:name="_Toc84779266"/>
      <w:r>
        <w:rPr>
          <w:rFonts w:hint="eastAsia" w:ascii="新宋体" w:hAnsi="新宋体" w:eastAsia="新宋体" w:cs="新宋体"/>
          <w:b/>
          <w:color w:val="auto"/>
          <w:sz w:val="30"/>
          <w:highlight w:val="none"/>
        </w:rPr>
        <w:t xml:space="preserve">  </w:t>
      </w:r>
      <w:bookmarkEnd w:id="0"/>
      <w:r>
        <w:rPr>
          <w:rFonts w:hint="eastAsia" w:ascii="新宋体" w:hAnsi="新宋体" w:eastAsia="新宋体"/>
          <w:b/>
          <w:color w:val="auto"/>
          <w:sz w:val="30"/>
          <w:highlight w:val="none"/>
        </w:rPr>
        <w:t>招 标 公 告</w:t>
      </w:r>
    </w:p>
    <w:p>
      <w:pPr>
        <w:pStyle w:val="48"/>
        <w:spacing w:before="0" w:beforeAutospacing="0" w:after="0" w:afterAutospacing="0" w:line="460" w:lineRule="exact"/>
        <w:ind w:firstLine="555"/>
        <w:rPr>
          <w:rFonts w:hint="eastAsia" w:ascii="新宋体" w:hAnsi="新宋体" w:eastAsia="新宋体" w:cs="新宋体"/>
          <w:color w:val="auto"/>
          <w:sz w:val="22"/>
          <w:szCs w:val="22"/>
          <w:highlight w:val="none"/>
        </w:rPr>
      </w:pPr>
      <w:r>
        <w:rPr>
          <w:rStyle w:val="55"/>
          <w:rFonts w:hint="eastAsia" w:ascii="新宋体" w:hAnsi="新宋体" w:eastAsia="新宋体" w:cs="新宋体"/>
          <w:color w:val="auto"/>
          <w:sz w:val="22"/>
          <w:szCs w:val="22"/>
          <w:highlight w:val="none"/>
        </w:rPr>
        <w:t>项目概况</w:t>
      </w:r>
    </w:p>
    <w:p>
      <w:pPr>
        <w:pStyle w:val="48"/>
        <w:spacing w:before="0" w:beforeAutospacing="0" w:after="0" w:afterAutospacing="0" w:line="460" w:lineRule="exact"/>
        <w:ind w:firstLine="555"/>
        <w:rPr>
          <w:rFonts w:hint="eastAsia" w:ascii="新宋体" w:hAnsi="新宋体" w:eastAsia="新宋体" w:cs="新宋体"/>
          <w:color w:val="auto"/>
          <w:sz w:val="22"/>
          <w:szCs w:val="22"/>
          <w:highlight w:val="none"/>
        </w:rPr>
      </w:pPr>
      <w:r>
        <w:rPr>
          <w:rFonts w:hint="eastAsia" w:ascii="新宋体" w:hAnsi="新宋体" w:eastAsia="新宋体"/>
          <w:color w:val="auto"/>
          <w:sz w:val="22"/>
          <w:highlight w:val="none"/>
        </w:rPr>
        <w:t>瓯江口雪亮工程建设项目，</w:t>
      </w:r>
      <w:r>
        <w:rPr>
          <w:rFonts w:hint="eastAsia" w:ascii="新宋体" w:hAnsi="新宋体" w:eastAsia="新宋体"/>
          <w:b/>
          <w:color w:val="auto"/>
          <w:sz w:val="22"/>
          <w:szCs w:val="22"/>
          <w:highlight w:val="none"/>
        </w:rPr>
        <w:t>分三个标段：</w:t>
      </w:r>
      <w:r>
        <w:rPr>
          <w:rFonts w:hint="eastAsia" w:ascii="新宋体" w:hAnsi="新宋体" w:eastAsia="新宋体"/>
          <w:color w:val="auto"/>
          <w:sz w:val="22"/>
          <w:highlight w:val="none"/>
        </w:rPr>
        <w:t>标段一瓯江口雪亮工程建设项目-公安监控建设；标段二瓯江口雪亮工程建设项目-水利等部门可视化工程建设；标段三项目咨询监理。各标段</w:t>
      </w:r>
      <w:r>
        <w:rPr>
          <w:rFonts w:hint="eastAsia" w:ascii="新宋体" w:hAnsi="新宋体" w:eastAsia="新宋体" w:cs="新宋体"/>
          <w:color w:val="auto"/>
          <w:sz w:val="22"/>
          <w:szCs w:val="22"/>
          <w:highlight w:val="none"/>
        </w:rPr>
        <w:t>的潜在投标人应在浙江政府采购网获取（下载）招标文件，并于2020年 </w:t>
      </w:r>
      <w:r>
        <w:rPr>
          <w:rFonts w:hint="eastAsia" w:ascii="新宋体" w:hAnsi="新宋体" w:eastAsia="新宋体" w:cs="新宋体"/>
          <w:color w:val="auto"/>
          <w:sz w:val="22"/>
          <w:szCs w:val="22"/>
          <w:highlight w:val="none"/>
          <w:lang w:val="en-US" w:eastAsia="zh-CN"/>
        </w:rPr>
        <w:t>9</w:t>
      </w:r>
      <w:r>
        <w:rPr>
          <w:rFonts w:hint="eastAsia" w:ascii="新宋体" w:hAnsi="新宋体" w:eastAsia="新宋体" w:cs="新宋体"/>
          <w:color w:val="auto"/>
          <w:sz w:val="22"/>
          <w:szCs w:val="22"/>
          <w:highlight w:val="none"/>
        </w:rPr>
        <w:t xml:space="preserve"> 月 </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 日 </w:t>
      </w:r>
      <w:r>
        <w:rPr>
          <w:rFonts w:hint="eastAsia" w:ascii="新宋体" w:hAnsi="新宋体" w:eastAsia="新宋体" w:cs="新宋体"/>
          <w:color w:val="auto"/>
          <w:sz w:val="22"/>
          <w:szCs w:val="22"/>
          <w:highlight w:val="none"/>
          <w:lang w:val="en-US" w:eastAsia="zh-CN"/>
        </w:rPr>
        <w:t>09</w:t>
      </w:r>
      <w:r>
        <w:rPr>
          <w:rFonts w:hint="eastAsia" w:ascii="新宋体" w:hAnsi="新宋体" w:eastAsia="新宋体" w:cs="新宋体"/>
          <w:color w:val="auto"/>
          <w:sz w:val="22"/>
          <w:szCs w:val="22"/>
          <w:highlight w:val="none"/>
        </w:rPr>
        <w:t>:30 （北京时间）前递交（上传）投标文件。</w:t>
      </w:r>
    </w:p>
    <w:p>
      <w:pPr>
        <w:pStyle w:val="48"/>
        <w:spacing w:before="0" w:beforeAutospacing="0" w:after="0" w:afterAutospacing="0" w:line="460" w:lineRule="exact"/>
        <w:ind w:firstLine="555"/>
        <w:rPr>
          <w:rFonts w:hint="eastAsia" w:ascii="新宋体" w:hAnsi="新宋体" w:eastAsia="新宋体" w:cs="新宋体"/>
          <w:color w:val="auto"/>
          <w:sz w:val="22"/>
          <w:szCs w:val="22"/>
          <w:highlight w:val="none"/>
        </w:rPr>
      </w:pPr>
      <w:r>
        <w:rPr>
          <w:rStyle w:val="55"/>
          <w:rFonts w:hint="eastAsia" w:ascii="新宋体" w:hAnsi="新宋体" w:eastAsia="新宋体" w:cs="新宋体"/>
          <w:color w:val="auto"/>
          <w:sz w:val="22"/>
          <w:szCs w:val="22"/>
          <w:highlight w:val="none"/>
        </w:rPr>
        <w:t>一、项目基本情况</w:t>
      </w:r>
    </w:p>
    <w:p>
      <w:pPr>
        <w:pStyle w:val="48"/>
        <w:spacing w:before="0" w:beforeAutospacing="0" w:after="0" w:afterAutospacing="0" w:line="460" w:lineRule="exact"/>
        <w:ind w:firstLine="55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项目编号：WZLCZB-2020-08124 </w:t>
      </w:r>
    </w:p>
    <w:p>
      <w:pPr>
        <w:pStyle w:val="48"/>
        <w:spacing w:before="0" w:beforeAutospacing="0" w:after="0" w:afterAutospacing="0" w:line="460" w:lineRule="exact"/>
        <w:ind w:firstLine="55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项目名称：</w:t>
      </w:r>
      <w:r>
        <w:rPr>
          <w:rFonts w:hint="eastAsia" w:ascii="新宋体" w:hAnsi="新宋体" w:eastAsia="新宋体"/>
          <w:color w:val="auto"/>
          <w:sz w:val="22"/>
          <w:highlight w:val="none"/>
        </w:rPr>
        <w:t>瓯江口雪亮工程建设项目</w:t>
      </w:r>
    </w:p>
    <w:p>
      <w:pPr>
        <w:pStyle w:val="48"/>
        <w:spacing w:before="0" w:beforeAutospacing="0" w:after="0" w:afterAutospacing="0" w:line="460" w:lineRule="exact"/>
        <w:ind w:firstLine="55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采购需求：</w:t>
      </w:r>
    </w:p>
    <w:p>
      <w:pPr>
        <w:pStyle w:val="48"/>
        <w:spacing w:before="0" w:beforeAutospacing="0" w:after="0" w:afterAutospacing="0" w:line="460" w:lineRule="exact"/>
        <w:ind w:firstLine="555"/>
        <w:rPr>
          <w:rFonts w:ascii="新宋体" w:hAnsi="新宋体" w:eastAsia="新宋体" w:cs="新宋体"/>
          <w:color w:val="auto"/>
          <w:sz w:val="22"/>
          <w:szCs w:val="22"/>
          <w:highlight w:val="none"/>
        </w:rPr>
      </w:pPr>
      <w:r>
        <w:rPr>
          <w:rFonts w:hint="eastAsia" w:ascii="新宋体" w:hAnsi="新宋体" w:eastAsia="新宋体"/>
          <w:color w:val="auto"/>
          <w:sz w:val="22"/>
          <w:highlight w:val="none"/>
        </w:rPr>
        <w:t>瓯江口雪亮工程建设项目，</w:t>
      </w:r>
      <w:r>
        <w:rPr>
          <w:rFonts w:hint="eastAsia" w:ascii="新宋体" w:hAnsi="新宋体" w:eastAsia="新宋体"/>
          <w:b/>
          <w:color w:val="auto"/>
          <w:sz w:val="22"/>
          <w:szCs w:val="22"/>
          <w:highlight w:val="none"/>
        </w:rPr>
        <w:t>分三个标段，各标段如下：</w:t>
      </w:r>
    </w:p>
    <w:tbl>
      <w:tblPr>
        <w:tblStyle w:val="52"/>
        <w:tblW w:w="10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2285"/>
        <w:gridCol w:w="660"/>
        <w:gridCol w:w="755"/>
        <w:gridCol w:w="3888"/>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4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标段号</w:t>
            </w:r>
          </w:p>
        </w:tc>
        <w:tc>
          <w:tcPr>
            <w:tcW w:w="228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4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项目内容</w:t>
            </w: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4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数量</w:t>
            </w:r>
          </w:p>
        </w:tc>
        <w:tc>
          <w:tcPr>
            <w:tcW w:w="7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4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单位</w:t>
            </w:r>
          </w:p>
        </w:tc>
        <w:tc>
          <w:tcPr>
            <w:tcW w:w="388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4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预算金额</w:t>
            </w:r>
          </w:p>
        </w:tc>
        <w:tc>
          <w:tcPr>
            <w:tcW w:w="154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4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简要技术要求、用途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一</w:t>
            </w:r>
          </w:p>
        </w:tc>
        <w:tc>
          <w:tcPr>
            <w:tcW w:w="228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40" w:lineRule="exact"/>
              <w:jc w:val="center"/>
              <w:rPr>
                <w:rFonts w:hint="eastAsia" w:ascii="新宋体" w:hAnsi="新宋体" w:eastAsia="新宋体" w:cs="新宋体"/>
                <w:color w:val="auto"/>
                <w:sz w:val="22"/>
                <w:szCs w:val="22"/>
                <w:highlight w:val="none"/>
              </w:rPr>
            </w:pPr>
            <w:r>
              <w:rPr>
                <w:rFonts w:hint="eastAsia" w:ascii="新宋体" w:hAnsi="新宋体" w:eastAsia="新宋体"/>
                <w:color w:val="auto"/>
                <w:sz w:val="22"/>
                <w:highlight w:val="none"/>
              </w:rPr>
              <w:t>瓯江口雪亮工程建设项目-公安监控建设</w:t>
            </w: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4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1</w:t>
            </w:r>
          </w:p>
        </w:tc>
        <w:tc>
          <w:tcPr>
            <w:tcW w:w="7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4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w:t>
            </w:r>
          </w:p>
        </w:tc>
        <w:tc>
          <w:tcPr>
            <w:tcW w:w="3888" w:type="dxa"/>
            <w:tcBorders>
              <w:top w:val="single" w:color="auto" w:sz="4" w:space="0"/>
              <w:left w:val="single" w:color="auto" w:sz="4" w:space="0"/>
              <w:bottom w:val="single" w:color="auto" w:sz="4" w:space="0"/>
              <w:right w:val="single" w:color="auto" w:sz="4" w:space="0"/>
            </w:tcBorders>
            <w:noWrap w:val="0"/>
            <w:vAlign w:val="center"/>
          </w:tcPr>
          <w:p>
            <w:pPr>
              <w:tabs>
                <w:tab w:val="left" w:pos="360"/>
              </w:tabs>
              <w:spacing w:line="460" w:lineRule="exact"/>
              <w:rPr>
                <w:rFonts w:ascii="新宋体" w:hAnsi="新宋体" w:eastAsia="新宋体" w:cs="新宋体"/>
                <w:b/>
                <w:color w:val="auto"/>
                <w:sz w:val="22"/>
                <w:szCs w:val="22"/>
                <w:highlight w:val="none"/>
                <w:u w:val="single"/>
              </w:rPr>
            </w:pPr>
            <w:r>
              <w:rPr>
                <w:rFonts w:hint="eastAsia" w:ascii="新宋体" w:hAnsi="新宋体" w:eastAsia="新宋体" w:cs="新宋体"/>
                <w:b/>
                <w:color w:val="auto"/>
                <w:sz w:val="22"/>
                <w:szCs w:val="22"/>
                <w:highlight w:val="none"/>
                <w:u w:val="single"/>
              </w:rPr>
              <w:t>财政预算：</w:t>
            </w:r>
            <w:r>
              <w:rPr>
                <w:rFonts w:hint="eastAsia" w:ascii="新宋体" w:hAnsi="新宋体" w:eastAsia="新宋体"/>
                <w:b/>
                <w:color w:val="auto"/>
                <w:sz w:val="22"/>
                <w:highlight w:val="none"/>
                <w:u w:val="single"/>
              </w:rPr>
              <w:t>人民币壹仟零伍拾玖万壹仟肆佰元整（¥10591400.00元）,</w:t>
            </w:r>
          </w:p>
        </w:tc>
        <w:tc>
          <w:tcPr>
            <w:tcW w:w="1545" w:type="dxa"/>
            <w:vMerge w:val="restart"/>
            <w:tcBorders>
              <w:top w:val="single" w:color="auto" w:sz="4" w:space="0"/>
              <w:left w:val="single" w:color="auto" w:sz="4" w:space="0"/>
            </w:tcBorders>
            <w:noWrap w:val="0"/>
            <w:vAlign w:val="center"/>
          </w:tcPr>
          <w:p>
            <w:pPr>
              <w:shd w:val="clear" w:color="auto" w:fill="FFFFFF"/>
              <w:snapToGrid w:val="0"/>
              <w:spacing w:line="44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详见招标文件第四部分“项目技术规范和服务要求”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二</w:t>
            </w:r>
          </w:p>
        </w:tc>
        <w:tc>
          <w:tcPr>
            <w:tcW w:w="228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40" w:lineRule="exact"/>
              <w:jc w:val="center"/>
              <w:rPr>
                <w:rFonts w:hint="eastAsia" w:ascii="新宋体" w:hAnsi="新宋体" w:eastAsia="新宋体"/>
                <w:color w:val="auto"/>
                <w:sz w:val="22"/>
                <w:highlight w:val="none"/>
              </w:rPr>
            </w:pPr>
            <w:r>
              <w:rPr>
                <w:rFonts w:hint="eastAsia" w:ascii="新宋体" w:hAnsi="新宋体" w:eastAsia="新宋体"/>
                <w:color w:val="auto"/>
                <w:sz w:val="22"/>
                <w:highlight w:val="none"/>
              </w:rPr>
              <w:t>瓯江口雪亮工程建设项目-水利等部门可视化工程建设</w:t>
            </w: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4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7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4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w:t>
            </w:r>
          </w:p>
        </w:tc>
        <w:tc>
          <w:tcPr>
            <w:tcW w:w="3888" w:type="dxa"/>
            <w:tcBorders>
              <w:top w:val="single" w:color="auto" w:sz="4" w:space="0"/>
              <w:left w:val="single" w:color="auto" w:sz="4" w:space="0"/>
              <w:bottom w:val="single" w:color="auto" w:sz="4" w:space="0"/>
              <w:right w:val="single" w:color="auto" w:sz="4" w:space="0"/>
            </w:tcBorders>
            <w:noWrap w:val="0"/>
            <w:vAlign w:val="center"/>
          </w:tcPr>
          <w:p>
            <w:pPr>
              <w:pStyle w:val="207"/>
              <w:snapToGrid w:val="0"/>
              <w:spacing w:before="0" w:line="440" w:lineRule="exact"/>
              <w:ind w:firstLine="0" w:firstLineChars="0"/>
              <w:rPr>
                <w:rFonts w:hint="eastAsia" w:ascii="新宋体" w:hAnsi="新宋体" w:eastAsia="新宋体" w:cs="新宋体"/>
                <w:b/>
                <w:color w:val="auto"/>
                <w:sz w:val="22"/>
                <w:szCs w:val="22"/>
                <w:highlight w:val="none"/>
                <w:u w:val="single"/>
              </w:rPr>
            </w:pPr>
            <w:r>
              <w:rPr>
                <w:rFonts w:hint="eastAsia" w:ascii="新宋体" w:hAnsi="新宋体" w:eastAsia="新宋体" w:cs="新宋体"/>
                <w:b/>
                <w:color w:val="auto"/>
                <w:sz w:val="22"/>
                <w:szCs w:val="22"/>
                <w:highlight w:val="none"/>
                <w:u w:val="single"/>
              </w:rPr>
              <w:t>财政预算：人民币肆佰玖拾玖万捌仟伍佰元整（¥4998500.00元）</w:t>
            </w:r>
          </w:p>
          <w:p>
            <w:pPr>
              <w:pStyle w:val="207"/>
              <w:snapToGrid w:val="0"/>
              <w:spacing w:before="0" w:line="440" w:lineRule="exact"/>
              <w:ind w:firstLine="0" w:firstLineChars="0"/>
              <w:rPr>
                <w:rFonts w:hint="eastAsia" w:ascii="新宋体" w:hAnsi="新宋体" w:eastAsia="新宋体" w:cs="新宋体"/>
                <w:b/>
                <w:color w:val="auto"/>
                <w:sz w:val="22"/>
                <w:szCs w:val="22"/>
                <w:highlight w:val="none"/>
                <w:u w:val="single"/>
              </w:rPr>
            </w:pPr>
          </w:p>
        </w:tc>
        <w:tc>
          <w:tcPr>
            <w:tcW w:w="1545" w:type="dxa"/>
            <w:vMerge w:val="continue"/>
            <w:tcBorders>
              <w:left w:val="single" w:color="auto" w:sz="4" w:space="0"/>
            </w:tcBorders>
            <w:noWrap w:val="0"/>
            <w:vAlign w:val="center"/>
          </w:tcPr>
          <w:p>
            <w:pPr>
              <w:shd w:val="clear" w:color="auto" w:fill="FFFFFF"/>
              <w:snapToGrid w:val="0"/>
              <w:spacing w:line="440" w:lineRule="exact"/>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027" w:type="dxa"/>
            <w:tcBorders>
              <w:top w:val="single" w:color="auto" w:sz="4" w:space="0"/>
              <w:left w:val="single" w:color="auto" w:sz="4" w:space="0"/>
              <w:right w:val="single" w:color="auto" w:sz="4" w:space="0"/>
            </w:tcBorders>
            <w:noWrap w:val="0"/>
            <w:vAlign w:val="center"/>
          </w:tcPr>
          <w:p>
            <w:pPr>
              <w:snapToGrid w:val="0"/>
              <w:spacing w:line="44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三</w:t>
            </w:r>
          </w:p>
        </w:tc>
        <w:tc>
          <w:tcPr>
            <w:tcW w:w="2285" w:type="dxa"/>
            <w:tcBorders>
              <w:top w:val="single" w:color="auto" w:sz="4" w:space="0"/>
              <w:left w:val="single" w:color="auto" w:sz="4" w:space="0"/>
              <w:right w:val="single" w:color="auto" w:sz="4" w:space="0"/>
            </w:tcBorders>
            <w:noWrap w:val="0"/>
            <w:vAlign w:val="center"/>
          </w:tcPr>
          <w:p>
            <w:pPr>
              <w:widowControl/>
              <w:snapToGrid w:val="0"/>
              <w:spacing w:line="440" w:lineRule="exact"/>
              <w:jc w:val="center"/>
              <w:rPr>
                <w:rFonts w:hint="eastAsia" w:ascii="新宋体" w:hAnsi="新宋体" w:eastAsia="新宋体"/>
                <w:color w:val="auto"/>
                <w:sz w:val="22"/>
                <w:highlight w:val="none"/>
              </w:rPr>
            </w:pPr>
            <w:r>
              <w:rPr>
                <w:rFonts w:hint="eastAsia" w:ascii="新宋体" w:hAnsi="新宋体" w:eastAsia="新宋体"/>
                <w:color w:val="auto"/>
                <w:sz w:val="22"/>
                <w:highlight w:val="none"/>
              </w:rPr>
              <w:t>项目咨询监理</w:t>
            </w:r>
          </w:p>
        </w:tc>
        <w:tc>
          <w:tcPr>
            <w:tcW w:w="660" w:type="dxa"/>
            <w:tcBorders>
              <w:top w:val="single" w:color="auto" w:sz="4" w:space="0"/>
              <w:left w:val="single" w:color="auto" w:sz="4" w:space="0"/>
              <w:right w:val="single" w:color="auto" w:sz="4" w:space="0"/>
            </w:tcBorders>
            <w:noWrap w:val="0"/>
            <w:vAlign w:val="center"/>
          </w:tcPr>
          <w:p>
            <w:pPr>
              <w:widowControl/>
              <w:snapToGrid w:val="0"/>
              <w:spacing w:line="44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755" w:type="dxa"/>
            <w:tcBorders>
              <w:top w:val="single" w:color="auto" w:sz="4" w:space="0"/>
              <w:left w:val="single" w:color="auto" w:sz="4" w:space="0"/>
              <w:right w:val="single" w:color="auto" w:sz="4" w:space="0"/>
            </w:tcBorders>
            <w:noWrap w:val="0"/>
            <w:vAlign w:val="center"/>
          </w:tcPr>
          <w:p>
            <w:pPr>
              <w:widowControl/>
              <w:snapToGrid w:val="0"/>
              <w:spacing w:line="44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w:t>
            </w:r>
          </w:p>
        </w:tc>
        <w:tc>
          <w:tcPr>
            <w:tcW w:w="3888" w:type="dxa"/>
            <w:tcBorders>
              <w:top w:val="single" w:color="auto" w:sz="4" w:space="0"/>
              <w:left w:val="single" w:color="auto" w:sz="4" w:space="0"/>
              <w:right w:val="single" w:color="auto" w:sz="4" w:space="0"/>
            </w:tcBorders>
            <w:noWrap w:val="0"/>
            <w:vAlign w:val="center"/>
          </w:tcPr>
          <w:p>
            <w:pPr>
              <w:pStyle w:val="207"/>
              <w:snapToGrid w:val="0"/>
              <w:spacing w:before="0" w:line="440" w:lineRule="exact"/>
              <w:ind w:firstLine="0" w:firstLineChars="0"/>
              <w:rPr>
                <w:rFonts w:hint="eastAsia" w:ascii="新宋体" w:hAnsi="新宋体" w:eastAsia="新宋体" w:cs="新宋体"/>
                <w:b/>
                <w:color w:val="auto"/>
                <w:sz w:val="22"/>
                <w:szCs w:val="22"/>
                <w:highlight w:val="none"/>
                <w:u w:val="single"/>
              </w:rPr>
            </w:pPr>
            <w:r>
              <w:rPr>
                <w:rFonts w:hint="eastAsia" w:ascii="新宋体" w:hAnsi="新宋体" w:eastAsia="新宋体" w:cs="新宋体"/>
                <w:b/>
                <w:color w:val="auto"/>
                <w:sz w:val="22"/>
                <w:szCs w:val="22"/>
                <w:highlight w:val="none"/>
                <w:u w:val="single"/>
              </w:rPr>
              <w:t>财政预算：</w:t>
            </w:r>
            <w:r>
              <w:rPr>
                <w:rFonts w:hint="eastAsia" w:ascii="新宋体" w:hAnsi="新宋体" w:eastAsia="新宋体"/>
                <w:b/>
                <w:color w:val="auto"/>
                <w:sz w:val="22"/>
                <w:highlight w:val="none"/>
                <w:u w:val="single"/>
              </w:rPr>
              <w:t>人民币柒拾伍万伍仟元整（¥755000.00元）</w:t>
            </w:r>
          </w:p>
        </w:tc>
        <w:tc>
          <w:tcPr>
            <w:tcW w:w="1545" w:type="dxa"/>
            <w:vMerge w:val="continue"/>
            <w:tcBorders>
              <w:left w:val="single" w:color="auto" w:sz="4" w:space="0"/>
              <w:bottom w:val="single" w:color="auto" w:sz="4" w:space="0"/>
            </w:tcBorders>
            <w:noWrap w:val="0"/>
            <w:vAlign w:val="center"/>
          </w:tcPr>
          <w:p>
            <w:pPr>
              <w:shd w:val="clear" w:color="auto" w:fill="FFFFFF"/>
              <w:snapToGrid w:val="0"/>
              <w:spacing w:line="440" w:lineRule="exact"/>
              <w:jc w:val="center"/>
              <w:rPr>
                <w:rFonts w:hint="eastAsia" w:ascii="新宋体" w:hAnsi="新宋体" w:eastAsia="新宋体" w:cs="新宋体"/>
                <w:color w:val="auto"/>
                <w:sz w:val="22"/>
                <w:szCs w:val="22"/>
                <w:highlight w:val="none"/>
              </w:rPr>
            </w:pPr>
          </w:p>
        </w:tc>
      </w:tr>
    </w:tbl>
    <w:p>
      <w:pPr>
        <w:tabs>
          <w:tab w:val="left" w:pos="360"/>
        </w:tabs>
        <w:spacing w:line="460" w:lineRule="exact"/>
        <w:ind w:firstLine="552" w:firstLineChars="250"/>
        <w:rPr>
          <w:rFonts w:hint="eastAsia" w:ascii="新宋体" w:hAnsi="新宋体" w:eastAsia="新宋体"/>
          <w:b/>
          <w:bCs/>
          <w:color w:val="auto"/>
          <w:sz w:val="22"/>
          <w:highlight w:val="none"/>
          <w:u w:val="single"/>
        </w:rPr>
      </w:pPr>
      <w:r>
        <w:rPr>
          <w:rFonts w:hint="eastAsia" w:ascii="新宋体" w:hAnsi="新宋体" w:eastAsia="新宋体"/>
          <w:b/>
          <w:bCs/>
          <w:color w:val="auto"/>
          <w:sz w:val="22"/>
          <w:highlight w:val="none"/>
          <w:u w:val="single"/>
        </w:rPr>
        <w:t>如各标段投标人报价超过各预算按无效标处理。</w:t>
      </w:r>
    </w:p>
    <w:p>
      <w:pPr>
        <w:tabs>
          <w:tab w:val="left" w:pos="360"/>
        </w:tabs>
        <w:spacing w:line="460" w:lineRule="exact"/>
        <w:ind w:firstLine="552" w:firstLineChars="250"/>
        <w:rPr>
          <w:rFonts w:hint="eastAsia" w:ascii="新宋体" w:hAnsi="新宋体" w:eastAsia="新宋体" w:cs="新宋体"/>
          <w:color w:val="auto"/>
          <w:sz w:val="22"/>
          <w:szCs w:val="22"/>
          <w:highlight w:val="none"/>
        </w:rPr>
      </w:pPr>
      <w:r>
        <w:rPr>
          <w:rFonts w:hint="eastAsia" w:ascii="新宋体" w:hAnsi="新宋体" w:eastAsia="新宋体"/>
          <w:b/>
          <w:bCs/>
          <w:color w:val="auto"/>
          <w:sz w:val="22"/>
          <w:szCs w:val="22"/>
          <w:highlight w:val="none"/>
        </w:rPr>
        <w:t xml:space="preserve"> （注：投标人可同时对以上所有标段进行投标，也可对其中一个标段进行投标，但不允许将一个标段拆分投标，否则其投标文件不予接受。）</w:t>
      </w:r>
    </w:p>
    <w:p>
      <w:pPr>
        <w:pStyle w:val="48"/>
        <w:spacing w:before="0" w:beforeAutospacing="0" w:after="0" w:afterAutospacing="0" w:line="460" w:lineRule="exact"/>
        <w:ind w:firstLine="555"/>
        <w:rPr>
          <w:rFonts w:hint="eastAsia" w:ascii="新宋体" w:hAnsi="新宋体" w:eastAsia="新宋体" w:cs="新宋体"/>
          <w:b/>
          <w:color w:val="auto"/>
          <w:sz w:val="22"/>
          <w:szCs w:val="22"/>
          <w:highlight w:val="none"/>
        </w:rPr>
      </w:pPr>
      <w:r>
        <w:rPr>
          <w:rStyle w:val="55"/>
          <w:rFonts w:hint="eastAsia" w:ascii="新宋体" w:hAnsi="新宋体" w:eastAsia="新宋体" w:cs="新宋体"/>
          <w:b/>
          <w:bCs w:val="0"/>
          <w:color w:val="auto"/>
          <w:sz w:val="22"/>
          <w:szCs w:val="22"/>
          <w:highlight w:val="none"/>
        </w:rPr>
        <w:t>二、申请人的资格要求：</w:t>
      </w:r>
    </w:p>
    <w:p>
      <w:pPr>
        <w:tabs>
          <w:tab w:val="left" w:pos="360"/>
        </w:tabs>
        <w:spacing w:line="430" w:lineRule="exact"/>
        <w:ind w:firstLine="552" w:firstLineChars="250"/>
        <w:rPr>
          <w:rFonts w:hint="eastAsia" w:ascii="新宋体" w:hAnsi="新宋体" w:eastAsia="新宋体"/>
          <w:color w:val="auto"/>
          <w:sz w:val="22"/>
          <w:highlight w:val="none"/>
        </w:rPr>
      </w:pPr>
      <w:r>
        <w:rPr>
          <w:rFonts w:hint="eastAsia" w:ascii="新宋体" w:hAnsi="新宋体" w:eastAsia="新宋体"/>
          <w:b/>
          <w:bCs/>
          <w:color w:val="auto"/>
          <w:sz w:val="22"/>
          <w:highlight w:val="none"/>
        </w:rPr>
        <w:t>1、符合《中华人民共和国政府采购法》第二十二条的规定：</w:t>
      </w:r>
    </w:p>
    <w:p>
      <w:pPr>
        <w:tabs>
          <w:tab w:val="left" w:pos="360"/>
        </w:tabs>
        <w:spacing w:line="430" w:lineRule="exact"/>
        <w:ind w:firstLine="550" w:firstLineChars="250"/>
        <w:rPr>
          <w:rFonts w:hint="eastAsia" w:ascii="新宋体" w:hAnsi="新宋体" w:eastAsia="新宋体"/>
          <w:color w:val="auto"/>
          <w:sz w:val="22"/>
          <w:highlight w:val="none"/>
        </w:rPr>
      </w:pPr>
      <w:r>
        <w:rPr>
          <w:rFonts w:hint="eastAsia" w:ascii="新宋体" w:hAnsi="新宋体" w:eastAsia="新宋体"/>
          <w:color w:val="auto"/>
          <w:sz w:val="22"/>
          <w:highlight w:val="none"/>
        </w:rPr>
        <w:t>（1）具有独立承担民事责任的能力；</w:t>
      </w:r>
    </w:p>
    <w:p>
      <w:pPr>
        <w:tabs>
          <w:tab w:val="left" w:pos="360"/>
        </w:tabs>
        <w:spacing w:line="430" w:lineRule="exact"/>
        <w:ind w:firstLine="550" w:firstLineChars="250"/>
        <w:rPr>
          <w:rFonts w:hint="eastAsia" w:ascii="新宋体" w:hAnsi="新宋体" w:eastAsia="新宋体"/>
          <w:color w:val="auto"/>
          <w:sz w:val="22"/>
          <w:highlight w:val="none"/>
        </w:rPr>
      </w:pPr>
      <w:r>
        <w:rPr>
          <w:rFonts w:hint="eastAsia" w:ascii="新宋体" w:hAnsi="新宋体" w:eastAsia="新宋体"/>
          <w:color w:val="auto"/>
          <w:sz w:val="22"/>
          <w:highlight w:val="none"/>
        </w:rPr>
        <w:t>（2）具有良好的商业信誉和健全的财务会计制度；</w:t>
      </w:r>
    </w:p>
    <w:p>
      <w:pPr>
        <w:tabs>
          <w:tab w:val="left" w:pos="360"/>
        </w:tabs>
        <w:spacing w:line="430" w:lineRule="exact"/>
        <w:ind w:firstLine="550" w:firstLineChars="250"/>
        <w:rPr>
          <w:rFonts w:hint="eastAsia" w:ascii="新宋体" w:hAnsi="新宋体" w:eastAsia="新宋体"/>
          <w:color w:val="auto"/>
          <w:sz w:val="22"/>
          <w:highlight w:val="none"/>
        </w:rPr>
      </w:pPr>
      <w:r>
        <w:rPr>
          <w:rFonts w:hint="eastAsia" w:ascii="新宋体" w:hAnsi="新宋体" w:eastAsia="新宋体"/>
          <w:color w:val="auto"/>
          <w:sz w:val="22"/>
          <w:highlight w:val="none"/>
        </w:rPr>
        <w:t>（3）具有履行合同所必需的场地、设备和专业技术能力；</w:t>
      </w:r>
    </w:p>
    <w:p>
      <w:pPr>
        <w:tabs>
          <w:tab w:val="left" w:pos="360"/>
        </w:tabs>
        <w:spacing w:line="430" w:lineRule="exact"/>
        <w:ind w:firstLine="550" w:firstLineChars="250"/>
        <w:rPr>
          <w:rFonts w:hint="eastAsia" w:ascii="新宋体" w:hAnsi="新宋体" w:eastAsia="新宋体"/>
          <w:color w:val="auto"/>
          <w:sz w:val="22"/>
          <w:highlight w:val="none"/>
        </w:rPr>
      </w:pPr>
      <w:r>
        <w:rPr>
          <w:rFonts w:hint="eastAsia" w:ascii="新宋体" w:hAnsi="新宋体" w:eastAsia="新宋体"/>
          <w:color w:val="auto"/>
          <w:sz w:val="22"/>
          <w:highlight w:val="none"/>
        </w:rPr>
        <w:t>（4）有依法缴纳税收和社会保障资金的良好记录；</w:t>
      </w:r>
    </w:p>
    <w:p>
      <w:pPr>
        <w:tabs>
          <w:tab w:val="left" w:pos="360"/>
        </w:tabs>
        <w:spacing w:line="430" w:lineRule="exact"/>
        <w:ind w:firstLine="550" w:firstLineChars="250"/>
        <w:rPr>
          <w:rFonts w:hint="eastAsia" w:ascii="新宋体" w:hAnsi="新宋体" w:eastAsia="新宋体"/>
          <w:color w:val="auto"/>
          <w:sz w:val="22"/>
          <w:highlight w:val="none"/>
        </w:rPr>
      </w:pPr>
      <w:r>
        <w:rPr>
          <w:rFonts w:hint="eastAsia" w:ascii="新宋体" w:hAnsi="新宋体" w:eastAsia="新宋体"/>
          <w:color w:val="auto"/>
          <w:sz w:val="22"/>
          <w:highlight w:val="none"/>
        </w:rPr>
        <w:t>（5）参加政府采购活动前三年内，在经营活动中没有重大违法记录；</w:t>
      </w:r>
    </w:p>
    <w:p>
      <w:pPr>
        <w:tabs>
          <w:tab w:val="left" w:pos="360"/>
        </w:tabs>
        <w:spacing w:line="430" w:lineRule="exact"/>
        <w:ind w:firstLine="550" w:firstLineChars="250"/>
        <w:rPr>
          <w:rFonts w:hint="eastAsia" w:ascii="新宋体" w:hAnsi="新宋体" w:eastAsia="新宋体"/>
          <w:color w:val="auto"/>
          <w:sz w:val="22"/>
          <w:highlight w:val="none"/>
        </w:rPr>
      </w:pPr>
      <w:r>
        <w:rPr>
          <w:rFonts w:hint="eastAsia" w:ascii="新宋体" w:hAnsi="新宋体" w:eastAsia="新宋体"/>
          <w:color w:val="auto"/>
          <w:sz w:val="22"/>
          <w:highlight w:val="none"/>
        </w:rPr>
        <w:t>（6）法律、行政法规规定的其他条件。</w:t>
      </w:r>
    </w:p>
    <w:p>
      <w:pPr>
        <w:tabs>
          <w:tab w:val="left" w:pos="360"/>
        </w:tabs>
        <w:spacing w:line="430" w:lineRule="exact"/>
        <w:ind w:firstLine="552" w:firstLineChars="250"/>
        <w:rPr>
          <w:rFonts w:hint="eastAsia" w:ascii="新宋体" w:hAnsi="新宋体" w:eastAsia="新宋体"/>
          <w:b/>
          <w:bCs/>
          <w:color w:val="auto"/>
          <w:sz w:val="22"/>
          <w:highlight w:val="none"/>
        </w:rPr>
      </w:pPr>
      <w:r>
        <w:rPr>
          <w:rFonts w:hint="eastAsia" w:ascii="新宋体" w:hAnsi="新宋体" w:eastAsia="新宋体"/>
          <w:b/>
          <w:bCs/>
          <w:color w:val="auto"/>
          <w:sz w:val="22"/>
          <w:highlight w:val="none"/>
        </w:rPr>
        <w:t>2、投标供应商特定资格条件：</w:t>
      </w:r>
    </w:p>
    <w:p>
      <w:pPr>
        <w:tabs>
          <w:tab w:val="left" w:pos="360"/>
        </w:tabs>
        <w:spacing w:line="460" w:lineRule="exact"/>
        <w:ind w:firstLine="550" w:firstLineChars="250"/>
        <w:rPr>
          <w:rFonts w:hint="eastAsia" w:ascii="新宋体" w:hAnsi="新宋体" w:eastAsia="新宋体"/>
          <w:color w:val="auto"/>
          <w:sz w:val="22"/>
          <w:highlight w:val="none"/>
        </w:rPr>
      </w:pPr>
      <w:r>
        <w:rPr>
          <w:rFonts w:hint="eastAsia" w:ascii="新宋体" w:hAnsi="新宋体" w:eastAsia="新宋体"/>
          <w:color w:val="auto"/>
          <w:sz w:val="22"/>
          <w:highlight w:val="none"/>
        </w:rPr>
        <w:t>（1）标段一、标段二投标人须具有系统建设、运行所需的自营管道、光纤资源；</w:t>
      </w:r>
    </w:p>
    <w:p>
      <w:pPr>
        <w:tabs>
          <w:tab w:val="left" w:pos="360"/>
        </w:tabs>
        <w:spacing w:line="460" w:lineRule="exact"/>
        <w:ind w:firstLine="550" w:firstLineChars="250"/>
        <w:rPr>
          <w:rFonts w:hint="eastAsia" w:ascii="新宋体" w:hAnsi="新宋体" w:eastAsia="新宋体"/>
          <w:color w:val="auto"/>
          <w:sz w:val="22"/>
          <w:highlight w:val="none"/>
        </w:rPr>
      </w:pPr>
      <w:r>
        <w:rPr>
          <w:rFonts w:hint="eastAsia" w:ascii="新宋体" w:hAnsi="新宋体" w:eastAsia="新宋体"/>
          <w:color w:val="auto"/>
          <w:sz w:val="22"/>
          <w:highlight w:val="none"/>
        </w:rPr>
        <w:t xml:space="preserve">（2）未被“信用中国”（www.creditchina.gov.cn）、中国政府采购网（www.ccgp.gov.cn）列入失信被执行人、重大税收违法案件当事人名单、政府采购严重违法失信行为记录名单； </w:t>
      </w:r>
    </w:p>
    <w:p>
      <w:pPr>
        <w:tabs>
          <w:tab w:val="left" w:pos="360"/>
        </w:tabs>
        <w:spacing w:line="46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（3）单位负责人为同一人或者存在直接控股、管理关系的不同供应商，不得参加同一合同项下的采购活动。违反该款规定的，相关投标均无效；</w:t>
      </w:r>
    </w:p>
    <w:p>
      <w:pPr>
        <w:tabs>
          <w:tab w:val="left" w:pos="360"/>
        </w:tabs>
        <w:spacing w:line="460" w:lineRule="exact"/>
        <w:ind w:firstLine="550" w:firstLineChars="250"/>
        <w:rPr>
          <w:rFonts w:hint="eastAsia" w:ascii="新宋体" w:hAnsi="新宋体" w:eastAsia="新宋体"/>
          <w:color w:val="auto"/>
          <w:sz w:val="22"/>
          <w:highlight w:val="none"/>
        </w:rPr>
      </w:pPr>
      <w:r>
        <w:rPr>
          <w:rFonts w:hint="eastAsia" w:ascii="新宋体" w:hAnsi="新宋体" w:eastAsia="新宋体"/>
          <w:color w:val="auto"/>
          <w:sz w:val="22"/>
          <w:highlight w:val="none"/>
        </w:rPr>
        <w:t>（4）不允许联合体投标。</w:t>
      </w:r>
    </w:p>
    <w:p>
      <w:pPr>
        <w:pStyle w:val="48"/>
        <w:spacing w:before="0" w:beforeAutospacing="0" w:after="0" w:afterAutospacing="0" w:line="460" w:lineRule="exact"/>
        <w:ind w:firstLine="555"/>
        <w:rPr>
          <w:rFonts w:hint="eastAsia" w:ascii="新宋体" w:hAnsi="新宋体" w:eastAsia="新宋体" w:cs="新宋体"/>
          <w:color w:val="auto"/>
          <w:sz w:val="22"/>
          <w:szCs w:val="22"/>
          <w:highlight w:val="none"/>
        </w:rPr>
      </w:pPr>
      <w:r>
        <w:rPr>
          <w:rStyle w:val="55"/>
          <w:rFonts w:hint="eastAsia" w:ascii="新宋体" w:hAnsi="新宋体" w:eastAsia="新宋体" w:cs="新宋体"/>
          <w:color w:val="auto"/>
          <w:sz w:val="22"/>
          <w:szCs w:val="22"/>
          <w:highlight w:val="none"/>
        </w:rPr>
        <w:t>三、获取招标文件</w:t>
      </w:r>
    </w:p>
    <w:p>
      <w:pPr>
        <w:pStyle w:val="48"/>
        <w:spacing w:before="0" w:beforeAutospacing="0" w:after="0" w:afterAutospacing="0" w:line="460" w:lineRule="exact"/>
        <w:ind w:firstLine="55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时间： 2020年</w:t>
      </w:r>
      <w:r>
        <w:rPr>
          <w:rFonts w:hint="eastAsia" w:ascii="新宋体" w:hAnsi="新宋体" w:eastAsia="新宋体" w:cs="新宋体"/>
          <w:color w:val="auto"/>
          <w:sz w:val="22"/>
          <w:szCs w:val="22"/>
          <w:highlight w:val="none"/>
          <w:lang w:val="en-US" w:eastAsia="zh-CN"/>
        </w:rPr>
        <w:t>8</w:t>
      </w:r>
      <w:r>
        <w:rPr>
          <w:rFonts w:hint="eastAsia" w:ascii="新宋体" w:hAnsi="新宋体" w:eastAsia="新宋体" w:cs="新宋体"/>
          <w:color w:val="auto"/>
          <w:sz w:val="22"/>
          <w:szCs w:val="22"/>
          <w:highlight w:val="none"/>
        </w:rPr>
        <w:t>月 </w:t>
      </w:r>
      <w:r>
        <w:rPr>
          <w:rFonts w:hint="eastAsia" w:ascii="新宋体" w:hAnsi="新宋体" w:eastAsia="新宋体" w:cs="新宋体"/>
          <w:color w:val="auto"/>
          <w:sz w:val="22"/>
          <w:szCs w:val="22"/>
          <w:highlight w:val="none"/>
          <w:lang w:val="en-US" w:eastAsia="zh-CN"/>
        </w:rPr>
        <w:t>14</w:t>
      </w:r>
      <w:r>
        <w:rPr>
          <w:rFonts w:hint="eastAsia" w:ascii="新宋体" w:hAnsi="新宋体" w:eastAsia="新宋体" w:cs="新宋体"/>
          <w:color w:val="auto"/>
          <w:sz w:val="22"/>
          <w:szCs w:val="22"/>
          <w:highlight w:val="none"/>
        </w:rPr>
        <w:t> 日 至 2020年 </w:t>
      </w:r>
      <w:r>
        <w:rPr>
          <w:rFonts w:hint="eastAsia" w:ascii="新宋体" w:hAnsi="新宋体" w:eastAsia="新宋体" w:cs="新宋体"/>
          <w:color w:val="auto"/>
          <w:sz w:val="22"/>
          <w:szCs w:val="22"/>
          <w:highlight w:val="none"/>
          <w:lang w:val="en-US" w:eastAsia="zh-CN"/>
        </w:rPr>
        <w:t>8</w:t>
      </w:r>
      <w:r>
        <w:rPr>
          <w:rFonts w:hint="eastAsia" w:ascii="新宋体" w:hAnsi="新宋体" w:eastAsia="新宋体" w:cs="新宋体"/>
          <w:color w:val="auto"/>
          <w:sz w:val="22"/>
          <w:szCs w:val="22"/>
          <w:highlight w:val="none"/>
        </w:rPr>
        <w:t> 月 </w:t>
      </w:r>
      <w:r>
        <w:rPr>
          <w:rFonts w:hint="eastAsia" w:ascii="新宋体" w:hAnsi="新宋体" w:eastAsia="新宋体" w:cs="新宋体"/>
          <w:color w:val="auto"/>
          <w:sz w:val="22"/>
          <w:szCs w:val="22"/>
          <w:highlight w:val="none"/>
          <w:lang w:val="en-US" w:eastAsia="zh-CN"/>
        </w:rPr>
        <w:t>21</w:t>
      </w:r>
      <w:r>
        <w:rPr>
          <w:rFonts w:hint="eastAsia" w:ascii="新宋体" w:hAnsi="新宋体" w:eastAsia="新宋体" w:cs="新宋体"/>
          <w:color w:val="auto"/>
          <w:sz w:val="22"/>
          <w:szCs w:val="22"/>
          <w:highlight w:val="none"/>
        </w:rPr>
        <w:t> 日，每天上午08:30至11:30 ，下午 14:00至17:30（北京时间，线上获取法定节假日均可，线下获取文件法定节假日除外）</w:t>
      </w:r>
    </w:p>
    <w:p>
      <w:pPr>
        <w:pStyle w:val="48"/>
        <w:spacing w:before="0" w:beforeAutospacing="0" w:after="0" w:afterAutospacing="0" w:line="460" w:lineRule="exact"/>
        <w:ind w:firstLine="55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地点（网址）： http://zfcg.czt.zj.gov.cn </w:t>
      </w:r>
    </w:p>
    <w:p>
      <w:pPr>
        <w:pStyle w:val="48"/>
        <w:spacing w:before="0" w:beforeAutospacing="0" w:after="0" w:afterAutospacing="0" w:line="460" w:lineRule="exact"/>
        <w:ind w:firstLine="555"/>
        <w:rPr>
          <w:rFonts w:hint="eastAsia" w:ascii="新宋体" w:hAnsi="新宋体" w:eastAsia="新宋体" w:cs="新宋体"/>
          <w:color w:val="auto"/>
          <w:sz w:val="22"/>
          <w:szCs w:val="22"/>
          <w:highlight w:val="none"/>
        </w:rPr>
      </w:pPr>
      <w:r>
        <w:rPr>
          <w:rStyle w:val="55"/>
          <w:rFonts w:hint="eastAsia" w:ascii="新宋体" w:hAnsi="新宋体" w:eastAsia="新宋体" w:cs="新宋体"/>
          <w:color w:val="auto"/>
          <w:sz w:val="22"/>
          <w:szCs w:val="22"/>
          <w:highlight w:val="none"/>
        </w:rPr>
        <w:t>获取方式：</w:t>
      </w:r>
    </w:p>
    <w:p>
      <w:pPr>
        <w:pStyle w:val="48"/>
        <w:spacing w:before="0" w:beforeAutospacing="0" w:after="0" w:afterAutospacing="0" w:line="460" w:lineRule="exact"/>
        <w:ind w:firstLine="555"/>
        <w:rPr>
          <w:rFonts w:hint="eastAsia" w:ascii="新宋体" w:hAnsi="新宋体" w:eastAsia="新宋体" w:cs="新宋体"/>
          <w:color w:val="auto"/>
          <w:sz w:val="22"/>
          <w:szCs w:val="22"/>
          <w:highlight w:val="none"/>
        </w:rPr>
      </w:pPr>
      <w:r>
        <w:rPr>
          <w:rStyle w:val="55"/>
          <w:rFonts w:hint="eastAsia" w:ascii="新宋体" w:hAnsi="新宋体" w:eastAsia="新宋体" w:cs="新宋体"/>
          <w:color w:val="auto"/>
          <w:sz w:val="22"/>
          <w:szCs w:val="22"/>
          <w:highlight w:val="none"/>
        </w:rPr>
        <w:t>1、本项目招标文件实行“政府采购云平台”在线获取，不提供招标文件纸质版。供应商获取招标文件前应先完成“政府采购云平台”的账号注册；</w:t>
      </w:r>
    </w:p>
    <w:p>
      <w:pPr>
        <w:pStyle w:val="48"/>
        <w:spacing w:before="0" w:beforeAutospacing="0" w:after="0" w:afterAutospacing="0" w:line="460" w:lineRule="exact"/>
        <w:ind w:firstLine="555"/>
        <w:rPr>
          <w:rFonts w:hint="eastAsia" w:ascii="新宋体" w:hAnsi="新宋体" w:eastAsia="新宋体" w:cs="新宋体"/>
          <w:color w:val="auto"/>
          <w:sz w:val="22"/>
          <w:szCs w:val="22"/>
          <w:highlight w:val="none"/>
        </w:rPr>
      </w:pPr>
      <w:r>
        <w:rPr>
          <w:rStyle w:val="55"/>
          <w:rFonts w:hint="eastAsia" w:ascii="新宋体" w:hAnsi="新宋体" w:eastAsia="新宋体" w:cs="新宋体"/>
          <w:color w:val="auto"/>
          <w:sz w:val="22"/>
          <w:szCs w:val="22"/>
          <w:highlight w:val="none"/>
        </w:rPr>
        <w:t>2、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pStyle w:val="48"/>
        <w:spacing w:before="0" w:beforeAutospacing="0" w:after="0" w:afterAutospacing="0" w:line="460" w:lineRule="exact"/>
        <w:ind w:firstLine="555"/>
        <w:rPr>
          <w:rFonts w:hint="eastAsia" w:ascii="新宋体" w:hAnsi="新宋体" w:eastAsia="新宋体" w:cs="新宋体"/>
          <w:color w:val="auto"/>
          <w:sz w:val="22"/>
          <w:szCs w:val="22"/>
          <w:highlight w:val="none"/>
        </w:rPr>
      </w:pPr>
      <w:r>
        <w:rPr>
          <w:rStyle w:val="55"/>
          <w:rFonts w:hint="eastAsia" w:ascii="新宋体" w:hAnsi="新宋体" w:eastAsia="新宋体" w:cs="新宋体"/>
          <w:color w:val="auto"/>
          <w:sz w:val="22"/>
          <w:szCs w:val="22"/>
          <w:highlight w:val="none"/>
        </w:rPr>
        <w:t>3、供应商获取招标文件时须提交的文件资料：无；</w:t>
      </w:r>
    </w:p>
    <w:p>
      <w:pPr>
        <w:pStyle w:val="48"/>
        <w:spacing w:before="0" w:beforeAutospacing="0" w:after="0" w:afterAutospacing="0" w:line="460" w:lineRule="exact"/>
        <w:ind w:firstLine="555"/>
        <w:rPr>
          <w:rFonts w:hint="eastAsia" w:ascii="新宋体" w:hAnsi="新宋体" w:eastAsia="新宋体" w:cs="新宋体"/>
          <w:color w:val="auto"/>
          <w:sz w:val="22"/>
          <w:szCs w:val="22"/>
          <w:highlight w:val="none"/>
        </w:rPr>
      </w:pPr>
      <w:r>
        <w:rPr>
          <w:rStyle w:val="55"/>
          <w:rFonts w:hint="eastAsia" w:ascii="新宋体" w:hAnsi="新宋体" w:eastAsia="新宋体" w:cs="新宋体"/>
          <w:color w:val="auto"/>
          <w:sz w:val="22"/>
          <w:szCs w:val="22"/>
          <w:highlight w:val="none"/>
        </w:rPr>
        <w:t>4、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pStyle w:val="48"/>
        <w:spacing w:before="0" w:beforeAutospacing="0" w:after="0" w:afterAutospacing="0" w:line="460" w:lineRule="exact"/>
        <w:ind w:firstLine="555"/>
        <w:rPr>
          <w:rFonts w:hint="eastAsia" w:ascii="新宋体" w:hAnsi="新宋体" w:eastAsia="新宋体" w:cs="新宋体"/>
          <w:color w:val="auto"/>
          <w:sz w:val="22"/>
          <w:szCs w:val="22"/>
          <w:highlight w:val="none"/>
        </w:rPr>
      </w:pPr>
      <w:r>
        <w:rPr>
          <w:rStyle w:val="55"/>
          <w:rFonts w:hint="eastAsia" w:ascii="新宋体" w:hAnsi="新宋体" w:eastAsia="新宋体" w:cs="新宋体"/>
          <w:color w:val="auto"/>
          <w:sz w:val="22"/>
          <w:szCs w:val="22"/>
          <w:highlight w:val="none"/>
        </w:rPr>
        <w:t>注：请供应商按上述要求获取招标文件，如未在“政采云”系统内完成相关流程，引起的投标无效责任自负。</w:t>
      </w:r>
    </w:p>
    <w:p>
      <w:pPr>
        <w:pStyle w:val="48"/>
        <w:spacing w:before="0" w:beforeAutospacing="0" w:after="0" w:afterAutospacing="0" w:line="460" w:lineRule="exact"/>
        <w:ind w:firstLine="55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售价（元）：0 </w:t>
      </w:r>
    </w:p>
    <w:p>
      <w:pPr>
        <w:pStyle w:val="48"/>
        <w:spacing w:before="0" w:beforeAutospacing="0" w:after="0" w:afterAutospacing="0" w:line="460" w:lineRule="exact"/>
        <w:ind w:firstLine="555"/>
        <w:rPr>
          <w:rFonts w:hint="eastAsia" w:ascii="新宋体" w:hAnsi="新宋体" w:eastAsia="新宋体" w:cs="新宋体"/>
          <w:color w:val="auto"/>
          <w:sz w:val="22"/>
          <w:szCs w:val="22"/>
          <w:highlight w:val="none"/>
        </w:rPr>
      </w:pPr>
      <w:r>
        <w:rPr>
          <w:rStyle w:val="55"/>
          <w:rFonts w:hint="eastAsia" w:ascii="新宋体" w:hAnsi="新宋体" w:eastAsia="新宋体" w:cs="新宋体"/>
          <w:color w:val="auto"/>
          <w:sz w:val="22"/>
          <w:szCs w:val="22"/>
          <w:highlight w:val="none"/>
        </w:rPr>
        <w:t>四、提交投标文件截止时间、开标时间和地点</w:t>
      </w:r>
    </w:p>
    <w:p>
      <w:pPr>
        <w:pStyle w:val="48"/>
        <w:spacing w:before="0" w:beforeAutospacing="0" w:after="0" w:afterAutospacing="0" w:line="460" w:lineRule="exact"/>
        <w:ind w:firstLine="55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提交投标文件截止时间：2020年 </w:t>
      </w:r>
      <w:r>
        <w:rPr>
          <w:rFonts w:hint="eastAsia" w:ascii="新宋体" w:hAnsi="新宋体" w:eastAsia="新宋体" w:cs="新宋体"/>
          <w:color w:val="auto"/>
          <w:sz w:val="22"/>
          <w:szCs w:val="22"/>
          <w:highlight w:val="none"/>
          <w:lang w:val="en-US" w:eastAsia="zh-CN"/>
        </w:rPr>
        <w:t>9</w:t>
      </w:r>
      <w:r>
        <w:rPr>
          <w:rFonts w:hint="eastAsia" w:ascii="新宋体" w:hAnsi="新宋体" w:eastAsia="新宋体" w:cs="新宋体"/>
          <w:color w:val="auto"/>
          <w:sz w:val="22"/>
          <w:szCs w:val="22"/>
          <w:highlight w:val="none"/>
        </w:rPr>
        <w:t xml:space="preserve"> 月  </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 日 09:30  （北京时间）</w:t>
      </w:r>
    </w:p>
    <w:p>
      <w:pPr>
        <w:pStyle w:val="48"/>
        <w:spacing w:before="0" w:beforeAutospacing="0" w:after="0" w:afterAutospacing="0" w:line="460" w:lineRule="exact"/>
        <w:ind w:firstLine="55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投标地点（网址）：温州市行政审批与公共资源交易服务管理中心（温州市鹿城区会展路1268号温州市民中心A座3楼公共资源交易受理区） </w:t>
      </w:r>
    </w:p>
    <w:p>
      <w:pPr>
        <w:pStyle w:val="48"/>
        <w:spacing w:before="0" w:beforeAutospacing="0" w:after="0" w:afterAutospacing="0" w:line="460" w:lineRule="exact"/>
        <w:ind w:firstLine="55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开标时间： 2020年 </w:t>
      </w:r>
      <w:r>
        <w:rPr>
          <w:rFonts w:hint="eastAsia" w:ascii="新宋体" w:hAnsi="新宋体" w:eastAsia="新宋体" w:cs="新宋体"/>
          <w:color w:val="auto"/>
          <w:sz w:val="22"/>
          <w:szCs w:val="22"/>
          <w:highlight w:val="none"/>
          <w:lang w:val="en-US" w:eastAsia="zh-CN"/>
        </w:rPr>
        <w:t>9</w:t>
      </w:r>
      <w:r>
        <w:rPr>
          <w:rFonts w:hint="eastAsia" w:ascii="新宋体" w:hAnsi="新宋体" w:eastAsia="新宋体" w:cs="新宋体"/>
          <w:color w:val="auto"/>
          <w:sz w:val="22"/>
          <w:szCs w:val="22"/>
          <w:highlight w:val="none"/>
        </w:rPr>
        <w:t>月 </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 日 09:30 </w:t>
      </w:r>
    </w:p>
    <w:p>
      <w:pPr>
        <w:pStyle w:val="48"/>
        <w:spacing w:before="0" w:beforeAutospacing="0" w:after="0" w:afterAutospacing="0" w:line="460" w:lineRule="exact"/>
        <w:ind w:firstLine="55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开标地点（网址）：温州市行政审批与公共资源交易服务管理中心（温州市鹿城区会展路1268号温州市民中心A座3楼公共资源交易开标区） </w:t>
      </w:r>
    </w:p>
    <w:p>
      <w:pPr>
        <w:pStyle w:val="48"/>
        <w:spacing w:before="0" w:beforeAutospacing="0" w:after="0" w:afterAutospacing="0" w:line="460" w:lineRule="exact"/>
        <w:ind w:firstLine="555"/>
        <w:rPr>
          <w:rFonts w:hint="eastAsia" w:ascii="新宋体" w:hAnsi="新宋体" w:eastAsia="新宋体" w:cs="新宋体"/>
          <w:color w:val="auto"/>
          <w:sz w:val="22"/>
          <w:szCs w:val="22"/>
          <w:highlight w:val="none"/>
        </w:rPr>
      </w:pPr>
      <w:r>
        <w:rPr>
          <w:rStyle w:val="55"/>
          <w:rFonts w:hint="eastAsia" w:ascii="新宋体" w:hAnsi="新宋体" w:eastAsia="新宋体" w:cs="新宋体"/>
          <w:color w:val="auto"/>
          <w:sz w:val="22"/>
          <w:szCs w:val="22"/>
          <w:highlight w:val="none"/>
        </w:rPr>
        <w:t>五、在线投标响应（电子投标）说明</w:t>
      </w:r>
    </w:p>
    <w:p>
      <w:pPr>
        <w:pStyle w:val="48"/>
        <w:spacing w:before="0" w:beforeAutospacing="0" w:after="0" w:afterAutospacing="0" w:line="460" w:lineRule="exact"/>
        <w:ind w:firstLine="555"/>
        <w:rPr>
          <w:rFonts w:hint="eastAsia" w:ascii="新宋体" w:hAnsi="新宋体" w:eastAsia="新宋体" w:cs="新宋体"/>
          <w:color w:val="auto"/>
          <w:sz w:val="22"/>
          <w:szCs w:val="22"/>
          <w:highlight w:val="none"/>
        </w:rPr>
      </w:pPr>
      <w:r>
        <w:rPr>
          <w:rStyle w:val="55"/>
          <w:rFonts w:hint="eastAsia" w:ascii="新宋体" w:hAnsi="新宋体" w:eastAsia="新宋体" w:cs="新宋体"/>
          <w:color w:val="auto"/>
          <w:sz w:val="22"/>
          <w:szCs w:val="22"/>
          <w:highlight w:val="none"/>
        </w:rPr>
        <w:t>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pPr>
        <w:pStyle w:val="48"/>
        <w:spacing w:before="0" w:beforeAutospacing="0" w:after="0" w:afterAutospacing="0" w:line="460" w:lineRule="exact"/>
        <w:ind w:firstLine="555"/>
        <w:rPr>
          <w:rFonts w:hint="eastAsia" w:ascii="新宋体" w:hAnsi="新宋体" w:eastAsia="新宋体" w:cs="新宋体"/>
          <w:color w:val="auto"/>
          <w:sz w:val="22"/>
          <w:szCs w:val="22"/>
          <w:highlight w:val="none"/>
        </w:rPr>
      </w:pPr>
      <w:r>
        <w:rPr>
          <w:rStyle w:val="55"/>
          <w:rFonts w:hint="eastAsia" w:ascii="新宋体" w:hAnsi="新宋体" w:eastAsia="新宋体" w:cs="新宋体"/>
          <w:color w:val="auto"/>
          <w:sz w:val="22"/>
          <w:szCs w:val="22"/>
          <w:highlight w:val="none"/>
        </w:rPr>
        <w:t>“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w:t>
      </w:r>
    </w:p>
    <w:p>
      <w:pPr>
        <w:pStyle w:val="48"/>
        <w:spacing w:before="0" w:beforeAutospacing="0" w:after="0" w:afterAutospacing="0" w:line="460" w:lineRule="exact"/>
        <w:ind w:firstLine="555"/>
        <w:rPr>
          <w:rFonts w:hint="eastAsia" w:ascii="新宋体" w:hAnsi="新宋体" w:eastAsia="新宋体" w:cs="新宋体"/>
          <w:color w:val="auto"/>
          <w:sz w:val="22"/>
          <w:szCs w:val="22"/>
          <w:highlight w:val="none"/>
        </w:rPr>
      </w:pPr>
      <w:r>
        <w:rPr>
          <w:rStyle w:val="55"/>
          <w:rFonts w:hint="eastAsia" w:ascii="新宋体" w:hAnsi="新宋体" w:eastAsia="新宋体" w:cs="新宋体"/>
          <w:color w:val="auto"/>
          <w:sz w:val="22"/>
          <w:szCs w:val="22"/>
          <w:highlight w:val="none"/>
        </w:rPr>
        <w:t>2、为确保网上操作合法、有效和安全，投标人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rPr>
          <w:rFonts w:hint="eastAsia" w:ascii="新宋体" w:hAnsi="新宋体" w:eastAsia="新宋体" w:cs="新宋体"/>
          <w:bCs/>
          <w:color w:val="auto"/>
          <w:sz w:val="22"/>
          <w:szCs w:val="22"/>
          <w:highlight w:val="none"/>
        </w:rPr>
        <w:fldChar w:fldCharType="begin"/>
      </w:r>
      <w:r>
        <w:rPr>
          <w:rStyle w:val="55"/>
          <w:rFonts w:hint="eastAsia" w:ascii="新宋体" w:hAnsi="新宋体" w:eastAsia="新宋体" w:cs="新宋体"/>
          <w:color w:val="auto"/>
          <w:sz w:val="22"/>
          <w:szCs w:val="22"/>
          <w:highlight w:val="none"/>
        </w:rPr>
        <w:instrText xml:space="preserve"> HYPERLINK "http://zfcg.czt.zj.gov.cn/bidClientTemplate/2019-05-27/12945.html" \o "CA驱动和申领流程" </w:instrText>
      </w:r>
      <w:r>
        <w:rPr>
          <w:rFonts w:hint="eastAsia" w:ascii="新宋体" w:hAnsi="新宋体" w:eastAsia="新宋体" w:cs="新宋体"/>
          <w:bCs/>
          <w:color w:val="auto"/>
          <w:sz w:val="22"/>
          <w:szCs w:val="22"/>
          <w:highlight w:val="none"/>
        </w:rPr>
        <w:fldChar w:fldCharType="separate"/>
      </w:r>
      <w:r>
        <w:rPr>
          <w:rStyle w:val="55"/>
          <w:rFonts w:hint="eastAsia" w:ascii="新宋体" w:hAnsi="新宋体" w:eastAsia="新宋体" w:cs="新宋体"/>
          <w:color w:val="auto"/>
          <w:sz w:val="22"/>
          <w:szCs w:val="22"/>
          <w:highlight w:val="none"/>
        </w:rPr>
        <w:t>CA驱动和申领流程</w:t>
      </w:r>
      <w:r>
        <w:rPr>
          <w:rFonts w:hint="eastAsia" w:ascii="新宋体" w:hAnsi="新宋体" w:eastAsia="新宋体" w:cs="新宋体"/>
          <w:bCs/>
          <w:color w:val="auto"/>
          <w:sz w:val="22"/>
          <w:szCs w:val="22"/>
          <w:highlight w:val="none"/>
        </w:rPr>
        <w:fldChar w:fldCharType="end"/>
      </w:r>
      <w:r>
        <w:rPr>
          <w:rStyle w:val="55"/>
          <w:rFonts w:hint="eastAsia" w:ascii="新宋体" w:hAnsi="新宋体" w:eastAsia="新宋体" w:cs="新宋体"/>
          <w:color w:val="auto"/>
          <w:sz w:val="22"/>
          <w:szCs w:val="22"/>
          <w:highlight w:val="none"/>
        </w:rPr>
        <w:t>”进行查阅；</w:t>
      </w:r>
    </w:p>
    <w:p>
      <w:pPr>
        <w:pStyle w:val="48"/>
        <w:spacing w:before="0" w:beforeAutospacing="0" w:after="0" w:afterAutospacing="0" w:line="460" w:lineRule="exact"/>
        <w:ind w:firstLine="555"/>
        <w:rPr>
          <w:rFonts w:hint="eastAsia" w:ascii="新宋体" w:hAnsi="新宋体" w:eastAsia="新宋体" w:cs="新宋体"/>
          <w:color w:val="auto"/>
          <w:sz w:val="22"/>
          <w:szCs w:val="22"/>
          <w:highlight w:val="none"/>
        </w:rPr>
      </w:pPr>
      <w:r>
        <w:rPr>
          <w:rStyle w:val="55"/>
          <w:rFonts w:hint="eastAsia" w:ascii="新宋体" w:hAnsi="新宋体" w:eastAsia="新宋体" w:cs="新宋体"/>
          <w:color w:val="auto"/>
          <w:sz w:val="22"/>
          <w:szCs w:val="22"/>
          <w:highlight w:val="none"/>
        </w:rPr>
        <w:t>3、投标人应当在投标截止时间前，将生成的“电子加密投标文件”上传递交至“政府采购云平台”。投标截止时间以后上传递交的投标文件将被“政府采购云平台”拒收。</w:t>
      </w:r>
    </w:p>
    <w:p>
      <w:pPr>
        <w:pStyle w:val="48"/>
        <w:spacing w:before="0" w:beforeAutospacing="0" w:after="0" w:afterAutospacing="0" w:line="460" w:lineRule="exact"/>
        <w:ind w:firstLine="555"/>
        <w:rPr>
          <w:rFonts w:hint="eastAsia" w:ascii="新宋体" w:hAnsi="新宋体" w:eastAsia="新宋体" w:cs="新宋体"/>
          <w:color w:val="auto"/>
          <w:sz w:val="22"/>
          <w:szCs w:val="22"/>
          <w:highlight w:val="none"/>
        </w:rPr>
      </w:pPr>
      <w:r>
        <w:rPr>
          <w:rStyle w:val="55"/>
          <w:rFonts w:hint="eastAsia" w:ascii="新宋体" w:hAnsi="新宋体" w:eastAsia="新宋体" w:cs="新宋体"/>
          <w:color w:val="auto"/>
          <w:sz w:val="22"/>
          <w:szCs w:val="22"/>
          <w:highlight w:val="none"/>
        </w:rPr>
        <w:t>4、投标人在“政府采购云平台”完成“电子加密投标文件”的上传递交后，还可以在投标截止时间前递交以介质（U盘）存储的数据电文形式的“备份投标文件”，“备份投标文件”应当密封包装并在包装上标注投标项目名称、投标人名称并加盖公章。（可以</w:t>
      </w:r>
      <w:r>
        <w:rPr>
          <w:rStyle w:val="55"/>
          <w:rFonts w:hint="eastAsia" w:ascii="新宋体" w:hAnsi="新宋体" w:eastAsia="新宋体" w:cs="新宋体"/>
          <w:color w:val="auto"/>
          <w:sz w:val="22"/>
          <w:szCs w:val="22"/>
          <w:highlight w:val="none"/>
          <w:u w:val="single"/>
        </w:rPr>
        <w:t>（邮寄形式，建议顺丰）在投标截止时间前递交，并需采购代理机构确认是否收到</w:t>
      </w:r>
      <w:r>
        <w:rPr>
          <w:rStyle w:val="55"/>
          <w:rFonts w:hint="eastAsia" w:ascii="新宋体" w:hAnsi="新宋体" w:eastAsia="新宋体" w:cs="新宋体"/>
          <w:color w:val="auto"/>
          <w:sz w:val="22"/>
          <w:szCs w:val="22"/>
          <w:highlight w:val="none"/>
        </w:rPr>
        <w:t>）</w:t>
      </w:r>
    </w:p>
    <w:p>
      <w:pPr>
        <w:pStyle w:val="48"/>
        <w:spacing w:before="0" w:beforeAutospacing="0" w:after="0" w:afterAutospacing="0" w:line="460" w:lineRule="exact"/>
        <w:rPr>
          <w:rFonts w:hint="eastAsia" w:ascii="新宋体" w:hAnsi="新宋体" w:eastAsia="新宋体" w:cs="新宋体"/>
          <w:color w:val="auto"/>
          <w:sz w:val="22"/>
          <w:szCs w:val="22"/>
          <w:highlight w:val="none"/>
        </w:rPr>
      </w:pPr>
      <w:r>
        <w:rPr>
          <w:rStyle w:val="55"/>
          <w:rFonts w:hint="eastAsia" w:ascii="新宋体" w:hAnsi="新宋体" w:eastAsia="新宋体" w:cs="新宋体"/>
          <w:color w:val="auto"/>
          <w:sz w:val="22"/>
          <w:szCs w:val="22"/>
          <w:highlight w:val="none"/>
        </w:rPr>
        <w:t>5、通过“政府采购云平台”上传递交的“电子加密投标文件”无法按时解密，投标人递交了备份投标文件的，以备份投标文件为依据，否则视为投标文件撤回。通过“政府采购云平台”上传递交的“电子加密投标文件”已按时解密的，“备份投标文件”自动失效。投标人仅递交备份投标文件的，投标无效。</w:t>
      </w:r>
    </w:p>
    <w:p>
      <w:pPr>
        <w:pStyle w:val="48"/>
        <w:spacing w:before="0" w:beforeAutospacing="0" w:after="0" w:afterAutospacing="0" w:line="460" w:lineRule="exact"/>
        <w:ind w:firstLine="555"/>
        <w:rPr>
          <w:rFonts w:hint="eastAsia" w:ascii="新宋体" w:hAnsi="新宋体" w:eastAsia="新宋体" w:cs="新宋体"/>
          <w:color w:val="auto"/>
          <w:sz w:val="22"/>
          <w:szCs w:val="22"/>
          <w:highlight w:val="none"/>
        </w:rPr>
      </w:pPr>
      <w:r>
        <w:rPr>
          <w:rStyle w:val="55"/>
          <w:rFonts w:hint="eastAsia" w:ascii="新宋体" w:hAnsi="新宋体" w:eastAsia="新宋体" w:cs="新宋体"/>
          <w:color w:val="auto"/>
          <w:sz w:val="22"/>
          <w:szCs w:val="22"/>
          <w:highlight w:val="none"/>
        </w:rPr>
        <w:t>六、公告期限</w:t>
      </w:r>
    </w:p>
    <w:p>
      <w:pPr>
        <w:pStyle w:val="48"/>
        <w:spacing w:before="0" w:beforeAutospacing="0" w:after="0" w:afterAutospacing="0" w:line="460" w:lineRule="exact"/>
        <w:ind w:firstLine="55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自本公告发布之日起5个工作日。</w:t>
      </w:r>
    </w:p>
    <w:p>
      <w:pPr>
        <w:pStyle w:val="48"/>
        <w:spacing w:before="0" w:beforeAutospacing="0" w:after="0" w:afterAutospacing="0" w:line="460" w:lineRule="exact"/>
        <w:ind w:firstLine="555"/>
        <w:rPr>
          <w:rFonts w:hint="eastAsia" w:ascii="新宋体" w:hAnsi="新宋体" w:eastAsia="新宋体" w:cs="新宋体"/>
          <w:color w:val="auto"/>
          <w:sz w:val="22"/>
          <w:szCs w:val="22"/>
          <w:highlight w:val="none"/>
        </w:rPr>
      </w:pPr>
      <w:r>
        <w:rPr>
          <w:rStyle w:val="55"/>
          <w:rFonts w:hint="eastAsia" w:ascii="新宋体" w:hAnsi="新宋体" w:eastAsia="新宋体" w:cs="新宋体"/>
          <w:color w:val="auto"/>
          <w:sz w:val="22"/>
          <w:szCs w:val="22"/>
          <w:highlight w:val="none"/>
        </w:rPr>
        <w:t>七、其他补充事宜</w:t>
      </w:r>
    </w:p>
    <w:p>
      <w:pPr>
        <w:pStyle w:val="48"/>
        <w:spacing w:before="0" w:beforeAutospacing="0" w:after="0" w:afterAutospacing="0" w:line="460" w:lineRule="exact"/>
        <w:ind w:firstLine="55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供应商认为招标文件使自己的权益受到损害的，可以自获取到招标文件之日（公告期限截止日之后获取到招标文件的，以公告期限截止日起算）起7个工作日内，且应当在投标截止时间之前以书面形式向招标人和招标代理机构提出质疑。质疑供应商对招标人、招标代理机构的答复不满意或者招标人、招标代理机构未在规定的时间内作出答复的，可以在答复期满后十五个工作日内向采购监督管理部门投诉。</w:t>
      </w:r>
    </w:p>
    <w:p>
      <w:pPr>
        <w:pStyle w:val="48"/>
        <w:spacing w:before="0" w:beforeAutospacing="0" w:after="0" w:afterAutospacing="0" w:line="460" w:lineRule="exact"/>
        <w:ind w:firstLine="55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2、书面质疑受理地点：温州市鹿城区汤家桥路大自然家园三期2号楼B单元2901室，</w:t>
      </w:r>
    </w:p>
    <w:p>
      <w:pPr>
        <w:pStyle w:val="48"/>
        <w:spacing w:before="0" w:beforeAutospacing="0" w:after="0" w:afterAutospacing="0" w:line="460" w:lineRule="exact"/>
        <w:ind w:firstLine="55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联系人：肖女士 </w:t>
      </w:r>
    </w:p>
    <w:p>
      <w:pPr>
        <w:pStyle w:val="48"/>
        <w:spacing w:before="0" w:beforeAutospacing="0" w:after="0" w:afterAutospacing="0" w:line="460" w:lineRule="exact"/>
        <w:ind w:firstLine="55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3、本项目对符合财政扶持政策的中小企业（小型、微型）、监狱企业、残疾人福利性单位给予价格优惠扶持，执行节能产品政府强制采购和优先采购政策，执行环境标志产品政府优先采购政策。　　　　　</w:t>
      </w:r>
    </w:p>
    <w:p>
      <w:pPr>
        <w:pStyle w:val="48"/>
        <w:spacing w:before="0" w:beforeAutospacing="0" w:after="0" w:afterAutospacing="0" w:line="460" w:lineRule="exact"/>
        <w:ind w:firstLine="55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八、对本次招标提出询问，请按以下方式联系。　　　　　　　　　　　　</w:t>
      </w:r>
    </w:p>
    <w:p>
      <w:pPr>
        <w:pStyle w:val="48"/>
        <w:shd w:val="clear" w:color="auto" w:fill="FFFFFF"/>
        <w:spacing w:before="0" w:beforeAutospacing="0" w:after="0" w:afterAutospacing="0" w:line="460" w:lineRule="exact"/>
        <w:ind w:firstLine="55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shd w:val="clear" w:color="auto" w:fill="FFFFFF"/>
        </w:rPr>
        <w:t>1、采购代理机构名称：温州历程招标有限公司 </w:t>
      </w:r>
    </w:p>
    <w:p>
      <w:pPr>
        <w:pStyle w:val="48"/>
        <w:shd w:val="clear" w:color="auto" w:fill="FFFFFF"/>
        <w:spacing w:before="0" w:beforeAutospacing="0" w:after="0" w:afterAutospacing="0" w:line="460" w:lineRule="exact"/>
        <w:ind w:firstLine="99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shd w:val="clear" w:color="auto" w:fill="FFFFFF"/>
        </w:rPr>
        <w:t>联系人：郑永强 </w:t>
      </w:r>
    </w:p>
    <w:p>
      <w:pPr>
        <w:pStyle w:val="48"/>
        <w:shd w:val="clear" w:color="auto" w:fill="FFFFFF"/>
        <w:spacing w:before="0" w:beforeAutospacing="0" w:after="0" w:afterAutospacing="0" w:line="460" w:lineRule="exact"/>
        <w:ind w:firstLine="99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shd w:val="clear" w:color="auto" w:fill="FFFFFF"/>
        </w:rPr>
        <w:t>联系电话：13757727199 </w:t>
      </w:r>
    </w:p>
    <w:p>
      <w:pPr>
        <w:pStyle w:val="48"/>
        <w:shd w:val="clear" w:color="auto" w:fill="FFFFFF"/>
        <w:spacing w:before="0" w:beforeAutospacing="0" w:after="0" w:afterAutospacing="0" w:line="460" w:lineRule="exact"/>
        <w:ind w:firstLine="99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shd w:val="clear" w:color="auto" w:fill="FFFFFF"/>
        </w:rPr>
        <w:t>传真：0577-89887255 </w:t>
      </w:r>
    </w:p>
    <w:p>
      <w:pPr>
        <w:pStyle w:val="48"/>
        <w:spacing w:before="0" w:beforeAutospacing="0" w:after="0" w:afterAutospacing="0" w:line="460" w:lineRule="exact"/>
        <w:ind w:firstLine="99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地址：温州市鹿城区汤家桥路大自然家园三期2幢B单元2901室 </w:t>
      </w:r>
    </w:p>
    <w:p>
      <w:pPr>
        <w:pStyle w:val="48"/>
        <w:spacing w:before="0" w:beforeAutospacing="0" w:after="0" w:afterAutospacing="0" w:line="460" w:lineRule="exact"/>
        <w:ind w:firstLine="55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2、招标人名称： 温州市公安局瓯江口分局 </w:t>
      </w:r>
    </w:p>
    <w:p>
      <w:pPr>
        <w:pStyle w:val="48"/>
        <w:spacing w:before="0" w:beforeAutospacing="0" w:after="0" w:afterAutospacing="0" w:line="460" w:lineRule="exact"/>
        <w:ind w:firstLine="88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联系人：</w:t>
      </w:r>
      <w:r>
        <w:rPr>
          <w:rFonts w:hint="eastAsia" w:ascii="新宋体" w:hAnsi="新宋体" w:eastAsia="新宋体" w:cs="新宋体"/>
          <w:color w:val="auto"/>
          <w:sz w:val="22"/>
          <w:szCs w:val="22"/>
          <w:highlight w:val="none"/>
          <w:lang w:val="en-US" w:eastAsia="zh-CN"/>
        </w:rPr>
        <w:t>吴先生</w:t>
      </w:r>
      <w:r>
        <w:rPr>
          <w:rFonts w:hint="eastAsia" w:ascii="新宋体" w:hAnsi="新宋体" w:eastAsia="新宋体" w:cs="新宋体"/>
          <w:color w:val="auto"/>
          <w:sz w:val="22"/>
          <w:szCs w:val="22"/>
          <w:highlight w:val="none"/>
        </w:rPr>
        <w:t xml:space="preserve"> </w:t>
      </w:r>
    </w:p>
    <w:p>
      <w:pPr>
        <w:pStyle w:val="48"/>
        <w:spacing w:before="0" w:beforeAutospacing="0" w:after="0" w:afterAutospacing="0" w:line="460" w:lineRule="exact"/>
        <w:ind w:firstLine="88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电话：</w:t>
      </w:r>
      <w:r>
        <w:rPr>
          <w:rFonts w:hint="eastAsia" w:ascii="新宋体" w:hAnsi="新宋体" w:eastAsia="新宋体" w:cs="新宋体"/>
          <w:color w:val="auto"/>
          <w:sz w:val="22"/>
          <w:szCs w:val="22"/>
          <w:highlight w:val="none"/>
          <w:lang w:val="en-US" w:eastAsia="zh-CN"/>
        </w:rPr>
        <w:t>13806882517</w:t>
      </w:r>
      <w:r>
        <w:rPr>
          <w:rFonts w:hint="eastAsia" w:ascii="新宋体" w:hAnsi="新宋体" w:eastAsia="新宋体" w:cs="新宋体"/>
          <w:color w:val="auto"/>
          <w:sz w:val="22"/>
          <w:szCs w:val="22"/>
          <w:highlight w:val="none"/>
        </w:rPr>
        <w:t xml:space="preserve">  </w:t>
      </w:r>
    </w:p>
    <w:p>
      <w:pPr>
        <w:spacing w:line="420" w:lineRule="exact"/>
        <w:ind w:firstLine="539" w:firstLineChars="245"/>
        <w:rPr>
          <w:rFonts w:hint="eastAsia" w:ascii="新宋体" w:hAnsi="新宋体" w:eastAsia="新宋体"/>
          <w:color w:val="auto"/>
          <w:sz w:val="22"/>
          <w:highlight w:val="none"/>
        </w:rPr>
      </w:pPr>
      <w:r>
        <w:rPr>
          <w:rFonts w:hint="eastAsia" w:ascii="新宋体" w:hAnsi="新宋体" w:eastAsia="新宋体" w:cs="新宋体"/>
          <w:color w:val="auto"/>
          <w:sz w:val="22"/>
          <w:szCs w:val="22"/>
          <w:highlight w:val="none"/>
        </w:rPr>
        <w:t>3、</w:t>
      </w:r>
      <w:r>
        <w:rPr>
          <w:rFonts w:ascii="新宋体" w:hAnsi="新宋体" w:eastAsia="新宋体"/>
          <w:color w:val="auto"/>
          <w:sz w:val="22"/>
          <w:highlight w:val="none"/>
        </w:rPr>
        <w:t>同级采购监督部门：</w:t>
      </w:r>
      <w:r>
        <w:rPr>
          <w:rFonts w:hint="eastAsia" w:ascii="新宋体" w:hAnsi="新宋体" w:eastAsia="新宋体"/>
          <w:color w:val="auto"/>
          <w:sz w:val="22"/>
          <w:highlight w:val="none"/>
        </w:rPr>
        <w:t>温州瓯江口产业集聚区财政局</w:t>
      </w:r>
    </w:p>
    <w:p>
      <w:pPr>
        <w:spacing w:line="460" w:lineRule="exact"/>
        <w:ind w:firstLine="869" w:firstLineChars="395"/>
        <w:rPr>
          <w:rFonts w:hint="eastAsia" w:ascii="新宋体" w:hAnsi="新宋体" w:eastAsia="新宋体"/>
          <w:color w:val="auto"/>
          <w:sz w:val="22"/>
          <w:highlight w:val="none"/>
        </w:rPr>
      </w:pPr>
      <w:r>
        <w:rPr>
          <w:rFonts w:ascii="新宋体" w:hAnsi="新宋体" w:eastAsia="新宋体"/>
          <w:color w:val="auto"/>
          <w:sz w:val="22"/>
          <w:highlight w:val="none"/>
        </w:rPr>
        <w:t>电话：</w:t>
      </w:r>
      <w:r>
        <w:rPr>
          <w:rFonts w:hint="eastAsia" w:ascii="新宋体" w:hAnsi="新宋体" w:eastAsia="新宋体"/>
          <w:color w:val="auto"/>
          <w:sz w:val="22"/>
          <w:highlight w:val="none"/>
        </w:rPr>
        <w:t>0577-55875065</w:t>
      </w:r>
    </w:p>
    <w:p>
      <w:pPr>
        <w:spacing w:line="440" w:lineRule="exact"/>
        <w:ind w:left="441" w:leftChars="210" w:firstLine="440" w:firstLineChars="200"/>
        <w:rPr>
          <w:rFonts w:hint="eastAsia" w:ascii="新宋体" w:hAnsi="新宋体" w:eastAsia="新宋体"/>
          <w:color w:val="auto"/>
          <w:sz w:val="22"/>
          <w:highlight w:val="none"/>
        </w:rPr>
      </w:pPr>
    </w:p>
    <w:p>
      <w:pPr>
        <w:pStyle w:val="48"/>
        <w:spacing w:before="0" w:beforeAutospacing="0" w:after="0" w:afterAutospacing="0" w:line="460" w:lineRule="exact"/>
        <w:ind w:firstLine="660"/>
        <w:rPr>
          <w:rFonts w:hint="eastAsia" w:ascii="新宋体" w:hAnsi="新宋体" w:eastAsia="新宋体" w:cs="新宋体"/>
          <w:color w:val="auto"/>
          <w:sz w:val="22"/>
          <w:szCs w:val="22"/>
          <w:highlight w:val="none"/>
        </w:rPr>
      </w:pPr>
    </w:p>
    <w:p>
      <w:pPr>
        <w:pStyle w:val="48"/>
        <w:spacing w:before="0" w:beforeAutospacing="0" w:after="0" w:afterAutospacing="0" w:line="460" w:lineRule="exact"/>
        <w:ind w:firstLine="660"/>
        <w:jc w:val="righ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温州市公安局瓯江口分局</w:t>
      </w:r>
    </w:p>
    <w:p>
      <w:pPr>
        <w:pStyle w:val="48"/>
        <w:spacing w:before="0" w:beforeAutospacing="0" w:after="0" w:afterAutospacing="0" w:line="460" w:lineRule="exact"/>
        <w:ind w:firstLine="660"/>
        <w:jc w:val="righ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温州历程招标有限公司</w:t>
      </w:r>
    </w:p>
    <w:p>
      <w:pPr>
        <w:pStyle w:val="48"/>
        <w:spacing w:before="0" w:beforeAutospacing="0" w:after="0" w:afterAutospacing="0" w:line="460" w:lineRule="exact"/>
        <w:ind w:firstLine="660"/>
        <w:jc w:val="righ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2020年</w:t>
      </w:r>
      <w:r>
        <w:rPr>
          <w:rFonts w:hint="eastAsia" w:ascii="新宋体" w:hAnsi="新宋体" w:eastAsia="新宋体" w:cs="新宋体"/>
          <w:color w:val="auto"/>
          <w:sz w:val="22"/>
          <w:szCs w:val="22"/>
          <w:highlight w:val="none"/>
          <w:lang w:val="en-US" w:eastAsia="zh-CN"/>
        </w:rPr>
        <w:t>8</w:t>
      </w:r>
      <w:r>
        <w:rPr>
          <w:rFonts w:hint="eastAsia" w:ascii="新宋体" w:hAnsi="新宋体" w:eastAsia="新宋体" w:cs="新宋体"/>
          <w:color w:val="auto"/>
          <w:sz w:val="22"/>
          <w:szCs w:val="22"/>
          <w:highlight w:val="none"/>
        </w:rPr>
        <w:t xml:space="preserve"> 月</w:t>
      </w:r>
    </w:p>
    <w:p>
      <w:pPr>
        <w:tabs>
          <w:tab w:val="left" w:pos="360"/>
        </w:tabs>
        <w:spacing w:line="460" w:lineRule="exact"/>
        <w:ind w:firstLine="550" w:firstLineChars="250"/>
        <w:rPr>
          <w:rFonts w:hint="eastAsia" w:ascii="新宋体" w:hAnsi="新宋体" w:eastAsia="新宋体"/>
          <w:color w:val="auto"/>
          <w:sz w:val="22"/>
          <w:highlight w:val="none"/>
        </w:rPr>
      </w:pPr>
    </w:p>
    <w:p>
      <w:pPr>
        <w:tabs>
          <w:tab w:val="left" w:pos="360"/>
        </w:tabs>
        <w:spacing w:line="460" w:lineRule="exact"/>
        <w:ind w:firstLine="550" w:firstLineChars="250"/>
        <w:rPr>
          <w:rFonts w:hint="eastAsia" w:ascii="新宋体" w:hAnsi="新宋体" w:eastAsia="新宋体"/>
          <w:color w:val="auto"/>
          <w:sz w:val="22"/>
          <w:highlight w:val="none"/>
        </w:rPr>
      </w:pPr>
    </w:p>
    <w:p>
      <w:pPr>
        <w:tabs>
          <w:tab w:val="left" w:pos="360"/>
        </w:tabs>
        <w:spacing w:line="460" w:lineRule="exact"/>
        <w:ind w:firstLine="550" w:firstLineChars="250"/>
        <w:rPr>
          <w:rFonts w:hint="eastAsia" w:ascii="新宋体" w:hAnsi="新宋体" w:eastAsia="新宋体"/>
          <w:color w:val="auto"/>
          <w:sz w:val="22"/>
          <w:highlight w:val="none"/>
        </w:rPr>
      </w:pPr>
    </w:p>
    <w:p>
      <w:pPr>
        <w:tabs>
          <w:tab w:val="left" w:pos="360"/>
        </w:tabs>
        <w:spacing w:line="460" w:lineRule="exact"/>
        <w:ind w:firstLine="550" w:firstLineChars="250"/>
        <w:rPr>
          <w:rFonts w:hint="eastAsia" w:ascii="新宋体" w:hAnsi="新宋体" w:eastAsia="新宋体"/>
          <w:color w:val="auto"/>
          <w:sz w:val="22"/>
          <w:highlight w:val="none"/>
        </w:rPr>
      </w:pPr>
    </w:p>
    <w:p>
      <w:pPr>
        <w:pStyle w:val="9"/>
        <w:rPr>
          <w:rFonts w:hint="eastAsia"/>
          <w:color w:val="auto"/>
          <w:highlight w:val="none"/>
        </w:rPr>
      </w:pPr>
    </w:p>
    <w:p>
      <w:pPr>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spacing w:line="460" w:lineRule="exact"/>
        <w:ind w:left="433" w:leftChars="206" w:firstLine="0" w:firstLineChars="0"/>
        <w:jc w:val="center"/>
        <w:outlineLvl w:val="0"/>
        <w:rPr>
          <w:rFonts w:ascii="新宋体" w:hAnsi="新宋体" w:eastAsia="新宋体"/>
          <w:b/>
          <w:color w:val="auto"/>
          <w:sz w:val="30"/>
          <w:highlight w:val="none"/>
        </w:rPr>
      </w:pPr>
      <w:r>
        <w:rPr>
          <w:rFonts w:hint="eastAsia" w:ascii="新宋体" w:hAnsi="新宋体" w:eastAsia="新宋体"/>
          <w:b/>
          <w:color w:val="auto"/>
          <w:sz w:val="30"/>
          <w:highlight w:val="none"/>
        </w:rPr>
        <w:t>第一部分    投标人须知</w:t>
      </w:r>
    </w:p>
    <w:p>
      <w:pPr>
        <w:keepNext/>
        <w:keepLines/>
        <w:shd w:val="clear" w:color="auto" w:fill="FFFFFF"/>
        <w:tabs>
          <w:tab w:val="left" w:pos="706"/>
        </w:tabs>
        <w:snapToGrid w:val="0"/>
        <w:spacing w:line="460" w:lineRule="exact"/>
        <w:jc w:val="center"/>
        <w:outlineLvl w:val="1"/>
        <w:rPr>
          <w:rFonts w:hint="eastAsia" w:ascii="新宋体" w:hAnsi="新宋体" w:eastAsia="新宋体" w:cs="新宋体"/>
          <w:b/>
          <w:bCs/>
          <w:color w:val="auto"/>
          <w:sz w:val="22"/>
          <w:szCs w:val="22"/>
          <w:highlight w:val="none"/>
        </w:rPr>
      </w:pPr>
      <w:bookmarkStart w:id="1" w:name="_Toc233618971"/>
      <w:bookmarkStart w:id="2" w:name="_Toc354996695"/>
      <w:bookmarkStart w:id="3" w:name="_Toc33194387"/>
      <w:r>
        <w:rPr>
          <w:rFonts w:hint="eastAsia" w:ascii="新宋体" w:hAnsi="新宋体" w:eastAsia="新宋体" w:cs="新宋体"/>
          <w:b/>
          <w:bCs/>
          <w:color w:val="auto"/>
          <w:sz w:val="22"/>
          <w:szCs w:val="22"/>
          <w:highlight w:val="none"/>
        </w:rPr>
        <w:t>投 标 须 知 前 附 表</w:t>
      </w:r>
      <w:bookmarkEnd w:id="1"/>
      <w:bookmarkEnd w:id="2"/>
      <w:bookmarkEnd w:id="3"/>
    </w:p>
    <w:tbl>
      <w:tblPr>
        <w:tblStyle w:val="52"/>
        <w:tblW w:w="1029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09"/>
        <w:gridCol w:w="97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09" w:type="dxa"/>
            <w:tcBorders>
              <w:top w:val="single" w:color="000000" w:sz="8" w:space="0"/>
              <w:left w:val="single" w:color="000000" w:sz="8" w:space="0"/>
              <w:bottom w:val="single" w:color="000000" w:sz="2" w:space="0"/>
              <w:right w:val="single" w:color="000000" w:sz="2" w:space="0"/>
            </w:tcBorders>
            <w:noWrap w:val="0"/>
            <w:vAlign w:val="center"/>
          </w:tcPr>
          <w:p>
            <w:pPr>
              <w:snapToGrid w:val="0"/>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条款</w:t>
            </w:r>
          </w:p>
        </w:tc>
        <w:tc>
          <w:tcPr>
            <w:tcW w:w="9788" w:type="dxa"/>
            <w:tcBorders>
              <w:top w:val="single" w:color="000000" w:sz="8" w:space="0"/>
              <w:left w:val="single" w:color="000000" w:sz="2" w:space="0"/>
              <w:bottom w:val="single" w:color="000000" w:sz="2" w:space="0"/>
              <w:right w:val="single" w:color="000000" w:sz="8" w:space="0"/>
            </w:tcBorders>
            <w:noWrap w:val="0"/>
            <w:vAlign w:val="center"/>
          </w:tcPr>
          <w:p>
            <w:pPr>
              <w:snapToGrid w:val="0"/>
              <w:spacing w:line="460" w:lineRule="exact"/>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（各标段）内容规定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388" w:hRule="atLeast"/>
          <w:jc w:val="center"/>
        </w:trPr>
        <w:tc>
          <w:tcPr>
            <w:tcW w:w="509"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460" w:lineRule="exact"/>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w:t>
            </w:r>
          </w:p>
        </w:tc>
        <w:tc>
          <w:tcPr>
            <w:tcW w:w="9788" w:type="dxa"/>
            <w:tcBorders>
              <w:top w:val="single" w:color="000000" w:sz="2" w:space="0"/>
              <w:left w:val="single" w:color="000000" w:sz="2" w:space="0"/>
              <w:bottom w:val="single" w:color="000000" w:sz="2" w:space="0"/>
              <w:right w:val="single" w:color="000000" w:sz="8" w:space="0"/>
            </w:tcBorders>
            <w:noWrap w:val="0"/>
            <w:vAlign w:val="top"/>
          </w:tcPr>
          <w:p>
            <w:pPr>
              <w:spacing w:line="460" w:lineRule="exac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一、项目名称：</w:t>
            </w:r>
            <w:bookmarkStart w:id="4" w:name="_Hlt75139851"/>
            <w:bookmarkEnd w:id="4"/>
            <w:r>
              <w:rPr>
                <w:rFonts w:hint="eastAsia" w:ascii="新宋体" w:hAnsi="新宋体" w:eastAsia="新宋体" w:cs="新宋体"/>
                <w:bCs/>
                <w:color w:val="auto"/>
                <w:sz w:val="22"/>
                <w:szCs w:val="22"/>
                <w:highlight w:val="none"/>
              </w:rPr>
              <w:t>瓯江口雪亮工程建设项目</w:t>
            </w:r>
          </w:p>
          <w:p>
            <w:pPr>
              <w:spacing w:line="460" w:lineRule="exac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二、采购内容：</w:t>
            </w:r>
          </w:p>
          <w:p>
            <w:pPr>
              <w:pStyle w:val="48"/>
              <w:spacing w:before="0" w:beforeAutospacing="0" w:after="0" w:afterAutospacing="0" w:line="460" w:lineRule="exact"/>
              <w:rPr>
                <w:rFonts w:hint="eastAsia"/>
                <w:color w:val="auto"/>
                <w:highlight w:val="none"/>
              </w:rPr>
            </w:pPr>
            <w:r>
              <w:rPr>
                <w:rFonts w:hint="eastAsia" w:ascii="新宋体" w:hAnsi="新宋体" w:eastAsia="新宋体"/>
                <w:color w:val="auto"/>
                <w:sz w:val="22"/>
                <w:highlight w:val="none"/>
              </w:rPr>
              <w:t>瓯江口雪亮工程建设项目，</w:t>
            </w:r>
            <w:r>
              <w:rPr>
                <w:rFonts w:hint="eastAsia" w:ascii="新宋体" w:hAnsi="新宋体" w:eastAsia="新宋体"/>
                <w:b/>
                <w:color w:val="auto"/>
                <w:sz w:val="22"/>
                <w:szCs w:val="22"/>
                <w:highlight w:val="none"/>
              </w:rPr>
              <w:t>分三个标段，各标段如下：</w:t>
            </w:r>
          </w:p>
          <w:tbl>
            <w:tblPr>
              <w:tblStyle w:val="52"/>
              <w:tblW w:w="9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2285"/>
              <w:gridCol w:w="660"/>
              <w:gridCol w:w="755"/>
              <w:gridCol w:w="3303"/>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4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标段号</w:t>
                  </w:r>
                </w:p>
              </w:tc>
              <w:tc>
                <w:tcPr>
                  <w:tcW w:w="228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4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项目内容</w:t>
                  </w: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4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数量</w:t>
                  </w:r>
                </w:p>
              </w:tc>
              <w:tc>
                <w:tcPr>
                  <w:tcW w:w="7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4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单位</w:t>
                  </w:r>
                </w:p>
              </w:tc>
              <w:tc>
                <w:tcPr>
                  <w:tcW w:w="33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4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预算金额</w:t>
                  </w:r>
                </w:p>
              </w:tc>
              <w:tc>
                <w:tcPr>
                  <w:tcW w:w="154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4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简要技术要求、用途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一</w:t>
                  </w:r>
                </w:p>
              </w:tc>
              <w:tc>
                <w:tcPr>
                  <w:tcW w:w="228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40" w:lineRule="exact"/>
                    <w:jc w:val="center"/>
                    <w:rPr>
                      <w:rFonts w:hint="eastAsia" w:ascii="新宋体" w:hAnsi="新宋体" w:eastAsia="新宋体" w:cs="新宋体"/>
                      <w:color w:val="auto"/>
                      <w:sz w:val="22"/>
                      <w:szCs w:val="22"/>
                      <w:highlight w:val="none"/>
                    </w:rPr>
                  </w:pPr>
                  <w:r>
                    <w:rPr>
                      <w:rFonts w:hint="eastAsia" w:ascii="新宋体" w:hAnsi="新宋体" w:eastAsia="新宋体"/>
                      <w:color w:val="auto"/>
                      <w:sz w:val="22"/>
                      <w:highlight w:val="none"/>
                    </w:rPr>
                    <w:t>瓯江口雪亮工程建设项目-公安监控建设</w:t>
                  </w: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4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1</w:t>
                  </w:r>
                </w:p>
              </w:tc>
              <w:tc>
                <w:tcPr>
                  <w:tcW w:w="7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4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w:t>
                  </w:r>
                </w:p>
              </w:tc>
              <w:tc>
                <w:tcPr>
                  <w:tcW w:w="3303" w:type="dxa"/>
                  <w:tcBorders>
                    <w:top w:val="single" w:color="auto" w:sz="4" w:space="0"/>
                    <w:left w:val="single" w:color="auto" w:sz="4" w:space="0"/>
                    <w:bottom w:val="single" w:color="auto" w:sz="4" w:space="0"/>
                    <w:right w:val="single" w:color="auto" w:sz="4" w:space="0"/>
                  </w:tcBorders>
                  <w:noWrap w:val="0"/>
                  <w:vAlign w:val="center"/>
                </w:tcPr>
                <w:p>
                  <w:pPr>
                    <w:tabs>
                      <w:tab w:val="left" w:pos="360"/>
                    </w:tabs>
                    <w:spacing w:line="460" w:lineRule="exact"/>
                    <w:rPr>
                      <w:rFonts w:ascii="新宋体" w:hAnsi="新宋体" w:eastAsia="新宋体"/>
                      <w:b/>
                      <w:strike/>
                      <w:color w:val="auto"/>
                      <w:sz w:val="22"/>
                      <w:highlight w:val="none"/>
                      <w:u w:val="single"/>
                    </w:rPr>
                  </w:pPr>
                  <w:r>
                    <w:rPr>
                      <w:rFonts w:hint="eastAsia" w:ascii="新宋体" w:hAnsi="新宋体" w:eastAsia="新宋体" w:cs="新宋体"/>
                      <w:b/>
                      <w:color w:val="auto"/>
                      <w:sz w:val="22"/>
                      <w:szCs w:val="22"/>
                      <w:highlight w:val="none"/>
                      <w:u w:val="single"/>
                    </w:rPr>
                    <w:t>财政预算：</w:t>
                  </w:r>
                  <w:r>
                    <w:rPr>
                      <w:rFonts w:hint="eastAsia" w:ascii="新宋体" w:hAnsi="新宋体" w:eastAsia="新宋体"/>
                      <w:b/>
                      <w:color w:val="auto"/>
                      <w:sz w:val="22"/>
                      <w:highlight w:val="none"/>
                      <w:u w:val="single"/>
                    </w:rPr>
                    <w:t>人民币壹仟零伍拾玖万壹仟肆佰元整（¥10591400.00元）,</w:t>
                  </w:r>
                </w:p>
                <w:p>
                  <w:pPr>
                    <w:pStyle w:val="207"/>
                    <w:snapToGrid w:val="0"/>
                    <w:spacing w:before="0" w:line="440" w:lineRule="exact"/>
                    <w:ind w:firstLine="0" w:firstLineChars="0"/>
                    <w:rPr>
                      <w:rFonts w:ascii="新宋体" w:hAnsi="新宋体" w:eastAsia="新宋体" w:cs="新宋体"/>
                      <w:b/>
                      <w:color w:val="auto"/>
                      <w:sz w:val="22"/>
                      <w:szCs w:val="22"/>
                      <w:highlight w:val="none"/>
                      <w:u w:val="single"/>
                    </w:rPr>
                  </w:pPr>
                </w:p>
              </w:tc>
              <w:tc>
                <w:tcPr>
                  <w:tcW w:w="1545" w:type="dxa"/>
                  <w:vMerge w:val="restart"/>
                  <w:tcBorders>
                    <w:top w:val="single" w:color="auto" w:sz="4" w:space="0"/>
                    <w:left w:val="single" w:color="auto" w:sz="4" w:space="0"/>
                  </w:tcBorders>
                  <w:noWrap w:val="0"/>
                  <w:vAlign w:val="center"/>
                </w:tcPr>
                <w:p>
                  <w:pPr>
                    <w:shd w:val="clear" w:color="auto" w:fill="FFFFFF"/>
                    <w:snapToGrid w:val="0"/>
                    <w:spacing w:line="44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详见招标文件第四部分“项目技术规范和服务要求”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二</w:t>
                  </w:r>
                </w:p>
              </w:tc>
              <w:tc>
                <w:tcPr>
                  <w:tcW w:w="228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40" w:lineRule="exact"/>
                    <w:jc w:val="center"/>
                    <w:rPr>
                      <w:rFonts w:hint="eastAsia" w:ascii="新宋体" w:hAnsi="新宋体" w:eastAsia="新宋体"/>
                      <w:color w:val="auto"/>
                      <w:sz w:val="22"/>
                      <w:highlight w:val="none"/>
                    </w:rPr>
                  </w:pPr>
                  <w:r>
                    <w:rPr>
                      <w:rFonts w:hint="eastAsia" w:ascii="新宋体" w:hAnsi="新宋体" w:eastAsia="新宋体"/>
                      <w:color w:val="auto"/>
                      <w:sz w:val="22"/>
                      <w:highlight w:val="none"/>
                    </w:rPr>
                    <w:t>瓯江口雪亮工程建设项目-水利等部门可视化工程建设</w:t>
                  </w: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4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7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44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w:t>
                  </w:r>
                </w:p>
              </w:tc>
              <w:tc>
                <w:tcPr>
                  <w:tcW w:w="3303" w:type="dxa"/>
                  <w:tcBorders>
                    <w:top w:val="single" w:color="auto" w:sz="4" w:space="0"/>
                    <w:left w:val="single" w:color="auto" w:sz="4" w:space="0"/>
                    <w:bottom w:val="single" w:color="auto" w:sz="4" w:space="0"/>
                    <w:right w:val="single" w:color="auto" w:sz="4" w:space="0"/>
                  </w:tcBorders>
                  <w:noWrap w:val="0"/>
                  <w:vAlign w:val="center"/>
                </w:tcPr>
                <w:p>
                  <w:pPr>
                    <w:pStyle w:val="207"/>
                    <w:snapToGrid w:val="0"/>
                    <w:spacing w:before="0" w:line="440" w:lineRule="exact"/>
                    <w:ind w:firstLine="0" w:firstLineChars="0"/>
                    <w:rPr>
                      <w:rFonts w:hint="eastAsia" w:ascii="新宋体" w:hAnsi="新宋体" w:eastAsia="新宋体" w:cs="新宋体"/>
                      <w:b/>
                      <w:color w:val="auto"/>
                      <w:sz w:val="22"/>
                      <w:szCs w:val="22"/>
                      <w:highlight w:val="none"/>
                      <w:u w:val="single"/>
                    </w:rPr>
                  </w:pPr>
                  <w:r>
                    <w:rPr>
                      <w:rFonts w:hint="eastAsia" w:ascii="新宋体" w:hAnsi="新宋体" w:eastAsia="新宋体" w:cs="新宋体"/>
                      <w:b/>
                      <w:color w:val="auto"/>
                      <w:sz w:val="22"/>
                      <w:szCs w:val="22"/>
                      <w:highlight w:val="none"/>
                      <w:u w:val="single"/>
                    </w:rPr>
                    <w:t>财政预算：人民币肆佰玖拾玖万捌仟伍佰元整（¥4998500.00元）</w:t>
                  </w:r>
                </w:p>
                <w:p>
                  <w:pPr>
                    <w:pStyle w:val="207"/>
                    <w:snapToGrid w:val="0"/>
                    <w:spacing w:before="0" w:line="440" w:lineRule="exact"/>
                    <w:ind w:firstLine="0" w:firstLineChars="0"/>
                    <w:rPr>
                      <w:rFonts w:hint="eastAsia" w:ascii="新宋体" w:hAnsi="新宋体" w:eastAsia="新宋体" w:cs="新宋体"/>
                      <w:b/>
                      <w:color w:val="auto"/>
                      <w:sz w:val="22"/>
                      <w:szCs w:val="22"/>
                      <w:highlight w:val="none"/>
                      <w:u w:val="single"/>
                    </w:rPr>
                  </w:pPr>
                </w:p>
              </w:tc>
              <w:tc>
                <w:tcPr>
                  <w:tcW w:w="1545" w:type="dxa"/>
                  <w:vMerge w:val="continue"/>
                  <w:tcBorders>
                    <w:left w:val="single" w:color="auto" w:sz="4" w:space="0"/>
                  </w:tcBorders>
                  <w:noWrap w:val="0"/>
                  <w:vAlign w:val="center"/>
                </w:tcPr>
                <w:p>
                  <w:pPr>
                    <w:shd w:val="clear" w:color="auto" w:fill="FFFFFF"/>
                    <w:snapToGrid w:val="0"/>
                    <w:spacing w:line="440" w:lineRule="exact"/>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027" w:type="dxa"/>
                  <w:tcBorders>
                    <w:top w:val="single" w:color="auto" w:sz="4" w:space="0"/>
                    <w:left w:val="single" w:color="auto" w:sz="4" w:space="0"/>
                    <w:right w:val="single" w:color="auto" w:sz="4" w:space="0"/>
                  </w:tcBorders>
                  <w:noWrap w:val="0"/>
                  <w:vAlign w:val="center"/>
                </w:tcPr>
                <w:p>
                  <w:pPr>
                    <w:snapToGrid w:val="0"/>
                    <w:spacing w:line="44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三</w:t>
                  </w:r>
                </w:p>
              </w:tc>
              <w:tc>
                <w:tcPr>
                  <w:tcW w:w="2285" w:type="dxa"/>
                  <w:tcBorders>
                    <w:top w:val="single" w:color="auto" w:sz="4" w:space="0"/>
                    <w:left w:val="single" w:color="auto" w:sz="4" w:space="0"/>
                    <w:right w:val="single" w:color="auto" w:sz="4" w:space="0"/>
                  </w:tcBorders>
                  <w:noWrap w:val="0"/>
                  <w:vAlign w:val="center"/>
                </w:tcPr>
                <w:p>
                  <w:pPr>
                    <w:widowControl/>
                    <w:snapToGrid w:val="0"/>
                    <w:spacing w:line="440" w:lineRule="exact"/>
                    <w:jc w:val="center"/>
                    <w:rPr>
                      <w:rFonts w:hint="eastAsia" w:ascii="新宋体" w:hAnsi="新宋体" w:eastAsia="新宋体"/>
                      <w:color w:val="auto"/>
                      <w:sz w:val="22"/>
                      <w:highlight w:val="none"/>
                    </w:rPr>
                  </w:pPr>
                  <w:r>
                    <w:rPr>
                      <w:rFonts w:hint="eastAsia" w:ascii="新宋体" w:hAnsi="新宋体" w:eastAsia="新宋体"/>
                      <w:color w:val="auto"/>
                      <w:sz w:val="22"/>
                      <w:highlight w:val="none"/>
                    </w:rPr>
                    <w:t>项目咨询监理</w:t>
                  </w:r>
                </w:p>
              </w:tc>
              <w:tc>
                <w:tcPr>
                  <w:tcW w:w="660" w:type="dxa"/>
                  <w:tcBorders>
                    <w:top w:val="single" w:color="auto" w:sz="4" w:space="0"/>
                    <w:left w:val="single" w:color="auto" w:sz="4" w:space="0"/>
                    <w:right w:val="single" w:color="auto" w:sz="4" w:space="0"/>
                  </w:tcBorders>
                  <w:noWrap w:val="0"/>
                  <w:vAlign w:val="center"/>
                </w:tcPr>
                <w:p>
                  <w:pPr>
                    <w:widowControl/>
                    <w:snapToGrid w:val="0"/>
                    <w:spacing w:line="440" w:lineRule="exact"/>
                    <w:jc w:val="center"/>
                    <w:rPr>
                      <w:rFonts w:hint="default" w:ascii="新宋体" w:hAnsi="新宋体" w:eastAsia="新宋体" w:cs="新宋体"/>
                      <w:color w:val="auto"/>
                      <w:kern w:val="0"/>
                      <w:sz w:val="22"/>
                      <w:szCs w:val="22"/>
                      <w:highlight w:val="none"/>
                      <w:lang w:val="en-US" w:eastAsia="zh-CN"/>
                    </w:rPr>
                  </w:pPr>
                  <w:r>
                    <w:rPr>
                      <w:rFonts w:hint="eastAsia" w:ascii="新宋体" w:hAnsi="新宋体" w:eastAsia="新宋体" w:cs="新宋体"/>
                      <w:color w:val="auto"/>
                      <w:kern w:val="0"/>
                      <w:sz w:val="22"/>
                      <w:szCs w:val="22"/>
                      <w:highlight w:val="none"/>
                      <w:lang w:val="en-US" w:eastAsia="zh-CN"/>
                    </w:rPr>
                    <w:t>1</w:t>
                  </w:r>
                </w:p>
              </w:tc>
              <w:tc>
                <w:tcPr>
                  <w:tcW w:w="755" w:type="dxa"/>
                  <w:tcBorders>
                    <w:top w:val="single" w:color="auto" w:sz="4" w:space="0"/>
                    <w:left w:val="single" w:color="auto" w:sz="4" w:space="0"/>
                    <w:right w:val="single" w:color="auto" w:sz="4" w:space="0"/>
                  </w:tcBorders>
                  <w:noWrap w:val="0"/>
                  <w:vAlign w:val="center"/>
                </w:tcPr>
                <w:p>
                  <w:pPr>
                    <w:widowControl/>
                    <w:snapToGrid w:val="0"/>
                    <w:spacing w:line="440" w:lineRule="exact"/>
                    <w:jc w:val="center"/>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项</w:t>
                  </w:r>
                </w:p>
              </w:tc>
              <w:tc>
                <w:tcPr>
                  <w:tcW w:w="3303" w:type="dxa"/>
                  <w:tcBorders>
                    <w:top w:val="single" w:color="auto" w:sz="4" w:space="0"/>
                    <w:left w:val="single" w:color="auto" w:sz="4" w:space="0"/>
                    <w:right w:val="single" w:color="auto" w:sz="4" w:space="0"/>
                  </w:tcBorders>
                  <w:noWrap w:val="0"/>
                  <w:vAlign w:val="center"/>
                </w:tcPr>
                <w:p>
                  <w:pPr>
                    <w:pStyle w:val="207"/>
                    <w:snapToGrid w:val="0"/>
                    <w:spacing w:before="0" w:line="440" w:lineRule="exact"/>
                    <w:ind w:firstLine="0" w:firstLineChars="0"/>
                    <w:rPr>
                      <w:rFonts w:hint="eastAsia" w:ascii="新宋体" w:hAnsi="新宋体" w:eastAsia="新宋体" w:cs="新宋体"/>
                      <w:b/>
                      <w:color w:val="auto"/>
                      <w:sz w:val="22"/>
                      <w:szCs w:val="22"/>
                      <w:highlight w:val="none"/>
                      <w:u w:val="single"/>
                    </w:rPr>
                  </w:pPr>
                  <w:r>
                    <w:rPr>
                      <w:rFonts w:hint="eastAsia" w:ascii="新宋体" w:hAnsi="新宋体" w:eastAsia="新宋体" w:cs="新宋体"/>
                      <w:b/>
                      <w:color w:val="auto"/>
                      <w:sz w:val="22"/>
                      <w:szCs w:val="22"/>
                      <w:highlight w:val="none"/>
                      <w:u w:val="single"/>
                    </w:rPr>
                    <w:t>财政预算：</w:t>
                  </w:r>
                  <w:r>
                    <w:rPr>
                      <w:rFonts w:hint="eastAsia" w:ascii="新宋体" w:hAnsi="新宋体" w:eastAsia="新宋体"/>
                      <w:b/>
                      <w:color w:val="auto"/>
                      <w:sz w:val="22"/>
                      <w:highlight w:val="none"/>
                      <w:u w:val="single"/>
                    </w:rPr>
                    <w:t>人民币柒拾伍万伍仟元整（¥755000.00元）</w:t>
                  </w:r>
                </w:p>
              </w:tc>
              <w:tc>
                <w:tcPr>
                  <w:tcW w:w="1545" w:type="dxa"/>
                  <w:vMerge w:val="continue"/>
                  <w:tcBorders>
                    <w:left w:val="single" w:color="auto" w:sz="4" w:space="0"/>
                    <w:bottom w:val="single" w:color="auto" w:sz="4" w:space="0"/>
                  </w:tcBorders>
                  <w:noWrap w:val="0"/>
                  <w:vAlign w:val="center"/>
                </w:tcPr>
                <w:p>
                  <w:pPr>
                    <w:shd w:val="clear" w:color="auto" w:fill="FFFFFF"/>
                    <w:snapToGrid w:val="0"/>
                    <w:spacing w:line="440" w:lineRule="exact"/>
                    <w:jc w:val="center"/>
                    <w:rPr>
                      <w:rFonts w:hint="eastAsia" w:ascii="新宋体" w:hAnsi="新宋体" w:eastAsia="新宋体" w:cs="新宋体"/>
                      <w:color w:val="auto"/>
                      <w:sz w:val="22"/>
                      <w:szCs w:val="22"/>
                      <w:highlight w:val="none"/>
                    </w:rPr>
                  </w:pPr>
                </w:p>
              </w:tc>
            </w:tr>
          </w:tbl>
          <w:p>
            <w:pPr>
              <w:tabs>
                <w:tab w:val="left" w:pos="360"/>
              </w:tabs>
              <w:spacing w:line="460" w:lineRule="exact"/>
              <w:ind w:firstLine="552" w:firstLineChars="250"/>
              <w:rPr>
                <w:rFonts w:hint="eastAsia" w:ascii="新宋体" w:hAnsi="新宋体" w:eastAsia="新宋体"/>
                <w:b/>
                <w:bCs/>
                <w:color w:val="auto"/>
                <w:sz w:val="22"/>
                <w:highlight w:val="none"/>
                <w:u w:val="single"/>
              </w:rPr>
            </w:pPr>
            <w:r>
              <w:rPr>
                <w:rFonts w:hint="eastAsia" w:ascii="新宋体" w:hAnsi="新宋体" w:eastAsia="新宋体"/>
                <w:b/>
                <w:bCs/>
                <w:color w:val="auto"/>
                <w:sz w:val="22"/>
                <w:highlight w:val="none"/>
                <w:u w:val="single"/>
              </w:rPr>
              <w:t>如各标段投标人报价超过各预算按无效标处理。</w:t>
            </w:r>
          </w:p>
          <w:p>
            <w:pPr>
              <w:tabs>
                <w:tab w:val="left" w:pos="360"/>
              </w:tabs>
              <w:spacing w:line="460" w:lineRule="exact"/>
              <w:ind w:firstLine="552" w:firstLineChars="250"/>
              <w:rPr>
                <w:rFonts w:hint="eastAsia" w:ascii="新宋体" w:hAnsi="新宋体" w:eastAsia="新宋体" w:cs="新宋体"/>
                <w:b/>
                <w:bCs/>
                <w:color w:val="auto"/>
                <w:sz w:val="22"/>
                <w:szCs w:val="22"/>
                <w:highlight w:val="none"/>
              </w:rPr>
            </w:pPr>
            <w:r>
              <w:rPr>
                <w:rFonts w:hint="eastAsia" w:ascii="新宋体" w:hAnsi="新宋体" w:eastAsia="新宋体"/>
                <w:b/>
                <w:bCs/>
                <w:color w:val="auto"/>
                <w:sz w:val="22"/>
                <w:szCs w:val="22"/>
                <w:highlight w:val="none"/>
              </w:rPr>
              <w:t xml:space="preserve"> （注：投标人可同时对以上所有标段进行投标，也可对其中一个标段进行投标，但不允许将一个标段拆分投标，否则其投标文件不予接受。）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09"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460" w:lineRule="exact"/>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2</w:t>
            </w:r>
          </w:p>
        </w:tc>
        <w:tc>
          <w:tcPr>
            <w:tcW w:w="9788" w:type="dxa"/>
            <w:tcBorders>
              <w:top w:val="single" w:color="000000" w:sz="2" w:space="0"/>
              <w:left w:val="single" w:color="000000" w:sz="2" w:space="0"/>
              <w:bottom w:val="single" w:color="000000" w:sz="2" w:space="0"/>
              <w:right w:val="single" w:color="000000" w:sz="8" w:space="0"/>
            </w:tcBorders>
            <w:noWrap w:val="0"/>
            <w:vAlign w:val="center"/>
          </w:tcPr>
          <w:p>
            <w:pPr>
              <w:snapToGrid w:val="0"/>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lang w:val="zh-CN"/>
              </w:rPr>
              <w:t>投标</w:t>
            </w:r>
            <w:r>
              <w:rPr>
                <w:rFonts w:hint="eastAsia" w:ascii="新宋体" w:hAnsi="新宋体" w:eastAsia="新宋体" w:cs="新宋体"/>
                <w:b/>
                <w:bCs/>
                <w:color w:val="auto"/>
                <w:sz w:val="22"/>
                <w:szCs w:val="22"/>
                <w:highlight w:val="none"/>
              </w:rPr>
              <w:t>有效期：</w:t>
            </w:r>
            <w:r>
              <w:rPr>
                <w:rFonts w:hint="eastAsia" w:ascii="新宋体" w:hAnsi="新宋体" w:eastAsia="新宋体" w:cs="新宋体"/>
                <w:color w:val="auto"/>
                <w:sz w:val="22"/>
                <w:szCs w:val="22"/>
                <w:highlight w:val="none"/>
              </w:rPr>
              <w:t>自投标截止日起120天。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09"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460" w:lineRule="exact"/>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3</w:t>
            </w:r>
          </w:p>
        </w:tc>
        <w:tc>
          <w:tcPr>
            <w:tcW w:w="9788" w:type="dxa"/>
            <w:tcBorders>
              <w:top w:val="single" w:color="000000" w:sz="2" w:space="0"/>
              <w:left w:val="single" w:color="000000" w:sz="2" w:space="0"/>
              <w:bottom w:val="single" w:color="000000" w:sz="2" w:space="0"/>
              <w:right w:val="single" w:color="000000" w:sz="8" w:space="0"/>
            </w:tcBorders>
            <w:noWrap w:val="0"/>
            <w:vAlign w:val="center"/>
          </w:tcPr>
          <w:p>
            <w:pPr>
              <w:snapToGrid w:val="0"/>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投标保证金数额：无</w:t>
            </w:r>
            <w:r>
              <w:rPr>
                <w:rFonts w:hint="eastAsia" w:ascii="新宋体" w:hAnsi="新宋体" w:eastAsia="新宋体" w:cs="新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09"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460" w:lineRule="exact"/>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4</w:t>
            </w:r>
          </w:p>
        </w:tc>
        <w:tc>
          <w:tcPr>
            <w:tcW w:w="9788" w:type="dxa"/>
            <w:tcBorders>
              <w:top w:val="single" w:color="000000" w:sz="2" w:space="0"/>
              <w:left w:val="single" w:color="000000" w:sz="2" w:space="0"/>
              <w:bottom w:val="single" w:color="000000" w:sz="2" w:space="0"/>
              <w:right w:val="single" w:color="000000" w:sz="8" w:space="0"/>
            </w:tcBorders>
            <w:noWrap w:val="0"/>
            <w:vAlign w:val="center"/>
          </w:tcPr>
          <w:p>
            <w:pPr>
              <w:snapToGrid w:val="0"/>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招标服务费</w:t>
            </w:r>
            <w:r>
              <w:rPr>
                <w:rFonts w:hint="eastAsia" w:ascii="新宋体" w:hAnsi="新宋体" w:eastAsia="新宋体" w:cs="新宋体"/>
                <w:b/>
                <w:bCs/>
                <w:color w:val="auto"/>
                <w:sz w:val="22"/>
                <w:szCs w:val="22"/>
                <w:highlight w:val="none"/>
                <w:lang w:bidi="ar"/>
              </w:rPr>
              <w:t>根据国家计委计价格【2002】1980号《招标代理服务收费管理暂行办法》规定按成交金额的差额定率累计</w:t>
            </w:r>
            <w:r>
              <w:rPr>
                <w:rFonts w:hint="eastAsia" w:ascii="新宋体" w:hAnsi="新宋体" w:eastAsia="新宋体" w:cs="新宋体"/>
                <w:b/>
                <w:bCs/>
                <w:color w:val="auto"/>
                <w:sz w:val="22"/>
                <w:szCs w:val="22"/>
                <w:highlight w:val="none"/>
                <w:lang w:eastAsia="zh-CN" w:bidi="ar"/>
              </w:rPr>
              <w:t>（</w:t>
            </w:r>
            <w:r>
              <w:rPr>
                <w:rFonts w:hint="eastAsia" w:ascii="新宋体" w:hAnsi="新宋体" w:eastAsia="新宋体" w:cs="新宋体"/>
                <w:b/>
                <w:bCs/>
                <w:color w:val="auto"/>
                <w:sz w:val="22"/>
                <w:szCs w:val="22"/>
                <w:highlight w:val="none"/>
                <w:lang w:val="en-US" w:eastAsia="zh-CN" w:bidi="ar"/>
              </w:rPr>
              <w:t>服务类</w:t>
            </w:r>
            <w:r>
              <w:rPr>
                <w:rFonts w:hint="eastAsia" w:ascii="新宋体" w:hAnsi="新宋体" w:eastAsia="新宋体" w:cs="新宋体"/>
                <w:b/>
                <w:bCs/>
                <w:color w:val="auto"/>
                <w:sz w:val="22"/>
                <w:szCs w:val="22"/>
                <w:highlight w:val="none"/>
                <w:lang w:eastAsia="zh-CN" w:bidi="ar"/>
              </w:rPr>
              <w:t>）</w:t>
            </w:r>
            <w:r>
              <w:rPr>
                <w:rFonts w:hint="eastAsia" w:ascii="新宋体" w:hAnsi="新宋体" w:eastAsia="新宋体" w:cs="新宋体"/>
                <w:b/>
                <w:bCs/>
                <w:color w:val="auto"/>
                <w:sz w:val="22"/>
                <w:szCs w:val="22"/>
                <w:highlight w:val="none"/>
                <w:lang w:bidi="ar"/>
              </w:rPr>
              <w:t>法计算后</w:t>
            </w:r>
            <w:r>
              <w:rPr>
                <w:rFonts w:hint="eastAsia" w:ascii="新宋体" w:hAnsi="新宋体" w:eastAsia="新宋体" w:cs="新宋体"/>
                <w:b/>
                <w:bCs/>
                <w:color w:val="auto"/>
                <w:sz w:val="22"/>
                <w:szCs w:val="22"/>
                <w:highlight w:val="none"/>
                <w:lang w:val="en-US" w:eastAsia="zh-CN" w:bidi="ar"/>
              </w:rPr>
              <w:t>下浮40%</w:t>
            </w:r>
            <w:r>
              <w:rPr>
                <w:rFonts w:hint="eastAsia" w:ascii="新宋体" w:hAnsi="新宋体" w:eastAsia="新宋体" w:cs="新宋体"/>
                <w:b/>
                <w:bCs/>
                <w:color w:val="auto"/>
                <w:sz w:val="22"/>
                <w:szCs w:val="22"/>
                <w:highlight w:val="none"/>
                <w:lang w:bidi="ar"/>
              </w:rPr>
              <w:t>收取</w:t>
            </w:r>
            <w:r>
              <w:rPr>
                <w:rFonts w:hint="eastAsia" w:ascii="新宋体" w:hAnsi="新宋体" w:eastAsia="新宋体" w:cs="新宋体"/>
                <w:b/>
                <w:bCs/>
                <w:color w:val="auto"/>
                <w:sz w:val="22"/>
                <w:szCs w:val="22"/>
                <w:highlight w:val="none"/>
              </w:rPr>
              <w:t>,由各标段中标人在领取中标通知书时支付。</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户   名：温州历程招标有限公司</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账   号：33050162870409101001</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开户行：中国建设银行温州黎明支行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09"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460" w:lineRule="exact"/>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5</w:t>
            </w:r>
          </w:p>
        </w:tc>
        <w:tc>
          <w:tcPr>
            <w:tcW w:w="9788" w:type="dxa"/>
            <w:tcBorders>
              <w:top w:val="single" w:color="000000" w:sz="2" w:space="0"/>
              <w:left w:val="single" w:color="000000" w:sz="2" w:space="0"/>
              <w:bottom w:val="single" w:color="000000" w:sz="2" w:space="0"/>
              <w:right w:val="single" w:color="000000" w:sz="8" w:space="0"/>
            </w:tcBorders>
            <w:noWrap w:val="0"/>
            <w:vAlign w:val="center"/>
          </w:tcPr>
          <w:p>
            <w:pPr>
              <w:spacing w:line="460" w:lineRule="exact"/>
              <w:rPr>
                <w:rFonts w:hint="eastAsia" w:ascii="新宋体" w:hAnsi="新宋体" w:eastAsia="新宋体" w:cs="新宋体"/>
                <w:color w:val="auto"/>
                <w:sz w:val="22"/>
                <w:szCs w:val="22"/>
                <w:highlight w:val="none"/>
                <w:lang w:bidi="ar"/>
              </w:rPr>
            </w:pPr>
            <w:r>
              <w:rPr>
                <w:rFonts w:hint="eastAsia" w:ascii="新宋体" w:hAnsi="新宋体" w:eastAsia="新宋体" w:cs="新宋体"/>
                <w:b/>
                <w:bCs/>
                <w:color w:val="auto"/>
                <w:sz w:val="22"/>
                <w:szCs w:val="22"/>
                <w:highlight w:val="none"/>
                <w:lang w:bidi="ar"/>
              </w:rPr>
              <w:t>投标文件的组成：</w:t>
            </w:r>
            <w:r>
              <w:rPr>
                <w:rFonts w:hint="eastAsia" w:ascii="新宋体" w:hAnsi="新宋体" w:eastAsia="新宋体" w:cs="新宋体"/>
                <w:color w:val="auto"/>
                <w:sz w:val="22"/>
                <w:szCs w:val="22"/>
                <w:highlight w:val="none"/>
                <w:lang w:bidi="ar"/>
              </w:rPr>
              <w:t>完整的《投标文件》由“资格文件”、“报价文件”和“商务技术文件”三个部分组成。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09"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460" w:lineRule="exact"/>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6</w:t>
            </w:r>
          </w:p>
        </w:tc>
        <w:tc>
          <w:tcPr>
            <w:tcW w:w="9788" w:type="dxa"/>
            <w:tcBorders>
              <w:top w:val="single" w:color="000000" w:sz="2" w:space="0"/>
              <w:left w:val="single" w:color="000000" w:sz="2" w:space="0"/>
              <w:bottom w:val="single" w:color="000000" w:sz="2" w:space="0"/>
              <w:right w:val="single" w:color="000000" w:sz="8" w:space="0"/>
            </w:tcBorders>
            <w:noWrap w:val="0"/>
            <w:vAlign w:val="center"/>
          </w:tcPr>
          <w:p>
            <w:pPr>
              <w:spacing w:line="460" w:lineRule="exact"/>
              <w:rPr>
                <w:rFonts w:hint="eastAsia" w:ascii="新宋体" w:hAnsi="新宋体" w:eastAsia="新宋体" w:cs="新宋体"/>
                <w:color w:val="auto"/>
                <w:sz w:val="22"/>
                <w:szCs w:val="22"/>
                <w:highlight w:val="none"/>
                <w:lang w:bidi="ar"/>
              </w:rPr>
            </w:pPr>
            <w:r>
              <w:rPr>
                <w:rFonts w:hint="eastAsia" w:ascii="新宋体" w:hAnsi="新宋体" w:eastAsia="新宋体" w:cs="新宋体"/>
                <w:b/>
                <w:bCs/>
                <w:color w:val="auto"/>
                <w:sz w:val="22"/>
                <w:szCs w:val="22"/>
                <w:highlight w:val="none"/>
                <w:lang w:bidi="ar"/>
              </w:rPr>
              <w:t>投标文件的编制：</w:t>
            </w:r>
            <w:r>
              <w:rPr>
                <w:rFonts w:hint="eastAsia" w:ascii="新宋体" w:hAnsi="新宋体" w:eastAsia="新宋体" w:cs="新宋体"/>
                <w:color w:val="auto"/>
                <w:sz w:val="22"/>
                <w:szCs w:val="22"/>
                <w:highlight w:val="none"/>
                <w:lang w:bidi="ar"/>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09"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460" w:lineRule="exact"/>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7</w:t>
            </w:r>
          </w:p>
        </w:tc>
        <w:tc>
          <w:tcPr>
            <w:tcW w:w="9788" w:type="dxa"/>
            <w:tcBorders>
              <w:top w:val="single" w:color="000000" w:sz="2" w:space="0"/>
              <w:left w:val="single" w:color="000000" w:sz="2" w:space="0"/>
              <w:bottom w:val="single" w:color="000000" w:sz="2" w:space="0"/>
              <w:right w:val="single" w:color="000000" w:sz="8" w:space="0"/>
            </w:tcBorders>
            <w:noWrap w:val="0"/>
            <w:vAlign w:val="center"/>
          </w:tcPr>
          <w:p>
            <w:pPr>
              <w:spacing w:line="460" w:lineRule="exact"/>
              <w:rPr>
                <w:rFonts w:hint="eastAsia" w:ascii="新宋体" w:hAnsi="新宋体" w:eastAsia="新宋体" w:cs="新宋体"/>
                <w:color w:val="auto"/>
                <w:sz w:val="22"/>
                <w:szCs w:val="22"/>
                <w:highlight w:val="none"/>
                <w:lang w:bidi="ar"/>
              </w:rPr>
            </w:pPr>
            <w:r>
              <w:rPr>
                <w:rFonts w:hint="eastAsia" w:ascii="新宋体" w:hAnsi="新宋体" w:eastAsia="新宋体" w:cs="新宋体"/>
                <w:b/>
                <w:bCs/>
                <w:color w:val="auto"/>
                <w:sz w:val="22"/>
                <w:szCs w:val="22"/>
                <w:highlight w:val="none"/>
                <w:lang w:bidi="ar"/>
              </w:rPr>
              <w:t>投标文件的签章：</w:t>
            </w:r>
            <w:r>
              <w:rPr>
                <w:rFonts w:hint="eastAsia" w:ascii="新宋体" w:hAnsi="新宋体" w:eastAsia="新宋体" w:cs="新宋体"/>
                <w:color w:val="auto"/>
                <w:sz w:val="22"/>
                <w:szCs w:val="22"/>
                <w:highlight w:val="none"/>
                <w:lang w:bidi="ar"/>
              </w:rPr>
              <w:t>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09"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460" w:lineRule="exact"/>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8</w:t>
            </w:r>
          </w:p>
        </w:tc>
        <w:tc>
          <w:tcPr>
            <w:tcW w:w="9788" w:type="dxa"/>
            <w:tcBorders>
              <w:top w:val="single" w:color="000000" w:sz="2" w:space="0"/>
              <w:left w:val="single" w:color="000000" w:sz="2" w:space="0"/>
              <w:bottom w:val="single" w:color="000000" w:sz="2" w:space="0"/>
              <w:right w:val="single" w:color="000000" w:sz="8" w:space="0"/>
            </w:tcBorders>
            <w:noWrap w:val="0"/>
            <w:vAlign w:val="center"/>
          </w:tcPr>
          <w:p>
            <w:pPr>
              <w:spacing w:line="460" w:lineRule="exact"/>
              <w:rPr>
                <w:rFonts w:hint="eastAsia" w:ascii="新宋体" w:hAnsi="新宋体" w:eastAsia="新宋体" w:cs="新宋体"/>
                <w:color w:val="auto"/>
                <w:sz w:val="22"/>
                <w:szCs w:val="22"/>
                <w:highlight w:val="none"/>
                <w:lang w:bidi="ar"/>
              </w:rPr>
            </w:pPr>
            <w:r>
              <w:rPr>
                <w:rFonts w:hint="eastAsia" w:ascii="新宋体" w:hAnsi="新宋体" w:eastAsia="新宋体" w:cs="新宋体"/>
                <w:b/>
                <w:bCs/>
                <w:color w:val="auto"/>
                <w:sz w:val="22"/>
                <w:szCs w:val="22"/>
                <w:highlight w:val="none"/>
                <w:lang w:bidi="ar"/>
              </w:rPr>
              <w:t>投标文件的形式：</w:t>
            </w:r>
            <w:r>
              <w:rPr>
                <w:rFonts w:hint="eastAsia" w:ascii="新宋体" w:hAnsi="新宋体" w:eastAsia="新宋体" w:cs="新宋体"/>
                <w:color w:val="auto"/>
                <w:sz w:val="22"/>
                <w:szCs w:val="22"/>
                <w:highlight w:val="none"/>
                <w:lang w:bidi="ar"/>
              </w:rPr>
              <w:t>☑电子投标文件（包括“电子加密投标文件”和“备份投标文件”，在投标文件编制完成后同时生成）；</w:t>
            </w:r>
          </w:p>
          <w:p>
            <w:pPr>
              <w:spacing w:line="460" w:lineRule="exact"/>
              <w:rPr>
                <w:rFonts w:hint="eastAsia" w:ascii="新宋体" w:hAnsi="新宋体" w:eastAsia="新宋体" w:cs="新宋体"/>
                <w:color w:val="auto"/>
                <w:sz w:val="22"/>
                <w:szCs w:val="22"/>
                <w:highlight w:val="none"/>
                <w:lang w:bidi="ar"/>
              </w:rPr>
            </w:pPr>
            <w:r>
              <w:rPr>
                <w:rFonts w:hint="eastAsia" w:ascii="新宋体" w:hAnsi="新宋体" w:eastAsia="新宋体" w:cs="新宋体"/>
                <w:color w:val="auto"/>
                <w:sz w:val="22"/>
                <w:szCs w:val="22"/>
                <w:highlight w:val="none"/>
                <w:lang w:bidi="ar"/>
              </w:rPr>
              <w:t>（1）“电子加密投标文件”是指通过“政采云电子交易客户端”完成投标文件编制后生成并加密的数据电文形式的投标文件。</w:t>
            </w:r>
          </w:p>
          <w:p>
            <w:pPr>
              <w:spacing w:line="460" w:lineRule="exact"/>
              <w:rPr>
                <w:rFonts w:hint="eastAsia" w:ascii="新宋体" w:hAnsi="新宋体" w:eastAsia="新宋体" w:cs="新宋体"/>
                <w:color w:val="auto"/>
                <w:sz w:val="22"/>
                <w:szCs w:val="22"/>
                <w:highlight w:val="none"/>
                <w:lang w:bidi="ar"/>
              </w:rPr>
            </w:pPr>
            <w:r>
              <w:rPr>
                <w:rFonts w:hint="eastAsia" w:ascii="新宋体" w:hAnsi="新宋体" w:eastAsia="新宋体" w:cs="新宋体"/>
                <w:color w:val="auto"/>
                <w:sz w:val="22"/>
                <w:szCs w:val="22"/>
                <w:highlight w:val="none"/>
                <w:lang w:bidi="ar"/>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09"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460" w:lineRule="exact"/>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9</w:t>
            </w:r>
          </w:p>
        </w:tc>
        <w:tc>
          <w:tcPr>
            <w:tcW w:w="9788" w:type="dxa"/>
            <w:tcBorders>
              <w:top w:val="single" w:color="000000" w:sz="2" w:space="0"/>
              <w:left w:val="single" w:color="000000" w:sz="2" w:space="0"/>
              <w:bottom w:val="single" w:color="000000" w:sz="2" w:space="0"/>
              <w:right w:val="single" w:color="000000" w:sz="8" w:space="0"/>
            </w:tcBorders>
            <w:noWrap w:val="0"/>
            <w:vAlign w:val="center"/>
          </w:tcPr>
          <w:p>
            <w:pPr>
              <w:spacing w:line="460" w:lineRule="exact"/>
              <w:rPr>
                <w:rFonts w:hint="eastAsia" w:ascii="新宋体" w:hAnsi="新宋体" w:eastAsia="新宋体" w:cs="新宋体"/>
                <w:b/>
                <w:bCs/>
                <w:color w:val="auto"/>
                <w:sz w:val="22"/>
                <w:szCs w:val="22"/>
                <w:highlight w:val="none"/>
                <w:lang w:bidi="ar"/>
              </w:rPr>
            </w:pPr>
            <w:r>
              <w:rPr>
                <w:rFonts w:hint="eastAsia" w:ascii="新宋体" w:hAnsi="新宋体" w:eastAsia="新宋体" w:cs="新宋体"/>
                <w:b/>
                <w:bCs/>
                <w:color w:val="auto"/>
                <w:sz w:val="22"/>
                <w:szCs w:val="22"/>
                <w:highlight w:val="none"/>
                <w:lang w:bidi="ar"/>
              </w:rPr>
              <w:t>投标文件份数：</w:t>
            </w:r>
          </w:p>
          <w:p>
            <w:pPr>
              <w:numPr>
                <w:ilvl w:val="0"/>
                <w:numId w:val="3"/>
              </w:numPr>
              <w:spacing w:line="460" w:lineRule="exact"/>
              <w:rPr>
                <w:rFonts w:hint="eastAsia" w:ascii="新宋体" w:hAnsi="新宋体" w:eastAsia="新宋体" w:cs="新宋体"/>
                <w:color w:val="auto"/>
                <w:sz w:val="22"/>
                <w:szCs w:val="22"/>
                <w:highlight w:val="none"/>
                <w:lang w:bidi="ar"/>
              </w:rPr>
            </w:pPr>
            <w:r>
              <w:rPr>
                <w:rFonts w:hint="eastAsia" w:ascii="新宋体" w:hAnsi="新宋体" w:eastAsia="新宋体" w:cs="新宋体"/>
                <w:color w:val="auto"/>
                <w:sz w:val="22"/>
                <w:szCs w:val="22"/>
                <w:highlight w:val="none"/>
                <w:lang w:bidi="ar"/>
              </w:rPr>
              <w:t>“电子加密投标文件”：在线上传递交、一份。</w:t>
            </w:r>
          </w:p>
          <w:p>
            <w:pPr>
              <w:numPr>
                <w:ilvl w:val="0"/>
                <w:numId w:val="3"/>
              </w:numPr>
              <w:spacing w:line="460" w:lineRule="exact"/>
              <w:rPr>
                <w:rFonts w:hint="eastAsia" w:ascii="新宋体" w:hAnsi="新宋体" w:eastAsia="新宋体" w:cs="新宋体"/>
                <w:color w:val="auto"/>
                <w:sz w:val="22"/>
                <w:szCs w:val="22"/>
                <w:highlight w:val="none"/>
                <w:lang w:bidi="ar"/>
              </w:rPr>
            </w:pPr>
            <w:r>
              <w:rPr>
                <w:rFonts w:hint="eastAsia" w:ascii="新宋体" w:hAnsi="新宋体" w:eastAsia="新宋体" w:cs="新宋体"/>
                <w:color w:val="auto"/>
                <w:sz w:val="22"/>
                <w:szCs w:val="22"/>
                <w:highlight w:val="none"/>
                <w:lang w:bidi="ar"/>
              </w:rPr>
              <w:t>“备份投标文件”：密封包装后投标截止时间前递交、一份</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lang w:bidi="ar"/>
              </w:rPr>
              <w:t>（若不提供备份文件，电子加密投标文件解密失败，投标供应商自行负责。）</w:t>
            </w:r>
          </w:p>
          <w:p>
            <w:pPr>
              <w:tabs>
                <w:tab w:val="left" w:pos="360"/>
              </w:tabs>
              <w:spacing w:line="460" w:lineRule="exact"/>
              <w:rPr>
                <w:rFonts w:hint="eastAsia" w:ascii="新宋体" w:hAnsi="新宋体" w:eastAsia="新宋体" w:cs="新宋体"/>
                <w:color w:val="auto"/>
                <w:sz w:val="22"/>
                <w:szCs w:val="22"/>
                <w:highlight w:val="none"/>
                <w:lang w:bidi="ar"/>
              </w:rPr>
            </w:pPr>
            <w:r>
              <w:rPr>
                <w:rFonts w:hint="eastAsia" w:ascii="新宋体" w:hAnsi="新宋体" w:eastAsia="新宋体" w:cs="新宋体"/>
                <w:b/>
                <w:bCs/>
                <w:color w:val="auto"/>
                <w:sz w:val="22"/>
                <w:szCs w:val="22"/>
                <w:highlight w:val="none"/>
              </w:rPr>
              <w:t>可以</w:t>
            </w:r>
            <w:r>
              <w:rPr>
                <w:rFonts w:hint="eastAsia" w:ascii="新宋体" w:hAnsi="新宋体" w:eastAsia="新宋体" w:cs="新宋体"/>
                <w:b/>
                <w:color w:val="auto"/>
                <w:sz w:val="22"/>
                <w:szCs w:val="22"/>
                <w:highlight w:val="none"/>
                <w:u w:val="single"/>
              </w:rPr>
              <w:t>（邮寄形式：建议顺丰）在投标截止时间前递交，并需采购代理机构确认是否收到，</w:t>
            </w:r>
            <w:r>
              <w:rPr>
                <w:rFonts w:hint="eastAsia" w:ascii="新宋体" w:hAnsi="新宋体" w:eastAsia="新宋体" w:cs="新宋体"/>
                <w:color w:val="auto"/>
                <w:sz w:val="22"/>
                <w:szCs w:val="22"/>
                <w:highlight w:val="none"/>
                <w:lang w:bidi="ar"/>
              </w:rPr>
              <w:t>邮寄地址：</w:t>
            </w:r>
            <w:r>
              <w:rPr>
                <w:rFonts w:hint="eastAsia" w:ascii="新宋体" w:hAnsi="新宋体" w:eastAsia="新宋体" w:cs="新宋体"/>
                <w:color w:val="auto"/>
                <w:sz w:val="22"/>
                <w:szCs w:val="22"/>
                <w:highlight w:val="none"/>
              </w:rPr>
              <w:t>温州市鹿城区汤家桥路大自然家园三期2幢B单元2901室</w:t>
            </w:r>
            <w:r>
              <w:rPr>
                <w:rFonts w:hint="eastAsia" w:ascii="新宋体" w:hAnsi="新宋体" w:eastAsia="新宋体" w:cs="新宋体"/>
                <w:color w:val="auto"/>
                <w:sz w:val="22"/>
                <w:szCs w:val="22"/>
                <w:highlight w:val="none"/>
                <w:lang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09"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460" w:lineRule="exact"/>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10</w:t>
            </w:r>
          </w:p>
        </w:tc>
        <w:tc>
          <w:tcPr>
            <w:tcW w:w="9788" w:type="dxa"/>
            <w:tcBorders>
              <w:top w:val="single" w:color="000000" w:sz="2" w:space="0"/>
              <w:left w:val="single" w:color="000000" w:sz="2" w:space="0"/>
              <w:bottom w:val="single" w:color="000000" w:sz="2" w:space="0"/>
              <w:right w:val="single" w:color="000000" w:sz="8" w:space="0"/>
            </w:tcBorders>
            <w:noWrap w:val="0"/>
            <w:vAlign w:val="center"/>
          </w:tcPr>
          <w:p>
            <w:pPr>
              <w:spacing w:line="460" w:lineRule="exact"/>
              <w:rPr>
                <w:rFonts w:hint="eastAsia" w:ascii="新宋体" w:hAnsi="新宋体" w:eastAsia="新宋体" w:cs="新宋体"/>
                <w:b/>
                <w:bCs/>
                <w:color w:val="auto"/>
                <w:sz w:val="22"/>
                <w:szCs w:val="22"/>
                <w:highlight w:val="none"/>
                <w:lang w:bidi="ar"/>
              </w:rPr>
            </w:pPr>
            <w:r>
              <w:rPr>
                <w:rFonts w:hint="eastAsia" w:ascii="新宋体" w:hAnsi="新宋体" w:eastAsia="新宋体" w:cs="新宋体"/>
                <w:b/>
                <w:bCs/>
                <w:color w:val="auto"/>
                <w:sz w:val="22"/>
                <w:szCs w:val="22"/>
                <w:highlight w:val="none"/>
                <w:lang w:bidi="ar"/>
              </w:rPr>
              <w:t>投标文件的上传和递交：</w:t>
            </w:r>
          </w:p>
          <w:p>
            <w:pPr>
              <w:spacing w:line="460" w:lineRule="exact"/>
              <w:rPr>
                <w:rFonts w:hint="eastAsia" w:ascii="新宋体" w:hAnsi="新宋体" w:eastAsia="新宋体" w:cs="新宋体"/>
                <w:color w:val="auto"/>
                <w:sz w:val="22"/>
                <w:szCs w:val="22"/>
                <w:highlight w:val="none"/>
                <w:lang w:bidi="ar"/>
              </w:rPr>
            </w:pPr>
            <w:r>
              <w:rPr>
                <w:rFonts w:hint="eastAsia" w:ascii="新宋体" w:hAnsi="新宋体" w:eastAsia="新宋体" w:cs="新宋体"/>
                <w:color w:val="auto"/>
                <w:sz w:val="22"/>
                <w:szCs w:val="22"/>
                <w:highlight w:val="none"/>
                <w:lang w:bidi="ar"/>
              </w:rPr>
              <w:t>（1）“电子加密投标文件”的上传、递交：</w:t>
            </w:r>
          </w:p>
          <w:p>
            <w:pPr>
              <w:spacing w:line="460" w:lineRule="exact"/>
              <w:rPr>
                <w:rFonts w:hint="eastAsia" w:ascii="新宋体" w:hAnsi="新宋体" w:eastAsia="新宋体" w:cs="新宋体"/>
                <w:color w:val="auto"/>
                <w:sz w:val="22"/>
                <w:szCs w:val="22"/>
                <w:highlight w:val="none"/>
                <w:lang w:bidi="ar"/>
              </w:rPr>
            </w:pPr>
            <w:r>
              <w:rPr>
                <w:rFonts w:hint="eastAsia" w:ascii="新宋体" w:hAnsi="新宋体" w:eastAsia="新宋体" w:cs="新宋体"/>
                <w:color w:val="auto"/>
                <w:sz w:val="22"/>
                <w:szCs w:val="22"/>
                <w:highlight w:val="none"/>
                <w:lang w:bidi="ar"/>
              </w:rPr>
              <w:t>a.投标供应商应在投标截止时间前将“电子加密投标文件”成功上传递交至“政府采购云平台”，否则投标无效。</w:t>
            </w:r>
          </w:p>
          <w:p>
            <w:pPr>
              <w:spacing w:line="460" w:lineRule="exact"/>
              <w:rPr>
                <w:rFonts w:hint="eastAsia" w:ascii="新宋体" w:hAnsi="新宋体" w:eastAsia="新宋体" w:cs="新宋体"/>
                <w:color w:val="auto"/>
                <w:sz w:val="22"/>
                <w:szCs w:val="22"/>
                <w:highlight w:val="none"/>
                <w:lang w:bidi="ar"/>
              </w:rPr>
            </w:pPr>
            <w:r>
              <w:rPr>
                <w:rFonts w:hint="eastAsia" w:ascii="新宋体" w:hAnsi="新宋体" w:eastAsia="新宋体" w:cs="新宋体"/>
                <w:color w:val="auto"/>
                <w:sz w:val="22"/>
                <w:szCs w:val="22"/>
                <w:highlight w:val="none"/>
                <w:lang w:bidi="ar"/>
              </w:rPr>
              <w:t>b.“电子加密投标文件”成功上传递交后，供应商可自行打印投标文件接收回执。</w:t>
            </w:r>
          </w:p>
          <w:p>
            <w:pPr>
              <w:spacing w:line="460" w:lineRule="exact"/>
              <w:rPr>
                <w:rFonts w:hint="eastAsia" w:ascii="新宋体" w:hAnsi="新宋体" w:eastAsia="新宋体" w:cs="新宋体"/>
                <w:color w:val="auto"/>
                <w:sz w:val="22"/>
                <w:szCs w:val="22"/>
                <w:highlight w:val="none"/>
                <w:lang w:bidi="ar"/>
              </w:rPr>
            </w:pPr>
            <w:r>
              <w:rPr>
                <w:rFonts w:hint="eastAsia" w:ascii="新宋体" w:hAnsi="新宋体" w:eastAsia="新宋体" w:cs="新宋体"/>
                <w:color w:val="auto"/>
                <w:sz w:val="22"/>
                <w:szCs w:val="22"/>
                <w:highlight w:val="none"/>
                <w:lang w:bidi="ar"/>
              </w:rPr>
              <w:t>（2）“备份投标文件”的密封包装、递交：</w:t>
            </w:r>
          </w:p>
          <w:p>
            <w:pPr>
              <w:tabs>
                <w:tab w:val="left" w:pos="360"/>
              </w:tabs>
              <w:spacing w:line="46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color w:val="auto"/>
                <w:sz w:val="22"/>
                <w:szCs w:val="22"/>
                <w:highlight w:val="none"/>
                <w:lang w:bidi="ar"/>
              </w:rPr>
              <w:t>a.投标供应商在“政府采购云平台”完成“电子加密投标文件”的上传递交后，</w:t>
            </w:r>
            <w:r>
              <w:rPr>
                <w:rFonts w:hint="eastAsia" w:ascii="新宋体" w:hAnsi="新宋体" w:eastAsia="新宋体" w:cs="新宋体"/>
                <w:b/>
                <w:bCs/>
                <w:color w:val="auto"/>
                <w:sz w:val="22"/>
                <w:szCs w:val="22"/>
                <w:highlight w:val="none"/>
              </w:rPr>
              <w:t>还可以在投标截止时间前递交以介质（U盘）存储的数据电文形式的“备份投标文件”，（可以（</w:t>
            </w:r>
            <w:r>
              <w:rPr>
                <w:rFonts w:hint="eastAsia" w:ascii="新宋体" w:hAnsi="新宋体" w:eastAsia="新宋体" w:cs="新宋体"/>
                <w:b/>
                <w:color w:val="auto"/>
                <w:sz w:val="22"/>
                <w:szCs w:val="22"/>
                <w:highlight w:val="none"/>
                <w:u w:val="single"/>
              </w:rPr>
              <w:t>邮寄形式：建议顺丰</w:t>
            </w:r>
            <w:r>
              <w:rPr>
                <w:rFonts w:hint="eastAsia" w:ascii="新宋体" w:hAnsi="新宋体" w:eastAsia="新宋体" w:cs="新宋体"/>
                <w:b/>
                <w:bCs/>
                <w:color w:val="auto"/>
                <w:sz w:val="22"/>
                <w:szCs w:val="22"/>
                <w:highlight w:val="none"/>
              </w:rPr>
              <w:t>）在投标截止时间前递交，并需采购代理机构确认是否收到）</w:t>
            </w:r>
          </w:p>
          <w:p>
            <w:pPr>
              <w:spacing w:line="460" w:lineRule="exact"/>
              <w:rPr>
                <w:rFonts w:hint="eastAsia" w:ascii="新宋体" w:hAnsi="新宋体" w:eastAsia="新宋体" w:cs="新宋体"/>
                <w:color w:val="auto"/>
                <w:sz w:val="22"/>
                <w:szCs w:val="22"/>
                <w:highlight w:val="none"/>
                <w:lang w:bidi="ar"/>
              </w:rPr>
            </w:pPr>
            <w:r>
              <w:rPr>
                <w:rFonts w:hint="eastAsia" w:ascii="新宋体" w:hAnsi="新宋体" w:eastAsia="新宋体" w:cs="新宋体"/>
                <w:color w:val="auto"/>
                <w:sz w:val="22"/>
                <w:szCs w:val="22"/>
                <w:highlight w:val="none"/>
                <w:lang w:bidi="ar"/>
              </w:rPr>
              <w:t>b.“备份投标文件”应当密封包装，并在包装上标注投标项目名称、投标单位名称并加盖公章。没有密封包装或者逾期（邮寄）送达至投标地点的“备份投标文件”将不予接收；</w:t>
            </w:r>
          </w:p>
          <w:p>
            <w:pPr>
              <w:spacing w:line="460" w:lineRule="exact"/>
              <w:rPr>
                <w:rFonts w:hint="eastAsia" w:ascii="新宋体" w:hAnsi="新宋体" w:eastAsia="新宋体" w:cs="新宋体"/>
                <w:color w:val="auto"/>
                <w:sz w:val="22"/>
                <w:szCs w:val="22"/>
                <w:highlight w:val="none"/>
                <w:lang w:bidi="ar"/>
              </w:rPr>
            </w:pPr>
            <w:r>
              <w:rPr>
                <w:rFonts w:hint="eastAsia" w:ascii="新宋体" w:hAnsi="新宋体" w:eastAsia="新宋体" w:cs="新宋体"/>
                <w:color w:val="auto"/>
                <w:sz w:val="22"/>
                <w:szCs w:val="22"/>
                <w:highlight w:val="none"/>
                <w:lang w:bidi="ar"/>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09"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460" w:lineRule="exact"/>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11</w:t>
            </w:r>
          </w:p>
        </w:tc>
        <w:tc>
          <w:tcPr>
            <w:tcW w:w="9788" w:type="dxa"/>
            <w:tcBorders>
              <w:top w:val="single" w:color="000000" w:sz="2" w:space="0"/>
              <w:left w:val="single" w:color="000000" w:sz="2" w:space="0"/>
              <w:bottom w:val="single" w:color="000000" w:sz="2" w:space="0"/>
              <w:right w:val="single" w:color="000000" w:sz="8" w:space="0"/>
            </w:tcBorders>
            <w:noWrap w:val="0"/>
            <w:vAlign w:val="center"/>
          </w:tcPr>
          <w:p>
            <w:pPr>
              <w:spacing w:line="460" w:lineRule="exact"/>
              <w:rPr>
                <w:rFonts w:hint="eastAsia" w:ascii="新宋体" w:hAnsi="新宋体" w:eastAsia="新宋体" w:cs="新宋体"/>
                <w:b/>
                <w:bCs/>
                <w:color w:val="auto"/>
                <w:sz w:val="22"/>
                <w:szCs w:val="22"/>
                <w:highlight w:val="none"/>
                <w:lang w:bidi="ar"/>
              </w:rPr>
            </w:pPr>
            <w:r>
              <w:rPr>
                <w:rFonts w:hint="eastAsia" w:ascii="新宋体" w:hAnsi="新宋体" w:eastAsia="新宋体" w:cs="新宋体"/>
                <w:b/>
                <w:bCs/>
                <w:color w:val="auto"/>
                <w:sz w:val="22"/>
                <w:szCs w:val="22"/>
                <w:highlight w:val="none"/>
                <w:lang w:bidi="ar"/>
              </w:rPr>
              <w:t>电子加密投标文件的解密和异常情况处理：</w:t>
            </w:r>
          </w:p>
          <w:p>
            <w:pPr>
              <w:spacing w:line="460" w:lineRule="exact"/>
              <w:rPr>
                <w:rFonts w:hint="eastAsia" w:ascii="新宋体" w:hAnsi="新宋体" w:eastAsia="新宋体" w:cs="新宋体"/>
                <w:color w:val="auto"/>
                <w:sz w:val="22"/>
                <w:szCs w:val="22"/>
                <w:highlight w:val="none"/>
                <w:lang w:bidi="ar"/>
              </w:rPr>
            </w:pPr>
            <w:r>
              <w:rPr>
                <w:rFonts w:hint="eastAsia" w:ascii="新宋体" w:hAnsi="新宋体" w:eastAsia="新宋体" w:cs="新宋体"/>
                <w:color w:val="auto"/>
                <w:sz w:val="22"/>
                <w:szCs w:val="22"/>
                <w:highlight w:val="none"/>
                <w:lang w:bidi="ar"/>
              </w:rPr>
              <w:t>（1）开标后，采购组织机构将向各投标供应商发出“电子加密投标文件”的解密通知，各投标供应商代表应当在接到解密通知后在系统 规定的时间内自行完成“电子加密投标文件”的在线解密。</w:t>
            </w:r>
          </w:p>
          <w:p>
            <w:pPr>
              <w:spacing w:line="460" w:lineRule="exact"/>
              <w:rPr>
                <w:rFonts w:hint="eastAsia" w:ascii="新宋体" w:hAnsi="新宋体" w:eastAsia="新宋体" w:cs="新宋体"/>
                <w:color w:val="auto"/>
                <w:sz w:val="22"/>
                <w:szCs w:val="22"/>
                <w:highlight w:val="none"/>
                <w:lang w:bidi="ar"/>
              </w:rPr>
            </w:pPr>
            <w:r>
              <w:rPr>
                <w:rFonts w:hint="eastAsia" w:ascii="新宋体" w:hAnsi="新宋体" w:eastAsia="新宋体" w:cs="新宋体"/>
                <w:color w:val="auto"/>
                <w:sz w:val="22"/>
                <w:szCs w:val="22"/>
                <w:highlight w:val="none"/>
                <w:lang w:bidi="ar"/>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460" w:lineRule="exact"/>
              <w:rPr>
                <w:rFonts w:hint="eastAsia" w:ascii="新宋体" w:hAnsi="新宋体" w:eastAsia="新宋体" w:cs="新宋体"/>
                <w:color w:val="auto"/>
                <w:sz w:val="22"/>
                <w:szCs w:val="22"/>
                <w:highlight w:val="none"/>
                <w:lang w:bidi="ar"/>
              </w:rPr>
            </w:pPr>
            <w:r>
              <w:rPr>
                <w:rFonts w:hint="eastAsia" w:ascii="新宋体" w:hAnsi="新宋体" w:eastAsia="新宋体" w:cs="新宋体"/>
                <w:color w:val="auto"/>
                <w:sz w:val="22"/>
                <w:szCs w:val="22"/>
                <w:highlight w:val="none"/>
                <w:lang w:bidi="ar"/>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09"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460" w:lineRule="exact"/>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12</w:t>
            </w:r>
          </w:p>
        </w:tc>
        <w:tc>
          <w:tcPr>
            <w:tcW w:w="9788" w:type="dxa"/>
            <w:tcBorders>
              <w:top w:val="single" w:color="000000" w:sz="2" w:space="0"/>
              <w:left w:val="single" w:color="000000" w:sz="2" w:space="0"/>
              <w:bottom w:val="single" w:color="000000" w:sz="2" w:space="0"/>
              <w:right w:val="single" w:color="000000" w:sz="8" w:space="0"/>
            </w:tcBorders>
            <w:noWrap w:val="0"/>
            <w:vAlign w:val="center"/>
          </w:tcPr>
          <w:p>
            <w:pPr>
              <w:snapToGrid w:val="0"/>
              <w:spacing w:line="460" w:lineRule="exact"/>
              <w:rPr>
                <w:rFonts w:hint="eastAsia" w:ascii="新宋体" w:hAnsi="新宋体" w:eastAsia="新宋体" w:cs="新宋体"/>
                <w:color w:val="auto"/>
                <w:sz w:val="22"/>
                <w:szCs w:val="22"/>
                <w:highlight w:val="none"/>
                <w:lang w:bidi="ar"/>
              </w:rPr>
            </w:pPr>
            <w:r>
              <w:rPr>
                <w:rFonts w:hint="eastAsia" w:ascii="新宋体" w:hAnsi="新宋体" w:eastAsia="新宋体" w:cs="新宋体"/>
                <w:b/>
                <w:bCs/>
                <w:color w:val="auto"/>
                <w:sz w:val="22"/>
                <w:szCs w:val="22"/>
                <w:highlight w:val="none"/>
                <w:lang w:bidi="ar"/>
              </w:rPr>
              <w:t>投标截止时间：</w:t>
            </w:r>
            <w:r>
              <w:rPr>
                <w:rFonts w:hint="eastAsia" w:ascii="新宋体" w:hAnsi="新宋体" w:eastAsia="新宋体" w:cs="新宋体"/>
                <w:color w:val="auto"/>
                <w:sz w:val="22"/>
                <w:szCs w:val="22"/>
                <w:highlight w:val="none"/>
              </w:rPr>
              <w:t xml:space="preserve">2020- </w:t>
            </w:r>
            <w:r>
              <w:rPr>
                <w:rFonts w:hint="eastAsia" w:ascii="新宋体" w:hAnsi="新宋体" w:eastAsia="新宋体" w:cs="新宋体"/>
                <w:color w:val="auto"/>
                <w:sz w:val="22"/>
                <w:szCs w:val="22"/>
                <w:highlight w:val="none"/>
                <w:lang w:val="en-US" w:eastAsia="zh-CN"/>
              </w:rPr>
              <w:t>9</w:t>
            </w:r>
            <w:r>
              <w:rPr>
                <w:rFonts w:hint="eastAsia" w:ascii="新宋体" w:hAnsi="新宋体" w:eastAsia="新宋体" w:cs="新宋体"/>
                <w:color w:val="auto"/>
                <w:sz w:val="22"/>
                <w:szCs w:val="22"/>
                <w:highlight w:val="none"/>
              </w:rPr>
              <w:t xml:space="preserve"> - </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 xml:space="preserve">  </w:t>
            </w:r>
            <w:r>
              <w:rPr>
                <w:rFonts w:hint="eastAsia" w:ascii="新宋体" w:hAnsi="新宋体" w:eastAsia="新宋体" w:cs="新宋体"/>
                <w:color w:val="auto"/>
                <w:sz w:val="22"/>
                <w:szCs w:val="22"/>
                <w:highlight w:val="none"/>
                <w:lang w:val="en-US" w:eastAsia="zh-CN"/>
              </w:rPr>
              <w:t>09</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rPr>
              <w:t>0:00</w:t>
            </w:r>
            <w:r>
              <w:rPr>
                <w:rFonts w:hint="eastAsia" w:ascii="新宋体" w:hAnsi="新宋体" w:eastAsia="新宋体" w:cs="新宋体"/>
                <w:color w:val="auto"/>
                <w:sz w:val="22"/>
                <w:szCs w:val="22"/>
                <w:highlight w:val="none"/>
                <w:lang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09"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460" w:lineRule="exact"/>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13</w:t>
            </w:r>
          </w:p>
        </w:tc>
        <w:tc>
          <w:tcPr>
            <w:tcW w:w="9788" w:type="dxa"/>
            <w:tcBorders>
              <w:top w:val="single" w:color="000000" w:sz="2" w:space="0"/>
              <w:left w:val="single" w:color="000000" w:sz="2" w:space="0"/>
              <w:bottom w:val="single" w:color="000000" w:sz="2" w:space="0"/>
              <w:right w:val="single" w:color="000000" w:sz="8" w:space="0"/>
            </w:tcBorders>
            <w:noWrap w:val="0"/>
            <w:vAlign w:val="center"/>
          </w:tcPr>
          <w:p>
            <w:pPr>
              <w:snapToGrid w:val="0"/>
              <w:spacing w:line="460" w:lineRule="exact"/>
              <w:rPr>
                <w:rFonts w:hint="eastAsia" w:ascii="新宋体" w:hAnsi="新宋体" w:eastAsia="新宋体" w:cs="新宋体"/>
                <w:color w:val="auto"/>
                <w:sz w:val="22"/>
                <w:szCs w:val="22"/>
                <w:highlight w:val="none"/>
                <w:lang w:bidi="ar"/>
              </w:rPr>
            </w:pPr>
            <w:r>
              <w:rPr>
                <w:rFonts w:hint="eastAsia" w:ascii="新宋体" w:hAnsi="新宋体" w:eastAsia="新宋体" w:cs="新宋体"/>
                <w:b/>
                <w:bCs/>
                <w:color w:val="auto"/>
                <w:sz w:val="22"/>
                <w:szCs w:val="22"/>
                <w:highlight w:val="none"/>
                <w:lang w:bidi="ar"/>
              </w:rPr>
              <w:t>投标地点：温州市行政审批与公共资源交易服务管理中心（温州市鹿城区会展路1268号温州市民中心A座3楼公共资源交易受理区）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09" w:type="dxa"/>
            <w:tcBorders>
              <w:top w:val="single" w:color="000000" w:sz="2" w:space="0"/>
              <w:left w:val="single" w:color="000000" w:sz="8" w:space="0"/>
              <w:bottom w:val="single" w:color="auto" w:sz="4" w:space="0"/>
              <w:right w:val="single" w:color="000000" w:sz="2" w:space="0"/>
            </w:tcBorders>
            <w:noWrap w:val="0"/>
            <w:vAlign w:val="center"/>
          </w:tcPr>
          <w:p>
            <w:pPr>
              <w:snapToGrid w:val="0"/>
              <w:spacing w:line="460" w:lineRule="exact"/>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14</w:t>
            </w:r>
          </w:p>
        </w:tc>
        <w:tc>
          <w:tcPr>
            <w:tcW w:w="9788" w:type="dxa"/>
            <w:tcBorders>
              <w:top w:val="single" w:color="000000" w:sz="2" w:space="0"/>
              <w:left w:val="single" w:color="000000" w:sz="2" w:space="0"/>
              <w:bottom w:val="single" w:color="auto" w:sz="4" w:space="0"/>
              <w:right w:val="single" w:color="000000" w:sz="8" w:space="0"/>
            </w:tcBorders>
            <w:noWrap w:val="0"/>
            <w:vAlign w:val="center"/>
          </w:tcPr>
          <w:p>
            <w:pPr>
              <w:widowControl/>
              <w:snapToGrid w:val="0"/>
              <w:spacing w:line="460" w:lineRule="exact"/>
              <w:jc w:val="left"/>
              <w:rPr>
                <w:rFonts w:hint="eastAsia" w:ascii="新宋体" w:hAnsi="新宋体" w:eastAsia="新宋体" w:cs="新宋体"/>
                <w:color w:val="auto"/>
                <w:sz w:val="22"/>
                <w:szCs w:val="22"/>
                <w:highlight w:val="none"/>
                <w:lang w:bidi="ar"/>
              </w:rPr>
            </w:pPr>
            <w:r>
              <w:rPr>
                <w:rFonts w:hint="eastAsia" w:ascii="新宋体" w:hAnsi="新宋体" w:eastAsia="新宋体" w:cs="新宋体"/>
                <w:b/>
                <w:bCs/>
                <w:color w:val="auto"/>
                <w:sz w:val="22"/>
                <w:szCs w:val="22"/>
                <w:highlight w:val="none"/>
                <w:lang w:bidi="ar"/>
              </w:rPr>
              <w:t>开标时间和地点：</w:t>
            </w:r>
            <w:r>
              <w:rPr>
                <w:rFonts w:hint="eastAsia" w:ascii="新宋体" w:hAnsi="新宋体" w:eastAsia="新宋体" w:cs="新宋体"/>
                <w:color w:val="auto"/>
                <w:sz w:val="22"/>
                <w:szCs w:val="22"/>
                <w:highlight w:val="none"/>
                <w:lang w:bidi="ar"/>
              </w:rPr>
              <w:t>同投标截止时间与地点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0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460" w:lineRule="exact"/>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15</w:t>
            </w:r>
          </w:p>
        </w:tc>
        <w:tc>
          <w:tcPr>
            <w:tcW w:w="9788" w:type="dxa"/>
            <w:tcBorders>
              <w:top w:val="single" w:color="auto" w:sz="4" w:space="0"/>
              <w:left w:val="single" w:color="000000" w:sz="2" w:space="0"/>
              <w:bottom w:val="single" w:color="auto" w:sz="4" w:space="0"/>
              <w:right w:val="single" w:color="000000" w:sz="8" w:space="0"/>
            </w:tcBorders>
            <w:noWrap w:val="0"/>
            <w:vAlign w:val="center"/>
          </w:tcPr>
          <w:p>
            <w:pPr>
              <w:snapToGrid w:val="0"/>
              <w:spacing w:line="460" w:lineRule="exact"/>
              <w:rPr>
                <w:rFonts w:hint="eastAsia" w:ascii="新宋体" w:hAnsi="新宋体" w:eastAsia="新宋体" w:cs="新宋体"/>
                <w:color w:val="auto"/>
                <w:sz w:val="22"/>
                <w:szCs w:val="22"/>
                <w:highlight w:val="none"/>
                <w:lang w:bidi="ar"/>
              </w:rPr>
            </w:pPr>
            <w:r>
              <w:rPr>
                <w:rFonts w:hint="eastAsia" w:ascii="新宋体" w:hAnsi="新宋体" w:eastAsia="新宋体" w:cs="新宋体"/>
                <w:color w:val="auto"/>
                <w:sz w:val="22"/>
                <w:szCs w:val="22"/>
                <w:highlight w:val="none"/>
                <w:lang w:bidi="ar"/>
              </w:rPr>
              <w:t>带“▲”条款系指实质性要求条款。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09" w:type="dxa"/>
            <w:tcBorders>
              <w:top w:val="single" w:color="auto" w:sz="4" w:space="0"/>
              <w:left w:val="single" w:color="000000" w:sz="8" w:space="0"/>
              <w:bottom w:val="single" w:color="auto" w:sz="4" w:space="0"/>
              <w:right w:val="single" w:color="000000" w:sz="2" w:space="0"/>
            </w:tcBorders>
            <w:noWrap w:val="0"/>
            <w:vAlign w:val="center"/>
          </w:tcPr>
          <w:p>
            <w:pPr>
              <w:widowControl/>
              <w:snapToGrid w:val="0"/>
              <w:spacing w:line="460" w:lineRule="exact"/>
              <w:jc w:val="center"/>
              <w:textAlignment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kern w:val="0"/>
                <w:sz w:val="22"/>
                <w:szCs w:val="22"/>
                <w:highlight w:val="none"/>
                <w:lang w:bidi="ar"/>
              </w:rPr>
              <w:t>16</w:t>
            </w:r>
          </w:p>
        </w:tc>
        <w:tc>
          <w:tcPr>
            <w:tcW w:w="9788" w:type="dxa"/>
            <w:tcBorders>
              <w:top w:val="single" w:color="auto" w:sz="4" w:space="0"/>
              <w:left w:val="single" w:color="000000" w:sz="2" w:space="0"/>
              <w:bottom w:val="single" w:color="auto" w:sz="4" w:space="0"/>
              <w:right w:val="single" w:color="000000" w:sz="8" w:space="0"/>
            </w:tcBorders>
            <w:noWrap w:val="0"/>
            <w:vAlign w:val="center"/>
          </w:tcPr>
          <w:p>
            <w:pPr>
              <w:widowControl/>
              <w:snapToGrid w:val="0"/>
              <w:spacing w:line="460" w:lineRule="exact"/>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为优化政府采购金融服务，为供应商参与信用融资提供便利，中标供应商可通过“政府采购云平台金融服务中心”了解有关金融政采贷相关信息。详情请查看：</w:t>
            </w:r>
          </w:p>
          <w:p>
            <w:pPr>
              <w:widowControl/>
              <w:snapToGrid w:val="0"/>
              <w:spacing w:line="460" w:lineRule="exact"/>
              <w:jc w:val="left"/>
              <w:rPr>
                <w:rFonts w:hint="eastAsia" w:ascii="新宋体" w:hAnsi="新宋体" w:eastAsia="新宋体" w:cs="新宋体"/>
                <w:b/>
                <w:bCs/>
                <w:color w:val="auto"/>
                <w:sz w:val="22"/>
                <w:szCs w:val="22"/>
                <w:highlight w:val="none"/>
              </w:rPr>
            </w:pPr>
            <w:r>
              <w:rPr>
                <w:rFonts w:hint="eastAsia" w:ascii="新宋体" w:hAnsi="新宋体" w:eastAsia="新宋体" w:cs="新宋体"/>
                <w:color w:val="auto"/>
                <w:sz w:val="22"/>
                <w:szCs w:val="22"/>
                <w:highlight w:val="none"/>
              </w:rPr>
              <w:t>https://jinrong.zcygov.cn/?utm=a0017.2ef5001f.ct001.42.71561160646211eaaa9f25ccf25d2d6b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09"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460" w:lineRule="exact"/>
              <w:jc w:val="center"/>
              <w:textAlignment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kern w:val="0"/>
                <w:sz w:val="22"/>
                <w:szCs w:val="22"/>
                <w:highlight w:val="none"/>
                <w:lang w:bidi="ar"/>
              </w:rPr>
              <w:t>17</w:t>
            </w:r>
          </w:p>
        </w:tc>
        <w:tc>
          <w:tcPr>
            <w:tcW w:w="9788" w:type="dxa"/>
            <w:tcBorders>
              <w:top w:val="single" w:color="000000" w:sz="2" w:space="0"/>
              <w:left w:val="single" w:color="000000" w:sz="2" w:space="0"/>
              <w:bottom w:val="single" w:color="000000" w:sz="2" w:space="0"/>
              <w:right w:val="single" w:color="000000" w:sz="8" w:space="0"/>
            </w:tcBorders>
            <w:noWrap w:val="0"/>
            <w:vAlign w:val="center"/>
          </w:tcPr>
          <w:p>
            <w:pPr>
              <w:snapToGrid w:val="0"/>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b/>
                <w:color w:val="auto"/>
                <w:kern w:val="10"/>
                <w:sz w:val="22"/>
                <w:szCs w:val="22"/>
                <w:highlight w:val="none"/>
              </w:rPr>
              <w:t>潜在供应商需在浙江政府采购网http://http://zfcg.czt.zj.gov.cn/进行免费注册，具体详见浙江政府采购网供应商注册要求。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09"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460" w:lineRule="exact"/>
              <w:jc w:val="center"/>
              <w:textAlignment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kern w:val="0"/>
                <w:sz w:val="22"/>
                <w:szCs w:val="22"/>
                <w:highlight w:val="none"/>
                <w:lang w:bidi="ar"/>
              </w:rPr>
              <w:t>18</w:t>
            </w:r>
          </w:p>
        </w:tc>
        <w:tc>
          <w:tcPr>
            <w:tcW w:w="9788" w:type="dxa"/>
            <w:tcBorders>
              <w:top w:val="single" w:color="000000" w:sz="2" w:space="0"/>
              <w:left w:val="single" w:color="000000" w:sz="2" w:space="0"/>
              <w:bottom w:val="single" w:color="000000" w:sz="2" w:space="0"/>
              <w:right w:val="single" w:color="000000" w:sz="8" w:space="0"/>
            </w:tcBorders>
            <w:noWrap w:val="0"/>
            <w:vAlign w:val="center"/>
          </w:tcPr>
          <w:p>
            <w:pPr>
              <w:widowControl/>
              <w:snapToGrid w:val="0"/>
              <w:spacing w:line="460" w:lineRule="exact"/>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1、本项目对符合财政扶持政策的中小企业（小型、微型）、监狱企业、残疾人福利性单位给予价格优惠扶持，价格优惠扶持见。</w:t>
            </w:r>
          </w:p>
          <w:p>
            <w:pPr>
              <w:widowControl/>
              <w:snapToGrid w:val="0"/>
              <w:spacing w:line="460" w:lineRule="exact"/>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2、满足转发财政部 工业和信息化部关于印发《政府采购促进中小企业发展暂行办法》的通知（浙财采监[2012]11号）的规定的中小企业可享受优惠扶持。</w:t>
            </w:r>
          </w:p>
          <w:p>
            <w:pPr>
              <w:widowControl/>
              <w:snapToGrid w:val="0"/>
              <w:spacing w:line="460" w:lineRule="exact"/>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满足关于政府采购支持监狱企业发展有关问题的通知（财库[2014]68号）的规定的供应商可享受优惠扶持。</w:t>
            </w:r>
          </w:p>
          <w:p>
            <w:pPr>
              <w:widowControl/>
              <w:snapToGrid w:val="0"/>
              <w:spacing w:line="460" w:lineRule="exact"/>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满足关于促进残疾人就业政府采购政策的通知（财库[2017]141号）的规定的供应商可享受优惠扶持。</w:t>
            </w:r>
          </w:p>
          <w:p>
            <w:pPr>
              <w:widowControl/>
              <w:snapToGrid w:val="0"/>
              <w:spacing w:line="460" w:lineRule="exact"/>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3、节能产品、环境标志产品的强制采购政策</w:t>
            </w:r>
          </w:p>
          <w:p>
            <w:pPr>
              <w:widowControl/>
              <w:snapToGrid w:val="0"/>
              <w:spacing w:line="460" w:lineRule="exact"/>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根据财政部、国家发展和改革委员会、生态环境部等部门公布的政府采购节能产品、环境标志产品品目清单的规定，依据品目清单和认证证书实施政府优先采购和强制采购。招标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widowControl/>
              <w:snapToGrid w:val="0"/>
              <w:spacing w:line="460" w:lineRule="exact"/>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4、节能产品、环境标志产品的优先采购政策</w:t>
            </w:r>
          </w:p>
          <w:p>
            <w:pPr>
              <w:widowControl/>
              <w:snapToGrid w:val="0"/>
              <w:spacing w:line="460" w:lineRule="exact"/>
              <w:ind w:firstLine="440" w:firstLineChars="200"/>
              <w:jc w:val="left"/>
              <w:rPr>
                <w:rFonts w:hint="eastAsia" w:ascii="新宋体" w:hAnsi="新宋体" w:eastAsia="新宋体" w:cs="新宋体"/>
                <w:b/>
                <w:color w:val="auto"/>
                <w:kern w:val="10"/>
                <w:sz w:val="22"/>
                <w:szCs w:val="22"/>
                <w:highlight w:val="none"/>
              </w:rPr>
            </w:pPr>
            <w:r>
              <w:rPr>
                <w:rFonts w:hint="eastAsia" w:ascii="新宋体" w:hAnsi="新宋体" w:eastAsia="新宋体" w:cs="新宋体"/>
                <w:color w:val="auto"/>
                <w:kern w:val="0"/>
                <w:sz w:val="22"/>
                <w:szCs w:val="22"/>
                <w:highlight w:val="none"/>
              </w:rPr>
              <w:t>根据财政部、国家发展和改革委员会、生态环境部等部门公布的政府采购节能产品、环境标志产品品目清单的规定、依据品目清单和认证证书实施政府优先采购和强制采购。招标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09"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460" w:lineRule="exact"/>
              <w:jc w:val="center"/>
              <w:textAlignment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kern w:val="0"/>
                <w:sz w:val="22"/>
                <w:szCs w:val="22"/>
                <w:highlight w:val="none"/>
                <w:lang w:bidi="ar"/>
              </w:rPr>
              <w:t>19</w:t>
            </w:r>
          </w:p>
        </w:tc>
        <w:tc>
          <w:tcPr>
            <w:tcW w:w="9788" w:type="dxa"/>
            <w:tcBorders>
              <w:top w:val="single" w:color="000000" w:sz="2" w:space="0"/>
              <w:left w:val="single" w:color="000000" w:sz="2" w:space="0"/>
              <w:bottom w:val="single" w:color="000000" w:sz="2" w:space="0"/>
              <w:right w:val="single" w:color="000000" w:sz="8" w:space="0"/>
            </w:tcBorders>
            <w:noWrap w:val="0"/>
            <w:vAlign w:val="center"/>
          </w:tcPr>
          <w:p>
            <w:pPr>
              <w:snapToGrid w:val="0"/>
              <w:spacing w:line="460" w:lineRule="exact"/>
              <w:ind w:left="105" w:leftChars="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根据《关于在政府采购活动中查询及使用信用记录有关问题的通知》财库[2016]125号的规定：</w:t>
            </w:r>
          </w:p>
          <w:p>
            <w:pPr>
              <w:snapToGrid w:val="0"/>
              <w:spacing w:line="460" w:lineRule="exact"/>
              <w:ind w:left="105" w:leftChars="50"/>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w:t>
            </w:r>
            <w:r>
              <w:rPr>
                <w:rFonts w:hint="eastAsia" w:ascii="新宋体" w:hAnsi="新宋体" w:eastAsia="新宋体" w:cs="新宋体"/>
                <w:color w:val="auto"/>
                <w:sz w:val="22"/>
                <w:szCs w:val="22"/>
                <w:highlight w:val="none"/>
              </w:rPr>
              <w:t>1）招标人或采购代理机构将对本项目供应商的信用记录进行查询。查询渠道为信用中国网站（www.creditchina.gov.cn）、中国政府采购网（www.ccgp.gov.cn）；</w:t>
            </w:r>
          </w:p>
          <w:p>
            <w:pPr>
              <w:snapToGrid w:val="0"/>
              <w:spacing w:line="460" w:lineRule="exact"/>
              <w:ind w:firstLine="110" w:firstLineChars="50"/>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w:t>
            </w:r>
            <w:r>
              <w:rPr>
                <w:rFonts w:hint="eastAsia" w:ascii="新宋体" w:hAnsi="新宋体" w:eastAsia="新宋体" w:cs="新宋体"/>
                <w:color w:val="auto"/>
                <w:sz w:val="22"/>
                <w:szCs w:val="22"/>
                <w:highlight w:val="none"/>
              </w:rPr>
              <w:t>2）截止时点：提交投标文件（响应文件）截止时间前3年内；</w:t>
            </w:r>
          </w:p>
          <w:p>
            <w:pPr>
              <w:snapToGrid w:val="0"/>
              <w:spacing w:line="460" w:lineRule="exact"/>
              <w:ind w:left="105" w:leftChars="50"/>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w:t>
            </w:r>
            <w:r>
              <w:rPr>
                <w:rFonts w:hint="eastAsia" w:ascii="新宋体" w:hAnsi="新宋体" w:eastAsia="新宋体" w:cs="新宋体"/>
                <w:color w:val="auto"/>
                <w:sz w:val="22"/>
                <w:szCs w:val="22"/>
                <w:highlight w:val="none"/>
              </w:rPr>
              <w:t>3）查询记录和证据的留存：信用信息查询记录和证据以网页截图等方式留存。</w:t>
            </w:r>
          </w:p>
          <w:p>
            <w:pPr>
              <w:snapToGrid w:val="0"/>
              <w:spacing w:line="460" w:lineRule="exact"/>
              <w:ind w:left="105" w:leftChars="50"/>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w:t>
            </w:r>
            <w:r>
              <w:rPr>
                <w:rFonts w:hint="eastAsia" w:ascii="新宋体" w:hAnsi="新宋体" w:eastAsia="新宋体" w:cs="新宋体"/>
                <w:color w:val="auto"/>
                <w:sz w:val="22"/>
                <w:szCs w:val="22"/>
                <w:highlight w:val="none"/>
              </w:rPr>
              <w:t>4）使用规则：被列入失信被执行人、重大税收违法案件当事人名单、政府采购严重违法失信行为记录名单及其它不符合《中华人民共和国政府采购法》第二十二条规定条件的，其投标将被拒绝。</w:t>
            </w:r>
          </w:p>
          <w:p>
            <w:pPr>
              <w:snapToGrid w:val="0"/>
              <w:spacing w:line="460" w:lineRule="exact"/>
              <w:rPr>
                <w:rFonts w:hint="eastAsia" w:ascii="新宋体" w:hAnsi="新宋体" w:eastAsia="新宋体" w:cs="新宋体"/>
                <w:b/>
                <w:color w:val="auto"/>
                <w:kern w:val="10"/>
                <w:sz w:val="22"/>
                <w:szCs w:val="22"/>
                <w:highlight w:val="none"/>
              </w:rPr>
            </w:pPr>
            <w:r>
              <w:rPr>
                <w:rFonts w:hint="eastAsia" w:ascii="新宋体" w:hAnsi="新宋体" w:eastAsia="新宋体" w:cs="新宋体"/>
                <w:color w:val="auto"/>
                <w:kern w:val="0"/>
                <w:sz w:val="22"/>
                <w:szCs w:val="22"/>
                <w:highlight w:val="none"/>
              </w:rPr>
              <w:t>（</w:t>
            </w:r>
            <w:r>
              <w:rPr>
                <w:rFonts w:hint="eastAsia" w:ascii="新宋体" w:hAnsi="新宋体" w:eastAsia="新宋体" w:cs="新宋体"/>
                <w:color w:val="auto"/>
                <w:sz w:val="22"/>
                <w:szCs w:val="22"/>
                <w:highlight w:val="none"/>
              </w:rPr>
              <w:t>5）联合体成员任意一方存在不良信用记录的，视同联合体存在不良信用记录。</w:t>
            </w:r>
          </w:p>
        </w:tc>
      </w:tr>
    </w:tbl>
    <w:p>
      <w:pPr>
        <w:spacing w:before="100" w:beforeAutospacing="1" w:after="100" w:afterAutospacing="1" w:line="460" w:lineRule="exact"/>
        <w:jc w:val="center"/>
        <w:outlineLvl w:val="1"/>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6"/>
          <w:szCs w:val="26"/>
          <w:highlight w:val="none"/>
        </w:rPr>
        <w:t>一、 说   明</w:t>
      </w:r>
    </w:p>
    <w:p>
      <w:pPr>
        <w:tabs>
          <w:tab w:val="left" w:pos="360"/>
        </w:tabs>
        <w:spacing w:line="460" w:lineRule="exact"/>
        <w:ind w:firstLine="550" w:firstLineChars="250"/>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1、</w:t>
      </w:r>
      <w:r>
        <w:rPr>
          <w:rFonts w:hint="eastAsia" w:ascii="新宋体" w:hAnsi="新宋体" w:eastAsia="新宋体" w:cs="新宋体"/>
          <w:color w:val="auto"/>
          <w:sz w:val="22"/>
          <w:highlight w:val="none"/>
        </w:rPr>
        <w:t>本次招标是按照《中华人民共和国政府采购法》、《政府采购货物和服务招标投标管理办法》、《中华人民共和国政府采购法实施条例》和《关于进一步规范政府采购活动的若干意见》等法律及有关法规组织和实施的。</w:t>
      </w:r>
    </w:p>
    <w:p>
      <w:pPr>
        <w:tabs>
          <w:tab w:val="left" w:pos="360"/>
        </w:tabs>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2、定义</w:t>
      </w:r>
    </w:p>
    <w:p>
      <w:pPr>
        <w:tabs>
          <w:tab w:val="left" w:pos="360"/>
        </w:tabs>
        <w:spacing w:line="460" w:lineRule="exact"/>
        <w:ind w:firstLine="550" w:firstLineChars="25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招标人：是指依法进行政府采购的国家机关、事业单位、团体组织</w:t>
      </w:r>
    </w:p>
    <w:p>
      <w:pPr>
        <w:tabs>
          <w:tab w:val="left" w:pos="360"/>
        </w:tabs>
        <w:spacing w:line="460" w:lineRule="exact"/>
        <w:ind w:firstLine="550" w:firstLineChars="25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招标代理机构：受招标人委托，在委托的范围内办理政府采购事宜的机构；</w:t>
      </w:r>
    </w:p>
    <w:p>
      <w:pPr>
        <w:tabs>
          <w:tab w:val="left" w:pos="360"/>
        </w:tabs>
        <w:spacing w:line="460" w:lineRule="exact"/>
        <w:ind w:firstLine="550" w:firstLineChars="25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投标人：是指参加本政府采购项目投标的供应商；</w:t>
      </w:r>
    </w:p>
    <w:p>
      <w:pPr>
        <w:tabs>
          <w:tab w:val="left" w:pos="360"/>
        </w:tabs>
        <w:spacing w:line="460" w:lineRule="exact"/>
        <w:ind w:firstLine="550" w:firstLineChars="25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投标人代表：是指参加本项目投标活动的供应商法定代表人或法定代表人授权代表；</w:t>
      </w:r>
    </w:p>
    <w:p>
      <w:pPr>
        <w:tabs>
          <w:tab w:val="left" w:pos="360"/>
        </w:tabs>
        <w:spacing w:line="460" w:lineRule="exact"/>
        <w:ind w:firstLine="550" w:firstLineChars="25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投标联合体：是指两个以上供应商组成联合体，以一个供应商的身份参加投标；</w:t>
      </w:r>
    </w:p>
    <w:p>
      <w:pPr>
        <w:tabs>
          <w:tab w:val="left" w:pos="360"/>
        </w:tabs>
        <w:spacing w:line="460" w:lineRule="exact"/>
        <w:ind w:firstLine="550" w:firstLineChars="25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甲方：是指合同签订的一方，一般与招标人、用户相同；</w:t>
      </w:r>
    </w:p>
    <w:p>
      <w:pPr>
        <w:tabs>
          <w:tab w:val="left" w:pos="360"/>
        </w:tabs>
        <w:spacing w:line="460" w:lineRule="exact"/>
        <w:ind w:firstLine="550" w:firstLineChars="25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乙方：是指合同签订的另一方，与中标人相同；</w:t>
      </w:r>
    </w:p>
    <w:p>
      <w:pPr>
        <w:tabs>
          <w:tab w:val="left" w:pos="360"/>
        </w:tabs>
        <w:spacing w:line="460" w:lineRule="exact"/>
        <w:ind w:firstLine="550" w:firstLineChars="25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制造商：是指拥有投标产品自主知识产权的单位；</w:t>
      </w:r>
    </w:p>
    <w:p>
      <w:pPr>
        <w:tabs>
          <w:tab w:val="left" w:pos="360"/>
        </w:tabs>
        <w:spacing w:line="460" w:lineRule="exact"/>
        <w:ind w:firstLine="550" w:firstLineChars="25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中小企业（含中型、小型、微型）：符合中小企业划分标准（工信部联企业[2011]300号），在本项目政府采购活动中提供本企业制造的货物，或者提供其他中小企业制造的货物。本项所称货物不包括使用大型企业注册商标的货物及进口货物。小型、微型企业提供中型企业制造的货物的，视同为中型企业。</w:t>
      </w:r>
    </w:p>
    <w:p>
      <w:pPr>
        <w:tabs>
          <w:tab w:val="left" w:pos="360"/>
        </w:tabs>
        <w:spacing w:line="460" w:lineRule="exact"/>
        <w:ind w:firstLine="550" w:firstLineChars="25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tabs>
          <w:tab w:val="left" w:pos="360"/>
        </w:tabs>
        <w:spacing w:line="460" w:lineRule="exact"/>
        <w:ind w:firstLine="550" w:firstLine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highlight w:val="none"/>
        </w:rPr>
        <w:t>原件备查：要求携带原件备查的，供应商应按要求携带备查，如评标委员会发现投标文件资料复印件存有瑕疵，致使内容模糊、关键信息难以辨认、材料真实性存疑等情形的，有权核对原件或评标委</w:t>
      </w:r>
      <w:r>
        <w:rPr>
          <w:rFonts w:hint="eastAsia" w:ascii="新宋体" w:hAnsi="新宋体" w:eastAsia="新宋体" w:cs="新宋体"/>
          <w:color w:val="auto"/>
          <w:sz w:val="22"/>
          <w:szCs w:val="22"/>
          <w:highlight w:val="none"/>
        </w:rPr>
        <w:t>员会认为有必有核对原件，若供应商未能提交原件，将会导致评标委员会作出对其不利的评定，一切后果由供应商自行承担。</w:t>
      </w:r>
    </w:p>
    <w:p>
      <w:pPr>
        <w:pStyle w:val="218"/>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“▲”为实质性响应项，不满足则投标无效。“★”是关键技术参数及要求。</w:t>
      </w:r>
    </w:p>
    <w:p>
      <w:pPr>
        <w:tabs>
          <w:tab w:val="left" w:pos="360"/>
        </w:tabs>
        <w:spacing w:line="460" w:lineRule="exact"/>
        <w:ind w:firstLine="541" w:firstLineChars="245"/>
        <w:rPr>
          <w:rFonts w:hint="eastAsia"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3、投标人代表</w:t>
      </w:r>
    </w:p>
    <w:p>
      <w:pPr>
        <w:tabs>
          <w:tab w:val="left" w:pos="360"/>
        </w:tabs>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3.1指全权代表投标人参加投标活动并签署投标文件的人，如果投标人代表不是法定代表人，须持有《法定代表人授权书》（见附件）。</w:t>
      </w:r>
    </w:p>
    <w:p>
      <w:pPr>
        <w:tabs>
          <w:tab w:val="left" w:pos="360"/>
        </w:tabs>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根据政府采购相关法律、法规、规章、文件规定并满足招标文件规定资格条件的区域性分支机构、个体工商户、个人独资企业、合伙企业参加本项目投标并由单位负责人签署的相关投标资料与本招标文件规定由法定代表人签署的的文件材料具有同等效力。</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4、投标费用</w:t>
      </w:r>
    </w:p>
    <w:p>
      <w:pPr>
        <w:spacing w:line="460" w:lineRule="exact"/>
        <w:ind w:firstLine="541" w:firstLineChars="245"/>
        <w:rPr>
          <w:rFonts w:hint="eastAsia"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4.1</w:t>
      </w:r>
      <w:r>
        <w:rPr>
          <w:rFonts w:hint="eastAsia" w:ascii="新宋体" w:hAnsi="新宋体" w:eastAsia="新宋体" w:cs="新宋体"/>
          <w:color w:val="auto"/>
          <w:sz w:val="22"/>
          <w:szCs w:val="22"/>
          <w:highlight w:val="none"/>
        </w:rPr>
        <w:t>投标人应承担所有与准备和参加投标有关费用，不论投标的结果如何，招标人或招标代理机构均无义务和责任承担这些费用。</w:t>
      </w:r>
    </w:p>
    <w:p>
      <w:pPr>
        <w:spacing w:before="100" w:beforeAutospacing="1" w:after="100" w:afterAutospacing="1" w:line="460" w:lineRule="exact"/>
        <w:jc w:val="center"/>
        <w:outlineLvl w:val="1"/>
        <w:rPr>
          <w:rFonts w:ascii="新宋体" w:hAnsi="新宋体" w:eastAsia="新宋体"/>
          <w:b/>
          <w:bCs/>
          <w:color w:val="auto"/>
          <w:sz w:val="26"/>
          <w:szCs w:val="26"/>
          <w:highlight w:val="none"/>
        </w:rPr>
      </w:pPr>
      <w:r>
        <w:rPr>
          <w:rFonts w:hint="eastAsia" w:ascii="新宋体" w:hAnsi="新宋体" w:eastAsia="新宋体"/>
          <w:b/>
          <w:bCs/>
          <w:color w:val="auto"/>
          <w:sz w:val="26"/>
          <w:szCs w:val="26"/>
          <w:highlight w:val="none"/>
        </w:rPr>
        <w:t>二、 招标文件</w:t>
      </w:r>
    </w:p>
    <w:p>
      <w:pPr>
        <w:tabs>
          <w:tab w:val="left" w:pos="360"/>
        </w:tabs>
        <w:spacing w:line="46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1、招标文件由招标文件目录所列内容及相关资料组成。</w:t>
      </w:r>
    </w:p>
    <w:p>
      <w:pPr>
        <w:tabs>
          <w:tab w:val="left" w:pos="360"/>
        </w:tabs>
        <w:spacing w:line="460" w:lineRule="exact"/>
        <w:ind w:firstLine="552" w:firstLineChars="250"/>
        <w:rPr>
          <w:rFonts w:ascii="新宋体" w:hAnsi="新宋体" w:eastAsia="新宋体"/>
          <w:b/>
          <w:color w:val="auto"/>
          <w:sz w:val="22"/>
          <w:highlight w:val="none"/>
        </w:rPr>
      </w:pPr>
      <w:r>
        <w:rPr>
          <w:rFonts w:hint="eastAsia" w:ascii="新宋体" w:hAnsi="新宋体" w:eastAsia="新宋体"/>
          <w:b/>
          <w:color w:val="auto"/>
          <w:sz w:val="22"/>
          <w:highlight w:val="none"/>
        </w:rPr>
        <w:t>2、招标文件的澄清</w:t>
      </w:r>
    </w:p>
    <w:p>
      <w:pPr>
        <w:tabs>
          <w:tab w:val="left" w:pos="360"/>
        </w:tabs>
        <w:spacing w:line="46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2.1 任何要求对招标文件进行澄清的投标人，均应以书面形式（信函、传真，下同）通知，但该通知在知道或应知道其权益受到损害之日起七个工作日内以使招标人或招标代理机构收到，招标人或招标代理机构将以书面形式予以答复。如有必要，可将不说明问题来源的答复发给各投标文件收受人或召开答疑会。如果招标文件澄清期内未收到有关澄清要求，视为投标人完全同意招标文件所有条款，且对于招标文件有关表述以及未尽事宜如有异议，以招标人或招标代理机构解释为准。</w:t>
      </w:r>
    </w:p>
    <w:p>
      <w:pPr>
        <w:tabs>
          <w:tab w:val="left" w:pos="360"/>
        </w:tabs>
        <w:spacing w:line="460" w:lineRule="exact"/>
        <w:ind w:firstLine="552" w:firstLineChars="250"/>
        <w:rPr>
          <w:rFonts w:ascii="新宋体" w:hAnsi="新宋体" w:eastAsia="新宋体"/>
          <w:b/>
          <w:color w:val="auto"/>
          <w:sz w:val="22"/>
          <w:highlight w:val="none"/>
        </w:rPr>
      </w:pPr>
      <w:r>
        <w:rPr>
          <w:rFonts w:hint="eastAsia" w:ascii="新宋体" w:hAnsi="新宋体" w:eastAsia="新宋体"/>
          <w:b/>
          <w:color w:val="auto"/>
          <w:sz w:val="22"/>
          <w:highlight w:val="none"/>
        </w:rPr>
        <w:t>3、招标文件的修改</w:t>
      </w:r>
    </w:p>
    <w:p>
      <w:pPr>
        <w:tabs>
          <w:tab w:val="left" w:pos="360"/>
        </w:tabs>
        <w:spacing w:line="46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3.1招标人或招标代理机构对已发出的招标文件进行必要的澄清或者修改的，应当在招标文件要求递交投标文件截止时间十五日前，在财政部门指定的政府采购信息发布媒体上发布更正公告，并以书面形式通知所有招标文件收受人。该澄清或修改内容为招标文件的组成部分。招标文件收受人收到该书面通知后，应立即书面回复确认已收到该通知。</w:t>
      </w:r>
    </w:p>
    <w:p>
      <w:pPr>
        <w:spacing w:line="460" w:lineRule="exact"/>
        <w:ind w:firstLine="539" w:firstLineChars="245"/>
        <w:rPr>
          <w:rFonts w:ascii="新宋体" w:hAnsi="新宋体" w:eastAsia="新宋体"/>
          <w:b/>
          <w:color w:val="auto"/>
          <w:sz w:val="22"/>
          <w:szCs w:val="22"/>
          <w:highlight w:val="none"/>
        </w:rPr>
      </w:pPr>
      <w:r>
        <w:rPr>
          <w:rFonts w:hint="eastAsia" w:ascii="新宋体" w:hAnsi="新宋体" w:eastAsia="新宋体"/>
          <w:color w:val="auto"/>
          <w:sz w:val="22"/>
          <w:highlight w:val="none"/>
        </w:rPr>
        <w:t>3.2招标人、招标代理机构可以视采购的具体情况决定是否延长投标截止时间和开标时间，并在招标文件要求递交投标文件的截止时间前，将变更时间书面通知所有招标文件收受人，同时在财政部门指定的政府采购信息发布媒体上发布变更公告。招标文件收受人收到变更时间的书面通知后，应立即书面回复确认已收到该通知</w:t>
      </w:r>
      <w:r>
        <w:rPr>
          <w:rFonts w:hint="eastAsia" w:ascii="新宋体" w:hAnsi="新宋体" w:eastAsia="新宋体"/>
          <w:color w:val="auto"/>
          <w:sz w:val="22"/>
          <w:szCs w:val="22"/>
          <w:highlight w:val="none"/>
        </w:rPr>
        <w:t>。</w:t>
      </w:r>
    </w:p>
    <w:p>
      <w:pPr>
        <w:spacing w:before="100" w:beforeAutospacing="1" w:after="100" w:afterAutospacing="1" w:line="460" w:lineRule="exact"/>
        <w:jc w:val="center"/>
        <w:outlineLvl w:val="1"/>
        <w:rPr>
          <w:rFonts w:hint="eastAsia" w:ascii="新宋体" w:hAnsi="新宋体" w:eastAsia="新宋体" w:cs="新宋体"/>
          <w:b/>
          <w:bCs/>
          <w:color w:val="auto"/>
          <w:sz w:val="26"/>
          <w:szCs w:val="26"/>
          <w:highlight w:val="none"/>
        </w:rPr>
      </w:pPr>
      <w:r>
        <w:rPr>
          <w:rFonts w:hint="eastAsia" w:ascii="新宋体" w:hAnsi="新宋体" w:eastAsia="新宋体"/>
          <w:b/>
          <w:bCs/>
          <w:color w:val="auto"/>
          <w:sz w:val="26"/>
          <w:szCs w:val="26"/>
          <w:highlight w:val="none"/>
        </w:rPr>
        <w:t>三、 投标文件的编制</w:t>
      </w:r>
    </w:p>
    <w:p>
      <w:pPr>
        <w:tabs>
          <w:tab w:val="left" w:pos="360"/>
        </w:tabs>
        <w:spacing w:line="46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1、投标人应认真阅读招标文件中所有事项、格式、条款和技术规范等。</w:t>
      </w:r>
      <w:r>
        <w:rPr>
          <w:rFonts w:hint="eastAsia" w:ascii="新宋体" w:hAnsi="新宋体" w:eastAsia="新宋体"/>
          <w:b/>
          <w:color w:val="auto"/>
          <w:sz w:val="22"/>
          <w:highlight w:val="none"/>
        </w:rPr>
        <w:t>投标人没有按照招标文件要求提交全部资料，或者没有对招标文件各个方面做出实质性响应，导致投标被否决的风险由投标人自行承担。</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color w:val="auto"/>
          <w:sz w:val="22"/>
          <w:highlight w:val="none"/>
        </w:rPr>
        <w:t>2、投标人应保证所提供文件资料的真实性，所有文件资料必须是针对本次投标的。如发现投标人提供了虚假文件资料，其投标将被否决，并自行承担相应的法律责任。</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3、各标段</w:t>
      </w:r>
      <w:r>
        <w:rPr>
          <w:rFonts w:hint="eastAsia" w:ascii="新宋体" w:hAnsi="新宋体" w:eastAsia="新宋体"/>
          <w:b/>
          <w:bCs/>
          <w:color w:val="auto"/>
          <w:sz w:val="22"/>
          <w:szCs w:val="22"/>
          <w:highlight w:val="none"/>
        </w:rPr>
        <w:t>投标文件的构成：</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投标</w:t>
      </w:r>
      <w:r>
        <w:rPr>
          <w:rFonts w:hint="eastAsia" w:ascii="新宋体" w:hAnsi="新宋体" w:eastAsia="新宋体" w:cs="新宋体"/>
          <w:color w:val="auto"/>
          <w:kern w:val="0"/>
          <w:sz w:val="22"/>
          <w:szCs w:val="22"/>
          <w:highlight w:val="none"/>
          <w:lang w:val="zh-CN"/>
        </w:rPr>
        <w:t>文件应当包括以下主要内容：资格文件、报价文件、商务技术文件。</w:t>
      </w:r>
    </w:p>
    <w:p>
      <w:pPr>
        <w:spacing w:line="460" w:lineRule="exact"/>
        <w:ind w:firstLine="541" w:firstLineChars="245"/>
        <w:rPr>
          <w:rFonts w:hint="eastAsia" w:ascii="新宋体" w:hAnsi="新宋体" w:eastAsia="新宋体" w:cs="新宋体"/>
          <w:b/>
          <w:bCs/>
          <w:color w:val="auto"/>
          <w:kern w:val="0"/>
          <w:sz w:val="22"/>
          <w:szCs w:val="22"/>
          <w:highlight w:val="none"/>
          <w:u w:val="single"/>
          <w:lang w:val="zh-CN"/>
        </w:rPr>
      </w:pPr>
      <w:r>
        <w:rPr>
          <w:rFonts w:hint="eastAsia" w:ascii="新宋体" w:hAnsi="新宋体" w:eastAsia="新宋体" w:cs="新宋体"/>
          <w:b/>
          <w:bCs/>
          <w:color w:val="auto"/>
          <w:kern w:val="0"/>
          <w:sz w:val="22"/>
          <w:szCs w:val="22"/>
          <w:highlight w:val="none"/>
          <w:u w:val="single"/>
        </w:rPr>
        <w:t>3.1各标段</w:t>
      </w:r>
      <w:r>
        <w:rPr>
          <w:rFonts w:hint="eastAsia" w:ascii="新宋体" w:hAnsi="新宋体" w:eastAsia="新宋体" w:cs="新宋体"/>
          <w:b/>
          <w:bCs/>
          <w:color w:val="auto"/>
          <w:kern w:val="0"/>
          <w:sz w:val="22"/>
          <w:szCs w:val="22"/>
          <w:highlight w:val="none"/>
          <w:u w:val="single"/>
          <w:lang w:val="zh-CN"/>
        </w:rPr>
        <w:t xml:space="preserve">投标人的资格文件至少应包括以下内容： </w:t>
      </w:r>
    </w:p>
    <w:p>
      <w:pPr>
        <w:spacing w:line="460" w:lineRule="exact"/>
        <w:ind w:firstLine="539" w:firstLineChars="245"/>
        <w:rPr>
          <w:rFonts w:hint="eastAsia" w:ascii="新宋体" w:hAnsi="新宋体" w:eastAsia="新宋体" w:cs="新宋体"/>
          <w:color w:val="auto"/>
          <w:kern w:val="0"/>
          <w:sz w:val="22"/>
          <w:szCs w:val="22"/>
          <w:highlight w:val="none"/>
          <w:u w:val="single"/>
          <w:lang w:val="zh-CN"/>
        </w:rPr>
      </w:pPr>
      <w:r>
        <w:rPr>
          <w:rFonts w:hint="eastAsia" w:ascii="新宋体" w:hAnsi="新宋体" w:eastAsia="新宋体" w:cs="新宋体"/>
          <w:color w:val="auto"/>
          <w:kern w:val="0"/>
          <w:sz w:val="22"/>
          <w:szCs w:val="22"/>
          <w:highlight w:val="none"/>
          <w:u w:val="single"/>
          <w:lang w:val="zh-CN"/>
        </w:rPr>
        <w:t>基本资格条件审查材料：即证明其符合《中华人民共和国政府采购法》规定的供应商基本条件的有关资格证明文件。</w:t>
      </w:r>
    </w:p>
    <w:p>
      <w:pPr>
        <w:snapToGrid w:val="0"/>
        <w:spacing w:line="460" w:lineRule="exact"/>
        <w:ind w:left="105" w:leftChars="50" w:firstLine="440" w:firstLineChars="20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包括：</w:t>
      </w:r>
    </w:p>
    <w:p>
      <w:pPr>
        <w:snapToGrid w:val="0"/>
        <w:spacing w:line="460" w:lineRule="exact"/>
        <w:ind w:left="105" w:leftChars="50" w:firstLine="440" w:firstLineChars="20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（1）</w:t>
      </w:r>
      <w:r>
        <w:rPr>
          <w:rFonts w:hint="eastAsia" w:ascii="新宋体" w:hAnsi="新宋体" w:eastAsia="新宋体" w:cs="新宋体"/>
          <w:bCs/>
          <w:color w:val="auto"/>
          <w:sz w:val="22"/>
          <w:szCs w:val="22"/>
          <w:highlight w:val="none"/>
          <w:u w:val="single"/>
        </w:rPr>
        <w:t>营业执照</w:t>
      </w:r>
      <w:r>
        <w:rPr>
          <w:rFonts w:hint="eastAsia" w:ascii="新宋体" w:hAnsi="新宋体" w:eastAsia="新宋体" w:cs="新宋体"/>
          <w:color w:val="auto"/>
          <w:sz w:val="22"/>
          <w:szCs w:val="22"/>
          <w:highlight w:val="none"/>
          <w:u w:val="single"/>
        </w:rPr>
        <w:t xml:space="preserve">(或事业法人登记证书或其它工商等登记证明材料；自然人参与政府采购，提供身份证)复印件； </w:t>
      </w:r>
    </w:p>
    <w:p>
      <w:pPr>
        <w:snapToGrid w:val="0"/>
        <w:spacing w:line="460" w:lineRule="exact"/>
        <w:ind w:left="105" w:leftChars="50" w:firstLine="440" w:firstLineChars="20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460" w:lineRule="exact"/>
        <w:ind w:left="105" w:leftChars="50" w:firstLine="440" w:firstLineChars="20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（2）最近一年财务报表(复印件，新成立的公司提供情况说明)；</w:t>
      </w:r>
    </w:p>
    <w:p>
      <w:pPr>
        <w:snapToGrid w:val="0"/>
        <w:spacing w:line="460" w:lineRule="exact"/>
        <w:ind w:left="105" w:leftChars="50" w:firstLine="440" w:firstLineChars="20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（3）具有履行合同所必需的场地、设备和专业技术能力的承诺函；</w:t>
      </w:r>
    </w:p>
    <w:p>
      <w:pPr>
        <w:snapToGrid w:val="0"/>
        <w:spacing w:line="460" w:lineRule="exact"/>
        <w:ind w:left="105" w:leftChars="50" w:firstLine="440" w:firstLineChars="20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（4）依法缴纳税收和社会保障资金的承诺函；</w:t>
      </w:r>
    </w:p>
    <w:p>
      <w:pPr>
        <w:snapToGrid w:val="0"/>
        <w:spacing w:line="460" w:lineRule="exact"/>
        <w:ind w:left="105" w:leftChars="50" w:firstLine="440" w:firstLineChars="20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（5）参加政府采购活动前3年内在经营活动中没有重大违法记录的声明函；</w:t>
      </w:r>
    </w:p>
    <w:p>
      <w:pPr>
        <w:snapToGrid w:val="0"/>
        <w:spacing w:line="460" w:lineRule="exact"/>
        <w:ind w:left="105" w:leftChars="50" w:firstLine="440" w:firstLineChars="20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（6）单位负责人为同一人或者存在直接控股、管理关系的不同供应商，不得参加同一合同项下的政府采购活动承诺函；</w:t>
      </w:r>
    </w:p>
    <w:p>
      <w:pPr>
        <w:snapToGrid w:val="0"/>
        <w:spacing w:line="460" w:lineRule="exact"/>
        <w:ind w:left="105" w:leftChars="50" w:firstLine="440" w:firstLineChars="20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（7）供应商不属于公益一类事业单位承诺函。</w:t>
      </w:r>
    </w:p>
    <w:p>
      <w:pPr>
        <w:snapToGrid w:val="0"/>
        <w:spacing w:line="460" w:lineRule="exact"/>
        <w:ind w:left="105" w:leftChars="50" w:firstLine="440" w:firstLineChars="20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（8）未被“信用中国”（www.creditchina.gov.cn）、中国政府采购网（www.ccgp.gov.cn）列入失信被执行人、重大税收违法案件当事人名单、政府采购严重违法失信行为记录名单.</w:t>
      </w:r>
    </w:p>
    <w:p>
      <w:pPr>
        <w:snapToGrid w:val="0"/>
        <w:spacing w:line="460" w:lineRule="exact"/>
        <w:ind w:left="525" w:leftChars="25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信用信息查询记录和证据以项目公告发出日期后的网页截图为准；</w:t>
      </w:r>
    </w:p>
    <w:p>
      <w:pPr>
        <w:snapToGrid w:val="0"/>
        <w:spacing w:line="460" w:lineRule="exact"/>
        <w:ind w:left="525" w:leftChars="25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（9）政府采购活动确认声明书</w:t>
      </w:r>
    </w:p>
    <w:p>
      <w:pPr>
        <w:snapToGrid w:val="0"/>
        <w:spacing w:line="460" w:lineRule="exact"/>
        <w:ind w:left="525" w:leftChars="25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上述资格条件审查材料有一项不提供的，视为资格审查不通过。</w:t>
      </w:r>
    </w:p>
    <w:p>
      <w:pPr>
        <w:snapToGrid w:val="0"/>
        <w:spacing w:line="460" w:lineRule="exact"/>
        <w:ind w:left="105" w:leftChars="50" w:firstLine="442" w:firstLineChars="200"/>
        <w:rPr>
          <w:rFonts w:hint="eastAsia" w:ascii="新宋体" w:hAnsi="新宋体" w:eastAsia="新宋体" w:cs="新宋体"/>
          <w:color w:val="auto"/>
          <w:sz w:val="22"/>
          <w:szCs w:val="22"/>
          <w:highlight w:val="none"/>
          <w:u w:val="single"/>
          <w:lang w:val="zh-CN"/>
        </w:rPr>
      </w:pPr>
      <w:r>
        <w:rPr>
          <w:rFonts w:hint="eastAsia" w:ascii="新宋体" w:hAnsi="新宋体" w:eastAsia="新宋体" w:cs="新宋体"/>
          <w:b/>
          <w:bCs/>
          <w:color w:val="auto"/>
          <w:sz w:val="22"/>
          <w:szCs w:val="22"/>
          <w:highlight w:val="none"/>
        </w:rPr>
        <w:t xml:space="preserve">3.2各标段投标人的报价文件至少应包括以下内容： </w:t>
      </w:r>
    </w:p>
    <w:p>
      <w:pPr>
        <w:snapToGrid w:val="0"/>
        <w:spacing w:line="460" w:lineRule="exact"/>
        <w:ind w:left="105" w:leftChars="50" w:firstLine="440" w:firstLineChars="20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（1）投标响应函</w:t>
      </w:r>
    </w:p>
    <w:p>
      <w:pPr>
        <w:snapToGrid w:val="0"/>
        <w:spacing w:line="460" w:lineRule="exact"/>
        <w:ind w:left="105" w:leftChars="50" w:firstLine="440" w:firstLineChars="20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（2）投币报价一览表</w:t>
      </w:r>
    </w:p>
    <w:p>
      <w:pPr>
        <w:snapToGrid w:val="0"/>
        <w:spacing w:line="460" w:lineRule="exact"/>
        <w:ind w:left="105" w:leftChars="50"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u w:val="single"/>
        </w:rPr>
        <w:t>（3）投标分项报价表</w:t>
      </w:r>
    </w:p>
    <w:p>
      <w:pPr>
        <w:snapToGrid w:val="0"/>
        <w:spacing w:line="460" w:lineRule="exact"/>
        <w:ind w:left="105" w:leftChars="50"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u w:val="single"/>
        </w:rPr>
        <w:t>（4）中小企业声明函、监狱企业、残疾人福利性单位及其他相关的充分的证明材料。（如有）</w:t>
      </w:r>
      <w:r>
        <w:rPr>
          <w:rFonts w:hint="eastAsia" w:ascii="新宋体" w:hAnsi="新宋体" w:eastAsia="新宋体" w:cs="新宋体"/>
          <w:color w:val="auto"/>
          <w:sz w:val="22"/>
          <w:szCs w:val="22"/>
          <w:highlight w:val="none"/>
        </w:rPr>
        <w:t xml:space="preserve"> </w:t>
      </w:r>
    </w:p>
    <w:p>
      <w:pPr>
        <w:snapToGrid w:val="0"/>
        <w:spacing w:line="460" w:lineRule="exact"/>
        <w:ind w:firstLine="442" w:firstLineChars="200"/>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b/>
          <w:bCs/>
          <w:color w:val="auto"/>
          <w:kern w:val="0"/>
          <w:sz w:val="22"/>
          <w:szCs w:val="22"/>
          <w:highlight w:val="none"/>
        </w:rPr>
        <w:t>3.3各标段</w:t>
      </w:r>
      <w:r>
        <w:rPr>
          <w:rFonts w:hint="eastAsia" w:ascii="新宋体" w:hAnsi="新宋体" w:eastAsia="新宋体" w:cs="新宋体"/>
          <w:b/>
          <w:bCs/>
          <w:color w:val="auto"/>
          <w:kern w:val="0"/>
          <w:sz w:val="22"/>
          <w:szCs w:val="22"/>
          <w:highlight w:val="none"/>
          <w:lang w:val="zh-CN"/>
        </w:rPr>
        <w:t>投标人的商务技术文件应包括以下内容：</w:t>
      </w:r>
      <w:r>
        <w:rPr>
          <w:rFonts w:hint="eastAsia" w:ascii="新宋体" w:hAnsi="新宋体" w:eastAsia="新宋体" w:cs="新宋体"/>
          <w:color w:val="auto"/>
          <w:kern w:val="0"/>
          <w:sz w:val="22"/>
          <w:szCs w:val="22"/>
          <w:highlight w:val="none"/>
          <w:lang w:val="zh-CN"/>
        </w:rPr>
        <w:t xml:space="preserve"> </w:t>
      </w:r>
    </w:p>
    <w:p>
      <w:pPr>
        <w:snapToGrid w:val="0"/>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（1）法定代表人授权委托书（需提供法定代表人及授权委托人的身份证复印件加盖公章）；</w:t>
      </w:r>
    </w:p>
    <w:p>
      <w:pPr>
        <w:snapToGrid w:val="0"/>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（2）投标人情况表</w:t>
      </w:r>
    </w:p>
    <w:p>
      <w:pPr>
        <w:snapToGrid w:val="0"/>
        <w:spacing w:line="460" w:lineRule="exact"/>
        <w:ind w:firstLine="440" w:firstLineChars="200"/>
        <w:rPr>
          <w:rFonts w:hint="eastAsia"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（3）</w:t>
      </w:r>
      <w:r>
        <w:rPr>
          <w:rFonts w:hint="eastAsia" w:ascii="新宋体" w:hAnsi="新宋体" w:eastAsia="新宋体" w:cs="新宋体"/>
          <w:color w:val="auto"/>
          <w:sz w:val="22"/>
          <w:szCs w:val="22"/>
          <w:highlight w:val="none"/>
          <w:lang w:val="zh-CN"/>
        </w:rPr>
        <w:t>偏离表（</w:t>
      </w:r>
      <w:r>
        <w:rPr>
          <w:rFonts w:hint="eastAsia" w:ascii="新宋体" w:hAnsi="新宋体" w:eastAsia="新宋体" w:cs="新宋体"/>
          <w:color w:val="auto"/>
          <w:sz w:val="22"/>
          <w:szCs w:val="22"/>
          <w:highlight w:val="none"/>
        </w:rPr>
        <w:t>商务、技术偏离</w:t>
      </w:r>
      <w:r>
        <w:rPr>
          <w:rFonts w:hint="eastAsia" w:ascii="新宋体" w:hAnsi="新宋体" w:eastAsia="新宋体" w:cs="新宋体"/>
          <w:color w:val="auto"/>
          <w:sz w:val="22"/>
          <w:szCs w:val="22"/>
          <w:highlight w:val="none"/>
          <w:lang w:val="zh-CN"/>
        </w:rPr>
        <w:t>）</w:t>
      </w:r>
    </w:p>
    <w:p>
      <w:pPr>
        <w:snapToGrid w:val="0"/>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（4）标段一、标段二其他相关技术资料</w:t>
      </w:r>
    </w:p>
    <w:p>
      <w:pPr>
        <w:snapToGrid w:val="0"/>
        <w:spacing w:line="460" w:lineRule="exact"/>
        <w:ind w:firstLine="880" w:firstLineChars="4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1）详细的供货清单一览表 </w:t>
      </w:r>
    </w:p>
    <w:p>
      <w:pPr>
        <w:snapToGrid w:val="0"/>
        <w:spacing w:line="460" w:lineRule="exact"/>
        <w:ind w:firstLine="880" w:firstLineChars="4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2）备品、备件、专用工具清单 </w:t>
      </w:r>
    </w:p>
    <w:p>
      <w:pPr>
        <w:snapToGrid w:val="0"/>
        <w:spacing w:line="460" w:lineRule="exact"/>
        <w:ind w:firstLine="880" w:firstLineChars="4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3）供招标人选购的备品备件及维保期期满后相关维修配件清单一览表 </w:t>
      </w:r>
    </w:p>
    <w:p>
      <w:pPr>
        <w:snapToGrid w:val="0"/>
        <w:spacing w:line="460" w:lineRule="exact"/>
        <w:ind w:firstLine="880" w:firstLineChars="4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w:t>
      </w:r>
      <w:r>
        <w:rPr>
          <w:rFonts w:hint="eastAsia" w:ascii="新宋体" w:hAnsi="新宋体" w:eastAsia="新宋体" w:cs="新宋体"/>
          <w:color w:val="auto"/>
          <w:kern w:val="0"/>
          <w:sz w:val="22"/>
          <w:szCs w:val="22"/>
          <w:highlight w:val="none"/>
        </w:rPr>
        <w:t>投标人情况</w:t>
      </w:r>
      <w:r>
        <w:rPr>
          <w:rFonts w:hint="eastAsia" w:ascii="新宋体" w:hAnsi="新宋体" w:eastAsia="新宋体" w:cs="新宋体"/>
          <w:color w:val="auto"/>
          <w:sz w:val="22"/>
          <w:szCs w:val="22"/>
          <w:highlight w:val="none"/>
        </w:rPr>
        <w:t xml:space="preserve"> </w:t>
      </w:r>
    </w:p>
    <w:p>
      <w:pPr>
        <w:snapToGrid w:val="0"/>
        <w:spacing w:line="460" w:lineRule="exact"/>
        <w:ind w:firstLine="880" w:firstLineChars="4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w:t>
      </w:r>
      <w:r>
        <w:rPr>
          <w:rFonts w:hint="eastAsia" w:ascii="新宋体" w:hAnsi="新宋体" w:eastAsia="新宋体" w:cs="新宋体"/>
          <w:color w:val="auto"/>
          <w:kern w:val="0"/>
          <w:sz w:val="22"/>
          <w:szCs w:val="22"/>
          <w:highlight w:val="none"/>
        </w:rPr>
        <w:t>设备配置选型情况</w:t>
      </w:r>
      <w:r>
        <w:rPr>
          <w:rFonts w:hint="eastAsia" w:ascii="新宋体" w:hAnsi="新宋体" w:eastAsia="新宋体" w:cs="新宋体"/>
          <w:color w:val="auto"/>
          <w:sz w:val="22"/>
          <w:szCs w:val="22"/>
          <w:highlight w:val="none"/>
        </w:rPr>
        <w:t xml:space="preserve"> </w:t>
      </w:r>
    </w:p>
    <w:p>
      <w:pPr>
        <w:snapToGrid w:val="0"/>
        <w:spacing w:line="460" w:lineRule="exact"/>
        <w:ind w:firstLine="880" w:firstLineChars="4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w:t>
      </w:r>
      <w:r>
        <w:rPr>
          <w:rFonts w:hint="eastAsia" w:ascii="新宋体" w:hAnsi="新宋体" w:eastAsia="新宋体" w:cs="新宋体"/>
          <w:color w:val="auto"/>
          <w:kern w:val="0"/>
          <w:sz w:val="22"/>
          <w:szCs w:val="22"/>
          <w:highlight w:val="none"/>
          <w:lang w:bidi="ar"/>
        </w:rPr>
        <w:t>投标产品情况</w:t>
      </w:r>
      <w:r>
        <w:rPr>
          <w:rFonts w:hint="eastAsia" w:ascii="新宋体" w:hAnsi="新宋体" w:eastAsia="新宋体" w:cs="新宋体"/>
          <w:color w:val="auto"/>
          <w:sz w:val="22"/>
          <w:szCs w:val="22"/>
          <w:highlight w:val="none"/>
        </w:rPr>
        <w:t xml:space="preserve"> </w:t>
      </w:r>
    </w:p>
    <w:p>
      <w:pPr>
        <w:snapToGrid w:val="0"/>
        <w:spacing w:line="460" w:lineRule="exact"/>
        <w:ind w:firstLine="880" w:firstLineChars="4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7）技术方案 </w:t>
      </w:r>
    </w:p>
    <w:p>
      <w:pPr>
        <w:snapToGrid w:val="0"/>
        <w:spacing w:line="460" w:lineRule="exact"/>
        <w:ind w:firstLine="880" w:firstLineChars="4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8）实施方案 </w:t>
      </w:r>
    </w:p>
    <w:p>
      <w:pPr>
        <w:snapToGrid w:val="0"/>
        <w:spacing w:line="460" w:lineRule="exact"/>
        <w:ind w:firstLine="880" w:firstLineChars="4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9）项目实施进度计划表</w:t>
      </w:r>
    </w:p>
    <w:p>
      <w:pPr>
        <w:snapToGrid w:val="0"/>
        <w:spacing w:line="460" w:lineRule="exact"/>
        <w:ind w:firstLine="880" w:firstLineChars="4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10）技术支持情况与服务支持能力 </w:t>
      </w:r>
    </w:p>
    <w:p>
      <w:pPr>
        <w:snapToGrid w:val="0"/>
        <w:spacing w:line="460" w:lineRule="exact"/>
        <w:ind w:firstLine="880" w:firstLineChars="4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11）项目负责人情况表</w:t>
      </w:r>
    </w:p>
    <w:p>
      <w:pPr>
        <w:snapToGrid w:val="0"/>
        <w:spacing w:line="460" w:lineRule="exact"/>
        <w:ind w:firstLine="880" w:firstLineChars="4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12）项目服务人员汇总表</w:t>
      </w:r>
    </w:p>
    <w:p>
      <w:pPr>
        <w:snapToGrid w:val="0"/>
        <w:spacing w:line="460" w:lineRule="exact"/>
        <w:ind w:firstLine="880" w:firstLineChars="4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13）同类项目业绩 </w:t>
      </w:r>
    </w:p>
    <w:p>
      <w:pPr>
        <w:snapToGrid w:val="0"/>
        <w:spacing w:line="460" w:lineRule="exact"/>
        <w:ind w:firstLine="880" w:firstLineChars="4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14）节能环保 </w:t>
      </w:r>
    </w:p>
    <w:p>
      <w:pPr>
        <w:snapToGrid w:val="0"/>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（5）标段三其他相关技术资料</w:t>
      </w:r>
    </w:p>
    <w:p>
      <w:pPr>
        <w:snapToGrid w:val="0"/>
        <w:spacing w:line="460" w:lineRule="exact"/>
        <w:ind w:firstLine="880" w:firstLineChars="4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1）投标人情况 </w:t>
      </w:r>
    </w:p>
    <w:p>
      <w:pPr>
        <w:snapToGrid w:val="0"/>
        <w:spacing w:line="460" w:lineRule="exact"/>
        <w:ind w:firstLine="880" w:firstLineChars="4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2）同类项目业绩 </w:t>
      </w:r>
    </w:p>
    <w:p>
      <w:pPr>
        <w:snapToGrid w:val="0"/>
        <w:spacing w:line="460" w:lineRule="exact"/>
        <w:ind w:firstLine="880" w:firstLineChars="4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3）监理技术方案</w:t>
      </w:r>
    </w:p>
    <w:p>
      <w:pPr>
        <w:snapToGrid w:val="0"/>
        <w:spacing w:line="460" w:lineRule="exact"/>
        <w:ind w:firstLine="880" w:firstLineChars="4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4）监理工作人员情况</w:t>
      </w:r>
    </w:p>
    <w:p>
      <w:pPr>
        <w:snapToGrid w:val="0"/>
        <w:spacing w:line="460" w:lineRule="exact"/>
        <w:ind w:firstLine="880" w:firstLineChars="4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5）技术支持和售后服务</w:t>
      </w:r>
    </w:p>
    <w:p>
      <w:pPr>
        <w:snapToGrid w:val="0"/>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（6）资质文件（如有）；</w:t>
      </w:r>
    </w:p>
    <w:p>
      <w:pPr>
        <w:snapToGrid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（7）其他必要提供的资料。</w:t>
      </w:r>
    </w:p>
    <w:p>
      <w:pPr>
        <w:spacing w:line="460" w:lineRule="exact"/>
        <w:rPr>
          <w:rFonts w:hint="eastAsia" w:ascii="新宋体" w:hAnsi="新宋体" w:eastAsia="新宋体" w:cs="新宋体"/>
          <w:b/>
          <w:color w:val="auto"/>
          <w:sz w:val="22"/>
          <w:szCs w:val="22"/>
          <w:highlight w:val="none"/>
          <w:lang w:val="zh-CN"/>
        </w:rPr>
      </w:pPr>
      <w:r>
        <w:rPr>
          <w:rFonts w:hint="eastAsia" w:ascii="新宋体" w:hAnsi="新宋体" w:eastAsia="新宋体" w:cs="新宋体"/>
          <w:b/>
          <w:color w:val="auto"/>
          <w:sz w:val="22"/>
          <w:szCs w:val="22"/>
          <w:highlight w:val="none"/>
          <w:lang w:val="zh-CN"/>
        </w:rPr>
        <w:t>投标文件中所需的各种证书、证件、证明资料如是复印件，须在复印件上加盖有效公章。</w:t>
      </w:r>
    </w:p>
    <w:p>
      <w:pPr>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color w:val="auto"/>
          <w:sz w:val="22"/>
          <w:szCs w:val="22"/>
          <w:highlight w:val="none"/>
          <w:lang w:val="zh-CN"/>
        </w:rPr>
        <w:t>投标人的</w:t>
      </w:r>
      <w:r>
        <w:rPr>
          <w:rFonts w:hint="eastAsia" w:ascii="新宋体" w:hAnsi="新宋体" w:eastAsia="新宋体" w:cs="新宋体"/>
          <w:b/>
          <w:color w:val="auto"/>
          <w:sz w:val="22"/>
          <w:szCs w:val="22"/>
          <w:highlight w:val="none"/>
        </w:rPr>
        <w:t>投标文件必须按照招标文件要求制作</w:t>
      </w:r>
      <w:r>
        <w:rPr>
          <w:rFonts w:hint="eastAsia" w:ascii="新宋体" w:hAnsi="新宋体" w:eastAsia="新宋体" w:cs="新宋体"/>
          <w:b/>
          <w:bCs/>
          <w:color w:val="auto"/>
          <w:sz w:val="22"/>
          <w:szCs w:val="22"/>
          <w:highlight w:val="none"/>
        </w:rPr>
        <w:t>。</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bCs/>
          <w:color w:val="auto"/>
          <w:sz w:val="22"/>
          <w:szCs w:val="22"/>
          <w:highlight w:val="none"/>
        </w:rPr>
        <w:t>4、投标报价</w:t>
      </w:r>
    </w:p>
    <w:p>
      <w:pPr>
        <w:spacing w:line="460" w:lineRule="exact"/>
        <w:ind w:firstLine="541" w:firstLineChars="245"/>
        <w:rPr>
          <w:rFonts w:ascii="新宋体" w:hAnsi="新宋体" w:eastAsia="新宋体"/>
          <w:b/>
          <w:color w:val="auto"/>
          <w:sz w:val="22"/>
          <w:szCs w:val="22"/>
          <w:highlight w:val="none"/>
          <w:u w:val="single"/>
        </w:rPr>
      </w:pPr>
      <w:r>
        <w:rPr>
          <w:rFonts w:hint="eastAsia" w:ascii="新宋体" w:hAnsi="新宋体" w:eastAsia="新宋体" w:cs="新宋体"/>
          <w:b/>
          <w:color w:val="auto"/>
          <w:sz w:val="22"/>
          <w:highlight w:val="none"/>
        </w:rPr>
        <w:t>4.1</w:t>
      </w:r>
      <w:r>
        <w:rPr>
          <w:rFonts w:hint="eastAsia" w:ascii="新宋体" w:hAnsi="新宋体" w:eastAsia="新宋体"/>
          <w:b/>
          <w:color w:val="auto"/>
          <w:sz w:val="22"/>
          <w:highlight w:val="none"/>
        </w:rPr>
        <w:t>标段一、二：</w:t>
      </w:r>
      <w:r>
        <w:rPr>
          <w:rFonts w:hint="eastAsia" w:ascii="新宋体" w:hAnsi="新宋体" w:eastAsia="新宋体"/>
          <w:b/>
          <w:color w:val="auto"/>
          <w:sz w:val="22"/>
          <w:szCs w:val="22"/>
          <w:highlight w:val="none"/>
          <w:u w:val="single"/>
        </w:rPr>
        <w:t>投标报价是指中标人在正确地完全履行合同义务后招标人应支付给中标人所有的货物的技术服务价款，即货物的供货、税金、包装、运输、装卸、硬件设备维保、系统集成、运维服务费、驻点维护管理人员工资、企业管理费、风险、利润、安装调试、验收（含第三方验收）、技术服务、培训、售后服务、材料、招标代理费等全部费用等完成合同所需的一切本身和不可或缺的所有工作开支、政策性文件规定及合同包含的所有风险、责任等各项全部费用，供应商应根据上述因素自行考虑含入投标报价。</w:t>
      </w:r>
    </w:p>
    <w:p>
      <w:pPr>
        <w:spacing w:line="460" w:lineRule="exact"/>
        <w:ind w:firstLine="541" w:firstLineChars="245"/>
        <w:rPr>
          <w:rFonts w:hint="eastAsia" w:ascii="新宋体" w:hAnsi="新宋体" w:eastAsia="新宋体" w:cs="新宋体"/>
          <w:b/>
          <w:color w:val="auto"/>
          <w:highlight w:val="none"/>
          <w:u w:val="single"/>
        </w:rPr>
      </w:pPr>
      <w:r>
        <w:rPr>
          <w:rFonts w:hint="eastAsia" w:ascii="新宋体" w:hAnsi="新宋体" w:eastAsia="新宋体"/>
          <w:b/>
          <w:color w:val="auto"/>
          <w:sz w:val="22"/>
          <w:highlight w:val="none"/>
        </w:rPr>
        <w:t>标段三：</w:t>
      </w:r>
      <w:r>
        <w:rPr>
          <w:rFonts w:hint="eastAsia" w:ascii="新宋体" w:hAnsi="新宋体" w:eastAsia="新宋体"/>
          <w:b/>
          <w:color w:val="auto"/>
          <w:sz w:val="22"/>
          <w:szCs w:val="22"/>
          <w:highlight w:val="none"/>
        </w:rPr>
        <w:t>投标报价是项目咨询监理服务人员的食宿、监理费、技术咨询服务、验收费（含第三方验收）、服务过程中使用到的设备、招标代理代理服务费</w:t>
      </w:r>
      <w:r>
        <w:rPr>
          <w:rFonts w:hint="eastAsia" w:ascii="新宋体" w:hAnsi="新宋体" w:eastAsia="新宋体"/>
          <w:b/>
          <w:color w:val="auto"/>
          <w:sz w:val="22"/>
          <w:szCs w:val="22"/>
          <w:highlight w:val="none"/>
          <w:u w:val="single"/>
        </w:rPr>
        <w:t>等全部费用等完成合同所需的一切本身和不可或缺的所有工作开支、政策性文件规定及合同包含的所有风险、责任等各项全部费用，供应商应根据上述因素自行考虑含入投标报价。</w:t>
      </w:r>
    </w:p>
    <w:p>
      <w:pPr>
        <w:spacing w:line="460" w:lineRule="exact"/>
        <w:ind w:firstLine="539" w:firstLineChars="245"/>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4.2投标人必须按附件中的投标报价一览表、投标分项报价内容填写价格，并由投标人代表签署。</w:t>
      </w:r>
    </w:p>
    <w:p>
      <w:pPr>
        <w:spacing w:line="460" w:lineRule="exact"/>
        <w:ind w:firstLine="539" w:firstLineChars="245"/>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4.3</w:t>
      </w:r>
      <w:r>
        <w:rPr>
          <w:rFonts w:hint="eastAsia" w:ascii="新宋体" w:hAnsi="新宋体" w:eastAsia="新宋体" w:cs="新宋体"/>
          <w:b/>
          <w:color w:val="auto"/>
          <w:sz w:val="22"/>
          <w:highlight w:val="none"/>
        </w:rPr>
        <w:t>投标货币以人民币进行投标</w:t>
      </w:r>
      <w:r>
        <w:rPr>
          <w:rFonts w:hint="eastAsia" w:ascii="新宋体" w:hAnsi="新宋体" w:eastAsia="新宋体" w:cs="新宋体"/>
          <w:b/>
          <w:color w:val="auto"/>
          <w:sz w:val="22"/>
          <w:szCs w:val="22"/>
          <w:highlight w:val="none"/>
        </w:rPr>
        <w:t>。</w:t>
      </w:r>
    </w:p>
    <w:p>
      <w:pPr>
        <w:spacing w:line="460" w:lineRule="exact"/>
        <w:ind w:firstLine="539" w:firstLineChars="245"/>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4.4</w:t>
      </w:r>
      <w:r>
        <w:rPr>
          <w:rFonts w:hint="eastAsia" w:ascii="新宋体" w:hAnsi="新宋体" w:eastAsia="新宋体" w:cs="新宋体"/>
          <w:b/>
          <w:color w:val="auto"/>
          <w:sz w:val="22"/>
          <w:highlight w:val="none"/>
        </w:rPr>
        <w:t>招标人和招标代理机构不接受任何选择投标，对任何服务只允许一个价格。</w:t>
      </w:r>
    </w:p>
    <w:p>
      <w:pPr>
        <w:spacing w:line="460" w:lineRule="exact"/>
        <w:ind w:firstLine="539" w:firstLineChars="245"/>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4.5招标人和</w:t>
      </w:r>
      <w:r>
        <w:rPr>
          <w:rFonts w:hint="eastAsia" w:ascii="新宋体" w:hAnsi="新宋体" w:eastAsia="新宋体" w:cs="新宋体"/>
          <w:color w:val="auto"/>
          <w:sz w:val="22"/>
          <w:highlight w:val="none"/>
        </w:rPr>
        <w:t>招标代理机构</w:t>
      </w:r>
      <w:r>
        <w:rPr>
          <w:rFonts w:hint="eastAsia" w:ascii="新宋体" w:hAnsi="新宋体" w:eastAsia="新宋体" w:cs="新宋体"/>
          <w:color w:val="auto"/>
          <w:sz w:val="22"/>
          <w:szCs w:val="22"/>
          <w:highlight w:val="none"/>
        </w:rPr>
        <w:t>要求分类报价是为了方便评标，但在任何情况下不限制招标人以其认为最合适的条款、条件签订合同的权利。</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4.6投标报价报出后，投标人不得以任何理由予以变更。任何包含价格调整的要求，将被认为是非实质性响应投标而予以否决。</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4.7最低报价不能作为中标的保证。</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bCs/>
          <w:color w:val="auto"/>
          <w:sz w:val="22"/>
          <w:szCs w:val="22"/>
          <w:highlight w:val="none"/>
        </w:rPr>
        <w:t>5、投标有效期</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5.1自开标之日起</w:t>
      </w:r>
      <w:r>
        <w:rPr>
          <w:rFonts w:hint="eastAsia" w:ascii="新宋体" w:hAnsi="新宋体" w:eastAsia="新宋体" w:cs="新宋体"/>
          <w:b/>
          <w:bCs/>
          <w:color w:val="auto"/>
          <w:sz w:val="22"/>
          <w:szCs w:val="22"/>
          <w:highlight w:val="none"/>
        </w:rPr>
        <w:t xml:space="preserve"> 120 </w:t>
      </w:r>
      <w:r>
        <w:rPr>
          <w:rFonts w:hint="eastAsia" w:ascii="新宋体" w:hAnsi="新宋体" w:eastAsia="新宋体" w:cs="新宋体"/>
          <w:b/>
          <w:color w:val="auto"/>
          <w:sz w:val="22"/>
          <w:szCs w:val="22"/>
          <w:highlight w:val="none"/>
        </w:rPr>
        <w:t>天内投标应保持有效。</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5.2特殊情况下，在原投标有效期截止前，招标人、招标代理机构可与投标人协商延长投标有效期，这种要求和答复均以书面形式进行。投标人可拒绝接受延期要求。同意延长投标有效期的投标人不得修改投标文件。</w:t>
      </w:r>
    </w:p>
    <w:p>
      <w:pPr>
        <w:spacing w:line="460" w:lineRule="exact"/>
        <w:ind w:firstLine="541" w:firstLineChars="245"/>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6、投标保证金</w:t>
      </w:r>
    </w:p>
    <w:p>
      <w:pPr>
        <w:spacing w:line="46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无。</w:t>
      </w:r>
    </w:p>
    <w:p>
      <w:pPr>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7、投标文件编制</w:t>
      </w:r>
    </w:p>
    <w:p>
      <w:pPr>
        <w:spacing w:line="460" w:lineRule="exact"/>
        <w:ind w:firstLine="541" w:firstLineChars="245"/>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7.1本项目通过“政府采购云平台（http://zfcg.czt.zj.gov.cn）”实行在线投标响应（电子投标）。供应商应通过“政采云电子交易客户端”，并按照本招标文件和“政府采购云平台”的要求编制并加密投标文件。</w:t>
      </w:r>
    </w:p>
    <w:p>
      <w:pPr>
        <w:spacing w:line="460" w:lineRule="exact"/>
        <w:ind w:firstLine="541" w:firstLineChars="245"/>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7.2投标供应商应当按照本章节 “投标文件的构成”规定的内容及顺序在“政采云电子交易客户端”编制投标文件。其中《资格文件》和《商务技术文件》中不得出现本项目投标报价。</w:t>
      </w:r>
    </w:p>
    <w:p>
      <w:pPr>
        <w:spacing w:line="460" w:lineRule="exact"/>
        <w:ind w:firstLine="541" w:firstLineChars="245"/>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7.3本文件《第三部分  附件》中有提供格式的，投标供应商须参照格式进行编制（格式中要求提供相关证明材料的还需后附相关证明材料），并按格式要求在指定位置根据要求进行签章，否则视为未提供；本文件《第三部分  附件》未提供格式的，请各投标单位自行拟定格式，并加盖单位公章并由法定代表人或其授权代表签署（签字或盖章），否则视为未提供。</w:t>
      </w:r>
    </w:p>
    <w:p>
      <w:pPr>
        <w:spacing w:line="460" w:lineRule="exact"/>
        <w:ind w:firstLine="541" w:firstLineChars="245"/>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7.4《投标文件》内容不完整、编排混乱导致《投标文件》被误读、漏读或者查找不到相关内容的，投标人自行负责。</w:t>
      </w:r>
    </w:p>
    <w:p>
      <w:pPr>
        <w:spacing w:line="460" w:lineRule="exact"/>
        <w:ind w:firstLine="541" w:firstLineChars="245"/>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7.5《投标文件》因字迹潦草或表达不清所引起的后果由投标供应商负责。</w:t>
      </w:r>
    </w:p>
    <w:p>
      <w:pPr>
        <w:spacing w:line="460" w:lineRule="exact"/>
        <w:ind w:firstLine="541" w:firstLineChars="245"/>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7.6投标供应商没有按照本章节 “投标文件的构成”要求提供全部资料，或者没有仔细阅读招标文件，或者没有对招标文件在各方面的要求作出实质性响应是投标供应商的风险，由此造成的一切后果由投标供应商自行承担。</w:t>
      </w:r>
    </w:p>
    <w:p>
      <w:pPr>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8、投标文件的签章</w:t>
      </w:r>
    </w:p>
    <w:p>
      <w:pPr>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8.1《投标文件》的签章：见《前附表》；</w:t>
      </w:r>
    </w:p>
    <w:p>
      <w:pPr>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8.2《投标文件》应由投标供应商法定代表人或其授权代表签字（或盖章），并时加盖投标供应商公章。</w:t>
      </w:r>
    </w:p>
    <w:p>
      <w:pPr>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8.3电子签章操作指南详见采购公告附件《供应商项目采购-电子招投标操作指南》。</w:t>
      </w:r>
    </w:p>
    <w:p>
      <w:pPr>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9、投标文件的形式</w:t>
      </w:r>
    </w:p>
    <w:p>
      <w:pPr>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9.1投标文件的形式：见《前附表》；</w:t>
      </w:r>
    </w:p>
    <w:p>
      <w:pPr>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9.2“电子加密投标文件”：“电子加密投标文件”是指通过“政采云电子交易客户端”完成投标文件编制后生成并加密的数据电文形式的投标文件。</w:t>
      </w:r>
    </w:p>
    <w:p>
      <w:pPr>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9.3“备份投标文件”：“备份投标文件”是指与“电子加密投标文件”同时生成的数据电文形式的电子文件（备份标书），其他方式编制的“备份投标文件”视为无效的“备份投标文件”。</w:t>
      </w:r>
    </w:p>
    <w:p>
      <w:pPr>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10、投标文件的份数</w:t>
      </w:r>
    </w:p>
    <w:p>
      <w:pPr>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10.1投标文件的份数：见《前附表》。</w:t>
      </w:r>
    </w:p>
    <w:p>
      <w:pPr>
        <w:spacing w:before="100" w:beforeAutospacing="1" w:after="100" w:afterAutospacing="1" w:line="440" w:lineRule="exact"/>
        <w:jc w:val="center"/>
        <w:outlineLvl w:val="1"/>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四、 投标文件的递交</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1、投标文件的上传和递交</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1.1“投标文件”的上传、递交：见《前附表》。</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2、“电子加密投标文件”解密和异常情况处理</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2.1“电子加密投标文件”解密：见《前附表》。</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3、投标文件的补充、修改或撤回</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3.2投标截止时间后，投标供应商不得撤回、修改《投标文件》。</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4、投标文件的备选方案</w:t>
      </w:r>
    </w:p>
    <w:p>
      <w:pPr>
        <w:spacing w:line="460" w:lineRule="exact"/>
        <w:ind w:firstLine="539"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color w:val="auto"/>
          <w:sz w:val="22"/>
          <w:szCs w:val="22"/>
          <w:highlight w:val="none"/>
        </w:rPr>
        <w:t>4.1投标供应商不得递交任何的投标备选（替代）方案，否则其投标文件将作无效标处理。与“电子加密投标文件”同时生成的“备份投标文件”不是投标备选（替代）方案。</w:t>
      </w:r>
    </w:p>
    <w:p>
      <w:pPr>
        <w:spacing w:before="100" w:beforeAutospacing="1" w:after="100" w:afterAutospacing="1" w:line="460" w:lineRule="exact"/>
        <w:jc w:val="center"/>
        <w:outlineLvl w:val="1"/>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五、 开标和评标</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bCs/>
          <w:color w:val="auto"/>
          <w:sz w:val="22"/>
          <w:szCs w:val="22"/>
          <w:highlight w:val="none"/>
        </w:rPr>
        <w:t>1、评标委员会</w:t>
      </w:r>
    </w:p>
    <w:p>
      <w:pPr>
        <w:spacing w:line="460" w:lineRule="exact"/>
        <w:ind w:firstLine="539"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Cs/>
          <w:color w:val="auto"/>
          <w:sz w:val="22"/>
          <w:szCs w:val="22"/>
          <w:highlight w:val="none"/>
        </w:rPr>
        <w:t>招标人和招标代理机构组建评标委员会。评标委员会的成员在评标过程中必须严格遵守《政府采购法》等有关法律、法规的规定。</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2、评标过程的保密性</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开标后直至向中标人授予合同时止，凡与评审有关的资料均不得向投标人及与评标无关人员透露。如果投标人在评标过程中试图向招标人和招标代理机构施加影响，其投标将被拒绝。</w:t>
      </w:r>
    </w:p>
    <w:p>
      <w:pPr>
        <w:spacing w:line="460" w:lineRule="exact"/>
        <w:ind w:firstLine="539" w:firstLineChars="245"/>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3、开标形式</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 xml:space="preserve"> 采购组织机构将按照招标文件规定的时间通过“政府采购云平台”组织开标、开启投标文件，所有供应商均应当准时(在线)参加。</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4、开标准备</w:t>
      </w:r>
    </w:p>
    <w:p>
      <w:pPr>
        <w:spacing w:line="460" w:lineRule="exact"/>
        <w:ind w:firstLine="539" w:firstLineChars="245"/>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4.1开标的准备工作由采购组织机构负责落实；</w:t>
      </w:r>
    </w:p>
    <w:p>
      <w:pPr>
        <w:spacing w:line="460" w:lineRule="exact"/>
        <w:ind w:firstLine="539" w:firstLineChars="245"/>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4.2</w:t>
      </w:r>
      <w:r>
        <w:rPr>
          <w:rFonts w:hint="eastAsia" w:ascii="新宋体" w:hAnsi="新宋体" w:eastAsia="新宋体" w:cs="新宋体"/>
          <w:b/>
          <w:color w:val="auto"/>
          <w:sz w:val="22"/>
          <w:szCs w:val="22"/>
          <w:highlight w:val="none"/>
        </w:rPr>
        <w:t>采购组织机构将按照招标文件规定的时间通过“政府采购云平台”组织开标、开启投标文件，所有供应商均应当准时(在线)参加。</w:t>
      </w:r>
      <w:r>
        <w:rPr>
          <w:rFonts w:hint="eastAsia" w:ascii="新宋体" w:hAnsi="新宋体" w:eastAsia="新宋体" w:cs="新宋体"/>
          <w:b/>
          <w:color w:val="auto"/>
          <w:kern w:val="0"/>
          <w:sz w:val="22"/>
          <w:szCs w:val="22"/>
          <w:highlight w:val="none"/>
        </w:rPr>
        <w:t>投标供应商如不参加开标大会的，视同认可开标结果，事后不得对采购相关人员、开标过程和开标结果提出异议，同时投标供应商因未在线参加开标而导致投标文件无法按时解密等一切后果由供应商自己承担。</w:t>
      </w:r>
    </w:p>
    <w:p>
      <w:pPr>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5、开标流程</w:t>
      </w:r>
    </w:p>
    <w:p>
      <w:pPr>
        <w:spacing w:line="460" w:lineRule="exact"/>
        <w:ind w:firstLine="541" w:firstLineChars="245"/>
        <w:rPr>
          <w:rFonts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rPr>
        <w:t>5.1开标、评标</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（1）向各投标供应商发出电子加密投标文件【开始解密】通知，由供应商按招标文件规定的时间内自行进行投标文件解密。投标供应商在规定的时间内无法完成已递交的“电子加密投标文件”解密的，如已按规 定递交了备份投标文件的，将由采购组织机构按“政府采购云平台”操作规范将备份投标文件上传至“政府采购云平台”，上传成功后，“电子加密投标文件”自动失效；</w:t>
      </w:r>
    </w:p>
    <w:p>
      <w:pPr>
        <w:spacing w:line="460" w:lineRule="exact"/>
        <w:ind w:firstLine="539" w:firstLineChars="245"/>
        <w:rPr>
          <w:rFonts w:hint="eastAsia"/>
          <w:color w:val="auto"/>
          <w:highlight w:val="none"/>
        </w:rPr>
      </w:pPr>
      <w:r>
        <w:rPr>
          <w:rFonts w:hint="eastAsia" w:ascii="新宋体" w:hAnsi="新宋体" w:eastAsia="新宋体" w:cs="新宋体"/>
          <w:bCs/>
          <w:color w:val="auto"/>
          <w:sz w:val="22"/>
          <w:szCs w:val="22"/>
          <w:highlight w:val="none"/>
        </w:rPr>
        <w:t>投标人不足3家的，不得开标。</w:t>
      </w:r>
    </w:p>
    <w:p>
      <w:pPr>
        <w:spacing w:line="460" w:lineRule="exact"/>
        <w:ind w:firstLine="539" w:firstLineChars="245"/>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（2）解密成功后，开启投标供应商的《报价文件》，由供应商对自己报价文件相关内容进行签字确认，（不予确认的应说明理由，否则视为无异议）。</w:t>
      </w:r>
    </w:p>
    <w:p>
      <w:pPr>
        <w:spacing w:line="460" w:lineRule="exact"/>
        <w:ind w:firstLine="539" w:firstLineChars="245"/>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（3）开启《投标文件》，进入资格审查；</w:t>
      </w:r>
      <w:r>
        <w:rPr>
          <w:rFonts w:hint="eastAsia" w:ascii="新宋体" w:hAnsi="新宋体" w:eastAsia="新宋体" w:cs="新宋体"/>
          <w:bCs/>
          <w:color w:val="auto"/>
          <w:sz w:val="22"/>
          <w:szCs w:val="22"/>
          <w:highlight w:val="none"/>
        </w:rPr>
        <w:t>合格投标人不足3家的，不得评标。</w:t>
      </w:r>
    </w:p>
    <w:p>
      <w:pPr>
        <w:spacing w:line="460" w:lineRule="exact"/>
        <w:ind w:firstLine="541" w:firstLineChars="245"/>
        <w:rPr>
          <w:rFonts w:hint="eastAsia" w:ascii="新宋体" w:hAnsi="新宋体" w:eastAsia="新宋体" w:cs="新宋体"/>
          <w:color w:val="auto"/>
          <w:kern w:val="0"/>
          <w:sz w:val="22"/>
          <w:szCs w:val="22"/>
          <w:highlight w:val="none"/>
        </w:rPr>
      </w:pPr>
      <w:r>
        <w:rPr>
          <w:rFonts w:hint="eastAsia" w:ascii="新宋体" w:hAnsi="新宋体" w:eastAsia="新宋体" w:cs="新宋体"/>
          <w:b/>
          <w:color w:val="auto"/>
          <w:kern w:val="0"/>
          <w:sz w:val="22"/>
          <w:szCs w:val="22"/>
          <w:highlight w:val="none"/>
        </w:rPr>
        <w:t>备注：开标大会结束后，招标人或采购代理机构将对依法对投标供应商的资格进行审查，资格审查结束后进入符合性审查和商务技术的评审工作，具体见本章节“投标供应商资格审查”相关规定。</w:t>
      </w:r>
    </w:p>
    <w:p>
      <w:pPr>
        <w:spacing w:line="460" w:lineRule="exact"/>
        <w:ind w:firstLine="539" w:firstLineChars="245"/>
        <w:rPr>
          <w:rFonts w:hint="eastAsia" w:ascii="新宋体" w:hAnsi="新宋体" w:eastAsia="新宋体"/>
          <w:bCs/>
          <w:color w:val="auto"/>
          <w:sz w:val="22"/>
          <w:szCs w:val="22"/>
          <w:highlight w:val="none"/>
        </w:rPr>
      </w:pPr>
      <w:r>
        <w:rPr>
          <w:rFonts w:hint="eastAsia" w:ascii="新宋体" w:hAnsi="新宋体" w:eastAsia="新宋体" w:cs="新宋体"/>
          <w:color w:val="auto"/>
          <w:kern w:val="0"/>
          <w:sz w:val="22"/>
          <w:szCs w:val="22"/>
          <w:highlight w:val="none"/>
        </w:rPr>
        <w:t>（4）开启资格审查通过的投标供应商的商务技术文件进入符合性审查，</w:t>
      </w:r>
      <w:r>
        <w:rPr>
          <w:rFonts w:hint="eastAsia" w:ascii="新宋体" w:hAnsi="新宋体" w:eastAsia="新宋体"/>
          <w:bCs/>
          <w:color w:val="auto"/>
          <w:sz w:val="22"/>
          <w:szCs w:val="22"/>
          <w:highlight w:val="none"/>
        </w:rPr>
        <w:t>以确定其是否满足招标文件的实质性要求，合格投标人不足3家的，不得评标。</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没有满足招标文件的实质性要求的投标作无效标处理。评标委员会决定投标的实质性要求只根据投标文件本身的内容，而不寻求外部的证据。投标人不得通过修正或撤消不合要求的偏离或保留从而使其投标成为实质上响应的投标。</w:t>
      </w:r>
    </w:p>
    <w:p>
      <w:pPr>
        <w:spacing w:line="460" w:lineRule="exact"/>
        <w:ind w:firstLine="539" w:firstLineChars="245"/>
        <w:rPr>
          <w:rFonts w:hint="eastAsia"/>
          <w:color w:val="auto"/>
          <w:highlight w:val="none"/>
        </w:rPr>
      </w:pPr>
      <w:r>
        <w:rPr>
          <w:rFonts w:hint="eastAsia" w:ascii="新宋体" w:hAnsi="新宋体" w:eastAsia="新宋体" w:cs="新宋体"/>
          <w:bCs/>
          <w:color w:val="auto"/>
          <w:sz w:val="22"/>
          <w:szCs w:val="22"/>
          <w:highlight w:val="none"/>
        </w:rPr>
        <w:t>（5）对通过资格审查、符合性审查的合格供应商进行商务技术部分的评审。</w:t>
      </w:r>
    </w:p>
    <w:p>
      <w:pPr>
        <w:spacing w:line="460" w:lineRule="exact"/>
        <w:ind w:firstLine="539" w:firstLineChars="245"/>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（6）评标委员会对报价的合理性、准确性等进行审查核实。</w:t>
      </w:r>
    </w:p>
    <w:p>
      <w:pPr>
        <w:spacing w:line="460" w:lineRule="exact"/>
        <w:ind w:firstLine="539" w:firstLineChars="245"/>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（7）评审结束后，公布中标（成交）候选供应商名单及招标人最终确定中标或成交供应商名单的时间和公告方式等，未在场的投标供应商通过发送邮件形式通知。</w:t>
      </w:r>
    </w:p>
    <w:p>
      <w:pPr>
        <w:spacing w:line="460" w:lineRule="exact"/>
        <w:ind w:firstLine="541" w:firstLineChars="245"/>
        <w:rPr>
          <w:rFonts w:hint="eastAsia"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rPr>
        <w:t>特别说明：如遇“政府采购云平台”电子化开标或评审程序调整的，按调整后程序执行。</w:t>
      </w:r>
    </w:p>
    <w:p>
      <w:pPr>
        <w:spacing w:line="460" w:lineRule="exact"/>
        <w:ind w:firstLine="539" w:firstLineChars="245"/>
        <w:rPr>
          <w:rFonts w:hint="eastAsia" w:ascii="新宋体" w:hAnsi="新宋体" w:eastAsia="新宋体" w:cs="新宋体"/>
          <w:color w:val="auto"/>
          <w:sz w:val="22"/>
          <w:szCs w:val="22"/>
          <w:highlight w:val="none"/>
        </w:rPr>
      </w:pPr>
      <w:bookmarkStart w:id="5" w:name="_Toc24550037"/>
      <w:bookmarkStart w:id="6" w:name="_Toc33194393"/>
      <w:r>
        <w:rPr>
          <w:rFonts w:hint="eastAsia" w:ascii="新宋体" w:hAnsi="新宋体" w:eastAsia="新宋体" w:cs="新宋体"/>
          <w:color w:val="auto"/>
          <w:sz w:val="22"/>
          <w:szCs w:val="22"/>
          <w:highlight w:val="none"/>
        </w:rPr>
        <w:t>6、投标供应商资格审查</w:t>
      </w:r>
      <w:bookmarkEnd w:id="5"/>
      <w:bookmarkEnd w:id="6"/>
    </w:p>
    <w:p>
      <w:pPr>
        <w:spacing w:line="460" w:lineRule="exact"/>
        <w:ind w:firstLine="541" w:firstLineChars="245"/>
        <w:rPr>
          <w:rFonts w:hint="eastAsia"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6.1开标大会结束后，招标人或采购代理机构首先依法对各投标供应商的资格进行审查，审查各投标供应商的资格是否满足招标文件的要求。</w:t>
      </w:r>
      <w:r>
        <w:rPr>
          <w:rFonts w:hint="eastAsia" w:ascii="新宋体" w:hAnsi="新宋体" w:eastAsia="新宋体" w:cs="新宋体"/>
          <w:color w:val="auto"/>
          <w:sz w:val="22"/>
          <w:szCs w:val="22"/>
          <w:highlight w:val="none"/>
        </w:rPr>
        <w:t>招标人或采购代理机构对投标供应商所提交的资格证明材料仅负审核的责任。如发现投标供应商所提交的资格证明材料不合法或与事实不符，招标人可取消其中标资格并追究投标供应商的法律责任。</w:t>
      </w:r>
    </w:p>
    <w:p>
      <w:pPr>
        <w:spacing w:line="460" w:lineRule="exact"/>
        <w:ind w:firstLine="541" w:firstLineChars="245"/>
        <w:rPr>
          <w:rFonts w:hint="eastAsia" w:ascii="新宋体" w:hAnsi="新宋体" w:eastAsia="新宋体" w:cs="新宋体"/>
          <w:b/>
          <w:color w:val="auto"/>
          <w:kern w:val="0"/>
          <w:sz w:val="22"/>
          <w:szCs w:val="22"/>
          <w:highlight w:val="none"/>
        </w:rPr>
      </w:pPr>
      <w:r>
        <w:rPr>
          <w:rFonts w:hint="eastAsia" w:ascii="新宋体" w:hAnsi="新宋体" w:eastAsia="新宋体" w:cs="新宋体"/>
          <w:b/>
          <w:color w:val="auto"/>
          <w:sz w:val="22"/>
          <w:szCs w:val="22"/>
          <w:highlight w:val="none"/>
        </w:rPr>
        <w:t>6.2投标供应商提交的资格证明材料无法证明其符合招标文件规定的“投标供应商资格要求”的，招标人或采购代理机构</w:t>
      </w:r>
      <w:r>
        <w:rPr>
          <w:rFonts w:hint="eastAsia" w:ascii="新宋体" w:hAnsi="新宋体" w:eastAsia="新宋体" w:cs="新宋体"/>
          <w:b/>
          <w:color w:val="auto"/>
          <w:kern w:val="0"/>
          <w:sz w:val="22"/>
          <w:szCs w:val="22"/>
          <w:highlight w:val="none"/>
        </w:rPr>
        <w:t>将对其作资格审查不通过处理（无效投标），并不再将其投标提交评标委员会进行后续评审。</w:t>
      </w:r>
    </w:p>
    <w:p>
      <w:pPr>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color w:val="auto"/>
          <w:sz w:val="22"/>
          <w:szCs w:val="22"/>
          <w:highlight w:val="none"/>
        </w:rPr>
        <w:t>6</w:t>
      </w:r>
      <w:r>
        <w:rPr>
          <w:rFonts w:hint="eastAsia" w:ascii="新宋体" w:hAnsi="新宋体" w:eastAsia="新宋体" w:cs="新宋体"/>
          <w:b/>
          <w:color w:val="auto"/>
          <w:kern w:val="0"/>
          <w:sz w:val="22"/>
          <w:szCs w:val="22"/>
          <w:highlight w:val="none"/>
        </w:rPr>
        <w:t>.3单位负责人为同一人或者存在直接控股、管理关系的不同供应商参加同一合同项下的政府采购活动的，相关投标供应商均作资格无效处理。</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7、评标委员按照招标文件中规定的评标方法和标准，对投标文件进行商务和技术评估，综合比较与评价。</w:t>
      </w:r>
    </w:p>
    <w:p>
      <w:pPr>
        <w:spacing w:line="460" w:lineRule="exact"/>
        <w:ind w:firstLine="541" w:firstLineChars="245"/>
        <w:rPr>
          <w:rFonts w:hint="eastAsia" w:ascii="新宋体" w:hAnsi="新宋体" w:eastAsia="新宋体" w:cs="新宋体"/>
          <w:b/>
          <w:color w:val="auto"/>
          <w:sz w:val="22"/>
          <w:szCs w:val="22"/>
          <w:highlight w:val="none"/>
          <w:u w:val="single"/>
        </w:rPr>
      </w:pPr>
      <w:r>
        <w:rPr>
          <w:rFonts w:hint="eastAsia" w:ascii="新宋体" w:hAnsi="新宋体" w:eastAsia="新宋体" w:cs="新宋体"/>
          <w:b/>
          <w:color w:val="auto"/>
          <w:sz w:val="22"/>
          <w:szCs w:val="22"/>
          <w:highlight w:val="none"/>
          <w:u w:val="single"/>
        </w:rPr>
        <w:t>8、投标人存在下列情况之一的，投标无效：</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（1）投标文件未按招标文件要求签署、盖章的；</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（2）不具备招标文件中规定的资格要求的； </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（3）明显不符合招标文件中主要技术规格、技术标准的；</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（4）投标文件内容不全或关键字迹模糊无法辨认的；</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（5）投标人代表没有法定代表人合法、有效委托的；</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（6）报价超过招标文件中规定的预算金额或者最高限价的</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（7）投标文件存在一个或一个以上备选（替代）投标人案的；</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（8）仅提交“备份投标文件”的；</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（9）投标文件含有招标人不能接受的附加条件的；</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（10）法律、法规和招标文件规定的其他无效情形。</w:t>
      </w:r>
    </w:p>
    <w:p>
      <w:pPr>
        <w:spacing w:line="460" w:lineRule="exact"/>
        <w:ind w:firstLine="541" w:firstLineChars="245"/>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9、有下列情形之一的，视为投标人串通投标，其投标无效</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（1）不同投标人的投标文件由同一单位或者个人编制；</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（2）不同投标人委托同一单位或者个人办理投标事宜；</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（3）不同投标人的投标文件载明的项目管理成员或者联系人员为同一人；</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（4）不同投标人的投标文件异常一致或者投标报价呈规律性差异；</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（5）不同投标人的投标文件相互混装。</w:t>
      </w:r>
    </w:p>
    <w:p>
      <w:pPr>
        <w:spacing w:line="460" w:lineRule="exact"/>
        <w:ind w:firstLine="541" w:firstLineChars="245"/>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10、投标文件报价出现前后不一致的，按照下列规定修正：</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（1）投标文件中开标一览表（报价表）内容与投标文件中相应内容不一致的，以开标一览表（报价表）为准；</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（2）大写金额和小写金额不一致的，以大写金额为准；</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（3）单价金额小数点或者百分比有明显错位的，以开标一览表的总价为准，并修改单价；</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（4）总价金额与按单价汇总金额不一致的，以单价金额计算结果为准。</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同时出现两种以上不一致的，按照前款规定的顺序修正。修正后的报价按照本小节第12条第12.2款的规定经投标人确认后产生约束力，投标人不确认的，其投标无效。</w:t>
      </w:r>
    </w:p>
    <w:p>
      <w:pPr>
        <w:spacing w:line="460" w:lineRule="exact"/>
        <w:ind w:firstLine="759" w:firstLineChars="3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11、评标委员会成员对需要共同认定的事项存在争议的，应当按照少数服从多数的原则作出结论。持不同意见的评标委员会成员应当在评标报告上签署不同意见及理由，否则视为同意评标报告。</w:t>
      </w:r>
    </w:p>
    <w:p>
      <w:pPr>
        <w:spacing w:line="460" w:lineRule="exact"/>
        <w:ind w:firstLine="759" w:firstLineChars="3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12、投标文件的澄清</w:t>
      </w:r>
    </w:p>
    <w:p>
      <w:pPr>
        <w:spacing w:line="460" w:lineRule="exact"/>
        <w:ind w:firstLine="759" w:firstLineChars="345"/>
        <w:rPr>
          <w:rFonts w:ascii="新宋体" w:hAnsi="新宋体" w:eastAsia="新宋体"/>
          <w:bCs/>
          <w:color w:val="auto"/>
          <w:sz w:val="22"/>
          <w:szCs w:val="22"/>
          <w:highlight w:val="none"/>
        </w:rPr>
      </w:pPr>
      <w:r>
        <w:rPr>
          <w:rFonts w:hint="eastAsia" w:ascii="新宋体" w:hAnsi="新宋体" w:eastAsia="新宋体" w:cs="新宋体"/>
          <w:bCs/>
          <w:color w:val="auto"/>
          <w:sz w:val="22"/>
          <w:szCs w:val="22"/>
          <w:highlight w:val="none"/>
        </w:rPr>
        <w:t>12.1在评标期间，评标委员会可要求投标人对于投标文件中含义不明确、同类问题表述不一致</w:t>
      </w:r>
      <w:r>
        <w:rPr>
          <w:rFonts w:hint="eastAsia" w:ascii="新宋体" w:hAnsi="新宋体" w:eastAsia="新宋体"/>
          <w:bCs/>
          <w:color w:val="auto"/>
          <w:sz w:val="22"/>
          <w:szCs w:val="22"/>
          <w:highlight w:val="none"/>
        </w:rPr>
        <w:t>或者有明显文字和计算错误的内容，评标委员会应当以书面形式（或通过“政府采购云平台”在线询标）要求投标人在规定的时间内作出必要的澄清、说明或者补正。投标供应商澄清、说明或补正时间为30分钟。</w:t>
      </w:r>
    </w:p>
    <w:p>
      <w:pPr>
        <w:spacing w:line="460" w:lineRule="exact"/>
        <w:ind w:firstLine="759" w:firstLineChars="345"/>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12.2投标人的澄清、说明或者补正应当采用书面形式（或通过“政府采购云平台”在线答复），并加盖公章，或者由法定代表人或其授权的代表签字。投标人的澄清、说明或者补正不得超出投标文件的范围或者改变投标文件的实质性内容。</w:t>
      </w:r>
    </w:p>
    <w:p>
      <w:pPr>
        <w:spacing w:line="460" w:lineRule="exact"/>
        <w:ind w:firstLine="759" w:firstLineChars="345"/>
        <w:rPr>
          <w:rFonts w:ascii="新宋体" w:hAnsi="新宋体" w:eastAsia="新宋体"/>
          <w:b/>
          <w:color w:val="auto"/>
          <w:sz w:val="22"/>
          <w:szCs w:val="22"/>
          <w:highlight w:val="none"/>
        </w:rPr>
      </w:pPr>
      <w:r>
        <w:rPr>
          <w:rFonts w:hint="eastAsia" w:ascii="新宋体" w:hAnsi="新宋体" w:eastAsia="新宋体"/>
          <w:color w:val="auto"/>
          <w:sz w:val="22"/>
          <w:szCs w:val="22"/>
          <w:highlight w:val="none"/>
        </w:rPr>
        <w:t>拒不按要求对其投标文件进行澄清，说明或补正的投标人，评标委员会可以否决其投标。</w:t>
      </w:r>
    </w:p>
    <w:p>
      <w:pPr>
        <w:spacing w:line="460" w:lineRule="exact"/>
        <w:ind w:firstLine="759" w:firstLineChars="345"/>
        <w:rPr>
          <w:rFonts w:hint="eastAsia" w:ascii="新宋体" w:hAnsi="新宋体" w:eastAsia="新宋体"/>
          <w:b/>
          <w:color w:val="auto"/>
          <w:sz w:val="22"/>
          <w:szCs w:val="22"/>
          <w:highlight w:val="none"/>
        </w:rPr>
      </w:pPr>
      <w:r>
        <w:rPr>
          <w:rFonts w:hint="eastAsia" w:ascii="新宋体" w:hAnsi="新宋体" w:eastAsia="新宋体"/>
          <w:color w:val="auto"/>
          <w:sz w:val="22"/>
          <w:szCs w:val="22"/>
          <w:highlight w:val="none"/>
        </w:rPr>
        <w:t>12.2</w:t>
      </w:r>
      <w:r>
        <w:rPr>
          <w:rFonts w:hint="eastAsia" w:ascii="新宋体" w:hAnsi="新宋体" w:eastAsia="新宋体"/>
          <w:b/>
          <w:color w:val="auto"/>
          <w:sz w:val="22"/>
          <w:szCs w:val="22"/>
          <w:highlight w:val="none"/>
        </w:rPr>
        <w:t>经澄清后，若偏差仍存在，且不可接受，投标人则被认为是“没有实质性响应招标文件要求”，其投标将被拒绝。</w:t>
      </w:r>
    </w:p>
    <w:p>
      <w:pPr>
        <w:spacing w:line="460" w:lineRule="exact"/>
        <w:ind w:firstLine="759" w:firstLineChars="3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13、评审结果的修改</w:t>
      </w:r>
    </w:p>
    <w:p>
      <w:pPr>
        <w:spacing w:line="460" w:lineRule="exact"/>
        <w:ind w:firstLine="762" w:firstLineChars="3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13.1评标结果汇总完成后，除下列情形外，任何人不得修改评标结果：</w:t>
      </w:r>
    </w:p>
    <w:p>
      <w:pPr>
        <w:spacing w:line="460" w:lineRule="exact"/>
        <w:ind w:firstLine="759" w:firstLineChars="3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（1）分值汇总计算错误的；</w:t>
      </w:r>
    </w:p>
    <w:p>
      <w:pPr>
        <w:spacing w:line="460" w:lineRule="exact"/>
        <w:ind w:firstLine="759" w:firstLineChars="3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（2）分项评分超出评分标准范围的；</w:t>
      </w:r>
    </w:p>
    <w:p>
      <w:pPr>
        <w:spacing w:line="460" w:lineRule="exact"/>
        <w:ind w:firstLine="759" w:firstLineChars="3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（3）评标委员会成员对客观评审因素评分不一致的；</w:t>
      </w:r>
    </w:p>
    <w:p>
      <w:pPr>
        <w:spacing w:line="460" w:lineRule="exact"/>
        <w:ind w:firstLine="759" w:firstLineChars="3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（4）经评标委员会认定评分畸高、畸低的。</w:t>
      </w:r>
    </w:p>
    <w:p>
      <w:pPr>
        <w:spacing w:line="460" w:lineRule="exact"/>
        <w:ind w:firstLine="759" w:firstLineChars="345"/>
        <w:rPr>
          <w:color w:val="auto"/>
          <w:highlight w:val="none"/>
        </w:rPr>
      </w:pPr>
      <w:r>
        <w:rPr>
          <w:rFonts w:hint="eastAsia" w:ascii="新宋体" w:hAnsi="新宋体" w:eastAsia="新宋体" w:cs="新宋体"/>
          <w:bCs/>
          <w:color w:val="auto"/>
          <w:sz w:val="22"/>
          <w:szCs w:val="22"/>
          <w:highlight w:val="none"/>
        </w:rPr>
        <w:t>13.2书面评标报告签署前，经复核发现存在以上情形之一的，评标委员会将当场修改评标结果，并在</w:t>
      </w:r>
      <w:r>
        <w:rPr>
          <w:rFonts w:hint="eastAsia" w:ascii="新宋体" w:hAnsi="新宋体" w:eastAsia="新宋体" w:cs="新宋体"/>
          <w:b/>
          <w:color w:val="auto"/>
          <w:sz w:val="22"/>
          <w:szCs w:val="22"/>
          <w:highlight w:val="none"/>
        </w:rPr>
        <w:t>评标报告中记载。</w:t>
      </w:r>
    </w:p>
    <w:p>
      <w:pPr>
        <w:spacing w:line="460" w:lineRule="exact"/>
        <w:ind w:firstLine="759" w:firstLineChars="345"/>
        <w:rPr>
          <w:rFonts w:hint="eastAsia" w:ascii="新宋体" w:hAnsi="新宋体" w:eastAsia="新宋体"/>
          <w:b/>
          <w:color w:val="auto"/>
          <w:sz w:val="22"/>
          <w:szCs w:val="22"/>
          <w:highlight w:val="none"/>
        </w:rPr>
      </w:pPr>
      <w:r>
        <w:rPr>
          <w:rFonts w:hint="eastAsia" w:ascii="新宋体" w:hAnsi="新宋体" w:eastAsia="新宋体"/>
          <w:color w:val="auto"/>
          <w:sz w:val="22"/>
          <w:szCs w:val="22"/>
          <w:highlight w:val="none"/>
        </w:rPr>
        <w:t>14</w:t>
      </w:r>
      <w:r>
        <w:rPr>
          <w:rFonts w:hint="eastAsia" w:ascii="新宋体" w:hAnsi="新宋体" w:eastAsia="新宋体" w:cs="宋体"/>
          <w:color w:val="auto"/>
          <w:kern w:val="0"/>
          <w:sz w:val="22"/>
          <w:szCs w:val="22"/>
          <w:highlight w:val="none"/>
        </w:rPr>
        <w:t>、</w:t>
      </w:r>
      <w:r>
        <w:rPr>
          <w:rFonts w:hint="eastAsia" w:ascii="新宋体" w:hAnsi="新宋体" w:eastAsia="新宋体"/>
          <w:color w:val="auto"/>
          <w:sz w:val="22"/>
          <w:szCs w:val="22"/>
          <w:highlight w:val="none"/>
        </w:rPr>
        <w:t>确定中标候选人</w:t>
      </w:r>
    </w:p>
    <w:p>
      <w:pPr>
        <w:spacing w:line="460" w:lineRule="exact"/>
        <w:ind w:firstLine="759" w:firstLineChars="3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14.1由评标委员会确定中标候选人。</w:t>
      </w:r>
    </w:p>
    <w:p>
      <w:pPr>
        <w:spacing w:line="460" w:lineRule="exact"/>
        <w:ind w:firstLine="759" w:firstLineChars="3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14.2评标委员会依据法律、法规及招标文件有关规定按评审后得分（即商务技术分与报价得分之和）由高到低顺序排序，得分前二名的投标人确定为该项目的第一和第二中标候选人（得分相同的，按投标报价由低到高顺序排列。得分且投标报价相同的并列。）向招标人推荐。</w:t>
      </w:r>
    </w:p>
    <w:p>
      <w:pPr>
        <w:spacing w:line="460" w:lineRule="exact"/>
        <w:ind w:firstLine="762" w:firstLineChars="345"/>
        <w:rPr>
          <w:rFonts w:hint="eastAsia" w:ascii="新宋体" w:hAnsi="新宋体" w:eastAsia="新宋体" w:cs="新宋体"/>
          <w:bCs/>
          <w:color w:val="auto"/>
          <w:sz w:val="22"/>
          <w:szCs w:val="22"/>
          <w:highlight w:val="none"/>
        </w:rPr>
      </w:pPr>
      <w:r>
        <w:rPr>
          <w:rFonts w:hint="eastAsia" w:ascii="新宋体" w:hAnsi="新宋体" w:eastAsia="新宋体"/>
          <w:b/>
          <w:bCs/>
          <w:color w:val="auto"/>
          <w:sz w:val="22"/>
          <w:szCs w:val="22"/>
          <w:highlight w:val="none"/>
        </w:rPr>
        <w:t>15、确定中标人</w:t>
      </w:r>
    </w:p>
    <w:p>
      <w:pPr>
        <w:spacing w:line="460" w:lineRule="exact"/>
        <w:ind w:firstLine="762" w:firstLineChars="345"/>
        <w:rPr>
          <w:rFonts w:hint="eastAsia" w:ascii="新宋体" w:hAnsi="新宋体" w:eastAsia="新宋体"/>
          <w:b/>
          <w:bCs/>
          <w:color w:val="auto"/>
          <w:sz w:val="22"/>
          <w:szCs w:val="22"/>
          <w:highlight w:val="none"/>
        </w:rPr>
      </w:pPr>
      <w:r>
        <w:rPr>
          <w:rFonts w:hint="eastAsia" w:ascii="新宋体" w:hAnsi="新宋体" w:eastAsia="新宋体" w:cs="新宋体"/>
          <w:b/>
          <w:color w:val="auto"/>
          <w:sz w:val="22"/>
          <w:szCs w:val="22"/>
          <w:highlight w:val="none"/>
        </w:rPr>
        <w:t>15</w:t>
      </w:r>
      <w:r>
        <w:rPr>
          <w:rFonts w:hint="eastAsia" w:ascii="新宋体" w:hAnsi="新宋体" w:eastAsia="新宋体"/>
          <w:b/>
          <w:bCs/>
          <w:color w:val="auto"/>
          <w:sz w:val="22"/>
          <w:szCs w:val="22"/>
          <w:highlight w:val="none"/>
        </w:rPr>
        <w:t>.1招标人按照书面评标报告中推荐的中标候选供应商顺序确定中标人；也可以事先授权评标委员会按照推荐的中标候选供应商顺序直接确定中标人。中标候选人并列的，由评标委员会全体成员记名投票按少数服从多数的原则确定排名。</w:t>
      </w:r>
    </w:p>
    <w:p>
      <w:pPr>
        <w:spacing w:line="460" w:lineRule="exact"/>
        <w:ind w:firstLine="759" w:firstLineChars="34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15.2</w:t>
      </w:r>
      <w:r>
        <w:rPr>
          <w:rFonts w:ascii="新宋体" w:hAnsi="新宋体" w:eastAsia="新宋体"/>
          <w:color w:val="auto"/>
          <w:sz w:val="22"/>
          <w:szCs w:val="22"/>
          <w:highlight w:val="none"/>
        </w:rPr>
        <w:t>如中标人放弃中标</w:t>
      </w:r>
      <w:r>
        <w:rPr>
          <w:rFonts w:hint="eastAsia" w:ascii="新宋体" w:hAnsi="新宋体" w:eastAsia="新宋体"/>
          <w:color w:val="auto"/>
          <w:sz w:val="22"/>
          <w:szCs w:val="22"/>
          <w:highlight w:val="none"/>
        </w:rPr>
        <w:t>；或未能在规定时间内与采购单位签订合同的；或者经质疑，招标人审查后，确因排名第一的候选人在本次采购活动中存在违法违规行为或其他原因使质疑成立的，招标人可以视情况直接确定排名第二的候选人为中标人或</w:t>
      </w:r>
      <w:r>
        <w:rPr>
          <w:rFonts w:ascii="新宋体" w:hAnsi="新宋体" w:eastAsia="新宋体"/>
          <w:color w:val="auto"/>
          <w:sz w:val="22"/>
          <w:szCs w:val="22"/>
          <w:highlight w:val="none"/>
        </w:rPr>
        <w:t>重新组织招标。</w:t>
      </w:r>
    </w:p>
    <w:p>
      <w:pPr>
        <w:spacing w:line="460" w:lineRule="exact"/>
        <w:ind w:firstLine="759" w:firstLineChars="3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16、起草、签署评审报告</w:t>
      </w:r>
    </w:p>
    <w:p>
      <w:pPr>
        <w:spacing w:line="460" w:lineRule="exact"/>
        <w:ind w:firstLine="759" w:firstLineChars="345"/>
        <w:rPr>
          <w:rFonts w:hint="eastAsia" w:ascii="新宋体" w:hAnsi="新宋体"/>
          <w:b/>
          <w:bCs/>
          <w:color w:val="auto"/>
          <w:sz w:val="22"/>
          <w:szCs w:val="22"/>
          <w:highlight w:val="none"/>
        </w:rPr>
      </w:pPr>
      <w:r>
        <w:rPr>
          <w:rFonts w:hint="eastAsia" w:ascii="新宋体" w:hAnsi="新宋体" w:eastAsia="新宋体"/>
          <w:color w:val="auto"/>
          <w:sz w:val="22"/>
          <w:szCs w:val="22"/>
          <w:highlight w:val="none"/>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spacing w:line="460" w:lineRule="exact"/>
        <w:ind w:firstLine="759" w:firstLineChars="3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17</w:t>
      </w:r>
      <w:r>
        <w:rPr>
          <w:rFonts w:hint="eastAsia" w:ascii="新宋体" w:hAnsi="新宋体" w:eastAsia="新宋体" w:cs="宋体"/>
          <w:color w:val="auto"/>
          <w:kern w:val="0"/>
          <w:sz w:val="22"/>
          <w:szCs w:val="22"/>
          <w:highlight w:val="none"/>
        </w:rPr>
        <w:t>、</w:t>
      </w:r>
      <w:r>
        <w:rPr>
          <w:rFonts w:hint="eastAsia" w:ascii="新宋体" w:hAnsi="新宋体" w:eastAsia="新宋体"/>
          <w:color w:val="auto"/>
          <w:sz w:val="22"/>
          <w:szCs w:val="22"/>
          <w:highlight w:val="none"/>
        </w:rPr>
        <w:t>中标人确定后，招标人将在政府指定媒体公告中标结果，招标人向中标人发出中标通知书。</w:t>
      </w:r>
    </w:p>
    <w:p>
      <w:pPr>
        <w:spacing w:line="460" w:lineRule="exact"/>
        <w:ind w:firstLine="759" w:firstLineChars="345"/>
        <w:rPr>
          <w:rFonts w:hint="eastAsia" w:ascii="新宋体" w:hAnsi="新宋体" w:eastAsia="新宋体"/>
          <w:b/>
          <w:color w:val="auto"/>
          <w:sz w:val="22"/>
          <w:szCs w:val="22"/>
          <w:highlight w:val="none"/>
        </w:rPr>
      </w:pPr>
      <w:r>
        <w:rPr>
          <w:rFonts w:hint="eastAsia" w:ascii="新宋体" w:hAnsi="新宋体" w:eastAsia="新宋体"/>
          <w:color w:val="auto"/>
          <w:sz w:val="22"/>
          <w:szCs w:val="22"/>
          <w:highlight w:val="none"/>
        </w:rPr>
        <w:t>18、</w:t>
      </w:r>
      <w:r>
        <w:rPr>
          <w:rFonts w:hint="eastAsia" w:ascii="新宋体" w:hAnsi="新宋体" w:eastAsia="新宋体"/>
          <w:b/>
          <w:color w:val="auto"/>
          <w:sz w:val="22"/>
          <w:szCs w:val="22"/>
          <w:highlight w:val="none"/>
        </w:rPr>
        <w:t>招标人对决标结果不做任何解释，也不保证最低价中标。</w:t>
      </w:r>
    </w:p>
    <w:p>
      <w:pPr>
        <w:spacing w:line="460" w:lineRule="exact"/>
        <w:ind w:firstLine="762" w:firstLineChars="345"/>
        <w:rPr>
          <w:rFonts w:hint="eastAsia" w:ascii="新宋体" w:hAnsi="新宋体" w:eastAsia="新宋体" w:cs="新宋体"/>
          <w:b/>
          <w:color w:val="auto"/>
          <w:sz w:val="22"/>
          <w:szCs w:val="22"/>
          <w:highlight w:val="none"/>
        </w:rPr>
      </w:pPr>
      <w:r>
        <w:rPr>
          <w:rFonts w:hint="eastAsia" w:ascii="新宋体" w:hAnsi="新宋体" w:eastAsia="新宋体"/>
          <w:b/>
          <w:color w:val="auto"/>
          <w:sz w:val="22"/>
          <w:szCs w:val="22"/>
          <w:highlight w:val="none"/>
        </w:rPr>
        <w:t>19、评标细则详见“评标原则及方法”。</w:t>
      </w:r>
    </w:p>
    <w:p>
      <w:pPr>
        <w:spacing w:before="100" w:beforeAutospacing="1" w:after="100" w:afterAutospacing="1" w:line="440" w:lineRule="exact"/>
        <w:jc w:val="center"/>
        <w:outlineLvl w:val="1"/>
        <w:rPr>
          <w:rFonts w:hint="eastAsia" w:ascii="新宋体" w:hAnsi="新宋体" w:eastAsia="新宋体" w:cs="新宋体"/>
          <w:b/>
          <w:bCs/>
          <w:color w:val="auto"/>
          <w:sz w:val="26"/>
          <w:szCs w:val="26"/>
          <w:highlight w:val="none"/>
        </w:rPr>
      </w:pPr>
      <w:r>
        <w:rPr>
          <w:rFonts w:hint="eastAsia" w:ascii="新宋体" w:hAnsi="新宋体" w:eastAsia="新宋体" w:cs="新宋体"/>
          <w:b/>
          <w:bCs/>
          <w:color w:val="auto"/>
          <w:sz w:val="26"/>
          <w:szCs w:val="26"/>
          <w:highlight w:val="none"/>
        </w:rPr>
        <w:t>六、 授予合同</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highlight w:val="none"/>
        </w:rPr>
        <w:t>1、中标通知书</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bCs/>
          <w:color w:val="auto"/>
          <w:sz w:val="22"/>
          <w:szCs w:val="22"/>
          <w:highlight w:val="none"/>
        </w:rPr>
        <w:t>1.1</w:t>
      </w:r>
      <w:r>
        <w:rPr>
          <w:rFonts w:hint="eastAsia" w:ascii="新宋体" w:hAnsi="新宋体" w:eastAsia="新宋体" w:cs="新宋体"/>
          <w:color w:val="auto"/>
          <w:sz w:val="22"/>
          <w:szCs w:val="22"/>
          <w:highlight w:val="none"/>
        </w:rPr>
        <w:t xml:space="preserve">中标人确定后，招标人将向中标人发出中标通知书。 </w:t>
      </w:r>
    </w:p>
    <w:p>
      <w:pPr>
        <w:spacing w:line="460" w:lineRule="exact"/>
        <w:ind w:firstLine="541" w:firstLineChars="245"/>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1.2</w:t>
      </w:r>
      <w:r>
        <w:rPr>
          <w:rFonts w:hint="eastAsia" w:ascii="新宋体" w:hAnsi="新宋体" w:eastAsia="新宋体" w:cs="新宋体"/>
          <w:color w:val="auto"/>
          <w:sz w:val="22"/>
          <w:szCs w:val="22"/>
          <w:highlight w:val="none"/>
        </w:rPr>
        <w:t>中标通知书是合同的一个组成部分,对招标人和中标人均具有同等法律效力。</w:t>
      </w:r>
    </w:p>
    <w:p>
      <w:pPr>
        <w:spacing w:line="460" w:lineRule="exact"/>
        <w:ind w:firstLine="539" w:firstLineChars="245"/>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highlight w:val="none"/>
        </w:rPr>
        <w:t>2、授标时更改采购货物数量的权力</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2.1招标人在授予合同时有权对采购货物的数量和服务在一定幅度范围内予以增加或减少,但不得对单价和其他的条款和条件作任何改变。</w:t>
      </w:r>
    </w:p>
    <w:p>
      <w:pPr>
        <w:spacing w:line="460" w:lineRule="exact"/>
        <w:ind w:firstLine="539" w:firstLineChars="245"/>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highlight w:val="none"/>
        </w:rPr>
        <w:t>3、签订合同</w:t>
      </w:r>
    </w:p>
    <w:p>
      <w:pPr>
        <w:spacing w:line="460" w:lineRule="exact"/>
        <w:ind w:firstLine="539"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Cs/>
          <w:color w:val="auto"/>
          <w:sz w:val="22"/>
          <w:szCs w:val="22"/>
          <w:highlight w:val="none"/>
        </w:rPr>
        <w:t>3.1中标人应按中标通知书规定的时间、地点与招标人签订合同。</w:t>
      </w:r>
    </w:p>
    <w:p>
      <w:pPr>
        <w:spacing w:line="460" w:lineRule="exact"/>
        <w:ind w:firstLine="539" w:firstLineChars="245"/>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3.2</w:t>
      </w:r>
      <w:r>
        <w:rPr>
          <w:rFonts w:hint="eastAsia" w:ascii="新宋体" w:hAnsi="新宋体" w:eastAsia="新宋体" w:cs="新宋体"/>
          <w:b/>
          <w:color w:val="auto"/>
          <w:spacing w:val="6"/>
          <w:sz w:val="22"/>
          <w:szCs w:val="22"/>
          <w:highlight w:val="none"/>
        </w:rPr>
        <w:t>在签订合同前，招标人有权在中标总价不变的前提下要求中标人对报价中的不平衡报价和缺漏项进行调整，如果中标人无合理理由拒绝调整，其中投标资格将被取消，保证金将不予退还，且将导致其它进一步的赔偿和处罚。</w:t>
      </w:r>
    </w:p>
    <w:p>
      <w:pPr>
        <w:spacing w:line="460" w:lineRule="exact"/>
        <w:ind w:firstLine="539" w:firstLineChars="245"/>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3.3招标文件、中标人的投标文件、投标修改文件、评标过程中有关澄清文件及经投标人和评委双方签字的询标纪要和中标通知书均作为合同附件。</w:t>
      </w:r>
    </w:p>
    <w:p>
      <w:pPr>
        <w:spacing w:line="460" w:lineRule="exact"/>
        <w:ind w:firstLine="539" w:firstLineChars="245"/>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3.4拒签合同的违约责任</w:t>
      </w:r>
    </w:p>
    <w:p>
      <w:pPr>
        <w:spacing w:line="460" w:lineRule="exact"/>
        <w:ind w:firstLine="571" w:firstLineChars="245"/>
        <w:rPr>
          <w:rFonts w:hint="eastAsia" w:ascii="新宋体" w:hAnsi="新宋体" w:eastAsia="新宋体" w:cs="新宋体"/>
          <w:b/>
          <w:color w:val="auto"/>
          <w:spacing w:val="6"/>
          <w:sz w:val="22"/>
          <w:szCs w:val="22"/>
          <w:highlight w:val="none"/>
        </w:rPr>
      </w:pPr>
      <w:r>
        <w:rPr>
          <w:rFonts w:hint="eastAsia" w:ascii="新宋体" w:hAnsi="新宋体" w:eastAsia="新宋体" w:cs="新宋体"/>
          <w:b/>
          <w:color w:val="auto"/>
          <w:spacing w:val="6"/>
          <w:sz w:val="22"/>
          <w:szCs w:val="22"/>
          <w:highlight w:val="none"/>
        </w:rPr>
        <w:t>中标人接到中标通知书后，在规定时间内借故否认已经承诺的条件而拒签合同的，以违约处理。</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highlight w:val="none"/>
        </w:rPr>
        <w:t>4、质疑与投诉</w:t>
      </w:r>
    </w:p>
    <w:p>
      <w:pPr>
        <w:spacing w:line="460" w:lineRule="exact"/>
        <w:ind w:firstLine="539" w:firstLineChars="245"/>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highlight w:val="none"/>
        </w:rPr>
        <w:t>4.1投标人认为招标文件、采购过程、中标和成交结果使自己的合法权益受到损害的，可以在知道或应知道其权益受到损害之日起七个工作日内以书面形式向招标人或招标代理机构提出质疑。</w:t>
      </w:r>
    </w:p>
    <w:p>
      <w:pPr>
        <w:spacing w:line="460" w:lineRule="exact"/>
        <w:ind w:firstLine="539" w:firstLineChars="245"/>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highlight w:val="none"/>
        </w:rPr>
        <w:t>4.2招标人或招标代理机构在收到投标人的书面质疑后七个工作日内作出答复，但答复的内容不得涉及商业秘密。质疑供应商对招标人或招标代理机构的答复不满意，可以在答复期满后十五个工作日内向同级采购监督管理部门投诉。</w:t>
      </w:r>
    </w:p>
    <w:p>
      <w:pPr>
        <w:spacing w:line="460" w:lineRule="exact"/>
        <w:ind w:firstLine="539" w:firstLineChars="245"/>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highlight w:val="none"/>
        </w:rPr>
        <w:t>4.3投诉人投诉时，应提交投诉书，投诉书应当由本人并由法定代表人签字盖公章，投诉书应说明具体的投诉事项及事实依据。投诉人对投诉书的真实性负责，恶意投诉将承当相应的法律和民事责任。</w:t>
      </w:r>
    </w:p>
    <w:p>
      <w:pPr>
        <w:spacing w:line="420" w:lineRule="exact"/>
        <w:ind w:firstLine="539" w:firstLineChars="245"/>
        <w:rPr>
          <w:rFonts w:hint="eastAsia" w:ascii="新宋体" w:hAnsi="新宋体" w:eastAsia="新宋体"/>
          <w:color w:val="auto"/>
          <w:sz w:val="22"/>
          <w:highlight w:val="none"/>
        </w:rPr>
      </w:pPr>
      <w:r>
        <w:rPr>
          <w:rFonts w:hint="eastAsia" w:ascii="新宋体" w:hAnsi="新宋体" w:eastAsia="新宋体" w:cs="新宋体"/>
          <w:color w:val="auto"/>
          <w:sz w:val="22"/>
          <w:highlight w:val="none"/>
        </w:rPr>
        <w:t>4.4</w:t>
      </w:r>
      <w:r>
        <w:rPr>
          <w:rFonts w:ascii="新宋体" w:hAnsi="新宋体" w:eastAsia="新宋体"/>
          <w:color w:val="auto"/>
          <w:sz w:val="22"/>
          <w:highlight w:val="none"/>
        </w:rPr>
        <w:t>同级采购监督部门：</w:t>
      </w:r>
      <w:r>
        <w:rPr>
          <w:rFonts w:hint="eastAsia" w:ascii="新宋体" w:hAnsi="新宋体" w:eastAsia="新宋体"/>
          <w:color w:val="auto"/>
          <w:sz w:val="22"/>
          <w:highlight w:val="none"/>
        </w:rPr>
        <w:t>温州瓯江口产业集聚区财政局</w:t>
      </w:r>
    </w:p>
    <w:p>
      <w:pPr>
        <w:spacing w:line="460" w:lineRule="exact"/>
        <w:ind w:firstLine="869" w:firstLineChars="395"/>
        <w:rPr>
          <w:rFonts w:hint="eastAsia" w:ascii="新宋体" w:hAnsi="新宋体" w:eastAsia="新宋体"/>
          <w:color w:val="auto"/>
          <w:sz w:val="22"/>
          <w:highlight w:val="none"/>
        </w:rPr>
      </w:pPr>
      <w:r>
        <w:rPr>
          <w:rFonts w:ascii="新宋体" w:hAnsi="新宋体" w:eastAsia="新宋体"/>
          <w:color w:val="auto"/>
          <w:sz w:val="22"/>
          <w:highlight w:val="none"/>
        </w:rPr>
        <w:t>电话：</w:t>
      </w:r>
      <w:r>
        <w:rPr>
          <w:rFonts w:hint="eastAsia" w:ascii="新宋体" w:hAnsi="新宋体" w:eastAsia="新宋体"/>
          <w:color w:val="auto"/>
          <w:sz w:val="22"/>
          <w:highlight w:val="none"/>
        </w:rPr>
        <w:t>0577-55875065</w:t>
      </w:r>
    </w:p>
    <w:p>
      <w:pPr>
        <w:spacing w:line="460" w:lineRule="exact"/>
        <w:ind w:firstLine="869" w:firstLineChars="395"/>
        <w:rPr>
          <w:rFonts w:hint="eastAsia" w:ascii="新宋体" w:hAnsi="新宋体" w:eastAsia="新宋体"/>
          <w:color w:val="auto"/>
          <w:sz w:val="22"/>
          <w:highlight w:val="none"/>
        </w:rPr>
      </w:pPr>
      <w:r>
        <w:rPr>
          <w:rFonts w:hint="eastAsia" w:ascii="新宋体" w:hAnsi="新宋体" w:eastAsia="新宋体"/>
          <w:color w:val="auto"/>
          <w:sz w:val="22"/>
          <w:highlight w:val="none"/>
        </w:rPr>
        <w:t xml:space="preserve"> </w:t>
      </w:r>
    </w:p>
    <w:p>
      <w:pPr>
        <w:spacing w:line="460" w:lineRule="exact"/>
        <w:ind w:firstLine="880" w:firstLineChars="400"/>
        <w:rPr>
          <w:rFonts w:hint="eastAsia" w:ascii="新宋体" w:hAnsi="新宋体" w:eastAsia="新宋体" w:cs="新宋体"/>
          <w:color w:val="auto"/>
          <w:sz w:val="22"/>
          <w:highlight w:val="none"/>
        </w:rPr>
      </w:pPr>
    </w:p>
    <w:p>
      <w:pPr>
        <w:spacing w:line="460" w:lineRule="exact"/>
        <w:ind w:firstLine="880" w:firstLineChars="400"/>
        <w:rPr>
          <w:rFonts w:hint="eastAsia" w:ascii="新宋体" w:hAnsi="新宋体" w:eastAsia="新宋体" w:cs="新宋体"/>
          <w:color w:val="auto"/>
          <w:sz w:val="22"/>
          <w:highlight w:val="none"/>
        </w:rPr>
      </w:pPr>
    </w:p>
    <w:p>
      <w:pPr>
        <w:spacing w:line="460" w:lineRule="exact"/>
        <w:ind w:firstLine="976" w:firstLineChars="444"/>
        <w:rPr>
          <w:rFonts w:hint="eastAsia" w:ascii="新宋体" w:hAnsi="新宋体" w:eastAsia="新宋体" w:cs="新宋体"/>
          <w:color w:val="auto"/>
          <w:sz w:val="22"/>
          <w:highlight w:val="none"/>
        </w:rPr>
      </w:pPr>
    </w:p>
    <w:p>
      <w:pPr>
        <w:spacing w:line="460" w:lineRule="exact"/>
        <w:ind w:firstLine="539" w:firstLineChars="245"/>
        <w:rPr>
          <w:rFonts w:hint="eastAsia" w:ascii="新宋体" w:hAnsi="新宋体" w:eastAsia="新宋体" w:cs="新宋体"/>
          <w:color w:val="auto"/>
          <w:sz w:val="22"/>
          <w:highlight w:val="none"/>
        </w:rPr>
      </w:pPr>
    </w:p>
    <w:p>
      <w:pPr>
        <w:pStyle w:val="23"/>
        <w:ind w:left="440" w:hanging="440"/>
        <w:rPr>
          <w:rFonts w:hint="eastAsia" w:ascii="新宋体" w:hAnsi="新宋体" w:eastAsia="新宋体" w:cs="新宋体"/>
          <w:color w:val="auto"/>
          <w:sz w:val="22"/>
          <w:highlight w:val="none"/>
        </w:rPr>
      </w:pPr>
    </w:p>
    <w:p>
      <w:pPr>
        <w:pStyle w:val="23"/>
        <w:ind w:left="440" w:hanging="440"/>
        <w:rPr>
          <w:rFonts w:hint="eastAsia" w:ascii="新宋体" w:hAnsi="新宋体" w:eastAsia="新宋体" w:cs="新宋体"/>
          <w:color w:val="auto"/>
          <w:sz w:val="22"/>
          <w:highlight w:val="none"/>
        </w:rPr>
      </w:pPr>
    </w:p>
    <w:p>
      <w:pPr>
        <w:pStyle w:val="23"/>
        <w:ind w:left="440" w:hanging="440"/>
        <w:rPr>
          <w:rFonts w:hint="eastAsia" w:ascii="新宋体" w:hAnsi="新宋体" w:eastAsia="新宋体" w:cs="新宋体"/>
          <w:color w:val="auto"/>
          <w:sz w:val="22"/>
          <w:highlight w:val="none"/>
        </w:rPr>
      </w:pPr>
    </w:p>
    <w:p>
      <w:pPr>
        <w:pStyle w:val="23"/>
        <w:ind w:left="440" w:hanging="440"/>
        <w:rPr>
          <w:rFonts w:hint="eastAsia" w:ascii="新宋体" w:hAnsi="新宋体" w:eastAsia="新宋体" w:cs="新宋体"/>
          <w:color w:val="auto"/>
          <w:sz w:val="22"/>
          <w:highlight w:val="none"/>
        </w:rPr>
      </w:pPr>
    </w:p>
    <w:p>
      <w:pPr>
        <w:pStyle w:val="23"/>
        <w:ind w:left="440" w:hanging="440"/>
        <w:rPr>
          <w:rFonts w:hint="eastAsia" w:ascii="新宋体" w:hAnsi="新宋体" w:eastAsia="新宋体" w:cs="新宋体"/>
          <w:color w:val="auto"/>
          <w:sz w:val="22"/>
          <w:highlight w:val="none"/>
        </w:rPr>
      </w:pPr>
    </w:p>
    <w:p>
      <w:pPr>
        <w:pStyle w:val="23"/>
        <w:ind w:left="440" w:hanging="440"/>
        <w:rPr>
          <w:rFonts w:hint="eastAsia" w:ascii="新宋体" w:hAnsi="新宋体" w:eastAsia="新宋体" w:cs="新宋体"/>
          <w:color w:val="auto"/>
          <w:sz w:val="22"/>
          <w:highlight w:val="none"/>
        </w:rPr>
      </w:pPr>
    </w:p>
    <w:p>
      <w:pPr>
        <w:pStyle w:val="23"/>
        <w:ind w:left="440" w:hanging="440"/>
        <w:rPr>
          <w:rFonts w:hint="eastAsia" w:ascii="新宋体" w:hAnsi="新宋体" w:eastAsia="新宋体" w:cs="新宋体"/>
          <w:color w:val="auto"/>
          <w:sz w:val="22"/>
          <w:highlight w:val="none"/>
        </w:rPr>
      </w:pPr>
    </w:p>
    <w:p>
      <w:pPr>
        <w:pStyle w:val="23"/>
        <w:ind w:left="440" w:hanging="440"/>
        <w:rPr>
          <w:rFonts w:hint="eastAsia" w:ascii="新宋体" w:hAnsi="新宋体" w:eastAsia="新宋体" w:cs="新宋体"/>
          <w:color w:val="auto"/>
          <w:sz w:val="22"/>
          <w:highlight w:val="none"/>
        </w:rPr>
      </w:pPr>
    </w:p>
    <w:p>
      <w:pPr>
        <w:pStyle w:val="25"/>
        <w:ind w:left="0" w:leftChars="0"/>
        <w:rPr>
          <w:rFonts w:hint="eastAsia" w:ascii="新宋体" w:hAnsi="新宋体" w:eastAsia="新宋体" w:cs="新宋体"/>
          <w:color w:val="auto"/>
          <w:sz w:val="22"/>
          <w:highlight w:val="none"/>
        </w:rPr>
      </w:pPr>
    </w:p>
    <w:p>
      <w:pPr>
        <w:pStyle w:val="25"/>
        <w:ind w:left="0" w:leftChars="0"/>
        <w:rPr>
          <w:rFonts w:hint="eastAsia" w:ascii="新宋体" w:hAnsi="新宋体" w:eastAsia="新宋体" w:cs="新宋体"/>
          <w:color w:val="auto"/>
          <w:sz w:val="22"/>
          <w:highlight w:val="none"/>
        </w:rPr>
      </w:pPr>
    </w:p>
    <w:p>
      <w:pPr>
        <w:pStyle w:val="25"/>
        <w:ind w:left="0" w:leftChars="0"/>
        <w:rPr>
          <w:rFonts w:hint="eastAsia" w:ascii="新宋体" w:hAnsi="新宋体" w:eastAsia="新宋体" w:cs="新宋体"/>
          <w:color w:val="auto"/>
          <w:sz w:val="22"/>
          <w:highlight w:val="none"/>
        </w:rPr>
      </w:pPr>
    </w:p>
    <w:p>
      <w:pPr>
        <w:pStyle w:val="25"/>
        <w:ind w:left="0" w:leftChars="0"/>
        <w:rPr>
          <w:rFonts w:ascii="新宋体" w:hAnsi="新宋体" w:eastAsia="新宋体" w:cs="新宋体"/>
          <w:color w:val="auto"/>
          <w:sz w:val="22"/>
          <w:highlight w:val="none"/>
        </w:rPr>
      </w:pPr>
    </w:p>
    <w:p>
      <w:pPr>
        <w:pStyle w:val="25"/>
        <w:ind w:left="0" w:leftChars="0"/>
        <w:rPr>
          <w:rFonts w:ascii="新宋体" w:hAnsi="新宋体" w:eastAsia="新宋体" w:cs="新宋体"/>
          <w:color w:val="auto"/>
          <w:sz w:val="22"/>
          <w:highlight w:val="none"/>
        </w:rPr>
      </w:pPr>
    </w:p>
    <w:p>
      <w:pPr>
        <w:pStyle w:val="25"/>
        <w:ind w:left="0" w:leftChars="0"/>
        <w:rPr>
          <w:rFonts w:ascii="新宋体" w:hAnsi="新宋体" w:eastAsia="新宋体" w:cs="新宋体"/>
          <w:color w:val="auto"/>
          <w:sz w:val="22"/>
          <w:highlight w:val="none"/>
        </w:rPr>
      </w:pPr>
    </w:p>
    <w:p>
      <w:pPr>
        <w:pStyle w:val="25"/>
        <w:ind w:left="0" w:leftChars="0"/>
        <w:rPr>
          <w:rFonts w:ascii="新宋体" w:hAnsi="新宋体" w:eastAsia="新宋体" w:cs="新宋体"/>
          <w:color w:val="auto"/>
          <w:sz w:val="22"/>
          <w:highlight w:val="none"/>
        </w:rPr>
      </w:pPr>
    </w:p>
    <w:p>
      <w:pPr>
        <w:pStyle w:val="25"/>
        <w:ind w:left="0" w:leftChars="0"/>
        <w:rPr>
          <w:rFonts w:ascii="新宋体" w:hAnsi="新宋体" w:eastAsia="新宋体" w:cs="新宋体"/>
          <w:color w:val="auto"/>
          <w:sz w:val="22"/>
          <w:highlight w:val="none"/>
        </w:rPr>
      </w:pPr>
    </w:p>
    <w:p>
      <w:pPr>
        <w:pStyle w:val="25"/>
        <w:ind w:left="0" w:leftChars="0"/>
        <w:rPr>
          <w:rFonts w:ascii="新宋体" w:hAnsi="新宋体" w:eastAsia="新宋体" w:cs="新宋体"/>
          <w:color w:val="auto"/>
          <w:sz w:val="22"/>
          <w:highlight w:val="none"/>
        </w:rPr>
      </w:pPr>
    </w:p>
    <w:p>
      <w:pPr>
        <w:pStyle w:val="25"/>
        <w:ind w:left="0" w:leftChars="0"/>
        <w:rPr>
          <w:rFonts w:ascii="新宋体" w:hAnsi="新宋体" w:eastAsia="新宋体" w:cs="新宋体"/>
          <w:color w:val="auto"/>
          <w:sz w:val="22"/>
          <w:highlight w:val="none"/>
        </w:rPr>
      </w:pPr>
    </w:p>
    <w:p>
      <w:pPr>
        <w:pStyle w:val="25"/>
        <w:ind w:left="0" w:leftChars="0"/>
        <w:rPr>
          <w:rFonts w:ascii="新宋体" w:hAnsi="新宋体" w:eastAsia="新宋体" w:cs="新宋体"/>
          <w:color w:val="auto"/>
          <w:sz w:val="22"/>
          <w:highlight w:val="none"/>
        </w:rPr>
      </w:pPr>
    </w:p>
    <w:p>
      <w:pPr>
        <w:pStyle w:val="25"/>
        <w:ind w:left="0" w:leftChars="0"/>
        <w:rPr>
          <w:rFonts w:hint="eastAsia" w:ascii="新宋体" w:hAnsi="新宋体" w:eastAsia="新宋体" w:cs="新宋体"/>
          <w:color w:val="auto"/>
          <w:sz w:val="22"/>
          <w:highlight w:val="none"/>
        </w:rPr>
      </w:pPr>
    </w:p>
    <w:p>
      <w:pPr>
        <w:pStyle w:val="23"/>
        <w:spacing w:line="460" w:lineRule="exact"/>
        <w:ind w:left="430" w:leftChars="205" w:firstLine="0" w:firstLineChars="0"/>
        <w:jc w:val="center"/>
        <w:outlineLvl w:val="0"/>
        <w:rPr>
          <w:rFonts w:hint="eastAsia" w:ascii="新宋体" w:hAnsi="新宋体" w:eastAsia="新宋体"/>
          <w:b/>
          <w:color w:val="auto"/>
          <w:sz w:val="30"/>
          <w:highlight w:val="none"/>
        </w:rPr>
      </w:pPr>
      <w:r>
        <w:rPr>
          <w:rFonts w:hint="eastAsia" w:ascii="新宋体" w:hAnsi="新宋体" w:eastAsia="新宋体"/>
          <w:b/>
          <w:color w:val="auto"/>
          <w:sz w:val="30"/>
          <w:highlight w:val="none"/>
        </w:rPr>
        <w:t>第二部分    合同主要条款</w:t>
      </w:r>
    </w:p>
    <w:p>
      <w:pPr>
        <w:spacing w:line="460" w:lineRule="exact"/>
        <w:ind w:firstLine="512" w:firstLineChars="245"/>
        <w:jc w:val="center"/>
        <w:outlineLvl w:val="1"/>
        <w:rPr>
          <w:rFonts w:ascii="新宋体" w:hAnsi="新宋体" w:eastAsia="新宋体" w:cs="新宋体"/>
          <w:b/>
          <w:bCs/>
          <w:color w:val="auto"/>
          <w:sz w:val="22"/>
          <w:szCs w:val="22"/>
          <w:highlight w:val="none"/>
        </w:rPr>
      </w:pPr>
      <w:r>
        <w:rPr>
          <w:rFonts w:hint="eastAsia" w:ascii="新宋体" w:hAnsi="新宋体" w:eastAsia="新宋体" w:cs="新宋体"/>
          <w:color w:val="auto"/>
          <w:w w:val="95"/>
          <w:sz w:val="22"/>
          <w:szCs w:val="22"/>
          <w:highlight w:val="none"/>
        </w:rPr>
        <w:t xml:space="preserve">              </w:t>
      </w:r>
      <w:r>
        <w:rPr>
          <w:rFonts w:hint="eastAsia" w:ascii="新宋体" w:hAnsi="新宋体" w:eastAsia="新宋体" w:cs="新宋体"/>
          <w:b/>
          <w:bCs/>
          <w:color w:val="auto"/>
          <w:sz w:val="22"/>
          <w:szCs w:val="22"/>
          <w:highlight w:val="none"/>
        </w:rPr>
        <w:t>（标段一、标段二）</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注：如甲、乙双方同意，合同格式也可以按照其他形式, 具体条款以甲方为主协商确定。但合同条款的基本内容应与以下要求的内容相一致。</w:t>
      </w:r>
    </w:p>
    <w:p>
      <w:pPr>
        <w:spacing w:line="460" w:lineRule="exact"/>
        <w:ind w:firstLine="539" w:firstLineChars="245"/>
        <w:rPr>
          <w:rFonts w:hint="eastAsia" w:ascii="新宋体" w:hAnsi="新宋体" w:eastAsia="新宋体" w:cs="新宋体"/>
          <w:color w:val="auto"/>
          <w:sz w:val="22"/>
          <w:szCs w:val="22"/>
          <w:highlight w:val="none"/>
        </w:rPr>
      </w:pP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甲方：温州市公安局瓯江口分局</w:t>
      </w:r>
    </w:p>
    <w:p>
      <w:pPr>
        <w:spacing w:line="460" w:lineRule="exact"/>
        <w:ind w:left="660" w:hanging="660" w:hangingChars="3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乙方：</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温州市公安局瓯江口分局的</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（项目名称、编号、标段）在国内以公开招标方式进行采购，经评标委员会评定</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（中标人名称）为中标人。甲、乙双方本着诚信及互利互惠的原则，同意按照下面条款和条件，签署本合同。</w:t>
      </w:r>
    </w:p>
    <w:p>
      <w:pPr>
        <w:spacing w:line="460" w:lineRule="exact"/>
        <w:ind w:firstLine="541" w:firstLineChars="245"/>
        <w:outlineLvl w:val="2"/>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一、本合同文件的优先次序</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合同文件由以下文件组成，如存在歧义或不一致则根据以下优先次序来判断：</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1、合同书及合同补充条款或说明 </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2、中标通知书</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3、承诺书（含询标记录和优惠条款）</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4、投标文件</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5、招标文件</w:t>
      </w:r>
    </w:p>
    <w:p>
      <w:pPr>
        <w:spacing w:line="460" w:lineRule="exact"/>
        <w:ind w:firstLine="541" w:firstLineChars="245"/>
        <w:outlineLvl w:val="2"/>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二、项目的实施规模、范围：</w:t>
      </w:r>
    </w:p>
    <w:p>
      <w:pPr>
        <w:spacing w:line="460" w:lineRule="exact"/>
        <w:ind w:firstLine="539" w:firstLineChars="245"/>
        <w:rPr>
          <w:rFonts w:hint="eastAsia" w:ascii="新宋体" w:hAnsi="新宋体" w:eastAsia="新宋体"/>
          <w:b/>
          <w:color w:val="auto"/>
          <w:sz w:val="22"/>
          <w:szCs w:val="22"/>
          <w:highlight w:val="none"/>
        </w:rPr>
      </w:pPr>
      <w:r>
        <w:rPr>
          <w:rFonts w:hint="eastAsia" w:ascii="新宋体" w:hAnsi="新宋体" w:eastAsia="新宋体"/>
          <w:color w:val="auto"/>
          <w:sz w:val="22"/>
          <w:highlight w:val="none"/>
        </w:rPr>
        <w:t>瓯江口雪亮工程建设项目</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cs="新宋体"/>
          <w:b/>
          <w:bCs/>
          <w:color w:val="auto"/>
          <w:sz w:val="22"/>
          <w:szCs w:val="22"/>
          <w:highlight w:val="none"/>
        </w:rPr>
        <w:t>标段一：</w:t>
      </w:r>
      <w:r>
        <w:rPr>
          <w:rFonts w:hint="eastAsia" w:ascii="新宋体" w:hAnsi="新宋体" w:eastAsia="新宋体"/>
          <w:color w:val="auto"/>
          <w:sz w:val="22"/>
          <w:highlight w:val="none"/>
        </w:rPr>
        <w:t>瓯江口雪亮工程建设项目-公安监控建设</w:t>
      </w:r>
      <w:r>
        <w:rPr>
          <w:rFonts w:hint="eastAsia" w:ascii="新宋体" w:hAnsi="新宋体" w:eastAsia="新宋体" w:cs="新宋体"/>
          <w:color w:val="auto"/>
          <w:sz w:val="22"/>
          <w:szCs w:val="22"/>
          <w:highlight w:val="none"/>
        </w:rPr>
        <w:t xml:space="preserve">   </w:t>
      </w:r>
    </w:p>
    <w:p>
      <w:pPr>
        <w:spacing w:line="460" w:lineRule="exact"/>
        <w:ind w:firstLine="541" w:firstLineChars="245"/>
        <w:rPr>
          <w:rFonts w:hint="eastAsia" w:ascii="新宋体" w:hAnsi="新宋体" w:eastAsia="新宋体"/>
          <w:b/>
          <w:color w:val="auto"/>
          <w:sz w:val="22"/>
          <w:szCs w:val="22"/>
          <w:highlight w:val="none"/>
        </w:rPr>
      </w:pPr>
      <w:r>
        <w:rPr>
          <w:rFonts w:hint="eastAsia" w:ascii="新宋体" w:hAnsi="新宋体" w:eastAsia="新宋体"/>
          <w:b/>
          <w:color w:val="auto"/>
          <w:sz w:val="22"/>
          <w:szCs w:val="22"/>
          <w:highlight w:val="none"/>
        </w:rPr>
        <w:t>标段二：</w:t>
      </w:r>
      <w:r>
        <w:rPr>
          <w:rFonts w:hint="eastAsia" w:ascii="新宋体" w:hAnsi="新宋体" w:eastAsia="新宋体"/>
          <w:color w:val="auto"/>
          <w:sz w:val="22"/>
          <w:highlight w:val="none"/>
        </w:rPr>
        <w:t>瓯江口雪亮工程建设项目-水利等部门可视化工程建设</w:t>
      </w:r>
      <w:r>
        <w:rPr>
          <w:rFonts w:hint="eastAsia" w:ascii="新宋体" w:hAnsi="新宋体" w:eastAsia="新宋体" w:cs="新宋体"/>
          <w:b/>
          <w:color w:val="auto"/>
          <w:sz w:val="22"/>
          <w:szCs w:val="22"/>
          <w:highlight w:val="none"/>
        </w:rPr>
        <w:t xml:space="preserve"> </w:t>
      </w:r>
    </w:p>
    <w:p>
      <w:pPr>
        <w:spacing w:line="460" w:lineRule="exact"/>
        <w:ind w:firstLine="541" w:firstLineChars="245"/>
        <w:rPr>
          <w:rFonts w:hint="eastAsia"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具体要求以招标文件要求为准。</w:t>
      </w:r>
    </w:p>
    <w:p>
      <w:pPr>
        <w:spacing w:line="460" w:lineRule="exact"/>
        <w:ind w:firstLine="541" w:firstLineChars="245"/>
        <w:outlineLvl w:val="2"/>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三、要求质量标准：</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先进、主流、可靠、安全、开放、实用、性价比高。</w:t>
      </w:r>
    </w:p>
    <w:p>
      <w:pPr>
        <w:spacing w:line="460" w:lineRule="exact"/>
        <w:ind w:firstLine="541" w:firstLineChars="245"/>
        <w:outlineLvl w:val="2"/>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四、合同主要条款：</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1、公安基于公共运营商的治安动态监控系统的总体架构和技术标准由甲方确定。</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公安基于公共运营商的治安动态监控系统应遵循开放系统的原则，能提供符合国际标准和软件、硬件、通信、网络、操作系统和数据库管理系统等方面的接口和协议，并为今后的二次开发预留接口和开放协议。</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3、公安基于公共运营商的治安动态监控系统中图像数据的所有权归属甲方，未经甲方同意，乙方不得私自泄露、转让给第三方使用。</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4、公安基于公共运营商的治安动态监控系统的账号管理权、图像应用及管理权归属甲方。</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甲方对乙方的平台不能正常运行或因平台技术维护原因造成图像数据丢失有权要求乙方及时改进。如遇乙方平台技术升级、承载网链路割接等，并在征得甲方同意的基础上，乙方应提前48小时通知甲方，说明可能造成的影响和范围，并确保每次平台技术升级和承载网链路割接在6小时内完成，在此时间内所造成的图像数据丢失，乙方不承担违约责任。</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6、乙方通过系统网管平台发现业务点发生故障或由甲方提出申告时，乙方承诺在24小时内恢复。</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7、乙方应保证所提供设备达到整套系统运行质量要求，符合相关的技术标准和规范要求，保证满足甲方正常工作需求。</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8、乙方所提供的通讯线路和设备质量应符合国家质量标准和技术要求，满足甲方通讯需求。</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9、乙方应建立健全公安基于公共运营商的治安动态监控系统的技术档案和维护档案并提供给甲方。</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乙方应负责监控图像集中存储设备级的配置和管理，不具有监控图像浏览、录像调用权限。乙方应做好运行维护人员的保密安全教育和管理，未经甲方允许不得对基于公共运营商的治安动态监控系统中的图像数据进行下载和传播。</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11、乙方应指定专门的联络人，负责公安基于公共运营商的治安动态监控系统的技术咨询、业务开通、平台维护、前端及监控中心软硬件维护的接洽工作。</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12、乙方保证提供人脸卡口视频流存储格式为1080p/25fps/4Mbps码流/30天×24小时，保证提供不间断录像和录像存储的安全。</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13、乙方应为公安基于公共运营商的治安动态监控系统建立光纤承载专用网，达到与公安内网互连的安全性要求。</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14、乙方应为甲方提供及时优质的服务，保障网络的运行稳定，负责故障的全程处理，乙方将提供365天7×24小时热线电话服务，并确定专人联系。</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15、乙方承诺本次项目所涉监控点位月平均在线率不低于98％。</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16、在履行合同的过程中，如果乙方遇到将不能按照合同规定的时间完成系统实施和提供服务时，应该及时以书面形式将拖延的事实、可能拖延的时间和原因通知甲方。甲方在收到乙方通知后，应尽快对情况进行评价，并确定是否酌情推迟提供服务时间以及是否收取误期赔偿费。</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17、乙方除不可抗拒的因素（包含战争、自然灾害等不可抗力以及视频监控系统建设中必需的道路开挖审批和电力接入等客观因素）和合同条款第十五条：不可抗力条款内容规定情况以及延期是根据合同条款第16条的规定取得甲方的同意而不收取误期赔偿费外，应在合同规定的项目实施时间（第七条）内基本完成服务的提供并组织项目验收工作。每延误一周的赔偿费按应付金额总价的1%计收，最高赔偿限额为应付金额总价的10%。一旦延迟到误期赔偿费的最高限额，甲方有权终止合同。</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18、视频监控运维考核</w:t>
      </w:r>
    </w:p>
    <w:p>
      <w:pPr>
        <w:spacing w:line="460" w:lineRule="exact"/>
        <w:ind w:firstLine="539" w:firstLineChars="245"/>
        <w:rPr>
          <w:rFonts w:hint="eastAsia"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lang w:val="zh-CN"/>
        </w:rPr>
        <w:t>故障点位处置分为三类，一类为点位故障报障维修，二类为移机报障，三类为道路施工等原因原地临时挂起报障。</w:t>
      </w:r>
    </w:p>
    <w:p>
      <w:pPr>
        <w:spacing w:line="460" w:lineRule="exact"/>
        <w:ind w:firstLine="539" w:firstLineChars="245"/>
        <w:rPr>
          <w:rFonts w:hint="eastAsia"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lang w:val="zh-CN"/>
        </w:rPr>
        <w:t>（1）一类故障点位：以系统报障或人工报障发起后，乙方要及时接单，维修后通过系统截图反馈确认维修完毕，时间从甲方运维中心发起报障时间起算，到乙方运维确认反馈维修完毕为该点位维修时间，维修时间从故障发起到维修完毕反馈时间超过24小时少于48小时算1天，超过48小时少于72小时算2天，以此类推，按实际天数单点每天扣除100元的费用。甲方运维中心对反馈点位维修情况进行确定，发现弄虚作假的，直接扣除人民币1万元予以处罚。</w:t>
      </w:r>
    </w:p>
    <w:p>
      <w:pPr>
        <w:spacing w:line="460" w:lineRule="exact"/>
        <w:ind w:firstLine="539" w:firstLineChars="245"/>
        <w:rPr>
          <w:rFonts w:hint="eastAsia"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lang w:val="zh-CN"/>
        </w:rPr>
        <w:t>乙方保证提供每路30*24小时不间断录像和录像存储的安全，甲方发现乙方无法提供录像（前端设备故障在修、停电等除外），当月录像缺失8小时以上每路扣除当月2000元。</w:t>
      </w:r>
    </w:p>
    <w:p>
      <w:pPr>
        <w:spacing w:line="460" w:lineRule="exact"/>
        <w:ind w:firstLine="539" w:firstLineChars="245"/>
        <w:rPr>
          <w:rFonts w:hint="eastAsia"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lang w:val="zh-CN"/>
        </w:rPr>
        <w:t>（2）二类故障点位：甲方运维中心发起故障保障流程后，乙方要在24小时内确认为因拆迁等原因需要移机的点位，在系统上反馈，甲方第一时间提供新的移机点位，甲方提供新点位开始10天内乙方要将新的点位上线（施工难度较大的，经甲方认可的点位，可适当延长施工时间），该新点位纳入运维流程。超过10天未上线的点位，超过的时间按一类故障点位的标准扣费。</w:t>
      </w:r>
    </w:p>
    <w:p>
      <w:pPr>
        <w:spacing w:line="460" w:lineRule="exact"/>
        <w:ind w:firstLine="539" w:firstLineChars="245"/>
        <w:rPr>
          <w:rFonts w:hint="eastAsia"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lang w:val="zh-CN"/>
        </w:rPr>
        <w:t>（3）三类故障点位：因道路施工等原因需临时挂起的点位，在甲方运维中心发起报障后，乙方要在24小时内确认为临时挂起点位，并提供道路施工等相关证明材料。</w:t>
      </w:r>
    </w:p>
    <w:p>
      <w:pPr>
        <w:spacing w:line="460" w:lineRule="exact"/>
        <w:ind w:firstLine="539" w:firstLineChars="245"/>
        <w:rPr>
          <w:rFonts w:hint="eastAsia"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lang w:val="zh-CN"/>
        </w:rPr>
        <w:t>5年服务周期内每年的考核以一年为一个结算周期，采用月算年结的方式，并根据考核结果结算运维保证金。乙方必须安排专门人员与甲方对接考核工作，及时确认考核结果，对考核结果有异议的应在收到考核结果之日起【 30 】日提出复核，否则甲方可以不予采纳。</w:t>
      </w:r>
    </w:p>
    <w:p>
      <w:pPr>
        <w:spacing w:line="460" w:lineRule="exact"/>
        <w:ind w:firstLine="541" w:firstLineChars="245"/>
        <w:outlineLvl w:val="2"/>
        <w:rPr>
          <w:rFonts w:hint="eastAsia" w:ascii="新宋体" w:hAnsi="新宋体" w:eastAsia="新宋体" w:cs="新宋体"/>
          <w:b/>
          <w:color w:val="auto"/>
          <w:sz w:val="22"/>
          <w:szCs w:val="22"/>
          <w:highlight w:val="none"/>
          <w:lang w:val="zh-CN"/>
        </w:rPr>
      </w:pPr>
      <w:r>
        <w:rPr>
          <w:rFonts w:hint="eastAsia" w:ascii="新宋体" w:hAnsi="新宋体" w:eastAsia="新宋体" w:cs="新宋体"/>
          <w:b/>
          <w:color w:val="auto"/>
          <w:sz w:val="22"/>
          <w:szCs w:val="22"/>
          <w:highlight w:val="none"/>
        </w:rPr>
        <w:t>五</w:t>
      </w:r>
      <w:r>
        <w:rPr>
          <w:rFonts w:hint="eastAsia" w:ascii="新宋体" w:hAnsi="新宋体" w:eastAsia="新宋体" w:cs="新宋体"/>
          <w:b/>
          <w:color w:val="auto"/>
          <w:sz w:val="22"/>
          <w:szCs w:val="22"/>
          <w:highlight w:val="none"/>
          <w:lang w:val="zh-CN"/>
        </w:rPr>
        <w:t>、系统维护期：</w:t>
      </w:r>
    </w:p>
    <w:p>
      <w:pPr>
        <w:spacing w:line="460" w:lineRule="exact"/>
        <w:ind w:firstLine="539" w:firstLineChars="245"/>
        <w:rPr>
          <w:rFonts w:hint="eastAsia"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不限期，根据用户实际服务时长而定，要求提供7*24小时免费技术支持服务：包括系统管理、运行维护、系统保障、性能调优、故障排除、例行巡检、技术支持等。</w:t>
      </w:r>
    </w:p>
    <w:p>
      <w:pPr>
        <w:spacing w:line="460" w:lineRule="exact"/>
        <w:ind w:firstLine="541" w:firstLineChars="245"/>
        <w:outlineLvl w:val="2"/>
        <w:rPr>
          <w:rFonts w:hint="eastAsia" w:ascii="新宋体" w:hAnsi="新宋体" w:eastAsia="新宋体" w:cs="新宋体"/>
          <w:b/>
          <w:color w:val="auto"/>
          <w:sz w:val="22"/>
          <w:szCs w:val="22"/>
          <w:highlight w:val="none"/>
          <w:lang w:val="zh-CN"/>
        </w:rPr>
      </w:pPr>
      <w:r>
        <w:rPr>
          <w:rFonts w:hint="eastAsia" w:ascii="新宋体" w:hAnsi="新宋体" w:eastAsia="新宋体" w:cs="新宋体"/>
          <w:b/>
          <w:color w:val="auto"/>
          <w:sz w:val="22"/>
          <w:szCs w:val="22"/>
          <w:highlight w:val="none"/>
        </w:rPr>
        <w:t>六</w:t>
      </w:r>
      <w:r>
        <w:rPr>
          <w:rFonts w:hint="eastAsia" w:ascii="新宋体" w:hAnsi="新宋体" w:eastAsia="新宋体" w:cs="新宋体"/>
          <w:b/>
          <w:color w:val="auto"/>
          <w:sz w:val="22"/>
          <w:szCs w:val="22"/>
          <w:highlight w:val="none"/>
          <w:lang w:val="zh-CN"/>
        </w:rPr>
        <w:t>、技术支持期：</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在系统使用的所有时间范围内，提供多种方式的运行技术支持，特别是新应用、新功能的添加。</w:t>
      </w:r>
    </w:p>
    <w:p>
      <w:pPr>
        <w:spacing w:line="460" w:lineRule="exact"/>
        <w:ind w:firstLine="541" w:firstLineChars="245"/>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七</w:t>
      </w:r>
      <w:r>
        <w:rPr>
          <w:rFonts w:hint="eastAsia" w:ascii="新宋体" w:hAnsi="新宋体" w:eastAsia="新宋体" w:cs="新宋体"/>
          <w:color w:val="auto"/>
          <w:sz w:val="22"/>
          <w:szCs w:val="22"/>
          <w:highlight w:val="none"/>
          <w:lang w:val="zh-CN"/>
        </w:rPr>
        <w:t>、</w:t>
      </w:r>
      <w:r>
        <w:rPr>
          <w:rFonts w:hint="eastAsia" w:ascii="新宋体" w:hAnsi="新宋体" w:eastAsia="新宋体" w:cs="新宋体"/>
          <w:color w:val="auto"/>
          <w:sz w:val="22"/>
          <w:szCs w:val="22"/>
          <w:highlight w:val="none"/>
        </w:rPr>
        <w:t>设备清单中设备只提供了参考标准，甲方及下属各级公安机关可根据实际情况对相关设备做出调整，资费标准也需做出相应调整。</w:t>
      </w:r>
    </w:p>
    <w:p>
      <w:pPr>
        <w:spacing w:line="460" w:lineRule="exact"/>
        <w:ind w:firstLine="541" w:firstLineChars="245"/>
        <w:outlineLvl w:val="2"/>
        <w:rPr>
          <w:rFonts w:hint="eastAsia" w:ascii="新宋体" w:hAnsi="新宋体" w:eastAsia="新宋体" w:cs="新宋体"/>
          <w:b/>
          <w:color w:val="auto"/>
          <w:sz w:val="22"/>
          <w:szCs w:val="22"/>
          <w:highlight w:val="none"/>
          <w:lang w:val="zh-CN"/>
        </w:rPr>
      </w:pPr>
      <w:r>
        <w:rPr>
          <w:rFonts w:hint="eastAsia" w:ascii="新宋体" w:hAnsi="新宋体" w:eastAsia="新宋体" w:cs="新宋体"/>
          <w:b/>
          <w:color w:val="auto"/>
          <w:sz w:val="22"/>
          <w:szCs w:val="22"/>
          <w:highlight w:val="none"/>
        </w:rPr>
        <w:t>八</w:t>
      </w:r>
      <w:r>
        <w:rPr>
          <w:rFonts w:hint="eastAsia" w:ascii="新宋体" w:hAnsi="新宋体" w:eastAsia="新宋体" w:cs="新宋体"/>
          <w:b/>
          <w:color w:val="auto"/>
          <w:sz w:val="22"/>
          <w:szCs w:val="22"/>
          <w:highlight w:val="none"/>
          <w:lang w:val="zh-CN"/>
        </w:rPr>
        <w:t>、对于开通的业务点，按月计费周期计算以自然月为准。</w:t>
      </w:r>
    </w:p>
    <w:p>
      <w:pPr>
        <w:spacing w:line="460" w:lineRule="exact"/>
        <w:ind w:firstLine="541" w:firstLineChars="245"/>
        <w:outlineLvl w:val="2"/>
        <w:rPr>
          <w:rFonts w:hint="eastAsia" w:ascii="新宋体" w:hAnsi="新宋体" w:eastAsia="新宋体" w:cs="新宋体"/>
          <w:b/>
          <w:color w:val="auto"/>
          <w:sz w:val="22"/>
          <w:szCs w:val="22"/>
          <w:highlight w:val="none"/>
          <w:lang w:val="zh-CN"/>
        </w:rPr>
      </w:pPr>
      <w:r>
        <w:rPr>
          <w:rFonts w:hint="eastAsia" w:ascii="新宋体" w:hAnsi="新宋体" w:eastAsia="新宋体" w:cs="新宋体"/>
          <w:b/>
          <w:color w:val="auto"/>
          <w:sz w:val="22"/>
          <w:szCs w:val="22"/>
          <w:highlight w:val="none"/>
        </w:rPr>
        <w:t>九</w:t>
      </w:r>
      <w:r>
        <w:rPr>
          <w:rFonts w:hint="eastAsia" w:ascii="新宋体" w:hAnsi="新宋体" w:eastAsia="新宋体" w:cs="新宋体"/>
          <w:b/>
          <w:color w:val="auto"/>
          <w:sz w:val="22"/>
          <w:szCs w:val="22"/>
          <w:highlight w:val="none"/>
          <w:lang w:val="zh-CN"/>
        </w:rPr>
        <w:t>、项目实施时间：</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合同签订之日起，</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个月内完成工程。以后根据用户使用监控点的不断增长，对系统平台和存储服务器进行相应的扩容。</w:t>
      </w:r>
    </w:p>
    <w:p>
      <w:pPr>
        <w:spacing w:line="460" w:lineRule="exact"/>
        <w:ind w:firstLine="541" w:firstLineChars="245"/>
        <w:outlineLvl w:val="2"/>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十、付款应按下列条件进行：</w:t>
      </w:r>
    </w:p>
    <w:p>
      <w:pPr>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（一）履约保证金：乙方根据甲乙双方协议，在合同签订后7个工作日内乙方向甲方提供合同总金额的5%保函或保证金，即人民币：</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元（大写：</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元整）</w:t>
      </w:r>
    </w:p>
    <w:p>
      <w:pPr>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（二）第一笔款：项目合同签订后，甲方在收到乙方提供的下列单据15个工作日内，向乙方支付合同总价的30%，即人民币      元整（RMB￥        ）；</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下列单据包括：</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 xml:space="preserve">（1）等额商业发票一份 </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（三）第二笔款：项目设备到货，在收到乙方提供的下列单据15个工作日内，向乙方支付合同总价的40%，即人民币</w:t>
      </w:r>
      <w:r>
        <w:rPr>
          <w:rFonts w:hint="eastAsia" w:ascii="新宋体" w:hAnsi="新宋体" w:eastAsia="新宋体" w:cs="新宋体"/>
          <w:b/>
          <w:color w:val="auto"/>
          <w:sz w:val="22"/>
          <w:szCs w:val="22"/>
          <w:highlight w:val="none"/>
          <w:u w:val="single"/>
        </w:rPr>
        <w:t xml:space="preserve">        </w:t>
      </w:r>
      <w:r>
        <w:rPr>
          <w:rFonts w:hint="eastAsia" w:ascii="新宋体" w:hAnsi="新宋体" w:eastAsia="新宋体" w:cs="新宋体"/>
          <w:b/>
          <w:color w:val="auto"/>
          <w:sz w:val="22"/>
          <w:szCs w:val="22"/>
          <w:highlight w:val="none"/>
        </w:rPr>
        <w:t>整（RMB￥</w:t>
      </w:r>
      <w:r>
        <w:rPr>
          <w:rFonts w:hint="eastAsia" w:ascii="新宋体" w:hAnsi="新宋体" w:eastAsia="新宋体" w:cs="新宋体"/>
          <w:b/>
          <w:color w:val="auto"/>
          <w:sz w:val="22"/>
          <w:szCs w:val="22"/>
          <w:highlight w:val="none"/>
          <w:u w:val="single"/>
        </w:rPr>
        <w:t xml:space="preserve">        </w:t>
      </w:r>
      <w:r>
        <w:rPr>
          <w:rFonts w:hint="eastAsia" w:ascii="新宋体" w:hAnsi="新宋体" w:eastAsia="新宋体" w:cs="新宋体"/>
          <w:b/>
          <w:color w:val="auto"/>
          <w:sz w:val="22"/>
          <w:szCs w:val="22"/>
          <w:highlight w:val="none"/>
        </w:rPr>
        <w:t>），</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下列单据包括：</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（1）等额商业发票一份</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（2）货物清单</w:t>
      </w:r>
    </w:p>
    <w:p>
      <w:pPr>
        <w:spacing w:line="460" w:lineRule="exact"/>
        <w:ind w:firstLine="541" w:firstLineChars="245"/>
        <w:rPr>
          <w:rFonts w:ascii="宋体" w:hAnsi="宋体"/>
          <w:b/>
          <w:color w:val="auto"/>
          <w:sz w:val="22"/>
          <w:szCs w:val="22"/>
          <w:highlight w:val="none"/>
        </w:rPr>
      </w:pPr>
      <w:r>
        <w:rPr>
          <w:rFonts w:hint="eastAsia" w:ascii="新宋体" w:hAnsi="新宋体" w:eastAsia="新宋体" w:cs="新宋体"/>
          <w:b/>
          <w:color w:val="auto"/>
          <w:sz w:val="22"/>
          <w:szCs w:val="22"/>
          <w:highlight w:val="none"/>
        </w:rPr>
        <w:t>（四）第三笔款：</w:t>
      </w:r>
      <w:r>
        <w:rPr>
          <w:rFonts w:hint="eastAsia" w:ascii="宋体" w:hAnsi="宋体"/>
          <w:b/>
          <w:color w:val="auto"/>
          <w:sz w:val="22"/>
          <w:szCs w:val="22"/>
          <w:highlight w:val="none"/>
        </w:rPr>
        <w:t>项目所有设备安装调完毕、系统试运行30天，并经验收合格后，在收到乙方提供的下列单据15个工作日内，向乙方支付合同总价的25%，即人民币</w:t>
      </w:r>
      <w:r>
        <w:rPr>
          <w:rFonts w:hint="eastAsia" w:ascii="宋体" w:hAnsi="宋体"/>
          <w:b/>
          <w:color w:val="auto"/>
          <w:sz w:val="22"/>
          <w:szCs w:val="22"/>
          <w:highlight w:val="none"/>
          <w:u w:val="single"/>
        </w:rPr>
        <w:t xml:space="preserve">        </w:t>
      </w:r>
      <w:r>
        <w:rPr>
          <w:rFonts w:hint="eastAsia" w:ascii="宋体" w:hAnsi="宋体"/>
          <w:b/>
          <w:color w:val="auto"/>
          <w:sz w:val="22"/>
          <w:szCs w:val="22"/>
          <w:highlight w:val="none"/>
        </w:rPr>
        <w:t>整（RMB￥</w:t>
      </w:r>
      <w:r>
        <w:rPr>
          <w:rFonts w:hint="eastAsia" w:ascii="宋体" w:hAnsi="宋体"/>
          <w:b/>
          <w:color w:val="auto"/>
          <w:sz w:val="22"/>
          <w:szCs w:val="22"/>
          <w:highlight w:val="none"/>
          <w:u w:val="single"/>
        </w:rPr>
        <w:t xml:space="preserve">        </w:t>
      </w:r>
      <w:r>
        <w:rPr>
          <w:rFonts w:hint="eastAsia" w:ascii="宋体" w:hAnsi="宋体"/>
          <w:b/>
          <w:color w:val="auto"/>
          <w:sz w:val="22"/>
          <w:szCs w:val="22"/>
          <w:highlight w:val="none"/>
        </w:rPr>
        <w:t>），</w:t>
      </w:r>
    </w:p>
    <w:p>
      <w:pPr>
        <w:spacing w:line="460" w:lineRule="exact"/>
        <w:ind w:firstLine="541" w:firstLineChars="245"/>
        <w:rPr>
          <w:rFonts w:ascii="宋体" w:hAnsi="宋体"/>
          <w:b/>
          <w:color w:val="auto"/>
          <w:sz w:val="22"/>
          <w:szCs w:val="22"/>
          <w:highlight w:val="none"/>
        </w:rPr>
      </w:pPr>
      <w:r>
        <w:rPr>
          <w:rFonts w:hint="eastAsia" w:ascii="宋体" w:hAnsi="宋体"/>
          <w:b/>
          <w:color w:val="auto"/>
          <w:sz w:val="22"/>
          <w:szCs w:val="22"/>
          <w:highlight w:val="none"/>
        </w:rPr>
        <w:t>下列单据包括：</w:t>
      </w:r>
    </w:p>
    <w:p>
      <w:pPr>
        <w:spacing w:line="460" w:lineRule="exact"/>
        <w:ind w:firstLine="541" w:firstLineChars="245"/>
        <w:rPr>
          <w:rFonts w:ascii="宋体" w:hAnsi="宋体"/>
          <w:b/>
          <w:color w:val="auto"/>
          <w:sz w:val="22"/>
          <w:szCs w:val="22"/>
          <w:highlight w:val="none"/>
        </w:rPr>
      </w:pPr>
      <w:r>
        <w:rPr>
          <w:rFonts w:hint="eastAsia" w:ascii="宋体" w:hAnsi="宋体"/>
          <w:b/>
          <w:color w:val="auto"/>
          <w:sz w:val="22"/>
          <w:szCs w:val="22"/>
          <w:highlight w:val="none"/>
        </w:rPr>
        <w:t>（1）等额商业发票一份</w:t>
      </w:r>
    </w:p>
    <w:p>
      <w:pPr>
        <w:spacing w:line="460" w:lineRule="exact"/>
        <w:ind w:firstLine="541" w:firstLineChars="245"/>
        <w:rPr>
          <w:rFonts w:ascii="宋体" w:hAnsi="宋体"/>
          <w:b/>
          <w:color w:val="auto"/>
          <w:sz w:val="22"/>
          <w:szCs w:val="22"/>
          <w:highlight w:val="none"/>
        </w:rPr>
      </w:pPr>
      <w:r>
        <w:rPr>
          <w:rFonts w:hint="eastAsia" w:ascii="宋体" w:hAnsi="宋体"/>
          <w:b/>
          <w:color w:val="auto"/>
          <w:sz w:val="22"/>
          <w:szCs w:val="22"/>
          <w:highlight w:val="none"/>
        </w:rPr>
        <w:t>（2）试运行情况报告（含平台系统软件试运行报告）</w:t>
      </w:r>
    </w:p>
    <w:p>
      <w:pPr>
        <w:spacing w:line="460" w:lineRule="exact"/>
        <w:ind w:firstLine="541" w:firstLineChars="245"/>
        <w:rPr>
          <w:rFonts w:ascii="宋体" w:hAnsi="宋体"/>
          <w:b/>
          <w:color w:val="auto"/>
          <w:sz w:val="22"/>
          <w:szCs w:val="22"/>
          <w:highlight w:val="none"/>
        </w:rPr>
      </w:pPr>
      <w:r>
        <w:rPr>
          <w:rFonts w:hint="eastAsia" w:ascii="宋体" w:hAnsi="宋体"/>
          <w:b/>
          <w:color w:val="auto"/>
          <w:sz w:val="22"/>
          <w:szCs w:val="22"/>
          <w:highlight w:val="none"/>
        </w:rPr>
        <w:t>（3）甲乙双方出具的验收报告（含平台系统软件验收报告）</w:t>
      </w:r>
    </w:p>
    <w:p>
      <w:pPr>
        <w:spacing w:line="460" w:lineRule="exact"/>
        <w:ind w:firstLine="541" w:firstLineChars="245"/>
        <w:rPr>
          <w:rFonts w:hint="eastAsia" w:ascii="宋体" w:hAnsi="宋体"/>
          <w:b/>
          <w:color w:val="auto"/>
          <w:sz w:val="22"/>
          <w:szCs w:val="22"/>
          <w:highlight w:val="none"/>
        </w:rPr>
      </w:pPr>
      <w:r>
        <w:rPr>
          <w:rFonts w:hint="eastAsia" w:ascii="宋体" w:hAnsi="宋体"/>
          <w:b/>
          <w:color w:val="auto"/>
          <w:sz w:val="22"/>
          <w:szCs w:val="22"/>
          <w:highlight w:val="none"/>
        </w:rPr>
        <w:t>（五）第四笔款：在项目整体验收合格移交并正常运行三年后，甲方做出项目整体运行良好的证明，乙方提供等额商业发票后15个工作日内，向乙方支付合同总价的5%，即人民币</w:t>
      </w:r>
      <w:r>
        <w:rPr>
          <w:rFonts w:hint="eastAsia" w:ascii="宋体" w:hAnsi="宋体"/>
          <w:b/>
          <w:color w:val="auto"/>
          <w:sz w:val="22"/>
          <w:szCs w:val="22"/>
          <w:highlight w:val="none"/>
          <w:u w:val="single"/>
        </w:rPr>
        <w:t xml:space="preserve">        </w:t>
      </w:r>
      <w:r>
        <w:rPr>
          <w:rFonts w:hint="eastAsia" w:ascii="宋体" w:hAnsi="宋体"/>
          <w:b/>
          <w:color w:val="auto"/>
          <w:sz w:val="22"/>
          <w:szCs w:val="22"/>
          <w:highlight w:val="none"/>
        </w:rPr>
        <w:t>元整（RMB￥</w:t>
      </w:r>
      <w:r>
        <w:rPr>
          <w:rFonts w:hint="eastAsia" w:ascii="宋体" w:hAnsi="宋体"/>
          <w:b/>
          <w:color w:val="auto"/>
          <w:sz w:val="22"/>
          <w:szCs w:val="22"/>
          <w:highlight w:val="none"/>
          <w:u w:val="single"/>
        </w:rPr>
        <w:t xml:space="preserve">  </w:t>
      </w:r>
      <w:r>
        <w:rPr>
          <w:rFonts w:ascii="宋体" w:hAnsi="宋体"/>
          <w:b/>
          <w:color w:val="auto"/>
          <w:sz w:val="22"/>
          <w:szCs w:val="22"/>
          <w:highlight w:val="none"/>
          <w:u w:val="single"/>
        </w:rPr>
        <w:t xml:space="preserve">        </w:t>
      </w:r>
      <w:r>
        <w:rPr>
          <w:rFonts w:hint="eastAsia" w:ascii="宋体" w:hAnsi="宋体"/>
          <w:b/>
          <w:color w:val="auto"/>
          <w:sz w:val="22"/>
          <w:szCs w:val="22"/>
          <w:highlight w:val="none"/>
          <w:u w:val="single"/>
        </w:rPr>
        <w:t xml:space="preserve">  </w:t>
      </w:r>
      <w:r>
        <w:rPr>
          <w:rFonts w:hint="eastAsia" w:ascii="宋体" w:hAnsi="宋体"/>
          <w:b/>
          <w:color w:val="auto"/>
          <w:sz w:val="22"/>
          <w:szCs w:val="22"/>
          <w:highlight w:val="none"/>
        </w:rPr>
        <w:t>）</w:t>
      </w:r>
    </w:p>
    <w:p>
      <w:pPr>
        <w:widowControl/>
        <w:snapToGrid w:val="0"/>
        <w:spacing w:line="460" w:lineRule="exact"/>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（六）履约保证金的退还：在系统正常运行三年后（从验收合格之日的次日起计算），甲方做出系统运行良好的证明且收到乙方提供的下列单据15个工作日内，向乙方退还履约保证金，即人民币：</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元（大写：</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元整）；若银行保函到期自动退回。</w:t>
      </w:r>
    </w:p>
    <w:p>
      <w:pPr>
        <w:spacing w:line="460" w:lineRule="exact"/>
        <w:ind w:firstLine="541" w:firstLineChars="245"/>
        <w:outlineLvl w:val="2"/>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十一、实施地点：</w:t>
      </w:r>
    </w:p>
    <w:p>
      <w:pPr>
        <w:spacing w:line="46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瓯江口</w:t>
      </w:r>
    </w:p>
    <w:p>
      <w:pPr>
        <w:spacing w:line="460" w:lineRule="exact"/>
        <w:ind w:firstLine="541" w:firstLineChars="245"/>
        <w:rPr>
          <w:rFonts w:hint="eastAsia"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十二、</w:t>
      </w:r>
      <w:r>
        <w:rPr>
          <w:rFonts w:hint="eastAsia" w:ascii="新宋体" w:hAnsi="新宋体" w:eastAsia="新宋体" w:cs="新宋体"/>
          <w:color w:val="auto"/>
          <w:sz w:val="22"/>
          <w:szCs w:val="22"/>
          <w:highlight w:val="none"/>
        </w:rPr>
        <w:t>乙方对甲方提供的业务资料、技术资料应严格保密，不得扩散，不论本协议或合同是否变更、解除、终止，本条款均有效；</w:t>
      </w:r>
    </w:p>
    <w:p>
      <w:pPr>
        <w:spacing w:line="460" w:lineRule="exact"/>
        <w:ind w:firstLine="541" w:firstLineChars="245"/>
        <w:rPr>
          <w:rFonts w:hint="eastAsia"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十三、</w:t>
      </w:r>
      <w:r>
        <w:rPr>
          <w:rFonts w:hint="eastAsia" w:ascii="新宋体" w:hAnsi="新宋体" w:eastAsia="新宋体" w:cs="新宋体"/>
          <w:color w:val="auto"/>
          <w:sz w:val="22"/>
          <w:szCs w:val="22"/>
          <w:highlight w:val="none"/>
        </w:rPr>
        <w:t>在本合同履行过程中发生争议，双方应当协商解决。双方不愿协商、调解解决或者协商、调解不成的，双方商定，申请温州仲裁委员会仲裁</w:t>
      </w:r>
    </w:p>
    <w:p>
      <w:pPr>
        <w:spacing w:line="460" w:lineRule="exact"/>
        <w:ind w:firstLine="541" w:firstLineChars="245"/>
        <w:rPr>
          <w:rFonts w:hint="eastAsia"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十四、</w:t>
      </w:r>
      <w:r>
        <w:rPr>
          <w:rFonts w:hint="eastAsia" w:ascii="新宋体" w:hAnsi="新宋体" w:eastAsia="新宋体" w:cs="新宋体"/>
          <w:color w:val="auto"/>
          <w:sz w:val="22"/>
          <w:szCs w:val="22"/>
          <w:highlight w:val="none"/>
        </w:rPr>
        <w:t>适用法律：本合同应按照中华人民共和国的法律进行解释。</w:t>
      </w:r>
    </w:p>
    <w:p>
      <w:pPr>
        <w:spacing w:line="460" w:lineRule="exact"/>
        <w:ind w:firstLine="541" w:firstLineChars="245"/>
        <w:rPr>
          <w:rFonts w:hint="eastAsia"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十五、</w:t>
      </w:r>
      <w:r>
        <w:rPr>
          <w:rFonts w:hint="eastAsia" w:ascii="新宋体" w:hAnsi="新宋体" w:eastAsia="新宋体" w:cs="新宋体"/>
          <w:color w:val="auto"/>
          <w:sz w:val="22"/>
          <w:szCs w:val="22"/>
          <w:highlight w:val="none"/>
        </w:rPr>
        <w:t>不可抗力：如果双方中任何一方由于战争、严重火灾、水灾、台风和地震以及其它经双方同意属于不可抗力的事故，致使合同履行受阻时，履行合同的期限应予延长，延长的期限应相当于事故所影响的时间。</w:t>
      </w:r>
    </w:p>
    <w:p>
      <w:pPr>
        <w:spacing w:line="460" w:lineRule="exact"/>
        <w:ind w:firstLine="541" w:firstLineChars="245"/>
        <w:rPr>
          <w:rFonts w:hint="eastAsia"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十六、</w:t>
      </w:r>
      <w:r>
        <w:rPr>
          <w:rFonts w:hint="eastAsia" w:ascii="新宋体" w:hAnsi="新宋体" w:eastAsia="新宋体" w:cs="新宋体"/>
          <w:color w:val="auto"/>
          <w:sz w:val="22"/>
          <w:szCs w:val="22"/>
          <w:highlight w:val="none"/>
        </w:rPr>
        <w:t>因不可抗力导致甲乙双方或一方不能履行或不能完全履行本合同项下有关义务时，双方相互不承担违约责任。但遇有不可抗力的一方或双方应于不可抗力发生后15日内将情况告知对方，并提供有关部门的证明。在不可抗力影响消除后的合理时间内，一方或双方应当继续履行合同。</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十七、</w:t>
      </w:r>
      <w:r>
        <w:rPr>
          <w:rFonts w:hint="eastAsia" w:ascii="新宋体" w:hAnsi="新宋体" w:eastAsia="新宋体" w:cs="新宋体"/>
          <w:bCs/>
          <w:color w:val="auto"/>
          <w:sz w:val="22"/>
          <w:szCs w:val="22"/>
          <w:highlight w:val="none"/>
        </w:rPr>
        <w:t>本合同如有未尽事宜，双方协商解决。本合同一式柒份，双方各执叁份，一份送代理公司备案，经签字、盖章后生效，柒份合同具有同等效力。</w:t>
      </w:r>
    </w:p>
    <w:p>
      <w:pPr>
        <w:spacing w:line="460" w:lineRule="exact"/>
        <w:ind w:firstLine="539" w:firstLineChars="245"/>
        <w:rPr>
          <w:rFonts w:hint="eastAsia" w:ascii="新宋体" w:hAnsi="新宋体" w:eastAsia="新宋体" w:cs="新宋体"/>
          <w:color w:val="auto"/>
          <w:sz w:val="22"/>
          <w:szCs w:val="22"/>
          <w:highlight w:val="none"/>
        </w:rPr>
      </w:pPr>
    </w:p>
    <w:p>
      <w:pPr>
        <w:tabs>
          <w:tab w:val="left" w:pos="360"/>
        </w:tabs>
        <w:spacing w:line="460" w:lineRule="exact"/>
        <w:ind w:firstLine="550" w:firstLineChars="250"/>
        <w:rPr>
          <w:rFonts w:hint="eastAsia" w:ascii="新宋体" w:hAnsi="新宋体" w:eastAsia="新宋体" w:cs="新宋体"/>
          <w:color w:val="auto"/>
          <w:sz w:val="22"/>
          <w:szCs w:val="22"/>
          <w:highlight w:val="none"/>
        </w:rPr>
      </w:pPr>
    </w:p>
    <w:p>
      <w:pPr>
        <w:tabs>
          <w:tab w:val="left" w:pos="360"/>
        </w:tabs>
        <w:spacing w:line="460" w:lineRule="exact"/>
        <w:ind w:firstLine="550" w:firstLine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甲方：（印章）                        乙方：（印章）</w:t>
      </w:r>
    </w:p>
    <w:p>
      <w:pPr>
        <w:tabs>
          <w:tab w:val="left" w:pos="360"/>
        </w:tabs>
        <w:spacing w:line="460" w:lineRule="exact"/>
        <w:ind w:firstLine="550" w:firstLine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全权代表:（签字）                    全权代表:（签字）</w:t>
      </w:r>
    </w:p>
    <w:p>
      <w:pPr>
        <w:tabs>
          <w:tab w:val="left" w:pos="360"/>
        </w:tabs>
        <w:spacing w:line="460" w:lineRule="exact"/>
        <w:ind w:firstLine="550" w:firstLine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地址：                               地址：</w:t>
      </w:r>
    </w:p>
    <w:p>
      <w:pPr>
        <w:tabs>
          <w:tab w:val="left" w:pos="360"/>
        </w:tabs>
        <w:spacing w:line="460" w:lineRule="exact"/>
        <w:ind w:firstLine="550" w:firstLine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邮政编码：                           邮政编码：</w:t>
      </w:r>
    </w:p>
    <w:p>
      <w:pPr>
        <w:tabs>
          <w:tab w:val="left" w:pos="360"/>
        </w:tabs>
        <w:spacing w:line="460" w:lineRule="exact"/>
        <w:ind w:firstLine="550" w:firstLine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电话：                               电话：</w:t>
      </w:r>
    </w:p>
    <w:p>
      <w:pPr>
        <w:tabs>
          <w:tab w:val="left" w:pos="360"/>
        </w:tabs>
        <w:spacing w:line="460" w:lineRule="exact"/>
        <w:ind w:firstLine="550" w:firstLine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传真：                               传真：</w:t>
      </w:r>
    </w:p>
    <w:p>
      <w:pPr>
        <w:tabs>
          <w:tab w:val="left" w:pos="360"/>
        </w:tabs>
        <w:spacing w:line="460" w:lineRule="exact"/>
        <w:ind w:firstLine="550" w:firstLine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开户银行：                           开户银行：</w:t>
      </w:r>
    </w:p>
    <w:p>
      <w:pPr>
        <w:tabs>
          <w:tab w:val="left" w:pos="360"/>
        </w:tabs>
        <w:spacing w:line="460" w:lineRule="exact"/>
        <w:ind w:firstLine="550" w:firstLine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帐号：                               帐号：</w:t>
      </w:r>
    </w:p>
    <w:p>
      <w:pPr>
        <w:tabs>
          <w:tab w:val="left" w:pos="360"/>
        </w:tabs>
        <w:spacing w:line="460" w:lineRule="exact"/>
        <w:ind w:firstLine="550" w:firstLineChars="250"/>
        <w:rPr>
          <w:rFonts w:hint="eastAsia" w:ascii="新宋体" w:hAnsi="新宋体" w:eastAsia="新宋体" w:cs="新宋体"/>
          <w:bCs/>
          <w:color w:val="auto"/>
          <w:sz w:val="22"/>
          <w:szCs w:val="22"/>
          <w:highlight w:val="none"/>
          <w:lang w:val="en-GB"/>
        </w:rPr>
      </w:pPr>
      <w:r>
        <w:rPr>
          <w:rFonts w:hint="eastAsia" w:ascii="新宋体" w:hAnsi="新宋体" w:eastAsia="新宋体" w:cs="新宋体"/>
          <w:color w:val="auto"/>
          <w:sz w:val="22"/>
          <w:szCs w:val="22"/>
          <w:highlight w:val="none"/>
        </w:rPr>
        <w:t>时间:                                时间</w:t>
      </w:r>
      <w:r>
        <w:rPr>
          <w:rFonts w:hint="eastAsia" w:ascii="新宋体" w:hAnsi="新宋体" w:eastAsia="新宋体" w:cs="新宋体"/>
          <w:bCs/>
          <w:color w:val="auto"/>
          <w:sz w:val="22"/>
          <w:szCs w:val="22"/>
          <w:highlight w:val="none"/>
          <w:lang w:val="en-GB"/>
        </w:rPr>
        <w:t>：</w:t>
      </w:r>
    </w:p>
    <w:p>
      <w:pPr>
        <w:spacing w:line="460" w:lineRule="exact"/>
        <w:rPr>
          <w:rFonts w:hint="eastAsia" w:ascii="新宋体" w:hAnsi="新宋体" w:eastAsia="新宋体"/>
          <w:color w:val="auto"/>
          <w:sz w:val="22"/>
          <w:szCs w:val="22"/>
          <w:highlight w:val="none"/>
        </w:rPr>
      </w:pPr>
    </w:p>
    <w:p>
      <w:pPr>
        <w:spacing w:line="460" w:lineRule="exact"/>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outlineLvl w:val="9"/>
        <w:rPr>
          <w:rFonts w:hint="eastAsia" w:ascii="新宋体" w:hAnsi="新宋体" w:eastAsia="新宋体"/>
          <w:color w:val="auto"/>
          <w:sz w:val="22"/>
          <w:szCs w:val="22"/>
          <w:highlight w:val="none"/>
        </w:rPr>
      </w:pPr>
    </w:p>
    <w:p>
      <w:pPr>
        <w:outlineLvl w:val="9"/>
        <w:rPr>
          <w:rFonts w:hint="eastAsia" w:ascii="新宋体" w:hAnsi="新宋体" w:eastAsia="新宋体"/>
          <w:color w:val="auto"/>
          <w:sz w:val="22"/>
          <w:szCs w:val="22"/>
          <w:highlight w:val="none"/>
        </w:rPr>
      </w:pPr>
    </w:p>
    <w:p>
      <w:pPr>
        <w:outlineLvl w:val="9"/>
        <w:rPr>
          <w:rFonts w:hint="eastAsia" w:ascii="新宋体" w:hAnsi="新宋体" w:eastAsia="新宋体"/>
          <w:color w:val="auto"/>
          <w:sz w:val="22"/>
          <w:szCs w:val="22"/>
          <w:highlight w:val="none"/>
        </w:rPr>
      </w:pPr>
    </w:p>
    <w:p>
      <w:pPr>
        <w:outlineLvl w:val="9"/>
        <w:rPr>
          <w:rFonts w:hint="eastAsia" w:ascii="新宋体" w:hAnsi="新宋体" w:eastAsia="新宋体"/>
          <w:color w:val="auto"/>
          <w:sz w:val="22"/>
          <w:szCs w:val="22"/>
          <w:highlight w:val="none"/>
        </w:rPr>
      </w:pPr>
    </w:p>
    <w:p>
      <w:pPr>
        <w:outlineLvl w:val="9"/>
        <w:rPr>
          <w:rFonts w:hint="eastAsia" w:ascii="新宋体" w:hAnsi="新宋体" w:eastAsia="新宋体"/>
          <w:color w:val="auto"/>
          <w:sz w:val="22"/>
          <w:szCs w:val="22"/>
          <w:highlight w:val="none"/>
        </w:rPr>
      </w:pPr>
    </w:p>
    <w:p>
      <w:pPr>
        <w:outlineLvl w:val="9"/>
        <w:rPr>
          <w:rFonts w:hint="eastAsia" w:ascii="新宋体" w:hAnsi="新宋体" w:eastAsia="新宋体"/>
          <w:color w:val="auto"/>
          <w:sz w:val="22"/>
          <w:szCs w:val="22"/>
          <w:highlight w:val="none"/>
        </w:rPr>
      </w:pPr>
    </w:p>
    <w:p>
      <w:pPr>
        <w:spacing w:line="460" w:lineRule="atLeast"/>
        <w:ind w:firstLine="663" w:firstLineChars="300"/>
        <w:jc w:val="center"/>
        <w:outlineLvl w:val="1"/>
        <w:rPr>
          <w:rFonts w:ascii="宋体"/>
          <w:b/>
          <w:color w:val="auto"/>
          <w:sz w:val="22"/>
          <w:szCs w:val="22"/>
          <w:highlight w:val="none"/>
        </w:rPr>
      </w:pPr>
      <w:r>
        <w:rPr>
          <w:rFonts w:hint="eastAsia" w:ascii="宋体"/>
          <w:b/>
          <w:color w:val="auto"/>
          <w:sz w:val="22"/>
          <w:szCs w:val="22"/>
          <w:highlight w:val="none"/>
        </w:rPr>
        <w:t>（标段三）</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如甲、乙双方同意，合同格式也可以按照其他形式, 具体条款以甲方为主协商确定。但合同条款的基本内容应与以下要求的内容相一致。</w:t>
      </w:r>
    </w:p>
    <w:p>
      <w:pPr>
        <w:spacing w:line="460" w:lineRule="exact"/>
        <w:ind w:firstLine="539" w:firstLineChars="245"/>
        <w:rPr>
          <w:rFonts w:hint="eastAsia" w:ascii="新宋体" w:hAnsi="新宋体" w:eastAsia="新宋体" w:cs="新宋体"/>
          <w:color w:val="auto"/>
          <w:sz w:val="22"/>
          <w:szCs w:val="22"/>
          <w:highlight w:val="none"/>
        </w:rPr>
      </w:pP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甲方：</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（招标人）</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乙方: </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（中标人）</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温州市公安局瓯江口分局的</w:t>
      </w:r>
      <w:r>
        <w:rPr>
          <w:rFonts w:hint="eastAsia" w:ascii="新宋体" w:hAnsi="新宋体" w:eastAsia="新宋体" w:cs="新宋体"/>
          <w:bCs/>
          <w:color w:val="auto"/>
          <w:sz w:val="22"/>
          <w:szCs w:val="22"/>
          <w:highlight w:val="none"/>
          <w:u w:val="single"/>
        </w:rPr>
        <w:t xml:space="preserve">               </w:t>
      </w:r>
      <w:r>
        <w:rPr>
          <w:rFonts w:hint="eastAsia" w:ascii="新宋体" w:hAnsi="新宋体" w:eastAsia="新宋体" w:cs="新宋体"/>
          <w:bCs/>
          <w:color w:val="auto"/>
          <w:sz w:val="22"/>
          <w:szCs w:val="22"/>
          <w:highlight w:val="none"/>
        </w:rPr>
        <w:t>（项目名称、编号）在国内以公开招标方式进行采购，经评标委员会评定</w:t>
      </w:r>
      <w:r>
        <w:rPr>
          <w:rFonts w:hint="eastAsia" w:ascii="新宋体" w:hAnsi="新宋体" w:eastAsia="新宋体" w:cs="新宋体"/>
          <w:bCs/>
          <w:color w:val="auto"/>
          <w:sz w:val="22"/>
          <w:szCs w:val="22"/>
          <w:highlight w:val="none"/>
          <w:u w:val="single"/>
        </w:rPr>
        <w:t xml:space="preserve">                 </w:t>
      </w:r>
      <w:r>
        <w:rPr>
          <w:rFonts w:hint="eastAsia" w:ascii="新宋体" w:hAnsi="新宋体" w:eastAsia="新宋体" w:cs="新宋体"/>
          <w:bCs/>
          <w:color w:val="auto"/>
          <w:sz w:val="22"/>
          <w:szCs w:val="22"/>
          <w:highlight w:val="none"/>
        </w:rPr>
        <w:t>（中标人名称）为中标人。双方本着诚信及互利互惠的原则，同意按照下面条款和条件，签署本合同。</w:t>
      </w:r>
    </w:p>
    <w:p>
      <w:pPr>
        <w:spacing w:line="460" w:lineRule="exact"/>
        <w:ind w:firstLine="541" w:firstLineChars="245"/>
        <w:outlineLvl w:val="2"/>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一、本合同签订依据</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《中华人民共和国合同法》</w:t>
      </w:r>
    </w:p>
    <w:p>
      <w:pPr>
        <w:spacing w:line="460" w:lineRule="exact"/>
        <w:ind w:firstLine="541" w:firstLineChars="245"/>
        <w:outlineLvl w:val="2"/>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二、合同文件的优先次序</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合同文件如存在歧义或不一致则根据以下优先次序来判断：</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1、合同书及合同补充条款或说明 </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2、中标通知书</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3、承诺书（含询标记录和优惠条款）</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4、投标文件</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5、招标文件</w:t>
      </w:r>
    </w:p>
    <w:p>
      <w:pPr>
        <w:spacing w:line="460" w:lineRule="exact"/>
        <w:ind w:firstLine="541" w:firstLineChars="245"/>
        <w:outlineLvl w:val="2"/>
        <w:rPr>
          <w:rFonts w:hint="eastAsia" w:ascii="新宋体" w:hAnsi="新宋体" w:eastAsia="新宋体" w:cs="新宋体"/>
          <w:b/>
          <w:color w:val="auto"/>
          <w:sz w:val="22"/>
          <w:szCs w:val="22"/>
          <w:highlight w:val="none"/>
        </w:rPr>
      </w:pPr>
      <w:bookmarkStart w:id="7" w:name="_Toc35401306"/>
      <w:bookmarkStart w:id="8" w:name="_Toc37243120"/>
      <w:bookmarkStart w:id="9" w:name="_Toc75236445"/>
      <w:r>
        <w:rPr>
          <w:rFonts w:hint="eastAsia" w:ascii="新宋体" w:hAnsi="新宋体" w:eastAsia="新宋体" w:cs="新宋体"/>
          <w:b/>
          <w:color w:val="auto"/>
          <w:sz w:val="22"/>
          <w:szCs w:val="22"/>
          <w:highlight w:val="none"/>
        </w:rPr>
        <w:t>三、词语定义</w:t>
      </w:r>
      <w:bookmarkEnd w:id="7"/>
      <w:bookmarkEnd w:id="8"/>
      <w:bookmarkEnd w:id="9"/>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1、下列名词和用语，除上下文另有规定外，应具有如下定义。</w:t>
      </w:r>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（1）“项目”是指采购单位委托指定范围需实施监理的项目。</w:t>
      </w:r>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（2）“建设单位”是指承担直接投资责任的、委托监理业务的一方，以及其合法继承人。</w:t>
      </w:r>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（3）“承建单位”是指承接本项目建设开发的公司。</w:t>
      </w:r>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（4）“监理单位”是指承担监理业务和监理责任的一方，以及其合法继承人。</w:t>
      </w:r>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（5）“监理机构”是指监理单位派驻本项目现场实施监理业务的组织。</w:t>
      </w:r>
    </w:p>
    <w:p>
      <w:pPr>
        <w:spacing w:line="44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highlight w:val="none"/>
        </w:rPr>
        <w:t>2、 本项目监理合同适用的法律法规包括国家和本省、市法律、法规和规章等。</w:t>
      </w:r>
    </w:p>
    <w:p>
      <w:pPr>
        <w:spacing w:line="460" w:lineRule="exact"/>
        <w:ind w:firstLine="541" w:firstLineChars="245"/>
        <w:outlineLvl w:val="2"/>
        <w:rPr>
          <w:rFonts w:hint="eastAsia" w:ascii="新宋体" w:hAnsi="新宋体" w:eastAsia="新宋体" w:cs="新宋体"/>
          <w:b/>
          <w:color w:val="auto"/>
          <w:sz w:val="22"/>
          <w:szCs w:val="22"/>
          <w:highlight w:val="none"/>
        </w:rPr>
      </w:pPr>
      <w:bookmarkStart w:id="10" w:name="_Toc75236447"/>
      <w:bookmarkStart w:id="11" w:name="_Toc35401307"/>
      <w:bookmarkStart w:id="12" w:name="_Toc37243121"/>
      <w:r>
        <w:rPr>
          <w:rFonts w:hint="eastAsia" w:ascii="新宋体" w:hAnsi="新宋体" w:eastAsia="新宋体" w:cs="新宋体"/>
          <w:b/>
          <w:color w:val="auto"/>
          <w:sz w:val="22"/>
          <w:szCs w:val="22"/>
          <w:highlight w:val="none"/>
        </w:rPr>
        <w:t>四、监理工作的时间和地点</w:t>
      </w:r>
    </w:p>
    <w:p>
      <w:pPr>
        <w:spacing w:line="440" w:lineRule="exact"/>
        <w:ind w:firstLine="541" w:firstLineChars="245"/>
        <w:rPr>
          <w:rFonts w:hint="eastAsia" w:ascii="新宋体" w:hAnsi="新宋体" w:eastAsia="新宋体"/>
          <w:b/>
          <w:color w:val="auto"/>
          <w:sz w:val="22"/>
          <w:highlight w:val="none"/>
        </w:rPr>
      </w:pPr>
      <w:r>
        <w:rPr>
          <w:rFonts w:hint="eastAsia" w:ascii="新宋体" w:hAnsi="新宋体" w:eastAsia="新宋体"/>
          <w:b/>
          <w:color w:val="auto"/>
          <w:sz w:val="22"/>
          <w:highlight w:val="none"/>
        </w:rPr>
        <w:t>1、监理时间：本项目终验止</w:t>
      </w:r>
    </w:p>
    <w:p>
      <w:pPr>
        <w:spacing w:line="440" w:lineRule="exact"/>
        <w:ind w:firstLine="541" w:firstLineChars="245"/>
        <w:rPr>
          <w:rFonts w:hint="eastAsia" w:ascii="新宋体" w:hAnsi="新宋体" w:eastAsia="新宋体"/>
          <w:b/>
          <w:color w:val="auto"/>
          <w:sz w:val="22"/>
          <w:highlight w:val="none"/>
        </w:rPr>
      </w:pPr>
      <w:r>
        <w:rPr>
          <w:rFonts w:hint="eastAsia" w:ascii="新宋体" w:hAnsi="新宋体" w:eastAsia="新宋体"/>
          <w:b/>
          <w:color w:val="auto"/>
          <w:sz w:val="22"/>
          <w:highlight w:val="none"/>
        </w:rPr>
        <w:t>2、监理地点：建设单位指定地点</w:t>
      </w:r>
    </w:p>
    <w:p>
      <w:pPr>
        <w:spacing w:line="460" w:lineRule="exact"/>
        <w:ind w:firstLine="541" w:firstLineChars="245"/>
        <w:outlineLvl w:val="2"/>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五、监理费用支付方式</w:t>
      </w:r>
    </w:p>
    <w:p>
      <w:pPr>
        <w:spacing w:line="44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highlight w:val="none"/>
        </w:rPr>
        <w:t xml:space="preserve"> 1、第一期支付：在项目监理合同签订后一周内提交监理规划，并经招标人审定通过后10个工作日内，由甲方向乙方统一支付合同总额的70%。</w:t>
      </w:r>
    </w:p>
    <w:p>
      <w:pPr>
        <w:spacing w:line="440" w:lineRule="exact"/>
        <w:ind w:firstLine="514" w:firstLineChars="245"/>
        <w:rPr>
          <w:rFonts w:ascii="新宋体" w:hAnsi="新宋体" w:eastAsia="新宋体"/>
          <w:b/>
          <w:color w:val="auto"/>
          <w:sz w:val="22"/>
          <w:highlight w:val="none"/>
        </w:rPr>
      </w:pPr>
      <w:r>
        <w:rPr>
          <w:rFonts w:hint="eastAsia"/>
          <w:color w:val="auto"/>
          <w:highlight w:val="none"/>
        </w:rPr>
        <w:t xml:space="preserve"> </w:t>
      </w:r>
      <w:r>
        <w:rPr>
          <w:rFonts w:hint="eastAsia" w:ascii="新宋体" w:hAnsi="新宋体" w:eastAsia="新宋体" w:cs="新宋体"/>
          <w:b/>
          <w:color w:val="auto"/>
          <w:sz w:val="22"/>
          <w:szCs w:val="22"/>
          <w:highlight w:val="none"/>
        </w:rPr>
        <w:t>（1）等额商业发票</w:t>
      </w:r>
    </w:p>
    <w:p>
      <w:pPr>
        <w:spacing w:line="440" w:lineRule="exact"/>
        <w:ind w:firstLine="514" w:firstLineChars="245"/>
        <w:rPr>
          <w:rFonts w:hint="eastAsia"/>
          <w:color w:val="auto"/>
          <w:highlight w:val="none"/>
        </w:rPr>
      </w:pPr>
      <w:r>
        <w:rPr>
          <w:rFonts w:hint="eastAsia"/>
          <w:color w:val="auto"/>
          <w:highlight w:val="none"/>
        </w:rPr>
        <w:t xml:space="preserve"> </w:t>
      </w:r>
      <w:r>
        <w:rPr>
          <w:rFonts w:hint="eastAsia" w:ascii="新宋体" w:hAnsi="新宋体" w:eastAsia="新宋体" w:cs="新宋体"/>
          <w:b/>
          <w:color w:val="auto"/>
          <w:sz w:val="22"/>
          <w:szCs w:val="22"/>
          <w:highlight w:val="none"/>
        </w:rPr>
        <w:t>（2）《监理规划》</w:t>
      </w:r>
    </w:p>
    <w:p>
      <w:pPr>
        <w:spacing w:line="440" w:lineRule="exact"/>
        <w:ind w:firstLine="539" w:firstLineChars="245"/>
        <w:rPr>
          <w:rFonts w:ascii="新宋体" w:hAnsi="新宋体" w:eastAsia="新宋体" w:cs="新宋体"/>
          <w:b/>
          <w:color w:val="auto"/>
          <w:sz w:val="22"/>
          <w:szCs w:val="22"/>
          <w:highlight w:val="none"/>
        </w:rPr>
      </w:pPr>
      <w:r>
        <w:rPr>
          <w:rFonts w:hint="eastAsia" w:ascii="新宋体" w:hAnsi="新宋体" w:eastAsia="新宋体"/>
          <w:color w:val="auto"/>
          <w:sz w:val="22"/>
          <w:highlight w:val="none"/>
        </w:rPr>
        <w:t>2、第二期支付：项目建设完成，提交项目全部报告材料，并通过正式验收，出具项目终验报告后10个工作日内，支付合同总额的30%。</w:t>
      </w:r>
      <w:r>
        <w:rPr>
          <w:rFonts w:hint="eastAsia" w:ascii="新宋体" w:hAnsi="新宋体" w:eastAsia="新宋体" w:cs="新宋体"/>
          <w:b/>
          <w:color w:val="auto"/>
          <w:sz w:val="22"/>
          <w:szCs w:val="22"/>
          <w:highlight w:val="none"/>
        </w:rPr>
        <w:t xml:space="preserve"> </w:t>
      </w:r>
    </w:p>
    <w:p>
      <w:pPr>
        <w:spacing w:line="440" w:lineRule="exact"/>
        <w:ind w:firstLine="541" w:firstLineChars="245"/>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（1）等额商业发票</w:t>
      </w:r>
    </w:p>
    <w:p>
      <w:pPr>
        <w:spacing w:line="440" w:lineRule="exact"/>
        <w:ind w:firstLine="541" w:firstLineChars="245"/>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（2）</w:t>
      </w:r>
      <w:r>
        <w:rPr>
          <w:rFonts w:hint="eastAsia" w:ascii="宋体" w:hAnsi="宋体"/>
          <w:b/>
          <w:color w:val="auto"/>
          <w:sz w:val="22"/>
          <w:szCs w:val="22"/>
          <w:highlight w:val="none"/>
        </w:rPr>
        <w:t>甲乙双方出具的验收报告（含平台系统软件验收报告）</w:t>
      </w:r>
      <w:r>
        <w:rPr>
          <w:rFonts w:hint="eastAsia" w:ascii="新宋体" w:hAnsi="新宋体" w:eastAsia="新宋体" w:cs="新宋体"/>
          <w:b/>
          <w:color w:val="auto"/>
          <w:sz w:val="22"/>
          <w:szCs w:val="22"/>
          <w:highlight w:val="none"/>
        </w:rPr>
        <w:t xml:space="preserve">                                                                         </w:t>
      </w:r>
    </w:p>
    <w:p>
      <w:pPr>
        <w:spacing w:line="460" w:lineRule="exact"/>
        <w:ind w:firstLine="541" w:firstLineChars="245"/>
        <w:outlineLvl w:val="2"/>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六、工作内容</w:t>
      </w:r>
    </w:p>
    <w:bookmarkEnd w:id="10"/>
    <w:p>
      <w:pPr>
        <w:spacing w:line="460" w:lineRule="exact"/>
        <w:ind w:firstLine="541" w:firstLineChars="245"/>
        <w:rPr>
          <w:rFonts w:hint="eastAsia" w:ascii="新宋体" w:hAnsi="新宋体" w:eastAsia="新宋体"/>
          <w:b/>
          <w:bCs/>
          <w:color w:val="auto"/>
          <w:sz w:val="22"/>
          <w:szCs w:val="22"/>
          <w:highlight w:val="none"/>
        </w:rPr>
      </w:pPr>
      <w:bookmarkStart w:id="13" w:name="_Toc75236448"/>
      <w:r>
        <w:rPr>
          <w:rFonts w:hint="eastAsia" w:ascii="新宋体" w:hAnsi="新宋体" w:eastAsia="新宋体"/>
          <w:b/>
          <w:bCs/>
          <w:color w:val="auto"/>
          <w:sz w:val="22"/>
          <w:szCs w:val="22"/>
          <w:highlight w:val="none"/>
        </w:rPr>
        <w:t>详见“招标内容及要求”</w:t>
      </w:r>
    </w:p>
    <w:p>
      <w:pPr>
        <w:spacing w:line="460" w:lineRule="exact"/>
        <w:ind w:firstLine="541" w:firstLineChars="245"/>
        <w:outlineLvl w:val="2"/>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七、本期监理项目投资预算：</w:t>
      </w:r>
    </w:p>
    <w:p>
      <w:pPr>
        <w:spacing w:line="460" w:lineRule="exact"/>
        <w:ind w:firstLine="539" w:firstLineChars="245"/>
        <w:rPr>
          <w:rFonts w:ascii="新宋体" w:hAnsi="新宋体" w:eastAsia="新宋体" w:cs="仿宋_GB2312"/>
          <w:color w:val="auto"/>
          <w:sz w:val="22"/>
          <w:szCs w:val="22"/>
          <w:highlight w:val="none"/>
          <w:lang w:val="zh-CN"/>
        </w:rPr>
      </w:pPr>
      <w:r>
        <w:rPr>
          <w:rFonts w:hint="eastAsia" w:ascii="新宋体" w:hAnsi="新宋体" w:eastAsia="新宋体"/>
          <w:color w:val="auto"/>
          <w:sz w:val="22"/>
          <w:szCs w:val="22"/>
          <w:highlight w:val="none"/>
        </w:rPr>
        <w:t>拟监理项目的投资总预算约为</w:t>
      </w:r>
      <w:r>
        <w:rPr>
          <w:rFonts w:hint="eastAsia" w:ascii="新宋体" w:hAnsi="新宋体" w:eastAsia="新宋体"/>
          <w:color w:val="auto"/>
          <w:sz w:val="22"/>
          <w:szCs w:val="22"/>
          <w:highlight w:val="none"/>
          <w:u w:val="single"/>
        </w:rPr>
        <w:t>1600万</w:t>
      </w:r>
      <w:r>
        <w:rPr>
          <w:rFonts w:hint="eastAsia" w:ascii="新宋体" w:hAnsi="新宋体" w:eastAsia="新宋体"/>
          <w:color w:val="auto"/>
          <w:sz w:val="22"/>
          <w:szCs w:val="22"/>
          <w:highlight w:val="none"/>
        </w:rPr>
        <w:t>元。</w:t>
      </w:r>
    </w:p>
    <w:p>
      <w:pPr>
        <w:spacing w:line="460" w:lineRule="exact"/>
        <w:ind w:firstLine="541" w:firstLineChars="245"/>
        <w:outlineLvl w:val="2"/>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八、监理单位的</w:t>
      </w:r>
      <w:bookmarkEnd w:id="11"/>
      <w:bookmarkEnd w:id="12"/>
      <w:r>
        <w:rPr>
          <w:rFonts w:hint="eastAsia" w:ascii="新宋体" w:hAnsi="新宋体" w:eastAsia="新宋体" w:cs="新宋体"/>
          <w:b/>
          <w:color w:val="auto"/>
          <w:sz w:val="22"/>
          <w:szCs w:val="22"/>
          <w:highlight w:val="none"/>
        </w:rPr>
        <w:t>责任</w:t>
      </w:r>
      <w:bookmarkEnd w:id="13"/>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bCs/>
          <w:color w:val="auto"/>
          <w:sz w:val="22"/>
          <w:szCs w:val="22"/>
          <w:highlight w:val="none"/>
        </w:rPr>
        <w:t>1、</w:t>
      </w:r>
      <w:r>
        <w:rPr>
          <w:rFonts w:hint="eastAsia" w:ascii="新宋体" w:hAnsi="新宋体" w:eastAsia="新宋体"/>
          <w:color w:val="auto"/>
          <w:sz w:val="22"/>
          <w:highlight w:val="none"/>
        </w:rPr>
        <w:t>向建设单位报送委派的总监理工程师及其监理机构主要成员名单、监理规划，完成合同特殊条款约定的监理项目范围内的监理业务。</w:t>
      </w:r>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2、监理机构在履行本合同义务的期间，应运用合理的技能，认真、勤奋的工作。帮助建设单位实现合同预定的目标，公正地维护各方的合法权益。</w:t>
      </w:r>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3、监理机构使用建设单位提供的设施和物品属于建设单位的财产，在监理工作完成或中止时，应将其设施和剩余的物品库存清单提交给建设单位，并按合同特殊条款约定的时间、方式移交此类设施和物品。</w:t>
      </w:r>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4、在本合同期内或合同终止后，未征得有关方同意，不得泄漏与本项目、本合同有关的技术、资料等，不得以任何形式侵害建设单位和承建单位的知识产权。</w:t>
      </w:r>
    </w:p>
    <w:p>
      <w:pPr>
        <w:spacing w:line="460" w:lineRule="exact"/>
        <w:ind w:firstLine="541" w:firstLineChars="245"/>
        <w:outlineLvl w:val="2"/>
        <w:rPr>
          <w:rFonts w:hint="eastAsia" w:ascii="新宋体" w:hAnsi="新宋体" w:eastAsia="新宋体" w:cs="新宋体"/>
          <w:b/>
          <w:color w:val="auto"/>
          <w:sz w:val="22"/>
          <w:szCs w:val="22"/>
          <w:highlight w:val="none"/>
        </w:rPr>
      </w:pPr>
      <w:bookmarkStart w:id="14" w:name="_Toc37243122"/>
      <w:bookmarkStart w:id="15" w:name="_Toc35401308"/>
      <w:bookmarkStart w:id="16" w:name="_Toc75236449"/>
      <w:r>
        <w:rPr>
          <w:rFonts w:hint="eastAsia" w:ascii="新宋体" w:hAnsi="新宋体" w:eastAsia="新宋体" w:cs="新宋体"/>
          <w:b/>
          <w:color w:val="auto"/>
          <w:sz w:val="22"/>
          <w:szCs w:val="22"/>
          <w:highlight w:val="none"/>
        </w:rPr>
        <w:t>九、建设单位的</w:t>
      </w:r>
      <w:bookmarkEnd w:id="14"/>
      <w:bookmarkEnd w:id="15"/>
      <w:r>
        <w:rPr>
          <w:rFonts w:hint="eastAsia" w:ascii="新宋体" w:hAnsi="新宋体" w:eastAsia="新宋体" w:cs="新宋体"/>
          <w:b/>
          <w:color w:val="auto"/>
          <w:sz w:val="22"/>
          <w:szCs w:val="22"/>
          <w:highlight w:val="none"/>
        </w:rPr>
        <w:t>责任</w:t>
      </w:r>
      <w:bookmarkEnd w:id="16"/>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1、建设单位应当主要负责项目建设的所有外部关系的联系与协调，为监理工作提供良好的外部条件。</w:t>
      </w:r>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2、建设单位应当按合同特殊条款双方约定的内容和时间，向项目监理单位提供与项目建设有关的项目等资料。</w:t>
      </w:r>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3、建设单位应当按合同特殊条款约定的时间就监理单位书面提交并要求做出决定的一切事宜做出书面决定。逾期应视为建设单位同意。</w:t>
      </w:r>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4、建设单位应授权一名熟悉本项目情况、能迅速做出决定的项目代表，负责与监理单位联系。更换代表，要提前通知监理单位。</w:t>
      </w:r>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 xml:space="preserve">5、建设单位应当按国家、本省、本市有关监理管理规范，授予监理单位的应有的监理权利。 </w:t>
      </w:r>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6、建设单位按合同特殊条款约定的内容，免费（或有偿）向监理机构提供办公必要的设施、设备和用具，以及必要的现场办公场所，供监理机构在开展监理业务期间使用。</w:t>
      </w:r>
    </w:p>
    <w:p>
      <w:pPr>
        <w:spacing w:line="460" w:lineRule="exact"/>
        <w:ind w:firstLine="541" w:firstLineChars="245"/>
        <w:outlineLvl w:val="2"/>
        <w:rPr>
          <w:rFonts w:hint="eastAsia" w:ascii="新宋体" w:hAnsi="新宋体" w:eastAsia="新宋体" w:cs="新宋体"/>
          <w:b/>
          <w:color w:val="auto"/>
          <w:sz w:val="22"/>
          <w:szCs w:val="22"/>
          <w:highlight w:val="none"/>
        </w:rPr>
      </w:pPr>
      <w:bookmarkStart w:id="17" w:name="_Toc35401309"/>
      <w:bookmarkStart w:id="18" w:name="_Toc37243123"/>
      <w:bookmarkStart w:id="19" w:name="_Toc75236450"/>
      <w:r>
        <w:rPr>
          <w:rFonts w:hint="eastAsia" w:ascii="新宋体" w:hAnsi="新宋体" w:eastAsia="新宋体" w:cs="新宋体"/>
          <w:b/>
          <w:color w:val="auto"/>
          <w:sz w:val="22"/>
          <w:szCs w:val="22"/>
          <w:highlight w:val="none"/>
        </w:rPr>
        <w:t>十、监理单位的权利</w:t>
      </w:r>
      <w:bookmarkEnd w:id="17"/>
      <w:bookmarkEnd w:id="18"/>
      <w:bookmarkEnd w:id="19"/>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1、建设单位在委托的项目范围内，授予监理单位以下监理权利：</w:t>
      </w:r>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（1）项目建设有关事项包括：项目规模、设计标准、规范和使用功能要求，向建设单位的建议权；</w:t>
      </w:r>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（2）项目设计中的技术问题，按照安全和优化的原则，提出建议，并向建设单位提出书面报告。如果由于拟提出的建议会提高项目造价，或延长工期，应当事先取得建设单位的同意；</w:t>
      </w:r>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3）项目实施组织设计和技术方案，按照保质量、保工期和降低成本的原则，提出审查意见并及时通知承建单位，并向建设单位提出书面报告。如果由于拟提出的建议会提高项目造价，或延长工期，应当事先取得建设单位的同意；</w:t>
      </w:r>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（4）项目建设有关的对协作单位的组织协调的主持权，重要协调事项应当事先向建设单位报告；</w:t>
      </w:r>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（5）在事先向建设单位报告征得同意后，监理单位可以发布停工令和复工令；</w:t>
      </w:r>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6）项目上使用的设备、材料与软件和施工质量的检验权和确认权。对于不符合设计要求及国家质量标准的设备材料与软件，有权通知承建单位停止使用或停工整改、返工。承建单位取得监理机构复工令后才能复工；</w:t>
      </w:r>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（7）项目施工进度的检查、监督权，以及项目实际竣工日期提前或超过项目建设合同规定的竣工期限的签认权；</w:t>
      </w:r>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（8）在项目建设合同约定的项目价格范围内，项目款支付的审核和签认权，以及结算项目款的复核确认权与否决权。未经监理机构签字确认，建设单位不支付项目款；</w:t>
      </w:r>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（9）在监理过程中如发现承建单位工作不力，监理机构有权提出调换有关人员建议。</w:t>
      </w:r>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10）在委托的项目范围内，建设单位对对方的任何意见和要求（包括索赔要求），均必须首先向监理机构提出，由监理机构研究处理意见，再向双方协商确定。当建设单位和承建单位发生争议时，监理机构应根据自己的职能，以独立的身份判断，公正地进行调解。当其双方的争议由市政府信息中心或仲裁机关进行调解和仲裁时，应当提出作证的事实材料。</w:t>
      </w:r>
    </w:p>
    <w:p>
      <w:pPr>
        <w:spacing w:line="460" w:lineRule="exact"/>
        <w:ind w:firstLine="541" w:firstLineChars="245"/>
        <w:outlineLvl w:val="2"/>
        <w:rPr>
          <w:rFonts w:hint="eastAsia" w:ascii="新宋体" w:hAnsi="新宋体" w:eastAsia="新宋体" w:cs="新宋体"/>
          <w:b/>
          <w:color w:val="auto"/>
          <w:sz w:val="22"/>
          <w:szCs w:val="22"/>
          <w:highlight w:val="none"/>
        </w:rPr>
      </w:pPr>
      <w:bookmarkStart w:id="20" w:name="_Toc37243124"/>
      <w:bookmarkStart w:id="21" w:name="_Toc35401310"/>
      <w:bookmarkStart w:id="22" w:name="_Toc75236451"/>
      <w:r>
        <w:rPr>
          <w:rFonts w:hint="eastAsia" w:ascii="新宋体" w:hAnsi="新宋体" w:eastAsia="新宋体" w:cs="新宋体"/>
          <w:b/>
          <w:color w:val="auto"/>
          <w:sz w:val="22"/>
          <w:szCs w:val="22"/>
          <w:highlight w:val="none"/>
        </w:rPr>
        <w:t>十一、建设单位的权利</w:t>
      </w:r>
      <w:bookmarkEnd w:id="20"/>
      <w:bookmarkEnd w:id="21"/>
      <w:bookmarkEnd w:id="22"/>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1、建设单位有与本项目承建单位订立合同的签订权。</w:t>
      </w:r>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2、建设单位有对项目规模、设计标准、规范和设计使用功能要求的认定权，以及对项目建设、设计变更的审批权。</w:t>
      </w:r>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3、建设单位有权要求监理单位派出的监理人员须相对稳定，监理单位调换监理工程师应事先征得建设单位同意。</w:t>
      </w:r>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4、建设单位有权要求监理机构提交监理工作月度报告及监理业务范围内的专项报告。</w:t>
      </w:r>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5、建设单位有权要求监理单位更换不称职的监理人员，直到终止合同。</w:t>
      </w:r>
    </w:p>
    <w:p>
      <w:pPr>
        <w:spacing w:line="460" w:lineRule="exact"/>
        <w:ind w:firstLine="541" w:firstLineChars="245"/>
        <w:outlineLvl w:val="2"/>
        <w:rPr>
          <w:rFonts w:hint="eastAsia" w:ascii="新宋体" w:hAnsi="新宋体" w:eastAsia="新宋体" w:cs="新宋体"/>
          <w:b/>
          <w:color w:val="auto"/>
          <w:sz w:val="22"/>
          <w:szCs w:val="22"/>
          <w:highlight w:val="none"/>
        </w:rPr>
      </w:pPr>
      <w:bookmarkStart w:id="23" w:name="_Toc37243127"/>
      <w:bookmarkStart w:id="24" w:name="_Toc75236452"/>
      <w:bookmarkStart w:id="25" w:name="_Toc35401313"/>
      <w:r>
        <w:rPr>
          <w:rFonts w:hint="eastAsia" w:ascii="新宋体" w:hAnsi="新宋体" w:eastAsia="新宋体" w:cs="新宋体"/>
          <w:b/>
          <w:color w:val="auto"/>
          <w:sz w:val="22"/>
          <w:szCs w:val="22"/>
          <w:highlight w:val="none"/>
        </w:rPr>
        <w:t>十二、合同生效、变更和终止</w:t>
      </w:r>
      <w:bookmarkEnd w:id="23"/>
      <w:bookmarkEnd w:id="24"/>
      <w:bookmarkEnd w:id="25"/>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1、本合同自签字之日起生效，至质量保证期结束后终止。</w:t>
      </w:r>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2、在监理单位的责任期即监理合同的有效期，如因项目建设进度的推迟或延误而超过约定的日期，双方应重新约定相应延长的合同期。</w:t>
      </w:r>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3、在监理合同签订后，实际情况发生变化，使得监理单位不能全部或部分执行监理业务时，监理单位应当立即通知建设单位。该监理业务的完成时间应延长。当恢复执行监理业务时，是否需增加时间用于恢复执行监理业务和增加支付监理服务费，由双方协商确定。</w:t>
      </w:r>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4、当事人一方要求变更或解除合同时，应当在30天前通知对方，因变更或解除合同使一方遭受损失的，除依法可以免除责任的外，应由责任方负责赔偿。变更或解除合同的通知或协议应当采取书面形式，协议未达成之前，原合同仍然有效。</w:t>
      </w:r>
    </w:p>
    <w:p>
      <w:pPr>
        <w:spacing w:line="460" w:lineRule="exact"/>
        <w:ind w:firstLine="541" w:firstLineChars="245"/>
        <w:outlineLvl w:val="2"/>
        <w:rPr>
          <w:rFonts w:hint="eastAsia" w:ascii="新宋体" w:hAnsi="新宋体" w:eastAsia="新宋体" w:cs="新宋体"/>
          <w:b/>
          <w:color w:val="auto"/>
          <w:sz w:val="22"/>
          <w:szCs w:val="22"/>
          <w:highlight w:val="none"/>
        </w:rPr>
      </w:pPr>
      <w:bookmarkStart w:id="26" w:name="_Toc75236453"/>
      <w:r>
        <w:rPr>
          <w:rFonts w:hint="eastAsia" w:ascii="新宋体" w:hAnsi="新宋体" w:eastAsia="新宋体" w:cs="新宋体"/>
          <w:b/>
          <w:color w:val="auto"/>
          <w:sz w:val="22"/>
          <w:szCs w:val="22"/>
          <w:highlight w:val="none"/>
        </w:rPr>
        <w:t>十三、违约责任</w:t>
      </w:r>
      <w:bookmarkEnd w:id="26"/>
    </w:p>
    <w:p>
      <w:pPr>
        <w:spacing w:line="440" w:lineRule="exact"/>
        <w:ind w:firstLine="539" w:firstLineChars="245"/>
        <w:rPr>
          <w:rFonts w:hint="eastAsia" w:ascii="新宋体" w:hAnsi="新宋体" w:eastAsia="新宋体"/>
          <w:color w:val="auto"/>
          <w:sz w:val="22"/>
          <w:highlight w:val="none"/>
        </w:rPr>
      </w:pPr>
      <w:bookmarkStart w:id="27" w:name="_Toc37243129"/>
      <w:bookmarkStart w:id="28" w:name="_Toc35401315"/>
      <w:r>
        <w:rPr>
          <w:rFonts w:hint="eastAsia" w:ascii="新宋体" w:hAnsi="新宋体" w:eastAsia="新宋体"/>
          <w:color w:val="auto"/>
          <w:sz w:val="22"/>
          <w:highlight w:val="none"/>
        </w:rPr>
        <w:t>1、监理单位在责任期内，如果由于监理工程师对设计、施工和设备等方面的直接指示或违法行为造成建设单位经济损失的，以及由于监理工程师未能事先预见并控制风险造成建设单位损失的，应承担赔偿责任，赔偿金计算按合同特殊条款规定，赔偿总额不超过监理合同总金额。触及法律的，还应承担相应的法律责任。</w:t>
      </w:r>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2、因不可抗力导致监理合同不能全部或部分履行，监理单位不承担责任。</w:t>
      </w:r>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3、建设单位应当履行监理合同约定的义务，如有违反，也须承担相应的违约责任。</w:t>
      </w:r>
    </w:p>
    <w:p>
      <w:pPr>
        <w:spacing w:line="460" w:lineRule="exact"/>
        <w:ind w:firstLine="541" w:firstLineChars="245"/>
        <w:outlineLvl w:val="2"/>
        <w:rPr>
          <w:rFonts w:hint="eastAsia" w:ascii="新宋体" w:hAnsi="新宋体" w:eastAsia="新宋体" w:cs="新宋体"/>
          <w:b/>
          <w:color w:val="auto"/>
          <w:sz w:val="22"/>
          <w:szCs w:val="22"/>
          <w:highlight w:val="none"/>
        </w:rPr>
      </w:pPr>
      <w:bookmarkStart w:id="29" w:name="_Toc75236454"/>
      <w:r>
        <w:rPr>
          <w:rFonts w:hint="eastAsia" w:ascii="新宋体" w:hAnsi="新宋体" w:eastAsia="新宋体" w:cs="新宋体"/>
          <w:b/>
          <w:color w:val="auto"/>
          <w:sz w:val="22"/>
          <w:szCs w:val="22"/>
          <w:highlight w:val="none"/>
        </w:rPr>
        <w:t>十四、其他</w:t>
      </w:r>
      <w:bookmarkEnd w:id="27"/>
      <w:bookmarkEnd w:id="28"/>
      <w:bookmarkEnd w:id="29"/>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1、未经过对方的书面同意，监理单位不得转让其应履行的合同项下的义务，和将部分合同项下的义务分包给其他单位完成。</w:t>
      </w:r>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2、监理单位在监理工作中提出的合理化建议，使建设单位得到显著经济效益的，建设单位可考虑给予适当奖励。</w:t>
      </w:r>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3、监理单位不得参与可能与合同规定的与建设单位的利益相冲突的任何活动。</w:t>
      </w:r>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4、监理单位必须为本项目的监理工作成立专门的监理机构，并刻制相应的公章，制定有关工作制度和程序。完成监理工作后，公章应销毁。</w:t>
      </w:r>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5、 监理人员在建设单位工作时，应遵守建设单位相关规章、制度。</w:t>
      </w:r>
    </w:p>
    <w:p>
      <w:pPr>
        <w:spacing w:line="460" w:lineRule="exact"/>
        <w:ind w:firstLine="541" w:firstLineChars="245"/>
        <w:outlineLvl w:val="2"/>
        <w:rPr>
          <w:rFonts w:hint="eastAsia" w:ascii="新宋体" w:hAnsi="新宋体" w:eastAsia="新宋体" w:cs="新宋体"/>
          <w:b/>
          <w:color w:val="auto"/>
          <w:sz w:val="22"/>
          <w:szCs w:val="22"/>
          <w:highlight w:val="none"/>
        </w:rPr>
      </w:pPr>
      <w:bookmarkStart w:id="30" w:name="_Toc35401316"/>
      <w:bookmarkStart w:id="31" w:name="_Toc37243130"/>
      <w:bookmarkStart w:id="32" w:name="_Toc75236455"/>
      <w:r>
        <w:rPr>
          <w:rFonts w:hint="eastAsia" w:ascii="新宋体" w:hAnsi="新宋体" w:eastAsia="新宋体" w:cs="新宋体"/>
          <w:b/>
          <w:color w:val="auto"/>
          <w:sz w:val="22"/>
          <w:szCs w:val="22"/>
          <w:highlight w:val="none"/>
        </w:rPr>
        <w:t>十五、争议</w:t>
      </w:r>
      <w:bookmarkEnd w:id="30"/>
      <w:bookmarkEnd w:id="31"/>
      <w:r>
        <w:rPr>
          <w:rFonts w:hint="eastAsia" w:ascii="新宋体" w:hAnsi="新宋体" w:eastAsia="新宋体" w:cs="新宋体"/>
          <w:b/>
          <w:color w:val="auto"/>
          <w:sz w:val="22"/>
          <w:szCs w:val="22"/>
          <w:highlight w:val="none"/>
        </w:rPr>
        <w:t>处理</w:t>
      </w:r>
      <w:bookmarkEnd w:id="32"/>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bCs/>
          <w:color w:val="auto"/>
          <w:sz w:val="22"/>
          <w:szCs w:val="22"/>
          <w:highlight w:val="none"/>
        </w:rPr>
        <w:t>1、</w:t>
      </w:r>
      <w:r>
        <w:rPr>
          <w:rFonts w:hint="eastAsia" w:ascii="新宋体" w:hAnsi="新宋体" w:eastAsia="新宋体"/>
          <w:color w:val="auto"/>
          <w:sz w:val="22"/>
          <w:highlight w:val="none"/>
        </w:rPr>
        <w:t>项目建设监理合同在履行过程中发生争议时，建设单位与监理单位及时协商解决。协商不成时，提请温州市仲裁委员会仲裁。</w:t>
      </w:r>
    </w:p>
    <w:p>
      <w:pPr>
        <w:spacing w:line="440" w:lineRule="exact"/>
        <w:ind w:firstLine="539" w:firstLineChars="245"/>
        <w:rPr>
          <w:rFonts w:hint="eastAsia" w:ascii="新宋体" w:hAnsi="新宋体" w:eastAsia="新宋体"/>
          <w:color w:val="auto"/>
          <w:sz w:val="22"/>
          <w:highlight w:val="none"/>
        </w:rPr>
      </w:pPr>
      <w:r>
        <w:rPr>
          <w:rFonts w:hint="eastAsia" w:ascii="新宋体" w:hAnsi="新宋体" w:eastAsia="新宋体"/>
          <w:color w:val="auto"/>
          <w:sz w:val="22"/>
          <w:highlight w:val="none"/>
        </w:rPr>
        <w:t>2、 对于因违反或终止合同而引起的损失、损害的赔偿，由建设单位与监理单位友好协商解决，经协商仍未能达成一致的，提请温州市仲裁委员会仲裁。</w:t>
      </w:r>
    </w:p>
    <w:p>
      <w:pPr>
        <w:spacing w:line="460" w:lineRule="exact"/>
        <w:ind w:firstLine="541" w:firstLineChars="245"/>
        <w:outlineLvl w:val="2"/>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十六、合同生效及其他</w:t>
      </w:r>
    </w:p>
    <w:p>
      <w:pPr>
        <w:tabs>
          <w:tab w:val="left" w:pos="360"/>
        </w:tabs>
        <w:spacing w:line="450" w:lineRule="exact"/>
        <w:ind w:firstLine="550" w:firstLineChars="250"/>
        <w:rPr>
          <w:rFonts w:ascii="新宋体" w:hAnsi="新宋体" w:eastAsia="新宋体"/>
          <w:color w:val="auto"/>
          <w:sz w:val="22"/>
          <w:highlight w:val="none"/>
        </w:rPr>
      </w:pPr>
      <w:r>
        <w:rPr>
          <w:rFonts w:hint="eastAsia" w:ascii="新宋体" w:hAnsi="新宋体" w:eastAsia="新宋体"/>
          <w:color w:val="auto"/>
          <w:sz w:val="22"/>
          <w:highlight w:val="none"/>
        </w:rPr>
        <w:t>1、合同应在双方签字盖章后开始生效。</w:t>
      </w:r>
    </w:p>
    <w:p>
      <w:pPr>
        <w:tabs>
          <w:tab w:val="left" w:pos="360"/>
        </w:tabs>
        <w:spacing w:line="450" w:lineRule="exact"/>
        <w:ind w:firstLine="550" w:firstLineChars="250"/>
        <w:rPr>
          <w:rFonts w:hint="eastAsia" w:ascii="新宋体" w:hAnsi="新宋体" w:eastAsia="新宋体"/>
          <w:color w:val="auto"/>
          <w:sz w:val="22"/>
          <w:highlight w:val="none"/>
        </w:rPr>
      </w:pPr>
      <w:r>
        <w:rPr>
          <w:rFonts w:hint="eastAsia" w:ascii="新宋体" w:hAnsi="新宋体" w:eastAsia="新宋体"/>
          <w:color w:val="auto"/>
          <w:sz w:val="22"/>
          <w:highlight w:val="none"/>
        </w:rPr>
        <w:t>2、 如需修改或补充合同内容，经协商，双方应签署书面修改或补充协议，该协议将作为本合同的一个组成部分。</w:t>
      </w:r>
    </w:p>
    <w:p>
      <w:pPr>
        <w:spacing w:line="460" w:lineRule="exact"/>
        <w:ind w:firstLine="541" w:firstLineChars="245"/>
        <w:rPr>
          <w:rFonts w:hint="eastAsia" w:ascii="新宋体" w:hAnsi="新宋体" w:eastAsia="新宋体"/>
          <w:b/>
          <w:bCs/>
          <w:color w:val="auto"/>
          <w:sz w:val="22"/>
          <w:highlight w:val="none"/>
        </w:rPr>
      </w:pPr>
      <w:r>
        <w:rPr>
          <w:rFonts w:hint="eastAsia" w:ascii="新宋体" w:hAnsi="新宋体" w:eastAsia="新宋体"/>
          <w:b/>
          <w:bCs/>
          <w:color w:val="auto"/>
          <w:sz w:val="22"/>
          <w:highlight w:val="none"/>
        </w:rPr>
        <w:t>3、本合同一式伍份，双方各执贰份，一份送招标代理公司备案。</w:t>
      </w:r>
    </w:p>
    <w:p>
      <w:pPr>
        <w:spacing w:line="440" w:lineRule="exact"/>
        <w:ind w:firstLine="539" w:firstLineChars="245"/>
        <w:rPr>
          <w:rFonts w:hint="eastAsia" w:ascii="新宋体" w:hAnsi="新宋体" w:eastAsia="新宋体"/>
          <w:color w:val="auto"/>
          <w:sz w:val="22"/>
          <w:highlight w:val="none"/>
        </w:rPr>
      </w:pPr>
    </w:p>
    <w:p>
      <w:pPr>
        <w:tabs>
          <w:tab w:val="left" w:pos="360"/>
        </w:tabs>
        <w:spacing w:line="460" w:lineRule="exact"/>
        <w:ind w:firstLine="550" w:firstLineChars="250"/>
        <w:rPr>
          <w:rFonts w:hint="eastAsia" w:ascii="新宋体" w:hAnsi="新宋体" w:eastAsia="新宋体"/>
          <w:color w:val="auto"/>
          <w:sz w:val="22"/>
          <w:szCs w:val="22"/>
          <w:highlight w:val="none"/>
        </w:rPr>
      </w:pPr>
      <w:r>
        <w:rPr>
          <w:rFonts w:hint="eastAsia" w:ascii="新宋体" w:hAnsi="新宋体" w:eastAsia="新宋体"/>
          <w:color w:val="auto"/>
          <w:sz w:val="22"/>
          <w:highlight w:val="none"/>
        </w:rPr>
        <w:t>建设单位</w:t>
      </w:r>
      <w:r>
        <w:rPr>
          <w:rFonts w:hint="eastAsia" w:ascii="新宋体" w:hAnsi="新宋体" w:eastAsia="新宋体"/>
          <w:color w:val="auto"/>
          <w:sz w:val="22"/>
          <w:szCs w:val="22"/>
          <w:highlight w:val="none"/>
        </w:rPr>
        <w:t xml:space="preserve">：（印章）                   </w:t>
      </w:r>
      <w:r>
        <w:rPr>
          <w:rFonts w:hint="eastAsia" w:ascii="新宋体" w:hAnsi="新宋体" w:eastAsia="新宋体"/>
          <w:color w:val="auto"/>
          <w:sz w:val="22"/>
          <w:highlight w:val="none"/>
        </w:rPr>
        <w:t>监理单位</w:t>
      </w:r>
      <w:r>
        <w:rPr>
          <w:rFonts w:hint="eastAsia" w:ascii="新宋体" w:hAnsi="新宋体" w:eastAsia="新宋体"/>
          <w:color w:val="auto"/>
          <w:sz w:val="22"/>
          <w:szCs w:val="22"/>
          <w:highlight w:val="none"/>
        </w:rPr>
        <w:t>：（印章）</w:t>
      </w:r>
    </w:p>
    <w:p>
      <w:pPr>
        <w:tabs>
          <w:tab w:val="left" w:pos="360"/>
        </w:tabs>
        <w:spacing w:line="460" w:lineRule="exact"/>
        <w:ind w:firstLine="550" w:firstLineChars="25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全权代表:（签字）                    全权代表:（签字）</w:t>
      </w:r>
    </w:p>
    <w:p>
      <w:pPr>
        <w:tabs>
          <w:tab w:val="left" w:pos="360"/>
        </w:tabs>
        <w:spacing w:line="460" w:lineRule="exact"/>
        <w:ind w:firstLine="550" w:firstLineChars="25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地址：                               地址：</w:t>
      </w:r>
    </w:p>
    <w:p>
      <w:pPr>
        <w:tabs>
          <w:tab w:val="left" w:pos="360"/>
        </w:tabs>
        <w:spacing w:line="460" w:lineRule="exact"/>
        <w:ind w:firstLine="550" w:firstLineChars="25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邮政编码：                           邮政编码：</w:t>
      </w:r>
    </w:p>
    <w:p>
      <w:pPr>
        <w:tabs>
          <w:tab w:val="left" w:pos="360"/>
        </w:tabs>
        <w:spacing w:line="460" w:lineRule="exact"/>
        <w:ind w:firstLine="550" w:firstLineChars="25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电话：                               电话：</w:t>
      </w:r>
    </w:p>
    <w:p>
      <w:pPr>
        <w:tabs>
          <w:tab w:val="left" w:pos="360"/>
        </w:tabs>
        <w:spacing w:line="460" w:lineRule="exact"/>
        <w:ind w:firstLine="550" w:firstLineChars="25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传真：                               传真：</w:t>
      </w:r>
    </w:p>
    <w:p>
      <w:pPr>
        <w:tabs>
          <w:tab w:val="left" w:pos="360"/>
        </w:tabs>
        <w:spacing w:line="460" w:lineRule="exact"/>
        <w:ind w:firstLine="550" w:firstLineChars="25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开户银行：                           开户银行：</w:t>
      </w:r>
    </w:p>
    <w:p>
      <w:pPr>
        <w:tabs>
          <w:tab w:val="left" w:pos="360"/>
        </w:tabs>
        <w:spacing w:line="460" w:lineRule="exact"/>
        <w:ind w:firstLine="550" w:firstLineChars="25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帐号：                               帐号：</w:t>
      </w:r>
    </w:p>
    <w:p>
      <w:pPr>
        <w:tabs>
          <w:tab w:val="left" w:pos="360"/>
        </w:tabs>
        <w:spacing w:line="460" w:lineRule="exact"/>
        <w:ind w:firstLine="550" w:firstLineChars="250"/>
        <w:rPr>
          <w:rFonts w:hint="eastAsia" w:ascii="宋体"/>
          <w:b/>
          <w:color w:val="auto"/>
          <w:sz w:val="22"/>
          <w:szCs w:val="22"/>
          <w:highlight w:val="none"/>
        </w:rPr>
      </w:pPr>
      <w:r>
        <w:rPr>
          <w:rFonts w:hint="eastAsia" w:ascii="新宋体" w:hAnsi="新宋体" w:eastAsia="新宋体"/>
          <w:color w:val="auto"/>
          <w:sz w:val="22"/>
          <w:szCs w:val="22"/>
          <w:highlight w:val="none"/>
        </w:rPr>
        <w:t>时间:                                时间:</w:t>
      </w:r>
    </w:p>
    <w:p>
      <w:pPr>
        <w:spacing w:line="460" w:lineRule="atLeast"/>
        <w:rPr>
          <w:rFonts w:hint="eastAsia" w:ascii="宋体"/>
          <w:b/>
          <w:color w:val="auto"/>
          <w:sz w:val="22"/>
          <w:szCs w:val="22"/>
          <w:highlight w:val="none"/>
        </w:rPr>
      </w:pPr>
    </w:p>
    <w:p>
      <w:pPr>
        <w:spacing w:line="460" w:lineRule="exact"/>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pStyle w:val="23"/>
        <w:spacing w:line="460" w:lineRule="exact"/>
        <w:ind w:left="433" w:leftChars="206" w:firstLine="0" w:firstLineChars="0"/>
        <w:jc w:val="center"/>
        <w:outlineLvl w:val="0"/>
        <w:rPr>
          <w:rFonts w:hint="eastAsia" w:ascii="新宋体" w:hAnsi="新宋体" w:eastAsia="新宋体" w:cs="新宋体"/>
          <w:color w:val="auto"/>
          <w:sz w:val="22"/>
          <w:szCs w:val="22"/>
          <w:highlight w:val="none"/>
        </w:rPr>
      </w:pPr>
      <w:r>
        <w:rPr>
          <w:rFonts w:hint="eastAsia" w:ascii="新宋体" w:hAnsi="新宋体" w:eastAsia="新宋体" w:cs="新宋体"/>
          <w:b/>
          <w:color w:val="auto"/>
          <w:sz w:val="30"/>
          <w:highlight w:val="none"/>
        </w:rPr>
        <w:t>第三部分    附件</w:t>
      </w:r>
    </w:p>
    <w:p>
      <w:pPr>
        <w:pStyle w:val="23"/>
        <w:spacing w:line="460" w:lineRule="exact"/>
        <w:ind w:left="433" w:hanging="433" w:hangingChars="196"/>
        <w:outlineLvl w:val="1"/>
        <w:rPr>
          <w:rFonts w:hint="eastAsia" w:ascii="新宋体" w:hAnsi="新宋体" w:eastAsia="新宋体" w:cs="新宋体"/>
          <w:b/>
          <w:color w:val="auto"/>
          <w:sz w:val="22"/>
          <w:highlight w:val="none"/>
        </w:rPr>
      </w:pPr>
      <w:r>
        <w:rPr>
          <w:rFonts w:hint="eastAsia" w:ascii="新宋体" w:hAnsi="新宋体" w:eastAsia="新宋体" w:cs="新宋体"/>
          <w:b/>
          <w:color w:val="auto"/>
          <w:sz w:val="22"/>
          <w:highlight w:val="none"/>
        </w:rPr>
        <w:t>附件一</w:t>
      </w:r>
    </w:p>
    <w:p>
      <w:pPr>
        <w:pStyle w:val="5"/>
        <w:keepNext w:val="0"/>
        <w:keepLines w:val="0"/>
        <w:tabs>
          <w:tab w:val="left" w:pos="774"/>
        </w:tabs>
        <w:autoSpaceDE w:val="0"/>
        <w:autoSpaceDN w:val="0"/>
        <w:spacing w:before="240" w:line="400" w:lineRule="exact"/>
        <w:ind w:left="777" w:hanging="578"/>
        <w:jc w:val="center"/>
        <w:rPr>
          <w:rFonts w:ascii="新宋体" w:hAnsi="新宋体" w:eastAsia="新宋体" w:cs="新宋体"/>
          <w:bCs/>
          <w:color w:val="auto"/>
          <w:szCs w:val="28"/>
          <w:highlight w:val="none"/>
        </w:rPr>
      </w:pPr>
      <w:r>
        <w:rPr>
          <w:rFonts w:hint="eastAsia" w:ascii="新宋体" w:hAnsi="新宋体" w:eastAsia="新宋体" w:cs="新宋体"/>
          <w:bCs/>
          <w:color w:val="auto"/>
          <w:szCs w:val="28"/>
          <w:highlight w:val="none"/>
        </w:rPr>
        <w:t>报价文件</w:t>
      </w:r>
    </w:p>
    <w:p>
      <w:pPr>
        <w:spacing w:line="400" w:lineRule="exact"/>
        <w:jc w:val="center"/>
        <w:outlineLvl w:val="3"/>
        <w:rPr>
          <w:rFonts w:hint="eastAsia" w:ascii="新宋体" w:hAnsi="新宋体" w:eastAsia="新宋体" w:cs="新宋体"/>
          <w:bCs/>
          <w:color w:val="auto"/>
          <w:szCs w:val="28"/>
          <w:highlight w:val="none"/>
          <w:lang w:val="zh-CN"/>
        </w:rPr>
      </w:pPr>
      <w:r>
        <w:rPr>
          <w:rFonts w:hint="eastAsia" w:ascii="新宋体" w:hAnsi="新宋体" w:eastAsia="新宋体" w:cs="新宋体"/>
          <w:b/>
          <w:bCs/>
          <w:color w:val="auto"/>
          <w:sz w:val="28"/>
          <w:szCs w:val="28"/>
          <w:highlight w:val="none"/>
        </w:rPr>
        <w:t>1、</w:t>
      </w:r>
      <w:r>
        <w:rPr>
          <w:rFonts w:hint="eastAsia" w:ascii="新宋体" w:hAnsi="新宋体" w:eastAsia="新宋体" w:cs="新宋体"/>
          <w:b/>
          <w:bCs/>
          <w:color w:val="auto"/>
          <w:sz w:val="28"/>
          <w:szCs w:val="28"/>
          <w:highlight w:val="none"/>
          <w:lang w:val="zh-CN"/>
        </w:rPr>
        <w:t>投标</w:t>
      </w:r>
      <w:r>
        <w:rPr>
          <w:rFonts w:hint="eastAsia" w:ascii="新宋体" w:hAnsi="新宋体" w:eastAsia="新宋体" w:cs="新宋体"/>
          <w:b/>
          <w:bCs/>
          <w:color w:val="auto"/>
          <w:sz w:val="28"/>
          <w:szCs w:val="28"/>
          <w:highlight w:val="none"/>
        </w:rPr>
        <w:t>响应</w:t>
      </w:r>
      <w:r>
        <w:rPr>
          <w:rFonts w:hint="eastAsia" w:ascii="新宋体" w:hAnsi="新宋体" w:eastAsia="新宋体" w:cs="新宋体"/>
          <w:b/>
          <w:bCs/>
          <w:color w:val="auto"/>
          <w:sz w:val="28"/>
          <w:szCs w:val="28"/>
          <w:highlight w:val="none"/>
          <w:lang w:val="zh-CN"/>
        </w:rPr>
        <w:t>函</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致：温州市公安局瓯江口分局</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根据贵方为</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项目（招标编号：</w:t>
      </w:r>
      <w:r>
        <w:rPr>
          <w:rFonts w:hint="eastAsia" w:ascii="新宋体" w:hAnsi="新宋体" w:eastAsia="新宋体" w:cs="新宋体"/>
          <w:b/>
          <w:color w:val="auto"/>
          <w:sz w:val="22"/>
          <w:szCs w:val="22"/>
          <w:highlight w:val="none"/>
          <w:u w:val="single"/>
        </w:rPr>
        <w:t xml:space="preserve">        </w:t>
      </w:r>
      <w:r>
        <w:rPr>
          <w:rFonts w:hint="eastAsia" w:ascii="新宋体" w:hAnsi="新宋体" w:eastAsia="新宋体" w:cs="新宋体"/>
          <w:bCs/>
          <w:color w:val="auto"/>
          <w:sz w:val="22"/>
          <w:szCs w:val="22"/>
          <w:highlight w:val="none"/>
        </w:rPr>
        <w:t>、标段：</w:t>
      </w:r>
      <w:r>
        <w:rPr>
          <w:rFonts w:hint="eastAsia" w:ascii="新宋体" w:hAnsi="新宋体" w:eastAsia="新宋体" w:cs="新宋体"/>
          <w:bCs/>
          <w:color w:val="auto"/>
          <w:sz w:val="22"/>
          <w:szCs w:val="22"/>
          <w:highlight w:val="none"/>
          <w:u w:val="single"/>
        </w:rPr>
        <w:t xml:space="preserve"> </w:t>
      </w:r>
      <w:r>
        <w:rPr>
          <w:rFonts w:hint="eastAsia" w:ascii="新宋体" w:hAnsi="新宋体" w:eastAsia="新宋体" w:cs="新宋体"/>
          <w:b/>
          <w:color w:val="auto"/>
          <w:sz w:val="22"/>
          <w:szCs w:val="22"/>
          <w:highlight w:val="none"/>
          <w:u w:val="single"/>
        </w:rPr>
        <w:t xml:space="preserve">       </w:t>
      </w:r>
      <w:r>
        <w:rPr>
          <w:rFonts w:hint="eastAsia" w:ascii="新宋体" w:hAnsi="新宋体" w:eastAsia="新宋体" w:cs="新宋体"/>
          <w:b/>
          <w:color w:val="auto"/>
          <w:sz w:val="22"/>
          <w:szCs w:val="22"/>
          <w:highlight w:val="none"/>
        </w:rPr>
        <w:t xml:space="preserve"> </w:t>
      </w:r>
      <w:r>
        <w:rPr>
          <w:rFonts w:hint="eastAsia" w:ascii="新宋体" w:hAnsi="新宋体" w:eastAsia="新宋体" w:cs="新宋体"/>
          <w:color w:val="auto"/>
          <w:sz w:val="22"/>
          <w:szCs w:val="22"/>
          <w:highlight w:val="none"/>
        </w:rPr>
        <w:t>）的投标邀请，我方</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（投标人名称）作为投标人正式授权</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（授权代表全名，职务）代表我方处理有关本投标的一切事宜。为此：</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1、我方同意在投标人</w:t>
      </w:r>
      <w:r>
        <w:rPr>
          <w:rFonts w:hint="eastAsia" w:ascii="新宋体" w:hAnsi="新宋体" w:eastAsia="新宋体" w:cs="新宋体"/>
          <w:color w:val="auto"/>
          <w:kern w:val="44"/>
          <w:sz w:val="22"/>
          <w:szCs w:val="22"/>
          <w:highlight w:val="none"/>
        </w:rPr>
        <w:t>编制和提交投标文件须知</w:t>
      </w:r>
      <w:r>
        <w:rPr>
          <w:rFonts w:hint="eastAsia" w:ascii="新宋体" w:hAnsi="新宋体" w:eastAsia="新宋体" w:cs="新宋体"/>
          <w:color w:val="auto"/>
          <w:sz w:val="22"/>
          <w:szCs w:val="22"/>
          <w:highlight w:val="none"/>
        </w:rPr>
        <w:t>规定的开标日期起遵守本投标书中的承诺且在投标有效期满之前均具有约束力。</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2、我方承诺已经具备《中华人民共和国政府采购法》中规定的参加政府采购活动的供应商应当具备的条件：</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(1)具有独立承担民事责任的能力；</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(2)遵守国家法律、行政法规，具有良好的信誉和商业道德；</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(3)具有履行合同的能力和良好的履行合同记录；</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(4)良好的资金、财务状况；</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(5)提供的产品和服务符合中国政府规定的相应标准和环保标准；</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(6)没有违反政府采购法规、政策的记录；</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(7)没有发生重大经济纠纷和走私犯罪记录。</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3、提供</w:t>
      </w:r>
      <w:r>
        <w:rPr>
          <w:rFonts w:hint="eastAsia" w:ascii="新宋体" w:hAnsi="新宋体" w:eastAsia="新宋体" w:cs="新宋体"/>
          <w:color w:val="auto"/>
          <w:kern w:val="44"/>
          <w:sz w:val="22"/>
          <w:szCs w:val="22"/>
          <w:highlight w:val="none"/>
        </w:rPr>
        <w:t>编制和提交投标文件须知</w:t>
      </w:r>
      <w:r>
        <w:rPr>
          <w:rFonts w:hint="eastAsia" w:ascii="新宋体" w:hAnsi="新宋体" w:eastAsia="新宋体" w:cs="新宋体"/>
          <w:color w:val="auto"/>
          <w:sz w:val="22"/>
          <w:szCs w:val="22"/>
          <w:highlight w:val="none"/>
        </w:rPr>
        <w:t>规定的全部投标文件，包括资格文件、报价文件、商务技术文件。具体内容为：</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(1)资格文件</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(2)报价文件；</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r>
        <w:rPr>
          <w:rFonts w:hint="eastAsia" w:ascii="新宋体" w:hAnsi="新宋体" w:eastAsia="新宋体" w:cs="新宋体"/>
          <w:color w:val="auto"/>
          <w:sz w:val="22"/>
          <w:szCs w:val="22"/>
          <w:highlight w:val="none"/>
          <w:lang w:val="zh-CN"/>
        </w:rPr>
        <w:t>商务</w:t>
      </w:r>
      <w:r>
        <w:rPr>
          <w:rFonts w:hint="eastAsia" w:ascii="新宋体" w:hAnsi="新宋体" w:eastAsia="新宋体" w:cs="新宋体"/>
          <w:color w:val="auto"/>
          <w:kern w:val="0"/>
          <w:sz w:val="22"/>
          <w:szCs w:val="22"/>
          <w:highlight w:val="none"/>
          <w:lang w:val="zh-CN"/>
        </w:rPr>
        <w:t>技术文件</w:t>
      </w:r>
      <w:r>
        <w:rPr>
          <w:rFonts w:hint="eastAsia" w:ascii="新宋体" w:hAnsi="新宋体" w:eastAsia="新宋体" w:cs="新宋体"/>
          <w:color w:val="auto"/>
          <w:sz w:val="22"/>
          <w:szCs w:val="22"/>
          <w:highlight w:val="none"/>
        </w:rPr>
        <w:t>；</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w:t>
      </w:r>
      <w:r>
        <w:rPr>
          <w:rFonts w:hint="eastAsia" w:ascii="新宋体" w:hAnsi="新宋体" w:eastAsia="新宋体" w:cs="新宋体"/>
          <w:color w:val="auto"/>
          <w:kern w:val="44"/>
          <w:sz w:val="22"/>
          <w:szCs w:val="22"/>
          <w:highlight w:val="none"/>
        </w:rPr>
        <w:t>编制和提交投标文件须知</w:t>
      </w:r>
      <w:r>
        <w:rPr>
          <w:rFonts w:hint="eastAsia" w:ascii="新宋体" w:hAnsi="新宋体" w:eastAsia="新宋体" w:cs="新宋体"/>
          <w:color w:val="auto"/>
          <w:sz w:val="22"/>
          <w:szCs w:val="22"/>
          <w:highlight w:val="none"/>
        </w:rPr>
        <w:t>要求投标人提交的全部文件；</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(5)按招标文件要求提供和交付的货物和服务的投标报价详见开标一览表；</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(6)保证忠实地执行双方所签订的合同，并承担合同规定的责任和义务；</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(7)保证遵守招标文件中的其他有关规定。</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4、投标有效期内不撤销投标文件，</w:t>
      </w:r>
      <w:r>
        <w:rPr>
          <w:rFonts w:hint="eastAsia" w:ascii="新宋体" w:hAnsi="新宋体" w:eastAsia="新宋体"/>
          <w:color w:val="auto"/>
          <w:sz w:val="22"/>
          <w:szCs w:val="22"/>
          <w:highlight w:val="none"/>
        </w:rPr>
        <w:t>如中标，有效期将延至合同终止日为止。</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5、我方完全理解贵方不一定要接受最低价的投标。</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6、如中标，按招标文件规定与招标人签订合同。如拒绝签订合同，承诺按本项目预算金额的2%对招标人进行赔偿；赔偿金额不足以弥补招标人损失的，承诺继续承担超过部分的损失。</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7、如中标，按招标文件规定的招标代理服务费标准，在领取中标通知书时向招标代理机构支付招标代理服务费。</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8、我方愿意向贵方提供任何与该项投标有关的数据、情况和服务资料。若贵方需要，我方愿意提供我方作出的一切承诺的证明材料。</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(1)提供虚假材料谋取中标、成交的；</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(2)采取不正当手段诋毁、排挤其他供应商的；</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(3)与招标人、其它供应商或者招标代理机构恶意串通的；</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(4)向招标人、招标代理机构行贿或者提供其他不正当利益的；</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(5)在招标采购过程中与招标人进行协商谈判的；</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(6)拒绝有关部门监督检查或提供虚假情况的。</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供应商有前款第(1)至(5)项情形之一的，中标、成交无效。</w:t>
      </w:r>
    </w:p>
    <w:p>
      <w:pPr>
        <w:shd w:val="clear" w:color="auto" w:fill="FFFFFF"/>
        <w:snapToGrid w:val="0"/>
        <w:spacing w:line="360" w:lineRule="auto"/>
        <w:rPr>
          <w:rFonts w:hint="eastAsia" w:ascii="新宋体" w:hAnsi="新宋体" w:eastAsia="新宋体" w:cs="新宋体"/>
          <w:color w:val="auto"/>
          <w:kern w:val="0"/>
          <w:sz w:val="22"/>
          <w:szCs w:val="22"/>
          <w:highlight w:val="none"/>
          <w:lang w:val="zh-CN"/>
        </w:rPr>
      </w:pPr>
    </w:p>
    <w:p>
      <w:pPr>
        <w:shd w:val="clear" w:color="auto" w:fill="FFFFFF"/>
        <w:snapToGrid w:val="0"/>
        <w:spacing w:line="360" w:lineRule="auto"/>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lang w:val="zh-CN"/>
        </w:rPr>
        <w:t>法定（授权）代表人（签字）：</w:t>
      </w:r>
      <w:r>
        <w:rPr>
          <w:rFonts w:hint="eastAsia" w:ascii="新宋体" w:hAnsi="新宋体" w:eastAsia="新宋体" w:cs="新宋体"/>
          <w:color w:val="auto"/>
          <w:kern w:val="0"/>
          <w:sz w:val="22"/>
          <w:szCs w:val="22"/>
          <w:highlight w:val="none"/>
          <w:u w:val="single"/>
          <w:lang w:val="zh-CN"/>
        </w:rPr>
        <w:t xml:space="preserve">                    </w:t>
      </w:r>
      <w:r>
        <w:rPr>
          <w:rFonts w:hint="eastAsia" w:ascii="新宋体" w:hAnsi="新宋体" w:eastAsia="新宋体" w:cs="新宋体"/>
          <w:color w:val="auto"/>
          <w:kern w:val="0"/>
          <w:sz w:val="22"/>
          <w:szCs w:val="22"/>
          <w:highlight w:val="none"/>
        </w:rPr>
        <w:tab/>
      </w:r>
    </w:p>
    <w:p>
      <w:pPr>
        <w:shd w:val="clear" w:color="auto" w:fill="FFFFFF"/>
        <w:snapToGrid w:val="0"/>
        <w:spacing w:line="360" w:lineRule="auto"/>
        <w:ind w:firstLine="440" w:firstLineChars="200"/>
        <w:rPr>
          <w:rFonts w:hint="eastAsia" w:ascii="新宋体" w:hAnsi="新宋体" w:eastAsia="新宋体" w:cs="新宋体"/>
          <w:color w:val="auto"/>
          <w:kern w:val="0"/>
          <w:sz w:val="22"/>
          <w:szCs w:val="22"/>
          <w:highlight w:val="none"/>
          <w:u w:val="single"/>
          <w:lang w:val="zh-CN"/>
        </w:rPr>
      </w:pPr>
      <w:r>
        <w:rPr>
          <w:rFonts w:hint="eastAsia" w:ascii="新宋体" w:hAnsi="新宋体" w:eastAsia="新宋体" w:cs="新宋体"/>
          <w:color w:val="auto"/>
          <w:kern w:val="0"/>
          <w:sz w:val="22"/>
          <w:szCs w:val="22"/>
          <w:highlight w:val="none"/>
          <w:lang w:val="zh-CN"/>
        </w:rPr>
        <w:t>投标人盖 章：</w:t>
      </w:r>
      <w:r>
        <w:rPr>
          <w:rFonts w:hint="eastAsia" w:ascii="新宋体" w:hAnsi="新宋体" w:eastAsia="新宋体" w:cs="新宋体"/>
          <w:color w:val="auto"/>
          <w:kern w:val="0"/>
          <w:sz w:val="22"/>
          <w:szCs w:val="22"/>
          <w:highlight w:val="none"/>
          <w:u w:val="single"/>
          <w:lang w:val="zh-CN"/>
        </w:rPr>
        <w:t xml:space="preserve">                     </w:t>
      </w:r>
      <w:r>
        <w:rPr>
          <w:rFonts w:hint="eastAsia" w:ascii="新宋体" w:hAnsi="新宋体" w:eastAsia="新宋体" w:cs="新宋体"/>
          <w:color w:val="auto"/>
          <w:kern w:val="0"/>
          <w:sz w:val="22"/>
          <w:szCs w:val="22"/>
          <w:highlight w:val="none"/>
        </w:rPr>
        <w:tab/>
      </w:r>
      <w:r>
        <w:rPr>
          <w:rFonts w:hint="eastAsia" w:ascii="新宋体" w:hAnsi="新宋体" w:eastAsia="新宋体" w:cs="新宋体"/>
          <w:color w:val="auto"/>
          <w:kern w:val="0"/>
          <w:sz w:val="22"/>
          <w:szCs w:val="22"/>
          <w:highlight w:val="none"/>
          <w:u w:val="single"/>
          <w:lang w:val="zh-CN"/>
        </w:rPr>
        <w:t xml:space="preserve">                      </w:t>
      </w:r>
    </w:p>
    <w:p>
      <w:pPr>
        <w:shd w:val="clear" w:color="auto" w:fill="FFFFFF"/>
        <w:snapToGrid w:val="0"/>
        <w:spacing w:line="360" w:lineRule="auto"/>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lang w:val="zh-CN"/>
        </w:rPr>
        <w:t xml:space="preserve">联系电话： </w:t>
      </w:r>
      <w:r>
        <w:rPr>
          <w:rFonts w:hint="eastAsia" w:ascii="新宋体" w:hAnsi="新宋体" w:eastAsia="新宋体" w:cs="新宋体"/>
          <w:color w:val="auto"/>
          <w:kern w:val="0"/>
          <w:sz w:val="22"/>
          <w:szCs w:val="22"/>
          <w:highlight w:val="none"/>
          <w:u w:val="single"/>
          <w:lang w:val="zh-CN"/>
        </w:rPr>
        <w:t xml:space="preserve">          </w:t>
      </w:r>
      <w:r>
        <w:rPr>
          <w:rFonts w:hint="eastAsia" w:ascii="新宋体" w:hAnsi="新宋体" w:eastAsia="新宋体" w:cs="新宋体"/>
          <w:color w:val="auto"/>
          <w:kern w:val="0"/>
          <w:sz w:val="22"/>
          <w:szCs w:val="22"/>
          <w:highlight w:val="none"/>
          <w:lang w:val="zh-CN"/>
        </w:rPr>
        <w:t xml:space="preserve">传真：  </w:t>
      </w:r>
      <w:r>
        <w:rPr>
          <w:rFonts w:hint="eastAsia" w:ascii="新宋体" w:hAnsi="新宋体" w:eastAsia="新宋体" w:cs="新宋体"/>
          <w:color w:val="auto"/>
          <w:kern w:val="0"/>
          <w:sz w:val="22"/>
          <w:szCs w:val="22"/>
          <w:highlight w:val="none"/>
          <w:u w:val="single"/>
          <w:lang w:val="zh-CN"/>
        </w:rPr>
        <w:t xml:space="preserve">           </w:t>
      </w:r>
      <w:r>
        <w:rPr>
          <w:rFonts w:hint="eastAsia" w:ascii="新宋体" w:hAnsi="新宋体" w:eastAsia="新宋体" w:cs="新宋体"/>
          <w:color w:val="auto"/>
          <w:kern w:val="0"/>
          <w:sz w:val="22"/>
          <w:szCs w:val="22"/>
          <w:highlight w:val="none"/>
          <w:lang w:val="zh-CN"/>
        </w:rPr>
        <w:t xml:space="preserve">电子邮件：  </w:t>
      </w:r>
      <w:r>
        <w:rPr>
          <w:rFonts w:hint="eastAsia" w:ascii="新宋体" w:hAnsi="新宋体" w:eastAsia="新宋体" w:cs="新宋体"/>
          <w:color w:val="auto"/>
          <w:kern w:val="0"/>
          <w:sz w:val="22"/>
          <w:szCs w:val="22"/>
          <w:highlight w:val="none"/>
          <w:u w:val="single"/>
          <w:lang w:val="zh-CN"/>
        </w:rPr>
        <w:t xml:space="preserve">              </w:t>
      </w:r>
    </w:p>
    <w:p>
      <w:pPr>
        <w:shd w:val="clear" w:color="auto" w:fill="FFFFFF"/>
        <w:snapToGrid w:val="0"/>
        <w:spacing w:line="360" w:lineRule="auto"/>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lang w:val="zh-CN"/>
        </w:rPr>
        <w:t>联系地址：</w:t>
      </w:r>
      <w:r>
        <w:rPr>
          <w:rFonts w:hint="eastAsia" w:ascii="新宋体" w:hAnsi="新宋体" w:eastAsia="新宋体" w:cs="新宋体"/>
          <w:color w:val="auto"/>
          <w:kern w:val="0"/>
          <w:sz w:val="22"/>
          <w:szCs w:val="22"/>
          <w:highlight w:val="none"/>
          <w:u w:val="single"/>
          <w:lang w:val="zh-CN"/>
        </w:rPr>
        <w:t xml:space="preserve">                    </w:t>
      </w:r>
      <w:r>
        <w:rPr>
          <w:rFonts w:hint="eastAsia" w:ascii="新宋体" w:hAnsi="新宋体" w:eastAsia="新宋体" w:cs="新宋体"/>
          <w:color w:val="auto"/>
          <w:kern w:val="0"/>
          <w:sz w:val="22"/>
          <w:szCs w:val="22"/>
          <w:highlight w:val="none"/>
        </w:rPr>
        <w:tab/>
      </w:r>
      <w:r>
        <w:rPr>
          <w:rFonts w:hint="eastAsia" w:ascii="新宋体" w:hAnsi="新宋体" w:eastAsia="新宋体" w:cs="新宋体"/>
          <w:color w:val="auto"/>
          <w:kern w:val="0"/>
          <w:sz w:val="22"/>
          <w:szCs w:val="22"/>
          <w:highlight w:val="none"/>
          <w:u w:val="single"/>
          <w:lang w:val="zh-CN"/>
        </w:rPr>
        <w:t xml:space="preserve">                                                    </w:t>
      </w:r>
    </w:p>
    <w:p>
      <w:pPr>
        <w:shd w:val="clear" w:color="auto" w:fill="FFFFFF"/>
        <w:snapToGrid w:val="0"/>
        <w:spacing w:line="360" w:lineRule="auto"/>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lang w:val="zh-CN"/>
        </w:rPr>
        <w:t>邮政编码：</w:t>
      </w:r>
      <w:r>
        <w:rPr>
          <w:rFonts w:hint="eastAsia" w:ascii="新宋体" w:hAnsi="新宋体" w:eastAsia="新宋体" w:cs="新宋体"/>
          <w:color w:val="auto"/>
          <w:kern w:val="0"/>
          <w:sz w:val="22"/>
          <w:szCs w:val="22"/>
          <w:highlight w:val="none"/>
          <w:u w:val="single"/>
          <w:lang w:val="zh-CN"/>
        </w:rPr>
        <w:t xml:space="preserve">                     </w:t>
      </w:r>
      <w:r>
        <w:rPr>
          <w:rFonts w:hint="eastAsia" w:ascii="新宋体" w:hAnsi="新宋体" w:eastAsia="新宋体" w:cs="新宋体"/>
          <w:color w:val="auto"/>
          <w:kern w:val="0"/>
          <w:sz w:val="22"/>
          <w:szCs w:val="22"/>
          <w:highlight w:val="none"/>
          <w:lang w:val="zh-CN"/>
        </w:rPr>
        <w:t>传真号码：</w:t>
      </w:r>
      <w:r>
        <w:rPr>
          <w:rFonts w:hint="eastAsia" w:ascii="新宋体" w:hAnsi="新宋体" w:eastAsia="新宋体" w:cs="新宋体"/>
          <w:color w:val="auto"/>
          <w:kern w:val="0"/>
          <w:sz w:val="22"/>
          <w:szCs w:val="22"/>
          <w:highlight w:val="none"/>
          <w:u w:val="single"/>
          <w:lang w:val="zh-CN"/>
        </w:rPr>
        <w:t xml:space="preserve">                     </w:t>
      </w:r>
    </w:p>
    <w:p>
      <w:pPr>
        <w:shd w:val="clear" w:color="auto" w:fill="FFFFFF"/>
        <w:snapToGrid w:val="0"/>
        <w:spacing w:line="360" w:lineRule="auto"/>
        <w:ind w:firstLine="440" w:firstLineChars="200"/>
        <w:rPr>
          <w:rFonts w:hint="eastAsia" w:ascii="新宋体" w:hAnsi="新宋体" w:eastAsia="新宋体" w:cs="新宋体"/>
          <w:color w:val="auto"/>
          <w:kern w:val="0"/>
          <w:sz w:val="22"/>
          <w:szCs w:val="22"/>
          <w:highlight w:val="none"/>
          <w:u w:val="single"/>
        </w:rPr>
      </w:pPr>
      <w:r>
        <w:rPr>
          <w:rFonts w:hint="eastAsia" w:ascii="新宋体" w:hAnsi="新宋体" w:eastAsia="新宋体" w:cs="新宋体"/>
          <w:color w:val="auto"/>
          <w:kern w:val="0"/>
          <w:sz w:val="22"/>
          <w:szCs w:val="22"/>
          <w:highlight w:val="none"/>
          <w:lang w:val="zh-CN"/>
        </w:rPr>
        <w:t>日</w:t>
      </w:r>
      <w:r>
        <w:rPr>
          <w:rFonts w:hint="eastAsia" w:ascii="新宋体" w:hAnsi="新宋体" w:eastAsia="新宋体" w:cs="新宋体"/>
          <w:color w:val="auto"/>
          <w:kern w:val="0"/>
          <w:sz w:val="22"/>
          <w:szCs w:val="22"/>
          <w:highlight w:val="none"/>
        </w:rPr>
        <w:t xml:space="preserve">    </w:t>
      </w:r>
      <w:r>
        <w:rPr>
          <w:rFonts w:hint="eastAsia" w:ascii="新宋体" w:hAnsi="新宋体" w:eastAsia="新宋体" w:cs="新宋体"/>
          <w:color w:val="auto"/>
          <w:kern w:val="0"/>
          <w:sz w:val="22"/>
          <w:szCs w:val="22"/>
          <w:highlight w:val="none"/>
          <w:lang w:val="zh-CN"/>
        </w:rPr>
        <w:t>期</w:t>
      </w:r>
      <w:r>
        <w:rPr>
          <w:rFonts w:hint="eastAsia" w:ascii="新宋体" w:hAnsi="新宋体" w:eastAsia="新宋体" w:cs="新宋体"/>
          <w:color w:val="auto"/>
          <w:kern w:val="0"/>
          <w:sz w:val="22"/>
          <w:szCs w:val="22"/>
          <w:highlight w:val="none"/>
        </w:rPr>
        <w:t xml:space="preserve">： </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lang w:val="zh-CN"/>
        </w:rPr>
        <w:t>年</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u w:val="single"/>
        </w:rPr>
        <w:tab/>
      </w:r>
      <w:r>
        <w:rPr>
          <w:rFonts w:hint="eastAsia" w:ascii="新宋体" w:hAnsi="新宋体" w:eastAsia="新宋体" w:cs="新宋体"/>
          <w:color w:val="auto"/>
          <w:kern w:val="0"/>
          <w:sz w:val="22"/>
          <w:szCs w:val="22"/>
          <w:highlight w:val="none"/>
          <w:lang w:val="zh-CN"/>
        </w:rPr>
        <w:t>月</w:t>
      </w:r>
      <w:r>
        <w:rPr>
          <w:rFonts w:hint="eastAsia" w:ascii="新宋体" w:hAnsi="新宋体" w:eastAsia="新宋体" w:cs="新宋体"/>
          <w:color w:val="auto"/>
          <w:kern w:val="0"/>
          <w:sz w:val="22"/>
          <w:szCs w:val="22"/>
          <w:highlight w:val="none"/>
          <w:u w:val="single"/>
          <w:lang w:val="zh-CN"/>
        </w:rPr>
        <w:t xml:space="preserve">    </w:t>
      </w:r>
      <w:r>
        <w:rPr>
          <w:rFonts w:hint="eastAsia" w:ascii="新宋体" w:hAnsi="新宋体" w:eastAsia="新宋体" w:cs="新宋体"/>
          <w:color w:val="auto"/>
          <w:kern w:val="0"/>
          <w:sz w:val="22"/>
          <w:szCs w:val="22"/>
          <w:highlight w:val="none"/>
          <w:lang w:val="zh-CN"/>
        </w:rPr>
        <w:t>日</w:t>
      </w:r>
    </w:p>
    <w:p>
      <w:pPr>
        <w:spacing w:line="460" w:lineRule="exact"/>
        <w:ind w:firstLine="435"/>
        <w:rPr>
          <w:rFonts w:hint="eastAsia" w:ascii="新宋体" w:hAnsi="新宋体" w:eastAsia="新宋体" w:cs="新宋体"/>
          <w:b/>
          <w:bCs/>
          <w:color w:val="auto"/>
          <w:kern w:val="0"/>
          <w:sz w:val="22"/>
          <w:szCs w:val="22"/>
          <w:highlight w:val="none"/>
          <w:lang w:val="zh-CN"/>
        </w:rPr>
      </w:pPr>
      <w:r>
        <w:rPr>
          <w:rFonts w:hint="eastAsia" w:ascii="新宋体" w:hAnsi="新宋体" w:eastAsia="新宋体" w:cs="新宋体"/>
          <w:b/>
          <w:bCs/>
          <w:color w:val="auto"/>
          <w:kern w:val="0"/>
          <w:sz w:val="22"/>
          <w:szCs w:val="22"/>
          <w:highlight w:val="none"/>
          <w:lang w:val="zh-CN"/>
        </w:rPr>
        <w:t>注：未按照本投标响应函要求填报的将被视为非实质性响应，从而可能导致该投标文件被拒绝。</w:t>
      </w:r>
    </w:p>
    <w:p>
      <w:pPr>
        <w:pStyle w:val="23"/>
        <w:ind w:left="442" w:hanging="442"/>
        <w:rPr>
          <w:rFonts w:hint="eastAsia" w:ascii="新宋体" w:hAnsi="新宋体" w:eastAsia="新宋体" w:cs="新宋体"/>
          <w:b/>
          <w:bCs/>
          <w:color w:val="auto"/>
          <w:kern w:val="0"/>
          <w:sz w:val="22"/>
          <w:szCs w:val="22"/>
          <w:highlight w:val="none"/>
          <w:lang w:val="zh-CN"/>
        </w:rPr>
      </w:pPr>
    </w:p>
    <w:p>
      <w:pPr>
        <w:pStyle w:val="23"/>
        <w:ind w:left="442" w:hanging="442"/>
        <w:rPr>
          <w:rFonts w:hint="eastAsia" w:ascii="新宋体" w:hAnsi="新宋体" w:eastAsia="新宋体" w:cs="新宋体"/>
          <w:b/>
          <w:bCs/>
          <w:color w:val="auto"/>
          <w:kern w:val="0"/>
          <w:sz w:val="22"/>
          <w:szCs w:val="22"/>
          <w:highlight w:val="none"/>
          <w:lang w:val="zh-CN"/>
        </w:rPr>
      </w:pPr>
    </w:p>
    <w:p>
      <w:pPr>
        <w:pStyle w:val="23"/>
        <w:ind w:left="442" w:hanging="442"/>
        <w:rPr>
          <w:rFonts w:hint="eastAsia" w:ascii="新宋体" w:hAnsi="新宋体" w:eastAsia="新宋体" w:cs="新宋体"/>
          <w:b/>
          <w:bCs/>
          <w:color w:val="auto"/>
          <w:kern w:val="0"/>
          <w:sz w:val="22"/>
          <w:szCs w:val="22"/>
          <w:highlight w:val="none"/>
          <w:lang w:val="zh-CN"/>
        </w:rPr>
      </w:pPr>
    </w:p>
    <w:p>
      <w:pPr>
        <w:pStyle w:val="23"/>
        <w:ind w:left="442" w:hanging="442"/>
        <w:rPr>
          <w:rFonts w:hint="eastAsia" w:ascii="新宋体" w:hAnsi="新宋体" w:eastAsia="新宋体" w:cs="新宋体"/>
          <w:b/>
          <w:bCs/>
          <w:color w:val="auto"/>
          <w:kern w:val="0"/>
          <w:sz w:val="22"/>
          <w:szCs w:val="22"/>
          <w:highlight w:val="none"/>
          <w:lang w:val="zh-CN"/>
        </w:rPr>
      </w:pPr>
    </w:p>
    <w:p>
      <w:pPr>
        <w:pStyle w:val="23"/>
        <w:ind w:left="442" w:hanging="442"/>
        <w:rPr>
          <w:rFonts w:hint="eastAsia" w:ascii="新宋体" w:hAnsi="新宋体" w:eastAsia="新宋体" w:cs="新宋体"/>
          <w:b/>
          <w:bCs/>
          <w:color w:val="auto"/>
          <w:kern w:val="0"/>
          <w:sz w:val="22"/>
          <w:szCs w:val="22"/>
          <w:highlight w:val="none"/>
          <w:lang w:val="zh-CN"/>
        </w:rPr>
      </w:pPr>
    </w:p>
    <w:p>
      <w:pPr>
        <w:pStyle w:val="23"/>
        <w:ind w:left="442" w:hanging="442"/>
        <w:rPr>
          <w:rFonts w:hint="eastAsia" w:ascii="新宋体" w:hAnsi="新宋体" w:eastAsia="新宋体" w:cs="新宋体"/>
          <w:b/>
          <w:bCs/>
          <w:color w:val="auto"/>
          <w:kern w:val="0"/>
          <w:sz w:val="22"/>
          <w:szCs w:val="22"/>
          <w:highlight w:val="none"/>
          <w:lang w:val="zh-CN"/>
        </w:rPr>
      </w:pPr>
    </w:p>
    <w:p>
      <w:pPr>
        <w:pStyle w:val="23"/>
        <w:ind w:left="442" w:hanging="442"/>
        <w:rPr>
          <w:rFonts w:hint="eastAsia" w:ascii="新宋体" w:hAnsi="新宋体" w:eastAsia="新宋体" w:cs="新宋体"/>
          <w:b/>
          <w:bCs/>
          <w:color w:val="auto"/>
          <w:kern w:val="0"/>
          <w:sz w:val="22"/>
          <w:szCs w:val="22"/>
          <w:highlight w:val="none"/>
          <w:lang w:val="zh-CN"/>
        </w:rPr>
      </w:pPr>
    </w:p>
    <w:p>
      <w:pPr>
        <w:spacing w:line="460" w:lineRule="exact"/>
        <w:ind w:firstLine="435"/>
        <w:rPr>
          <w:rFonts w:hint="eastAsia" w:ascii="新宋体" w:hAnsi="新宋体" w:eastAsia="新宋体" w:cs="新宋体"/>
          <w:color w:val="auto"/>
          <w:sz w:val="22"/>
          <w:szCs w:val="22"/>
          <w:highlight w:val="none"/>
        </w:rPr>
      </w:pPr>
    </w:p>
    <w:p>
      <w:pPr>
        <w:spacing w:line="460" w:lineRule="exact"/>
        <w:rPr>
          <w:rFonts w:hint="eastAsia" w:ascii="新宋体" w:hAnsi="新宋体" w:eastAsia="新宋体" w:cs="新宋体"/>
          <w:b/>
          <w:bCs/>
          <w:color w:val="auto"/>
          <w:sz w:val="22"/>
          <w:szCs w:val="22"/>
          <w:highlight w:val="none"/>
        </w:rPr>
      </w:pPr>
    </w:p>
    <w:p>
      <w:pPr>
        <w:pStyle w:val="23"/>
        <w:rPr>
          <w:rFonts w:hint="eastAsia"/>
          <w:color w:val="auto"/>
          <w:highlight w:val="none"/>
        </w:rPr>
      </w:pPr>
    </w:p>
    <w:p>
      <w:pPr>
        <w:pStyle w:val="23"/>
        <w:rPr>
          <w:rFonts w:hint="eastAsia"/>
          <w:color w:val="auto"/>
          <w:highlight w:val="none"/>
        </w:rPr>
      </w:pPr>
    </w:p>
    <w:p>
      <w:pPr>
        <w:spacing w:line="400" w:lineRule="exact"/>
        <w:jc w:val="center"/>
        <w:outlineLvl w:val="3"/>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2、投标报价一览表</w:t>
      </w:r>
    </w:p>
    <w:p>
      <w:pPr>
        <w:spacing w:line="380" w:lineRule="exact"/>
        <w:ind w:left="535" w:leftChars="-171" w:hanging="894" w:hangingChars="405"/>
        <w:rPr>
          <w:rFonts w:hint="eastAsia" w:ascii="新宋体" w:hAnsi="新宋体" w:eastAsia="新宋体" w:cs="新宋体"/>
          <w:b/>
          <w:color w:val="auto"/>
          <w:sz w:val="22"/>
          <w:highlight w:val="none"/>
        </w:rPr>
      </w:pPr>
    </w:p>
    <w:p>
      <w:pPr>
        <w:spacing w:line="38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 xml:space="preserve">项目名称： </w:t>
      </w:r>
      <w:r>
        <w:rPr>
          <w:rFonts w:hint="eastAsia" w:ascii="新宋体" w:hAnsi="新宋体" w:eastAsia="新宋体" w:cs="新宋体"/>
          <w:b/>
          <w:color w:val="auto"/>
          <w:sz w:val="22"/>
          <w:szCs w:val="22"/>
          <w:highlight w:val="none"/>
        </w:rPr>
        <w:t xml:space="preserve">                                                  </w:t>
      </w:r>
      <w:r>
        <w:rPr>
          <w:rFonts w:hint="eastAsia" w:ascii="新宋体" w:hAnsi="新宋体" w:eastAsia="新宋体" w:cs="新宋体"/>
          <w:b/>
          <w:bCs/>
          <w:color w:val="auto"/>
          <w:sz w:val="22"/>
          <w:szCs w:val="22"/>
          <w:highlight w:val="none"/>
        </w:rPr>
        <w:t>项目编号</w:t>
      </w:r>
      <w:r>
        <w:rPr>
          <w:rFonts w:hint="eastAsia" w:ascii="新宋体" w:hAnsi="新宋体" w:eastAsia="新宋体" w:cs="新宋体"/>
          <w:bCs/>
          <w:color w:val="auto"/>
          <w:sz w:val="22"/>
          <w:szCs w:val="22"/>
          <w:highlight w:val="none"/>
        </w:rPr>
        <w:t>：</w:t>
      </w:r>
      <w:r>
        <w:rPr>
          <w:rFonts w:hint="eastAsia" w:ascii="新宋体" w:hAnsi="新宋体" w:eastAsia="新宋体" w:cs="新宋体"/>
          <w:b/>
          <w:bCs/>
          <w:color w:val="auto"/>
          <w:sz w:val="22"/>
          <w:szCs w:val="22"/>
          <w:highlight w:val="none"/>
        </w:rPr>
        <w:t xml:space="preserve"> </w:t>
      </w:r>
    </w:p>
    <w:tbl>
      <w:tblPr>
        <w:tblStyle w:val="52"/>
        <w:tblW w:w="9706"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53"/>
        <w:gridCol w:w="1913"/>
        <w:gridCol w:w="2167"/>
        <w:gridCol w:w="1493"/>
        <w:gridCol w:w="1842"/>
        <w:gridCol w:w="133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trHeight w:val="567" w:hRule="atLeast"/>
          <w:jc w:val="center"/>
        </w:trPr>
        <w:tc>
          <w:tcPr>
            <w:tcW w:w="953" w:type="dxa"/>
            <w:tcBorders>
              <w:top w:val="single" w:color="auto" w:sz="0" w:space="0"/>
              <w:left w:val="single" w:color="auto" w:sz="0" w:space="0"/>
              <w:bottom w:val="single" w:color="auto" w:sz="0" w:space="0"/>
              <w:right w:val="single" w:color="auto" w:sz="4" w:space="0"/>
            </w:tcBorders>
            <w:noWrap w:val="0"/>
            <w:vAlign w:val="center"/>
          </w:tcPr>
          <w:p>
            <w:pPr>
              <w:spacing w:line="460" w:lineRule="exact"/>
              <w:ind w:right="-21" w:rightChars="-10"/>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标段号</w:t>
            </w:r>
          </w:p>
        </w:tc>
        <w:tc>
          <w:tcPr>
            <w:tcW w:w="1913" w:type="dxa"/>
            <w:tcBorders>
              <w:top w:val="single" w:color="auto" w:sz="0" w:space="0"/>
              <w:left w:val="single" w:color="auto" w:sz="4" w:space="0"/>
              <w:bottom w:val="single" w:color="auto" w:sz="0" w:space="0"/>
            </w:tcBorders>
            <w:noWrap w:val="0"/>
            <w:vAlign w:val="center"/>
          </w:tcPr>
          <w:p>
            <w:pPr>
              <w:spacing w:line="460" w:lineRule="exact"/>
              <w:ind w:right="-21" w:rightChars="-10"/>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投标项目</w:t>
            </w:r>
          </w:p>
        </w:tc>
        <w:tc>
          <w:tcPr>
            <w:tcW w:w="2167" w:type="dxa"/>
            <w:tcBorders>
              <w:top w:val="single" w:color="auto" w:sz="0" w:space="0"/>
              <w:bottom w:val="single" w:color="auto" w:sz="0" w:space="0"/>
              <w:right w:val="single" w:color="auto" w:sz="0" w:space="0"/>
            </w:tcBorders>
            <w:noWrap w:val="0"/>
            <w:vAlign w:val="center"/>
          </w:tcPr>
          <w:p>
            <w:pPr>
              <w:spacing w:line="460" w:lineRule="exact"/>
              <w:ind w:right="-21" w:rightChars="-10"/>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完工时间（日历天）</w:t>
            </w:r>
          </w:p>
        </w:tc>
        <w:tc>
          <w:tcPr>
            <w:tcW w:w="1493" w:type="dxa"/>
            <w:tcBorders>
              <w:top w:val="single" w:color="auto" w:sz="0" w:space="0"/>
              <w:left w:val="single" w:color="auto" w:sz="0" w:space="0"/>
              <w:bottom w:val="single" w:color="auto" w:sz="0" w:space="0"/>
              <w:right w:val="single" w:color="auto" w:sz="0" w:space="0"/>
            </w:tcBorders>
            <w:noWrap w:val="0"/>
            <w:vAlign w:val="center"/>
          </w:tcPr>
          <w:p>
            <w:pPr>
              <w:spacing w:line="460" w:lineRule="exact"/>
              <w:ind w:right="-21" w:rightChars="-10"/>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免费质保期</w:t>
            </w:r>
          </w:p>
        </w:tc>
        <w:tc>
          <w:tcPr>
            <w:tcW w:w="1842" w:type="dxa"/>
            <w:tcBorders>
              <w:top w:val="single" w:color="auto" w:sz="0" w:space="0"/>
              <w:left w:val="single" w:color="auto" w:sz="0" w:space="0"/>
              <w:bottom w:val="single" w:color="auto" w:sz="0" w:space="0"/>
              <w:right w:val="single" w:color="auto" w:sz="4" w:space="0"/>
            </w:tcBorders>
            <w:noWrap w:val="0"/>
            <w:vAlign w:val="center"/>
          </w:tcPr>
          <w:p>
            <w:pPr>
              <w:spacing w:line="460" w:lineRule="exact"/>
              <w:ind w:right="-21" w:rightChars="-10"/>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交货地点</w:t>
            </w:r>
          </w:p>
        </w:tc>
        <w:tc>
          <w:tcPr>
            <w:tcW w:w="1338" w:type="dxa"/>
            <w:tcBorders>
              <w:top w:val="single" w:color="auto" w:sz="0" w:space="0"/>
              <w:left w:val="single" w:color="auto" w:sz="4" w:space="0"/>
              <w:bottom w:val="single" w:color="auto" w:sz="0" w:space="0"/>
              <w:right w:val="single" w:color="auto" w:sz="0" w:space="0"/>
            </w:tcBorders>
            <w:noWrap w:val="0"/>
            <w:vAlign w:val="center"/>
          </w:tcPr>
          <w:p>
            <w:pPr>
              <w:spacing w:line="460" w:lineRule="exact"/>
              <w:ind w:right="-21" w:rightChars="-10"/>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项目负责人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trHeight w:val="2185" w:hRule="atLeast"/>
          <w:jc w:val="center"/>
        </w:trPr>
        <w:tc>
          <w:tcPr>
            <w:tcW w:w="953" w:type="dxa"/>
            <w:tcBorders>
              <w:top w:val="single" w:color="auto" w:sz="0" w:space="0"/>
              <w:left w:val="single" w:color="auto" w:sz="0" w:space="0"/>
              <w:right w:val="single" w:color="auto" w:sz="4" w:space="0"/>
            </w:tcBorders>
            <w:noWrap w:val="0"/>
            <w:vAlign w:val="center"/>
          </w:tcPr>
          <w:p>
            <w:pPr>
              <w:spacing w:line="460" w:lineRule="exact"/>
              <w:ind w:right="-21" w:rightChars="-10"/>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一</w:t>
            </w:r>
          </w:p>
        </w:tc>
        <w:tc>
          <w:tcPr>
            <w:tcW w:w="1913" w:type="dxa"/>
            <w:tcBorders>
              <w:top w:val="single" w:color="auto" w:sz="0" w:space="0"/>
              <w:left w:val="single" w:color="auto" w:sz="4" w:space="0"/>
              <w:right w:val="single" w:color="auto" w:sz="0" w:space="0"/>
            </w:tcBorders>
            <w:noWrap w:val="0"/>
            <w:vAlign w:val="center"/>
          </w:tcPr>
          <w:p>
            <w:pPr>
              <w:spacing w:line="460" w:lineRule="exact"/>
              <w:ind w:right="-21" w:rightChars="-10"/>
              <w:jc w:val="center"/>
              <w:rPr>
                <w:rFonts w:hint="eastAsia" w:ascii="新宋体" w:hAnsi="新宋体" w:eastAsia="新宋体" w:cs="新宋体"/>
                <w:color w:val="auto"/>
                <w:sz w:val="22"/>
                <w:szCs w:val="22"/>
                <w:highlight w:val="none"/>
              </w:rPr>
            </w:pPr>
            <w:r>
              <w:rPr>
                <w:rFonts w:hint="eastAsia" w:ascii="新宋体" w:hAnsi="新宋体" w:eastAsia="新宋体"/>
                <w:color w:val="auto"/>
                <w:sz w:val="22"/>
                <w:highlight w:val="none"/>
              </w:rPr>
              <w:t>瓯江口雪亮工程建设项目-公安监控建设</w:t>
            </w:r>
          </w:p>
        </w:tc>
        <w:tc>
          <w:tcPr>
            <w:tcW w:w="2167" w:type="dxa"/>
            <w:tcBorders>
              <w:top w:val="single" w:color="auto" w:sz="0" w:space="0"/>
              <w:left w:val="single" w:color="auto" w:sz="0" w:space="0"/>
              <w:right w:val="single" w:color="auto" w:sz="0" w:space="0"/>
            </w:tcBorders>
            <w:noWrap w:val="0"/>
            <w:vAlign w:val="center"/>
          </w:tcPr>
          <w:p>
            <w:pPr>
              <w:spacing w:line="460" w:lineRule="exact"/>
              <w:ind w:right="-21" w:rightChars="-10"/>
              <w:jc w:val="center"/>
              <w:rPr>
                <w:rFonts w:hint="eastAsia" w:ascii="新宋体" w:hAnsi="新宋体" w:eastAsia="新宋体" w:cs="新宋体"/>
                <w:color w:val="auto"/>
                <w:sz w:val="22"/>
                <w:szCs w:val="22"/>
                <w:highlight w:val="none"/>
              </w:rPr>
            </w:pPr>
          </w:p>
        </w:tc>
        <w:tc>
          <w:tcPr>
            <w:tcW w:w="1493" w:type="dxa"/>
            <w:tcBorders>
              <w:top w:val="single" w:color="auto" w:sz="0" w:space="0"/>
              <w:left w:val="single" w:color="auto" w:sz="0" w:space="0"/>
              <w:right w:val="single" w:color="auto" w:sz="0" w:space="0"/>
            </w:tcBorders>
            <w:noWrap w:val="0"/>
            <w:vAlign w:val="center"/>
          </w:tcPr>
          <w:p>
            <w:pPr>
              <w:spacing w:line="460" w:lineRule="exact"/>
              <w:ind w:right="-21" w:rightChars="-10"/>
              <w:jc w:val="center"/>
              <w:rPr>
                <w:rFonts w:hint="eastAsia" w:ascii="新宋体" w:hAnsi="新宋体" w:eastAsia="新宋体" w:cs="新宋体"/>
                <w:color w:val="auto"/>
                <w:sz w:val="22"/>
                <w:szCs w:val="22"/>
                <w:highlight w:val="none"/>
              </w:rPr>
            </w:pPr>
          </w:p>
        </w:tc>
        <w:tc>
          <w:tcPr>
            <w:tcW w:w="1842" w:type="dxa"/>
            <w:tcBorders>
              <w:top w:val="single" w:color="auto" w:sz="0" w:space="0"/>
              <w:left w:val="single" w:color="auto" w:sz="0" w:space="0"/>
              <w:right w:val="single" w:color="auto" w:sz="4" w:space="0"/>
            </w:tcBorders>
            <w:noWrap w:val="0"/>
            <w:vAlign w:val="center"/>
          </w:tcPr>
          <w:p>
            <w:pPr>
              <w:spacing w:line="460" w:lineRule="exact"/>
              <w:ind w:right="-21" w:rightChars="-10"/>
              <w:jc w:val="center"/>
              <w:rPr>
                <w:rFonts w:hint="eastAsia" w:ascii="新宋体" w:hAnsi="新宋体" w:eastAsia="新宋体" w:cs="新宋体"/>
                <w:color w:val="auto"/>
                <w:sz w:val="22"/>
                <w:szCs w:val="22"/>
                <w:highlight w:val="none"/>
              </w:rPr>
            </w:pPr>
          </w:p>
        </w:tc>
        <w:tc>
          <w:tcPr>
            <w:tcW w:w="1338" w:type="dxa"/>
            <w:tcBorders>
              <w:top w:val="single" w:color="auto" w:sz="0" w:space="0"/>
              <w:left w:val="single" w:color="auto" w:sz="4" w:space="0"/>
              <w:right w:val="single" w:color="auto" w:sz="0" w:space="0"/>
            </w:tcBorders>
            <w:noWrap w:val="0"/>
            <w:vAlign w:val="center"/>
          </w:tcPr>
          <w:p>
            <w:pPr>
              <w:spacing w:line="460" w:lineRule="exact"/>
              <w:ind w:right="-21" w:rightChars="-10"/>
              <w:jc w:val="center"/>
              <w:rPr>
                <w:rFonts w:hint="eastAsia" w:ascii="新宋体" w:hAnsi="新宋体" w:eastAsia="新宋体" w:cs="新宋体"/>
                <w:color w:val="auto"/>
                <w:sz w:val="22"/>
                <w:szCs w:val="22"/>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trHeight w:val="1134" w:hRule="atLeast"/>
          <w:jc w:val="center"/>
        </w:trPr>
        <w:tc>
          <w:tcPr>
            <w:tcW w:w="9706" w:type="dxa"/>
            <w:gridSpan w:val="6"/>
            <w:tcBorders>
              <w:left w:val="single" w:color="auto" w:sz="0" w:space="0"/>
              <w:bottom w:val="single" w:color="auto" w:sz="0" w:space="0"/>
              <w:right w:val="single" w:color="auto" w:sz="0" w:space="0"/>
            </w:tcBorders>
            <w:noWrap w:val="0"/>
            <w:vAlign w:val="center"/>
          </w:tcPr>
          <w:p>
            <w:pPr>
              <w:spacing w:line="460" w:lineRule="exact"/>
              <w:ind w:right="-21" w:rightChars="-1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投标总价（大写）：</w:t>
            </w:r>
          </w:p>
          <w:p>
            <w:pPr>
              <w:spacing w:before="240" w:beforeLines="100" w:line="460" w:lineRule="exact"/>
              <w:ind w:right="-21" w:rightChars="-1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（小写）：¥</w:t>
            </w:r>
          </w:p>
        </w:tc>
      </w:tr>
    </w:tbl>
    <w:p>
      <w:pPr>
        <w:spacing w:line="450" w:lineRule="exact"/>
        <w:ind w:firstLine="541" w:firstLineChars="245"/>
        <w:rPr>
          <w:rFonts w:hint="eastAsia" w:ascii="新宋体" w:hAnsi="新宋体" w:eastAsia="新宋体"/>
          <w:b/>
          <w:color w:val="auto"/>
          <w:sz w:val="22"/>
          <w:szCs w:val="22"/>
          <w:highlight w:val="none"/>
        </w:rPr>
      </w:pPr>
    </w:p>
    <w:p>
      <w:pPr>
        <w:spacing w:line="450" w:lineRule="exact"/>
        <w:ind w:firstLine="541" w:firstLineChars="245"/>
        <w:rPr>
          <w:rFonts w:hint="eastAsia" w:ascii="新宋体" w:hAnsi="新宋体" w:eastAsia="新宋体"/>
          <w:b/>
          <w:color w:val="auto"/>
          <w:sz w:val="22"/>
          <w:highlight w:val="none"/>
        </w:rPr>
      </w:pPr>
      <w:r>
        <w:rPr>
          <w:rFonts w:hint="eastAsia" w:ascii="新宋体" w:hAnsi="新宋体" w:eastAsia="新宋体"/>
          <w:b/>
          <w:color w:val="auto"/>
          <w:sz w:val="22"/>
          <w:szCs w:val="22"/>
          <w:highlight w:val="none"/>
        </w:rPr>
        <w:t xml:space="preserve">说明  </w:t>
      </w:r>
      <w:r>
        <w:rPr>
          <w:rFonts w:hint="eastAsia" w:ascii="新宋体" w:hAnsi="新宋体" w:eastAsia="新宋体"/>
          <w:b/>
          <w:color w:val="auto"/>
          <w:sz w:val="22"/>
          <w:highlight w:val="none"/>
        </w:rPr>
        <w:t>1、 此栏投标报价应与附件一中“3、投标分项报价表”中的总计价相一致。</w:t>
      </w:r>
    </w:p>
    <w:p>
      <w:pPr>
        <w:spacing w:line="450" w:lineRule="exact"/>
        <w:rPr>
          <w:rFonts w:hint="eastAsia" w:ascii="新宋体" w:hAnsi="新宋体" w:eastAsia="新宋体"/>
          <w:b/>
          <w:color w:val="auto"/>
          <w:sz w:val="22"/>
          <w:highlight w:val="none"/>
        </w:rPr>
      </w:pPr>
      <w:r>
        <w:rPr>
          <w:rFonts w:hint="eastAsia" w:ascii="新宋体" w:hAnsi="新宋体" w:eastAsia="新宋体"/>
          <w:b/>
          <w:color w:val="auto"/>
          <w:sz w:val="22"/>
          <w:highlight w:val="none"/>
        </w:rPr>
        <w:t xml:space="preserve">           2、不提供此表格将被视为没有实质性响应招标文件</w:t>
      </w:r>
    </w:p>
    <w:p>
      <w:pPr>
        <w:spacing w:line="460" w:lineRule="exact"/>
        <w:ind w:left="532" w:leftChars="-171" w:hanging="891" w:hangingChars="405"/>
        <w:rPr>
          <w:rFonts w:hint="eastAsia" w:ascii="新宋体" w:hAnsi="新宋体" w:eastAsia="新宋体" w:cs="新宋体"/>
          <w:color w:val="auto"/>
          <w:sz w:val="22"/>
          <w:szCs w:val="22"/>
          <w:highlight w:val="none"/>
        </w:rPr>
      </w:pPr>
    </w:p>
    <w:p>
      <w:pPr>
        <w:pStyle w:val="25"/>
        <w:rPr>
          <w:rFonts w:hint="eastAsia" w:ascii="新宋体" w:hAnsi="新宋体" w:eastAsia="新宋体" w:cs="新宋体"/>
          <w:color w:val="auto"/>
          <w:highlight w:val="none"/>
        </w:rPr>
      </w:pPr>
    </w:p>
    <w:p>
      <w:pPr>
        <w:spacing w:line="3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投标人全称（盖章）：</w:t>
      </w:r>
    </w:p>
    <w:p>
      <w:pPr>
        <w:spacing w:line="3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投标人代表（签字）：</w:t>
      </w:r>
    </w:p>
    <w:p>
      <w:pPr>
        <w:spacing w:line="380" w:lineRule="exact"/>
        <w:ind w:firstLine="220" w:firstLineChars="1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日   期：</w:t>
      </w:r>
    </w:p>
    <w:p>
      <w:pPr>
        <w:pStyle w:val="9"/>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pStyle w:val="9"/>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pStyle w:val="9"/>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pStyle w:val="9"/>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pStyle w:val="9"/>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pStyle w:val="9"/>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rPr>
          <w:rFonts w:hint="eastAsia"/>
          <w:color w:val="auto"/>
          <w:highlight w:val="none"/>
        </w:rPr>
      </w:pPr>
    </w:p>
    <w:p>
      <w:pPr>
        <w:pStyle w:val="9"/>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spacing w:line="400" w:lineRule="exact"/>
        <w:jc w:val="center"/>
        <w:outlineLvl w:val="3"/>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投标报价一览表</w:t>
      </w:r>
    </w:p>
    <w:p>
      <w:pPr>
        <w:spacing w:line="380" w:lineRule="exact"/>
        <w:ind w:left="535" w:leftChars="-171" w:hanging="894" w:hangingChars="405"/>
        <w:rPr>
          <w:rFonts w:hint="eastAsia" w:ascii="新宋体" w:hAnsi="新宋体" w:eastAsia="新宋体" w:cs="新宋体"/>
          <w:b/>
          <w:color w:val="auto"/>
          <w:sz w:val="22"/>
          <w:highlight w:val="none"/>
        </w:rPr>
      </w:pPr>
    </w:p>
    <w:p>
      <w:pPr>
        <w:spacing w:line="38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 xml:space="preserve">项目名称： </w:t>
      </w:r>
      <w:r>
        <w:rPr>
          <w:rFonts w:hint="eastAsia" w:ascii="新宋体" w:hAnsi="新宋体" w:eastAsia="新宋体" w:cs="新宋体"/>
          <w:b/>
          <w:color w:val="auto"/>
          <w:sz w:val="22"/>
          <w:szCs w:val="22"/>
          <w:highlight w:val="none"/>
        </w:rPr>
        <w:t xml:space="preserve">                                                  </w:t>
      </w:r>
      <w:r>
        <w:rPr>
          <w:rFonts w:hint="eastAsia" w:ascii="新宋体" w:hAnsi="新宋体" w:eastAsia="新宋体" w:cs="新宋体"/>
          <w:b/>
          <w:bCs/>
          <w:color w:val="auto"/>
          <w:sz w:val="22"/>
          <w:szCs w:val="22"/>
          <w:highlight w:val="none"/>
        </w:rPr>
        <w:t>项目编号</w:t>
      </w:r>
      <w:r>
        <w:rPr>
          <w:rFonts w:hint="eastAsia" w:ascii="新宋体" w:hAnsi="新宋体" w:eastAsia="新宋体" w:cs="新宋体"/>
          <w:bCs/>
          <w:color w:val="auto"/>
          <w:sz w:val="22"/>
          <w:szCs w:val="22"/>
          <w:highlight w:val="none"/>
        </w:rPr>
        <w:t>：</w:t>
      </w:r>
      <w:r>
        <w:rPr>
          <w:rFonts w:hint="eastAsia" w:ascii="新宋体" w:hAnsi="新宋体" w:eastAsia="新宋体" w:cs="新宋体"/>
          <w:b/>
          <w:bCs/>
          <w:color w:val="auto"/>
          <w:sz w:val="22"/>
          <w:szCs w:val="22"/>
          <w:highlight w:val="none"/>
        </w:rPr>
        <w:t xml:space="preserve"> </w:t>
      </w:r>
    </w:p>
    <w:tbl>
      <w:tblPr>
        <w:tblStyle w:val="52"/>
        <w:tblW w:w="9706"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53"/>
        <w:gridCol w:w="1913"/>
        <w:gridCol w:w="2167"/>
        <w:gridCol w:w="1493"/>
        <w:gridCol w:w="1842"/>
        <w:gridCol w:w="133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trHeight w:val="567" w:hRule="atLeast"/>
          <w:jc w:val="center"/>
        </w:trPr>
        <w:tc>
          <w:tcPr>
            <w:tcW w:w="953" w:type="dxa"/>
            <w:tcBorders>
              <w:top w:val="single" w:color="auto" w:sz="0" w:space="0"/>
              <w:left w:val="single" w:color="auto" w:sz="0" w:space="0"/>
              <w:bottom w:val="single" w:color="auto" w:sz="0" w:space="0"/>
              <w:right w:val="single" w:color="auto" w:sz="4" w:space="0"/>
            </w:tcBorders>
            <w:noWrap w:val="0"/>
            <w:vAlign w:val="center"/>
          </w:tcPr>
          <w:p>
            <w:pPr>
              <w:spacing w:line="460" w:lineRule="exact"/>
              <w:ind w:right="-21" w:rightChars="-10"/>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标段号</w:t>
            </w:r>
          </w:p>
        </w:tc>
        <w:tc>
          <w:tcPr>
            <w:tcW w:w="1913" w:type="dxa"/>
            <w:tcBorders>
              <w:top w:val="single" w:color="auto" w:sz="0" w:space="0"/>
              <w:left w:val="single" w:color="auto" w:sz="4" w:space="0"/>
              <w:bottom w:val="single" w:color="auto" w:sz="0" w:space="0"/>
            </w:tcBorders>
            <w:noWrap w:val="0"/>
            <w:vAlign w:val="center"/>
          </w:tcPr>
          <w:p>
            <w:pPr>
              <w:spacing w:line="460" w:lineRule="exact"/>
              <w:ind w:right="-21" w:rightChars="-10"/>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投标项目</w:t>
            </w:r>
          </w:p>
        </w:tc>
        <w:tc>
          <w:tcPr>
            <w:tcW w:w="2167" w:type="dxa"/>
            <w:tcBorders>
              <w:top w:val="single" w:color="auto" w:sz="0" w:space="0"/>
              <w:bottom w:val="single" w:color="auto" w:sz="0" w:space="0"/>
              <w:right w:val="single" w:color="auto" w:sz="0" w:space="0"/>
            </w:tcBorders>
            <w:noWrap w:val="0"/>
            <w:vAlign w:val="center"/>
          </w:tcPr>
          <w:p>
            <w:pPr>
              <w:spacing w:line="460" w:lineRule="exact"/>
              <w:ind w:right="-21" w:rightChars="-10"/>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完工时间（日历天）</w:t>
            </w:r>
          </w:p>
        </w:tc>
        <w:tc>
          <w:tcPr>
            <w:tcW w:w="1493" w:type="dxa"/>
            <w:tcBorders>
              <w:top w:val="single" w:color="auto" w:sz="0" w:space="0"/>
              <w:left w:val="single" w:color="auto" w:sz="0" w:space="0"/>
              <w:bottom w:val="single" w:color="auto" w:sz="0" w:space="0"/>
              <w:right w:val="single" w:color="auto" w:sz="0" w:space="0"/>
            </w:tcBorders>
            <w:noWrap w:val="0"/>
            <w:vAlign w:val="center"/>
          </w:tcPr>
          <w:p>
            <w:pPr>
              <w:spacing w:line="460" w:lineRule="exact"/>
              <w:ind w:right="-21" w:rightChars="-10"/>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免费质保期</w:t>
            </w:r>
          </w:p>
        </w:tc>
        <w:tc>
          <w:tcPr>
            <w:tcW w:w="1842" w:type="dxa"/>
            <w:tcBorders>
              <w:top w:val="single" w:color="auto" w:sz="0" w:space="0"/>
              <w:left w:val="single" w:color="auto" w:sz="0" w:space="0"/>
              <w:bottom w:val="single" w:color="auto" w:sz="0" w:space="0"/>
              <w:right w:val="single" w:color="auto" w:sz="4" w:space="0"/>
            </w:tcBorders>
            <w:noWrap w:val="0"/>
            <w:vAlign w:val="center"/>
          </w:tcPr>
          <w:p>
            <w:pPr>
              <w:spacing w:line="460" w:lineRule="exact"/>
              <w:ind w:right="-21" w:rightChars="-10"/>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交货地点</w:t>
            </w:r>
          </w:p>
        </w:tc>
        <w:tc>
          <w:tcPr>
            <w:tcW w:w="1338" w:type="dxa"/>
            <w:tcBorders>
              <w:top w:val="single" w:color="auto" w:sz="0" w:space="0"/>
              <w:left w:val="single" w:color="auto" w:sz="4" w:space="0"/>
              <w:bottom w:val="single" w:color="auto" w:sz="0" w:space="0"/>
              <w:right w:val="single" w:color="auto" w:sz="0" w:space="0"/>
            </w:tcBorders>
            <w:noWrap w:val="0"/>
            <w:vAlign w:val="center"/>
          </w:tcPr>
          <w:p>
            <w:pPr>
              <w:spacing w:line="460" w:lineRule="exact"/>
              <w:ind w:right="-21" w:rightChars="-10"/>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项目负责人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trHeight w:val="1134" w:hRule="atLeast"/>
          <w:jc w:val="center"/>
        </w:trPr>
        <w:tc>
          <w:tcPr>
            <w:tcW w:w="953" w:type="dxa"/>
            <w:tcBorders>
              <w:top w:val="single" w:color="auto" w:sz="0" w:space="0"/>
              <w:left w:val="single" w:color="auto" w:sz="0" w:space="0"/>
              <w:right w:val="single" w:color="auto" w:sz="4" w:space="0"/>
            </w:tcBorders>
            <w:noWrap w:val="0"/>
            <w:vAlign w:val="center"/>
          </w:tcPr>
          <w:p>
            <w:pPr>
              <w:spacing w:line="460" w:lineRule="exact"/>
              <w:ind w:right="-21" w:rightChars="-10"/>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二</w:t>
            </w:r>
          </w:p>
        </w:tc>
        <w:tc>
          <w:tcPr>
            <w:tcW w:w="1913" w:type="dxa"/>
            <w:tcBorders>
              <w:top w:val="single" w:color="auto" w:sz="0" w:space="0"/>
              <w:left w:val="single" w:color="auto" w:sz="4" w:space="0"/>
              <w:right w:val="single" w:color="auto" w:sz="0" w:space="0"/>
            </w:tcBorders>
            <w:noWrap w:val="0"/>
            <w:vAlign w:val="center"/>
          </w:tcPr>
          <w:p>
            <w:pPr>
              <w:spacing w:line="460" w:lineRule="exact"/>
              <w:ind w:right="-21" w:rightChars="-10"/>
              <w:jc w:val="center"/>
              <w:rPr>
                <w:rFonts w:hint="eastAsia" w:ascii="新宋体" w:hAnsi="新宋体" w:eastAsia="新宋体" w:cs="新宋体"/>
                <w:color w:val="auto"/>
                <w:sz w:val="22"/>
                <w:szCs w:val="22"/>
                <w:highlight w:val="none"/>
              </w:rPr>
            </w:pPr>
            <w:r>
              <w:rPr>
                <w:rFonts w:hint="eastAsia" w:ascii="新宋体" w:hAnsi="新宋体" w:eastAsia="新宋体"/>
                <w:color w:val="auto"/>
                <w:sz w:val="22"/>
                <w:highlight w:val="none"/>
              </w:rPr>
              <w:t>瓯江口雪亮工程建设项目-水利等部门可视化工程建设</w:t>
            </w:r>
          </w:p>
        </w:tc>
        <w:tc>
          <w:tcPr>
            <w:tcW w:w="2167" w:type="dxa"/>
            <w:tcBorders>
              <w:top w:val="single" w:color="auto" w:sz="0" w:space="0"/>
              <w:left w:val="single" w:color="auto" w:sz="0" w:space="0"/>
              <w:right w:val="single" w:color="auto" w:sz="0" w:space="0"/>
            </w:tcBorders>
            <w:noWrap w:val="0"/>
            <w:vAlign w:val="center"/>
          </w:tcPr>
          <w:p>
            <w:pPr>
              <w:spacing w:line="460" w:lineRule="exact"/>
              <w:ind w:right="-21" w:rightChars="-10"/>
              <w:jc w:val="center"/>
              <w:rPr>
                <w:rFonts w:hint="eastAsia" w:ascii="新宋体" w:hAnsi="新宋体" w:eastAsia="新宋体" w:cs="新宋体"/>
                <w:color w:val="auto"/>
                <w:sz w:val="22"/>
                <w:szCs w:val="22"/>
                <w:highlight w:val="none"/>
              </w:rPr>
            </w:pPr>
          </w:p>
        </w:tc>
        <w:tc>
          <w:tcPr>
            <w:tcW w:w="1493" w:type="dxa"/>
            <w:tcBorders>
              <w:top w:val="single" w:color="auto" w:sz="0" w:space="0"/>
              <w:left w:val="single" w:color="auto" w:sz="0" w:space="0"/>
              <w:right w:val="single" w:color="auto" w:sz="0" w:space="0"/>
            </w:tcBorders>
            <w:noWrap w:val="0"/>
            <w:vAlign w:val="center"/>
          </w:tcPr>
          <w:p>
            <w:pPr>
              <w:spacing w:line="460" w:lineRule="exact"/>
              <w:ind w:right="-21" w:rightChars="-10"/>
              <w:jc w:val="center"/>
              <w:rPr>
                <w:rFonts w:hint="eastAsia" w:ascii="新宋体" w:hAnsi="新宋体" w:eastAsia="新宋体" w:cs="新宋体"/>
                <w:color w:val="auto"/>
                <w:sz w:val="22"/>
                <w:szCs w:val="22"/>
                <w:highlight w:val="none"/>
              </w:rPr>
            </w:pPr>
          </w:p>
        </w:tc>
        <w:tc>
          <w:tcPr>
            <w:tcW w:w="1842" w:type="dxa"/>
            <w:tcBorders>
              <w:top w:val="single" w:color="auto" w:sz="0" w:space="0"/>
              <w:left w:val="single" w:color="auto" w:sz="0" w:space="0"/>
              <w:right w:val="single" w:color="auto" w:sz="4" w:space="0"/>
            </w:tcBorders>
            <w:noWrap w:val="0"/>
            <w:vAlign w:val="center"/>
          </w:tcPr>
          <w:p>
            <w:pPr>
              <w:spacing w:line="460" w:lineRule="exact"/>
              <w:ind w:right="-21" w:rightChars="-10"/>
              <w:jc w:val="center"/>
              <w:rPr>
                <w:rFonts w:hint="eastAsia" w:ascii="新宋体" w:hAnsi="新宋体" w:eastAsia="新宋体" w:cs="新宋体"/>
                <w:color w:val="auto"/>
                <w:sz w:val="22"/>
                <w:szCs w:val="22"/>
                <w:highlight w:val="none"/>
              </w:rPr>
            </w:pPr>
          </w:p>
        </w:tc>
        <w:tc>
          <w:tcPr>
            <w:tcW w:w="1338" w:type="dxa"/>
            <w:tcBorders>
              <w:top w:val="single" w:color="auto" w:sz="0" w:space="0"/>
              <w:left w:val="single" w:color="auto" w:sz="4" w:space="0"/>
              <w:right w:val="single" w:color="auto" w:sz="0" w:space="0"/>
            </w:tcBorders>
            <w:noWrap w:val="0"/>
            <w:vAlign w:val="center"/>
          </w:tcPr>
          <w:p>
            <w:pPr>
              <w:spacing w:line="460" w:lineRule="exact"/>
              <w:ind w:right="-21" w:rightChars="-10"/>
              <w:jc w:val="center"/>
              <w:rPr>
                <w:rFonts w:hint="eastAsia" w:ascii="新宋体" w:hAnsi="新宋体" w:eastAsia="新宋体" w:cs="新宋体"/>
                <w:color w:val="auto"/>
                <w:sz w:val="22"/>
                <w:szCs w:val="22"/>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trHeight w:val="1134" w:hRule="atLeast"/>
          <w:jc w:val="center"/>
        </w:trPr>
        <w:tc>
          <w:tcPr>
            <w:tcW w:w="9706" w:type="dxa"/>
            <w:gridSpan w:val="6"/>
            <w:tcBorders>
              <w:left w:val="single" w:color="auto" w:sz="0" w:space="0"/>
              <w:bottom w:val="single" w:color="auto" w:sz="0" w:space="0"/>
              <w:right w:val="single" w:color="auto" w:sz="0" w:space="0"/>
            </w:tcBorders>
            <w:noWrap w:val="0"/>
            <w:vAlign w:val="center"/>
          </w:tcPr>
          <w:p>
            <w:pPr>
              <w:spacing w:line="460" w:lineRule="exact"/>
              <w:ind w:right="-21" w:rightChars="-1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投标总价（大写）：</w:t>
            </w:r>
          </w:p>
          <w:p>
            <w:pPr>
              <w:spacing w:before="240" w:beforeLines="100" w:line="460" w:lineRule="exact"/>
              <w:ind w:right="-21" w:rightChars="-1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（小写）：¥</w:t>
            </w:r>
          </w:p>
        </w:tc>
      </w:tr>
    </w:tbl>
    <w:p>
      <w:pPr>
        <w:spacing w:line="450" w:lineRule="exact"/>
        <w:ind w:firstLine="541" w:firstLineChars="245"/>
        <w:rPr>
          <w:rFonts w:hint="eastAsia" w:ascii="新宋体" w:hAnsi="新宋体" w:eastAsia="新宋体"/>
          <w:b/>
          <w:color w:val="auto"/>
          <w:sz w:val="22"/>
          <w:szCs w:val="22"/>
          <w:highlight w:val="none"/>
        </w:rPr>
      </w:pPr>
    </w:p>
    <w:p>
      <w:pPr>
        <w:spacing w:line="450" w:lineRule="exact"/>
        <w:ind w:firstLine="541" w:firstLineChars="245"/>
        <w:rPr>
          <w:rFonts w:hint="eastAsia" w:ascii="新宋体" w:hAnsi="新宋体" w:eastAsia="新宋体"/>
          <w:b/>
          <w:color w:val="auto"/>
          <w:sz w:val="22"/>
          <w:highlight w:val="none"/>
        </w:rPr>
      </w:pPr>
      <w:r>
        <w:rPr>
          <w:rFonts w:hint="eastAsia" w:ascii="新宋体" w:hAnsi="新宋体" w:eastAsia="新宋体"/>
          <w:b/>
          <w:color w:val="auto"/>
          <w:sz w:val="22"/>
          <w:szCs w:val="22"/>
          <w:highlight w:val="none"/>
        </w:rPr>
        <w:t xml:space="preserve">说明  </w:t>
      </w:r>
      <w:r>
        <w:rPr>
          <w:rFonts w:hint="eastAsia" w:ascii="新宋体" w:hAnsi="新宋体" w:eastAsia="新宋体"/>
          <w:b/>
          <w:color w:val="auto"/>
          <w:sz w:val="22"/>
          <w:highlight w:val="none"/>
        </w:rPr>
        <w:t>1、 此栏投标报价应与附件一中“3、投标分项报价表”中的总计价相一致。</w:t>
      </w:r>
    </w:p>
    <w:p>
      <w:pPr>
        <w:spacing w:line="450" w:lineRule="exact"/>
        <w:rPr>
          <w:rFonts w:hint="eastAsia" w:ascii="新宋体" w:hAnsi="新宋体" w:eastAsia="新宋体"/>
          <w:b/>
          <w:color w:val="auto"/>
          <w:sz w:val="22"/>
          <w:highlight w:val="none"/>
        </w:rPr>
      </w:pPr>
      <w:r>
        <w:rPr>
          <w:rFonts w:hint="eastAsia" w:ascii="新宋体" w:hAnsi="新宋体" w:eastAsia="新宋体"/>
          <w:b/>
          <w:color w:val="auto"/>
          <w:sz w:val="22"/>
          <w:highlight w:val="none"/>
        </w:rPr>
        <w:t xml:space="preserve">           2、不提供此表格将被视为没有实质性响应招标文件</w:t>
      </w: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spacing w:line="400" w:lineRule="exact"/>
        <w:jc w:val="center"/>
        <w:outlineLvl w:val="3"/>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投标报价一览表</w:t>
      </w:r>
    </w:p>
    <w:p>
      <w:pPr>
        <w:spacing w:line="380" w:lineRule="exact"/>
        <w:ind w:left="535" w:leftChars="-171" w:hanging="894" w:hangingChars="405"/>
        <w:rPr>
          <w:rFonts w:hint="eastAsia" w:ascii="新宋体" w:hAnsi="新宋体" w:eastAsia="新宋体" w:cs="新宋体"/>
          <w:b/>
          <w:color w:val="auto"/>
          <w:sz w:val="22"/>
          <w:highlight w:val="none"/>
        </w:rPr>
      </w:pPr>
    </w:p>
    <w:p>
      <w:pPr>
        <w:spacing w:line="38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 xml:space="preserve">项目名称： </w:t>
      </w:r>
      <w:r>
        <w:rPr>
          <w:rFonts w:hint="eastAsia" w:ascii="新宋体" w:hAnsi="新宋体" w:eastAsia="新宋体" w:cs="新宋体"/>
          <w:b/>
          <w:color w:val="auto"/>
          <w:sz w:val="22"/>
          <w:szCs w:val="22"/>
          <w:highlight w:val="none"/>
        </w:rPr>
        <w:t xml:space="preserve">                                                  </w:t>
      </w:r>
      <w:r>
        <w:rPr>
          <w:rFonts w:hint="eastAsia" w:ascii="新宋体" w:hAnsi="新宋体" w:eastAsia="新宋体" w:cs="新宋体"/>
          <w:b/>
          <w:bCs/>
          <w:color w:val="auto"/>
          <w:sz w:val="22"/>
          <w:szCs w:val="22"/>
          <w:highlight w:val="none"/>
        </w:rPr>
        <w:t>项目编号</w:t>
      </w:r>
      <w:r>
        <w:rPr>
          <w:rFonts w:hint="eastAsia" w:ascii="新宋体" w:hAnsi="新宋体" w:eastAsia="新宋体" w:cs="新宋体"/>
          <w:bCs/>
          <w:color w:val="auto"/>
          <w:sz w:val="22"/>
          <w:szCs w:val="22"/>
          <w:highlight w:val="none"/>
        </w:rPr>
        <w:t>：</w:t>
      </w:r>
      <w:r>
        <w:rPr>
          <w:rFonts w:hint="eastAsia" w:ascii="新宋体" w:hAnsi="新宋体" w:eastAsia="新宋体" w:cs="新宋体"/>
          <w:b/>
          <w:bCs/>
          <w:color w:val="auto"/>
          <w:sz w:val="22"/>
          <w:szCs w:val="22"/>
          <w:highlight w:val="none"/>
        </w:rPr>
        <w:t xml:space="preserve"> </w:t>
      </w:r>
    </w:p>
    <w:tbl>
      <w:tblPr>
        <w:tblStyle w:val="52"/>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1681"/>
        <w:gridCol w:w="3360"/>
        <w:gridCol w:w="1297"/>
        <w:gridCol w:w="1099"/>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4" w:type="dxa"/>
            <w:noWrap w:val="0"/>
            <w:vAlign w:val="center"/>
          </w:tcPr>
          <w:p>
            <w:pPr>
              <w:spacing w:line="380" w:lineRule="exact"/>
              <w:jc w:val="center"/>
              <w:rPr>
                <w:rFonts w:ascii="新宋体" w:hAnsi="新宋体" w:eastAsia="新宋体"/>
                <w:color w:val="auto"/>
                <w:sz w:val="22"/>
                <w:highlight w:val="none"/>
              </w:rPr>
            </w:pPr>
            <w:r>
              <w:rPr>
                <w:rFonts w:hint="eastAsia" w:ascii="新宋体" w:hAnsi="新宋体" w:eastAsia="新宋体" w:cs="新宋体"/>
                <w:color w:val="auto"/>
                <w:sz w:val="22"/>
                <w:szCs w:val="22"/>
                <w:highlight w:val="none"/>
              </w:rPr>
              <w:t>标段号</w:t>
            </w:r>
          </w:p>
        </w:tc>
        <w:tc>
          <w:tcPr>
            <w:tcW w:w="1681" w:type="dxa"/>
            <w:noWrap w:val="0"/>
            <w:vAlign w:val="center"/>
          </w:tcPr>
          <w:p>
            <w:pPr>
              <w:spacing w:line="380" w:lineRule="exact"/>
              <w:jc w:val="center"/>
              <w:rPr>
                <w:rFonts w:hint="eastAsia" w:ascii="新宋体" w:hAnsi="新宋体" w:eastAsia="新宋体"/>
                <w:color w:val="auto"/>
                <w:sz w:val="22"/>
                <w:highlight w:val="none"/>
              </w:rPr>
            </w:pPr>
            <w:r>
              <w:rPr>
                <w:rFonts w:hint="eastAsia" w:ascii="新宋体" w:eastAsia="新宋体"/>
                <w:bCs/>
                <w:color w:val="auto"/>
                <w:sz w:val="22"/>
                <w:szCs w:val="22"/>
                <w:highlight w:val="none"/>
              </w:rPr>
              <w:t>系统名称</w:t>
            </w:r>
          </w:p>
        </w:tc>
        <w:tc>
          <w:tcPr>
            <w:tcW w:w="3360" w:type="dxa"/>
            <w:noWrap w:val="0"/>
            <w:vAlign w:val="center"/>
          </w:tcPr>
          <w:p>
            <w:pPr>
              <w:spacing w:line="380" w:lineRule="exact"/>
              <w:ind w:left="-422" w:leftChars="-201" w:firstLine="968" w:firstLineChars="440"/>
              <w:jc w:val="center"/>
              <w:rPr>
                <w:rFonts w:hint="eastAsia" w:ascii="新宋体" w:hAnsi="新宋体" w:eastAsia="新宋体"/>
                <w:color w:val="auto"/>
                <w:sz w:val="22"/>
                <w:highlight w:val="none"/>
              </w:rPr>
            </w:pPr>
            <w:r>
              <w:rPr>
                <w:rFonts w:hint="eastAsia" w:ascii="新宋体" w:eastAsia="新宋体"/>
                <w:bCs/>
                <w:color w:val="auto"/>
                <w:sz w:val="22"/>
                <w:szCs w:val="22"/>
                <w:highlight w:val="none"/>
              </w:rPr>
              <w:t>投标报价</w:t>
            </w:r>
          </w:p>
        </w:tc>
        <w:tc>
          <w:tcPr>
            <w:tcW w:w="1297" w:type="dxa"/>
            <w:noWrap w:val="0"/>
            <w:vAlign w:val="center"/>
          </w:tcPr>
          <w:p>
            <w:pPr>
              <w:spacing w:line="380" w:lineRule="exact"/>
              <w:jc w:val="center"/>
              <w:rPr>
                <w:rFonts w:hint="eastAsia" w:ascii="新宋体" w:hAnsi="新宋体" w:eastAsia="新宋体"/>
                <w:color w:val="auto"/>
                <w:sz w:val="22"/>
                <w:highlight w:val="none"/>
              </w:rPr>
            </w:pPr>
            <w:r>
              <w:rPr>
                <w:rFonts w:hint="eastAsia" w:ascii="宋体" w:hAnsi="宋体"/>
                <w:bCs/>
                <w:color w:val="auto"/>
                <w:sz w:val="22"/>
                <w:szCs w:val="22"/>
                <w:highlight w:val="none"/>
              </w:rPr>
              <w:t>监理周期</w:t>
            </w:r>
          </w:p>
        </w:tc>
        <w:tc>
          <w:tcPr>
            <w:tcW w:w="1099" w:type="dxa"/>
            <w:noWrap w:val="0"/>
            <w:vAlign w:val="center"/>
          </w:tcPr>
          <w:p>
            <w:pPr>
              <w:spacing w:line="380" w:lineRule="exact"/>
              <w:jc w:val="center"/>
              <w:rPr>
                <w:rFonts w:hint="eastAsia" w:ascii="新宋体" w:hAnsi="新宋体" w:eastAsia="新宋体"/>
                <w:color w:val="auto"/>
                <w:sz w:val="22"/>
                <w:highlight w:val="none"/>
              </w:rPr>
            </w:pPr>
            <w:r>
              <w:rPr>
                <w:rFonts w:hint="eastAsia" w:ascii="宋体" w:hAnsi="宋体"/>
                <w:bCs/>
                <w:color w:val="auto"/>
                <w:sz w:val="22"/>
                <w:szCs w:val="22"/>
                <w:highlight w:val="none"/>
              </w:rPr>
              <w:t>监理地点</w:t>
            </w:r>
          </w:p>
        </w:tc>
        <w:tc>
          <w:tcPr>
            <w:tcW w:w="1234" w:type="dxa"/>
            <w:noWrap w:val="0"/>
            <w:vAlign w:val="center"/>
          </w:tcPr>
          <w:p>
            <w:pPr>
              <w:spacing w:line="380" w:lineRule="exact"/>
              <w:jc w:val="center"/>
              <w:rPr>
                <w:rFonts w:hint="eastAsia" w:ascii="新宋体" w:hAnsi="新宋体" w:eastAsia="新宋体"/>
                <w:color w:val="auto"/>
                <w:sz w:val="22"/>
                <w:highlight w:val="none"/>
              </w:rPr>
            </w:pPr>
            <w:r>
              <w:rPr>
                <w:rFonts w:hint="eastAsia" w:ascii="新宋体" w:hAnsi="新宋体" w:eastAsia="新宋体"/>
                <w:color w:val="auto"/>
                <w:sz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974" w:type="dxa"/>
            <w:vMerge w:val="restart"/>
            <w:noWrap w:val="0"/>
            <w:vAlign w:val="center"/>
          </w:tcPr>
          <w:p>
            <w:pPr>
              <w:spacing w:line="380" w:lineRule="exact"/>
              <w:jc w:val="center"/>
              <w:rPr>
                <w:rFonts w:hint="eastAsia" w:ascii="新宋体" w:hAnsi="新宋体" w:eastAsia="新宋体"/>
                <w:color w:val="auto"/>
                <w:sz w:val="22"/>
                <w:highlight w:val="none"/>
              </w:rPr>
            </w:pPr>
            <w:r>
              <w:rPr>
                <w:rFonts w:hint="eastAsia" w:ascii="新宋体" w:hAnsi="新宋体" w:eastAsia="新宋体"/>
                <w:color w:val="auto"/>
                <w:sz w:val="22"/>
                <w:highlight w:val="none"/>
              </w:rPr>
              <w:t>三</w:t>
            </w:r>
          </w:p>
        </w:tc>
        <w:tc>
          <w:tcPr>
            <w:tcW w:w="1681" w:type="dxa"/>
            <w:vMerge w:val="restart"/>
            <w:noWrap w:val="0"/>
            <w:vAlign w:val="center"/>
          </w:tcPr>
          <w:p>
            <w:pPr>
              <w:spacing w:line="380" w:lineRule="exact"/>
              <w:jc w:val="center"/>
              <w:rPr>
                <w:rFonts w:hint="eastAsia" w:ascii="新宋体" w:hAnsi="新宋体" w:eastAsia="新宋体"/>
                <w:color w:val="auto"/>
                <w:sz w:val="22"/>
                <w:highlight w:val="none"/>
              </w:rPr>
            </w:pPr>
            <w:r>
              <w:rPr>
                <w:rFonts w:hint="eastAsia" w:ascii="新宋体" w:hAnsi="新宋体" w:eastAsia="新宋体"/>
                <w:color w:val="auto"/>
                <w:sz w:val="22"/>
                <w:highlight w:val="none"/>
              </w:rPr>
              <w:t>项目咨询监理</w:t>
            </w:r>
          </w:p>
        </w:tc>
        <w:tc>
          <w:tcPr>
            <w:tcW w:w="3360" w:type="dxa"/>
            <w:noWrap w:val="0"/>
            <w:vAlign w:val="center"/>
          </w:tcPr>
          <w:p>
            <w:pPr>
              <w:spacing w:line="380" w:lineRule="exact"/>
              <w:rPr>
                <w:rFonts w:hint="eastAsia" w:ascii="新宋体" w:hAnsi="新宋体" w:eastAsia="新宋体"/>
                <w:color w:val="auto"/>
                <w:sz w:val="22"/>
                <w:highlight w:val="none"/>
              </w:rPr>
            </w:pPr>
            <w:r>
              <w:rPr>
                <w:rFonts w:hint="eastAsia" w:ascii="新宋体" w:hAnsi="新宋体" w:eastAsia="新宋体"/>
                <w:color w:val="auto"/>
                <w:sz w:val="22"/>
                <w:highlight w:val="none"/>
              </w:rPr>
              <w:t>大写：</w:t>
            </w:r>
          </w:p>
        </w:tc>
        <w:tc>
          <w:tcPr>
            <w:tcW w:w="1297" w:type="dxa"/>
            <w:vMerge w:val="restart"/>
            <w:noWrap w:val="0"/>
            <w:vAlign w:val="center"/>
          </w:tcPr>
          <w:p>
            <w:pPr>
              <w:spacing w:line="380" w:lineRule="exact"/>
              <w:jc w:val="center"/>
              <w:rPr>
                <w:rFonts w:hint="eastAsia" w:ascii="新宋体" w:hAnsi="新宋体" w:eastAsia="新宋体"/>
                <w:color w:val="auto"/>
                <w:sz w:val="22"/>
                <w:highlight w:val="none"/>
              </w:rPr>
            </w:pPr>
          </w:p>
        </w:tc>
        <w:tc>
          <w:tcPr>
            <w:tcW w:w="1099" w:type="dxa"/>
            <w:vMerge w:val="restart"/>
            <w:noWrap w:val="0"/>
            <w:vAlign w:val="center"/>
          </w:tcPr>
          <w:p>
            <w:pPr>
              <w:spacing w:line="380" w:lineRule="exact"/>
              <w:jc w:val="center"/>
              <w:rPr>
                <w:rFonts w:hint="eastAsia" w:ascii="新宋体" w:hAnsi="新宋体" w:eastAsia="新宋体"/>
                <w:color w:val="auto"/>
                <w:sz w:val="22"/>
                <w:highlight w:val="none"/>
              </w:rPr>
            </w:pPr>
          </w:p>
        </w:tc>
        <w:tc>
          <w:tcPr>
            <w:tcW w:w="1234" w:type="dxa"/>
            <w:vMerge w:val="restart"/>
            <w:noWrap w:val="0"/>
            <w:vAlign w:val="center"/>
          </w:tcPr>
          <w:p>
            <w:pPr>
              <w:spacing w:line="380" w:lineRule="exact"/>
              <w:jc w:val="center"/>
              <w:rPr>
                <w:rFonts w:hint="eastAsia" w:ascii="新宋体" w:hAnsi="新宋体" w:eastAsia="新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974" w:type="dxa"/>
            <w:vMerge w:val="continue"/>
            <w:noWrap w:val="0"/>
            <w:vAlign w:val="center"/>
          </w:tcPr>
          <w:p>
            <w:pPr>
              <w:spacing w:line="380" w:lineRule="exact"/>
              <w:jc w:val="center"/>
              <w:rPr>
                <w:rFonts w:hint="eastAsia" w:ascii="新宋体" w:hAnsi="新宋体" w:eastAsia="新宋体"/>
                <w:color w:val="auto"/>
                <w:sz w:val="22"/>
                <w:highlight w:val="none"/>
              </w:rPr>
            </w:pPr>
          </w:p>
        </w:tc>
        <w:tc>
          <w:tcPr>
            <w:tcW w:w="1681" w:type="dxa"/>
            <w:vMerge w:val="continue"/>
            <w:noWrap w:val="0"/>
            <w:vAlign w:val="center"/>
          </w:tcPr>
          <w:p>
            <w:pPr>
              <w:spacing w:line="380" w:lineRule="exact"/>
              <w:jc w:val="center"/>
              <w:rPr>
                <w:rFonts w:hint="eastAsia" w:ascii="新宋体" w:hAnsi="新宋体" w:eastAsia="新宋体"/>
                <w:color w:val="auto"/>
                <w:sz w:val="22"/>
                <w:highlight w:val="none"/>
              </w:rPr>
            </w:pPr>
          </w:p>
        </w:tc>
        <w:tc>
          <w:tcPr>
            <w:tcW w:w="3360" w:type="dxa"/>
            <w:noWrap w:val="0"/>
            <w:vAlign w:val="center"/>
          </w:tcPr>
          <w:p>
            <w:pPr>
              <w:spacing w:line="380" w:lineRule="exact"/>
              <w:rPr>
                <w:rFonts w:hint="eastAsia" w:ascii="新宋体" w:hAnsi="新宋体" w:eastAsia="新宋体"/>
                <w:color w:val="auto"/>
                <w:sz w:val="22"/>
                <w:highlight w:val="none"/>
              </w:rPr>
            </w:pPr>
            <w:r>
              <w:rPr>
                <w:rFonts w:hint="eastAsia" w:ascii="新宋体" w:hAnsi="新宋体" w:eastAsia="新宋体"/>
                <w:color w:val="auto"/>
                <w:sz w:val="22"/>
                <w:highlight w:val="none"/>
              </w:rPr>
              <w:t>小写：</w:t>
            </w:r>
          </w:p>
        </w:tc>
        <w:tc>
          <w:tcPr>
            <w:tcW w:w="1297" w:type="dxa"/>
            <w:vMerge w:val="continue"/>
            <w:noWrap w:val="0"/>
            <w:vAlign w:val="center"/>
          </w:tcPr>
          <w:p>
            <w:pPr>
              <w:spacing w:line="380" w:lineRule="exact"/>
              <w:jc w:val="center"/>
              <w:rPr>
                <w:rFonts w:hint="eastAsia" w:ascii="新宋体" w:hAnsi="新宋体" w:eastAsia="新宋体"/>
                <w:color w:val="auto"/>
                <w:sz w:val="22"/>
                <w:highlight w:val="none"/>
              </w:rPr>
            </w:pPr>
          </w:p>
        </w:tc>
        <w:tc>
          <w:tcPr>
            <w:tcW w:w="1099" w:type="dxa"/>
            <w:vMerge w:val="continue"/>
            <w:noWrap w:val="0"/>
            <w:vAlign w:val="center"/>
          </w:tcPr>
          <w:p>
            <w:pPr>
              <w:spacing w:line="380" w:lineRule="exact"/>
              <w:jc w:val="center"/>
              <w:rPr>
                <w:rFonts w:hint="eastAsia" w:ascii="新宋体" w:hAnsi="新宋体" w:eastAsia="新宋体"/>
                <w:color w:val="auto"/>
                <w:sz w:val="22"/>
                <w:highlight w:val="none"/>
              </w:rPr>
            </w:pPr>
          </w:p>
        </w:tc>
        <w:tc>
          <w:tcPr>
            <w:tcW w:w="1234" w:type="dxa"/>
            <w:vMerge w:val="continue"/>
            <w:noWrap w:val="0"/>
            <w:vAlign w:val="center"/>
          </w:tcPr>
          <w:p>
            <w:pPr>
              <w:spacing w:line="380" w:lineRule="exact"/>
              <w:jc w:val="center"/>
              <w:rPr>
                <w:rFonts w:hint="eastAsia" w:ascii="新宋体" w:hAnsi="新宋体" w:eastAsia="新宋体"/>
                <w:color w:val="auto"/>
                <w:sz w:val="22"/>
                <w:highlight w:val="none"/>
              </w:rPr>
            </w:pPr>
          </w:p>
        </w:tc>
      </w:tr>
    </w:tbl>
    <w:p>
      <w:pPr>
        <w:spacing w:line="450" w:lineRule="exact"/>
        <w:ind w:firstLine="541" w:firstLineChars="245"/>
        <w:rPr>
          <w:rFonts w:hint="eastAsia" w:ascii="新宋体" w:hAnsi="新宋体" w:eastAsia="新宋体"/>
          <w:b/>
          <w:color w:val="auto"/>
          <w:sz w:val="22"/>
          <w:szCs w:val="22"/>
          <w:highlight w:val="none"/>
        </w:rPr>
      </w:pPr>
    </w:p>
    <w:p>
      <w:pPr>
        <w:spacing w:line="450" w:lineRule="exact"/>
        <w:ind w:firstLine="541" w:firstLineChars="245"/>
        <w:rPr>
          <w:rFonts w:hint="eastAsia" w:ascii="新宋体" w:hAnsi="新宋体" w:eastAsia="新宋体"/>
          <w:b/>
          <w:color w:val="auto"/>
          <w:sz w:val="22"/>
          <w:highlight w:val="none"/>
        </w:rPr>
      </w:pPr>
      <w:r>
        <w:rPr>
          <w:rFonts w:hint="eastAsia" w:ascii="新宋体" w:hAnsi="新宋体" w:eastAsia="新宋体"/>
          <w:b/>
          <w:color w:val="auto"/>
          <w:sz w:val="22"/>
          <w:szCs w:val="22"/>
          <w:highlight w:val="none"/>
        </w:rPr>
        <w:t xml:space="preserve">说明  </w:t>
      </w:r>
      <w:r>
        <w:rPr>
          <w:rFonts w:hint="eastAsia" w:ascii="新宋体" w:hAnsi="新宋体" w:eastAsia="新宋体"/>
          <w:b/>
          <w:color w:val="auto"/>
          <w:sz w:val="22"/>
          <w:highlight w:val="none"/>
        </w:rPr>
        <w:t>1、 此栏投标报价应与附件一中“3、投标分项报价表”中的总计价相一致。</w:t>
      </w:r>
    </w:p>
    <w:p>
      <w:pPr>
        <w:spacing w:line="450" w:lineRule="exact"/>
        <w:rPr>
          <w:rFonts w:hint="eastAsia" w:ascii="新宋体" w:hAnsi="新宋体" w:eastAsia="新宋体"/>
          <w:b/>
          <w:color w:val="auto"/>
          <w:sz w:val="22"/>
          <w:highlight w:val="none"/>
        </w:rPr>
      </w:pPr>
      <w:r>
        <w:rPr>
          <w:rFonts w:hint="eastAsia" w:ascii="新宋体" w:hAnsi="新宋体" w:eastAsia="新宋体"/>
          <w:b/>
          <w:color w:val="auto"/>
          <w:sz w:val="22"/>
          <w:highlight w:val="none"/>
        </w:rPr>
        <w:t xml:space="preserve">           2、不提供此表格将被视为没有实质性响应招标文件</w:t>
      </w: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pStyle w:val="23"/>
        <w:ind w:left="442" w:hanging="442"/>
        <w:rPr>
          <w:rFonts w:hint="eastAsia" w:ascii="新宋体" w:hAnsi="新宋体" w:eastAsia="新宋体"/>
          <w:b/>
          <w:bCs/>
          <w:color w:val="auto"/>
          <w:sz w:val="22"/>
          <w:szCs w:val="22"/>
          <w:highlight w:val="none"/>
        </w:rPr>
      </w:pPr>
    </w:p>
    <w:p>
      <w:pPr>
        <w:spacing w:line="400" w:lineRule="exact"/>
        <w:jc w:val="center"/>
        <w:outlineLvl w:val="3"/>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3、投标分项报价表</w:t>
      </w:r>
    </w:p>
    <w:p>
      <w:pPr>
        <w:spacing w:line="400" w:lineRule="exact"/>
        <w:jc w:val="center"/>
        <w:rPr>
          <w:rFonts w:hint="eastAsia" w:ascii="新宋体" w:hAnsi="新宋体" w:eastAsia="新宋体"/>
          <w:b/>
          <w:bCs/>
          <w:color w:val="auto"/>
          <w:sz w:val="22"/>
          <w:szCs w:val="22"/>
          <w:highlight w:val="none"/>
        </w:rPr>
      </w:pPr>
      <w:r>
        <w:rPr>
          <w:rFonts w:hint="eastAsia" w:ascii="新宋体" w:hAnsi="新宋体" w:eastAsia="新宋体" w:cs="新宋体"/>
          <w:b/>
          <w:bCs/>
          <w:color w:val="auto"/>
          <w:sz w:val="22"/>
          <w:szCs w:val="22"/>
          <w:highlight w:val="none"/>
        </w:rPr>
        <w:t>(</w:t>
      </w:r>
      <w:r>
        <w:rPr>
          <w:rFonts w:hint="eastAsia" w:ascii="新宋体" w:hAnsi="新宋体" w:eastAsia="新宋体"/>
          <w:color w:val="auto"/>
          <w:sz w:val="22"/>
          <w:highlight w:val="none"/>
        </w:rPr>
        <w:t>标段一：瓯江口雪亮工程建设项目-公安监控建设</w:t>
      </w:r>
      <w:r>
        <w:rPr>
          <w:rFonts w:hint="eastAsia" w:ascii="新宋体" w:hAnsi="新宋体" w:eastAsia="新宋体" w:cs="新宋体"/>
          <w:b/>
          <w:bCs/>
          <w:color w:val="auto"/>
          <w:sz w:val="22"/>
          <w:szCs w:val="22"/>
          <w:highlight w:val="none"/>
        </w:rPr>
        <w:t>)</w:t>
      </w:r>
    </w:p>
    <w:p>
      <w:pPr>
        <w:spacing w:line="380" w:lineRule="exact"/>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 xml:space="preserve">项目名称： </w:t>
      </w:r>
      <w:r>
        <w:rPr>
          <w:rFonts w:hint="eastAsia" w:ascii="新宋体" w:hAnsi="新宋体" w:eastAsia="新宋体"/>
          <w:color w:val="auto"/>
          <w:sz w:val="22"/>
          <w:szCs w:val="22"/>
          <w:highlight w:val="none"/>
        </w:rPr>
        <w:t xml:space="preserve">                                              </w:t>
      </w:r>
      <w:r>
        <w:rPr>
          <w:rFonts w:hint="eastAsia" w:ascii="新宋体" w:hAnsi="新宋体" w:eastAsia="新宋体"/>
          <w:b/>
          <w:bCs/>
          <w:color w:val="auto"/>
          <w:sz w:val="22"/>
          <w:szCs w:val="22"/>
          <w:highlight w:val="none"/>
        </w:rPr>
        <w:t>项目编号：</w:t>
      </w:r>
    </w:p>
    <w:tbl>
      <w:tblPr>
        <w:tblStyle w:val="52"/>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1605"/>
        <w:gridCol w:w="1477"/>
        <w:gridCol w:w="1570"/>
        <w:gridCol w:w="708"/>
        <w:gridCol w:w="1143"/>
        <w:gridCol w:w="1000"/>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tcBorders>
              <w:top w:val="single" w:color="auto" w:sz="12" w:space="0"/>
              <w:left w:val="single" w:color="auto" w:sz="12" w:space="0"/>
              <w:bottom w:val="single" w:color="auto" w:sz="12" w:space="0"/>
            </w:tcBorders>
            <w:noWrap w:val="0"/>
            <w:vAlign w:val="center"/>
          </w:tcPr>
          <w:p>
            <w:pPr>
              <w:spacing w:line="420" w:lineRule="exact"/>
              <w:ind w:right="-11"/>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项目</w:t>
            </w:r>
          </w:p>
        </w:tc>
        <w:tc>
          <w:tcPr>
            <w:tcW w:w="1605" w:type="dxa"/>
            <w:tcBorders>
              <w:top w:val="single" w:color="auto" w:sz="12" w:space="0"/>
              <w:bottom w:val="single" w:color="auto" w:sz="12" w:space="0"/>
            </w:tcBorders>
            <w:noWrap w:val="0"/>
            <w:vAlign w:val="center"/>
          </w:tcPr>
          <w:p>
            <w:pPr>
              <w:spacing w:line="420" w:lineRule="exact"/>
              <w:ind w:right="-11"/>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货物名称</w:t>
            </w:r>
          </w:p>
        </w:tc>
        <w:tc>
          <w:tcPr>
            <w:tcW w:w="1477" w:type="dxa"/>
            <w:tcBorders>
              <w:top w:val="single" w:color="auto" w:sz="12" w:space="0"/>
              <w:bottom w:val="single" w:color="auto" w:sz="12" w:space="0"/>
            </w:tcBorders>
            <w:noWrap w:val="0"/>
            <w:vAlign w:val="center"/>
          </w:tcPr>
          <w:p>
            <w:pPr>
              <w:spacing w:line="420" w:lineRule="exact"/>
              <w:ind w:right="-11"/>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品牌型号规格、产地</w:t>
            </w:r>
          </w:p>
        </w:tc>
        <w:tc>
          <w:tcPr>
            <w:tcW w:w="1570" w:type="dxa"/>
            <w:tcBorders>
              <w:top w:val="single" w:color="auto" w:sz="12" w:space="0"/>
              <w:bottom w:val="single" w:color="auto" w:sz="12" w:space="0"/>
            </w:tcBorders>
            <w:noWrap w:val="0"/>
            <w:vAlign w:val="center"/>
          </w:tcPr>
          <w:p>
            <w:pPr>
              <w:spacing w:line="420" w:lineRule="exact"/>
              <w:ind w:right="-11"/>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制造厂商名称</w:t>
            </w:r>
          </w:p>
        </w:tc>
        <w:tc>
          <w:tcPr>
            <w:tcW w:w="708" w:type="dxa"/>
            <w:tcBorders>
              <w:top w:val="single" w:color="auto" w:sz="12" w:space="0"/>
              <w:bottom w:val="single" w:color="auto" w:sz="12" w:space="0"/>
            </w:tcBorders>
            <w:noWrap w:val="0"/>
            <w:vAlign w:val="center"/>
          </w:tcPr>
          <w:p>
            <w:pPr>
              <w:spacing w:line="420" w:lineRule="exact"/>
              <w:ind w:right="-11"/>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数量</w:t>
            </w:r>
          </w:p>
        </w:tc>
        <w:tc>
          <w:tcPr>
            <w:tcW w:w="1143" w:type="dxa"/>
            <w:tcBorders>
              <w:top w:val="single" w:color="auto" w:sz="12" w:space="0"/>
              <w:bottom w:val="single" w:color="auto" w:sz="12" w:space="0"/>
            </w:tcBorders>
            <w:noWrap w:val="0"/>
            <w:vAlign w:val="center"/>
          </w:tcPr>
          <w:p>
            <w:pPr>
              <w:spacing w:line="420" w:lineRule="exact"/>
              <w:ind w:right="-11"/>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出厂单价</w:t>
            </w:r>
          </w:p>
          <w:p>
            <w:pPr>
              <w:spacing w:line="420" w:lineRule="exact"/>
              <w:ind w:right="-11"/>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（含税）</w:t>
            </w:r>
          </w:p>
        </w:tc>
        <w:tc>
          <w:tcPr>
            <w:tcW w:w="1000" w:type="dxa"/>
            <w:tcBorders>
              <w:top w:val="single" w:color="auto" w:sz="12" w:space="0"/>
              <w:bottom w:val="single" w:color="auto" w:sz="12" w:space="0"/>
            </w:tcBorders>
            <w:noWrap w:val="0"/>
            <w:vAlign w:val="center"/>
          </w:tcPr>
          <w:p>
            <w:pPr>
              <w:spacing w:line="420" w:lineRule="exact"/>
              <w:ind w:right="-11"/>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总价</w:t>
            </w:r>
          </w:p>
          <w:p>
            <w:pPr>
              <w:spacing w:line="420" w:lineRule="exact"/>
              <w:ind w:right="-11"/>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（含税）</w:t>
            </w:r>
          </w:p>
        </w:tc>
        <w:tc>
          <w:tcPr>
            <w:tcW w:w="1159" w:type="dxa"/>
            <w:tcBorders>
              <w:top w:val="single" w:color="auto" w:sz="12" w:space="0"/>
              <w:bottom w:val="single" w:color="auto" w:sz="12" w:space="0"/>
              <w:right w:val="single" w:color="auto" w:sz="12" w:space="0"/>
            </w:tcBorders>
            <w:noWrap w:val="0"/>
            <w:vAlign w:val="center"/>
          </w:tcPr>
          <w:p>
            <w:pPr>
              <w:spacing w:line="420" w:lineRule="exact"/>
              <w:ind w:right="-11"/>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免费</w:t>
            </w:r>
          </w:p>
          <w:p>
            <w:pPr>
              <w:spacing w:line="420" w:lineRule="exact"/>
              <w:ind w:right="-11"/>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保修期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tcBorders>
              <w:left w:val="single" w:color="auto" w:sz="12" w:space="0"/>
            </w:tcBorders>
            <w:noWrap w:val="0"/>
            <w:vAlign w:val="center"/>
          </w:tcPr>
          <w:p>
            <w:pPr>
              <w:spacing w:line="420" w:lineRule="exact"/>
              <w:ind w:right="-11"/>
              <w:jc w:val="center"/>
              <w:rPr>
                <w:rFonts w:ascii="新宋体" w:hAnsi="新宋体" w:eastAsia="新宋体" w:cs="新宋体"/>
                <w:color w:val="auto"/>
                <w:sz w:val="22"/>
                <w:szCs w:val="22"/>
                <w:highlight w:val="none"/>
              </w:rPr>
            </w:pPr>
          </w:p>
        </w:tc>
        <w:tc>
          <w:tcPr>
            <w:tcW w:w="1605" w:type="dxa"/>
            <w:noWrap w:val="0"/>
            <w:vAlign w:val="center"/>
          </w:tcPr>
          <w:p>
            <w:pPr>
              <w:spacing w:line="420" w:lineRule="exact"/>
              <w:rPr>
                <w:rFonts w:ascii="新宋体" w:hAnsi="新宋体" w:eastAsia="新宋体" w:cs="新宋体"/>
                <w:color w:val="auto"/>
                <w:sz w:val="22"/>
                <w:szCs w:val="22"/>
                <w:highlight w:val="none"/>
              </w:rPr>
            </w:pPr>
          </w:p>
        </w:tc>
        <w:tc>
          <w:tcPr>
            <w:tcW w:w="1477" w:type="dxa"/>
            <w:noWrap w:val="0"/>
            <w:vAlign w:val="center"/>
          </w:tcPr>
          <w:p>
            <w:pPr>
              <w:spacing w:line="420" w:lineRule="exact"/>
              <w:jc w:val="center"/>
              <w:rPr>
                <w:rFonts w:ascii="新宋体" w:hAnsi="新宋体" w:eastAsia="新宋体" w:cs="新宋体"/>
                <w:color w:val="auto"/>
                <w:sz w:val="22"/>
                <w:szCs w:val="22"/>
                <w:highlight w:val="none"/>
              </w:rPr>
            </w:pPr>
          </w:p>
        </w:tc>
        <w:tc>
          <w:tcPr>
            <w:tcW w:w="1570" w:type="dxa"/>
            <w:noWrap w:val="0"/>
            <w:vAlign w:val="center"/>
          </w:tcPr>
          <w:p>
            <w:pPr>
              <w:spacing w:line="420" w:lineRule="exact"/>
              <w:ind w:right="-11"/>
              <w:jc w:val="center"/>
              <w:rPr>
                <w:rFonts w:ascii="新宋体" w:hAnsi="新宋体" w:eastAsia="新宋体" w:cs="新宋体"/>
                <w:color w:val="auto"/>
                <w:sz w:val="22"/>
                <w:szCs w:val="22"/>
                <w:highlight w:val="none"/>
              </w:rPr>
            </w:pPr>
          </w:p>
        </w:tc>
        <w:tc>
          <w:tcPr>
            <w:tcW w:w="708" w:type="dxa"/>
            <w:noWrap w:val="0"/>
            <w:vAlign w:val="center"/>
          </w:tcPr>
          <w:p>
            <w:pPr>
              <w:spacing w:line="420" w:lineRule="exact"/>
              <w:jc w:val="center"/>
              <w:rPr>
                <w:rFonts w:ascii="新宋体" w:hAnsi="新宋体" w:eastAsia="新宋体" w:cs="新宋体"/>
                <w:color w:val="auto"/>
                <w:sz w:val="22"/>
                <w:szCs w:val="22"/>
                <w:highlight w:val="none"/>
              </w:rPr>
            </w:pPr>
          </w:p>
        </w:tc>
        <w:tc>
          <w:tcPr>
            <w:tcW w:w="1143" w:type="dxa"/>
            <w:noWrap w:val="0"/>
            <w:vAlign w:val="center"/>
          </w:tcPr>
          <w:p>
            <w:pPr>
              <w:spacing w:line="420" w:lineRule="exact"/>
              <w:ind w:right="-11"/>
              <w:jc w:val="center"/>
              <w:rPr>
                <w:rFonts w:ascii="新宋体" w:hAnsi="新宋体" w:eastAsia="新宋体" w:cs="新宋体"/>
                <w:color w:val="auto"/>
                <w:sz w:val="22"/>
                <w:szCs w:val="22"/>
                <w:highlight w:val="none"/>
              </w:rPr>
            </w:pPr>
          </w:p>
        </w:tc>
        <w:tc>
          <w:tcPr>
            <w:tcW w:w="1000" w:type="dxa"/>
            <w:noWrap w:val="0"/>
            <w:vAlign w:val="center"/>
          </w:tcPr>
          <w:p>
            <w:pPr>
              <w:spacing w:line="420" w:lineRule="exact"/>
              <w:ind w:right="-11"/>
              <w:jc w:val="center"/>
              <w:rPr>
                <w:rFonts w:ascii="新宋体" w:hAnsi="新宋体" w:eastAsia="新宋体" w:cs="新宋体"/>
                <w:color w:val="auto"/>
                <w:sz w:val="22"/>
                <w:szCs w:val="22"/>
                <w:highlight w:val="none"/>
              </w:rPr>
            </w:pPr>
          </w:p>
        </w:tc>
        <w:tc>
          <w:tcPr>
            <w:tcW w:w="1159" w:type="dxa"/>
            <w:tcBorders>
              <w:right w:val="single" w:color="auto" w:sz="12" w:space="0"/>
            </w:tcBorders>
            <w:noWrap w:val="0"/>
            <w:vAlign w:val="center"/>
          </w:tcPr>
          <w:p>
            <w:pPr>
              <w:spacing w:line="420" w:lineRule="exact"/>
              <w:ind w:right="-11"/>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tcBorders>
              <w:left w:val="single" w:color="auto" w:sz="12" w:space="0"/>
            </w:tcBorders>
            <w:noWrap w:val="0"/>
            <w:vAlign w:val="center"/>
          </w:tcPr>
          <w:p>
            <w:pPr>
              <w:spacing w:line="420" w:lineRule="exact"/>
              <w:ind w:right="-11"/>
              <w:jc w:val="center"/>
              <w:rPr>
                <w:rFonts w:ascii="新宋体" w:hAnsi="新宋体" w:eastAsia="新宋体" w:cs="新宋体"/>
                <w:color w:val="auto"/>
                <w:sz w:val="22"/>
                <w:szCs w:val="22"/>
                <w:highlight w:val="none"/>
              </w:rPr>
            </w:pPr>
          </w:p>
        </w:tc>
        <w:tc>
          <w:tcPr>
            <w:tcW w:w="1605" w:type="dxa"/>
            <w:noWrap w:val="0"/>
            <w:vAlign w:val="center"/>
          </w:tcPr>
          <w:p>
            <w:pPr>
              <w:spacing w:line="420" w:lineRule="exact"/>
              <w:rPr>
                <w:rFonts w:ascii="新宋体" w:hAnsi="新宋体" w:eastAsia="新宋体" w:cs="新宋体"/>
                <w:color w:val="auto"/>
                <w:sz w:val="22"/>
                <w:szCs w:val="22"/>
                <w:highlight w:val="none"/>
              </w:rPr>
            </w:pPr>
          </w:p>
        </w:tc>
        <w:tc>
          <w:tcPr>
            <w:tcW w:w="1477" w:type="dxa"/>
            <w:noWrap w:val="0"/>
            <w:vAlign w:val="center"/>
          </w:tcPr>
          <w:p>
            <w:pPr>
              <w:spacing w:line="420" w:lineRule="exact"/>
              <w:jc w:val="center"/>
              <w:rPr>
                <w:rFonts w:ascii="新宋体" w:hAnsi="新宋体" w:eastAsia="新宋体" w:cs="新宋体"/>
                <w:color w:val="auto"/>
                <w:sz w:val="22"/>
                <w:szCs w:val="22"/>
                <w:highlight w:val="none"/>
              </w:rPr>
            </w:pPr>
          </w:p>
        </w:tc>
        <w:tc>
          <w:tcPr>
            <w:tcW w:w="1570" w:type="dxa"/>
            <w:noWrap w:val="0"/>
            <w:vAlign w:val="center"/>
          </w:tcPr>
          <w:p>
            <w:pPr>
              <w:spacing w:line="420" w:lineRule="exact"/>
              <w:ind w:right="-11"/>
              <w:jc w:val="center"/>
              <w:rPr>
                <w:rFonts w:ascii="新宋体" w:hAnsi="新宋体" w:eastAsia="新宋体" w:cs="新宋体"/>
                <w:color w:val="auto"/>
                <w:sz w:val="22"/>
                <w:szCs w:val="22"/>
                <w:highlight w:val="none"/>
              </w:rPr>
            </w:pPr>
          </w:p>
        </w:tc>
        <w:tc>
          <w:tcPr>
            <w:tcW w:w="708" w:type="dxa"/>
            <w:noWrap w:val="0"/>
            <w:vAlign w:val="center"/>
          </w:tcPr>
          <w:p>
            <w:pPr>
              <w:spacing w:line="420" w:lineRule="exact"/>
              <w:jc w:val="center"/>
              <w:rPr>
                <w:rFonts w:ascii="新宋体" w:hAnsi="新宋体" w:eastAsia="新宋体" w:cs="新宋体"/>
                <w:color w:val="auto"/>
                <w:sz w:val="22"/>
                <w:szCs w:val="22"/>
                <w:highlight w:val="none"/>
              </w:rPr>
            </w:pPr>
          </w:p>
        </w:tc>
        <w:tc>
          <w:tcPr>
            <w:tcW w:w="1143" w:type="dxa"/>
            <w:noWrap w:val="0"/>
            <w:vAlign w:val="center"/>
          </w:tcPr>
          <w:p>
            <w:pPr>
              <w:spacing w:line="420" w:lineRule="exact"/>
              <w:ind w:right="-11"/>
              <w:jc w:val="center"/>
              <w:rPr>
                <w:rFonts w:ascii="新宋体" w:hAnsi="新宋体" w:eastAsia="新宋体" w:cs="新宋体"/>
                <w:color w:val="auto"/>
                <w:sz w:val="22"/>
                <w:szCs w:val="22"/>
                <w:highlight w:val="none"/>
              </w:rPr>
            </w:pPr>
          </w:p>
        </w:tc>
        <w:tc>
          <w:tcPr>
            <w:tcW w:w="1000" w:type="dxa"/>
            <w:noWrap w:val="0"/>
            <w:vAlign w:val="center"/>
          </w:tcPr>
          <w:p>
            <w:pPr>
              <w:spacing w:line="420" w:lineRule="exact"/>
              <w:ind w:right="-11"/>
              <w:jc w:val="center"/>
              <w:rPr>
                <w:rFonts w:ascii="新宋体" w:hAnsi="新宋体" w:eastAsia="新宋体" w:cs="新宋体"/>
                <w:color w:val="auto"/>
                <w:sz w:val="22"/>
                <w:szCs w:val="22"/>
                <w:highlight w:val="none"/>
              </w:rPr>
            </w:pPr>
          </w:p>
        </w:tc>
        <w:tc>
          <w:tcPr>
            <w:tcW w:w="1159" w:type="dxa"/>
            <w:tcBorders>
              <w:right w:val="single" w:color="auto" w:sz="12" w:space="0"/>
            </w:tcBorders>
            <w:noWrap w:val="0"/>
            <w:vAlign w:val="center"/>
          </w:tcPr>
          <w:p>
            <w:pPr>
              <w:spacing w:line="420" w:lineRule="exact"/>
              <w:ind w:right="-11"/>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tcBorders>
              <w:left w:val="single" w:color="auto" w:sz="12" w:space="0"/>
            </w:tcBorders>
            <w:noWrap w:val="0"/>
            <w:vAlign w:val="center"/>
          </w:tcPr>
          <w:p>
            <w:pPr>
              <w:spacing w:line="420" w:lineRule="exact"/>
              <w:ind w:right="-11"/>
              <w:jc w:val="center"/>
              <w:rPr>
                <w:rFonts w:ascii="新宋体" w:hAnsi="新宋体" w:eastAsia="新宋体" w:cs="新宋体"/>
                <w:color w:val="auto"/>
                <w:sz w:val="22"/>
                <w:szCs w:val="22"/>
                <w:highlight w:val="none"/>
              </w:rPr>
            </w:pPr>
          </w:p>
        </w:tc>
        <w:tc>
          <w:tcPr>
            <w:tcW w:w="1605" w:type="dxa"/>
            <w:noWrap w:val="0"/>
            <w:vAlign w:val="center"/>
          </w:tcPr>
          <w:p>
            <w:pPr>
              <w:spacing w:line="420" w:lineRule="exact"/>
              <w:rPr>
                <w:rFonts w:ascii="新宋体" w:hAnsi="新宋体" w:eastAsia="新宋体" w:cs="新宋体"/>
                <w:color w:val="auto"/>
                <w:sz w:val="22"/>
                <w:szCs w:val="22"/>
                <w:highlight w:val="none"/>
              </w:rPr>
            </w:pPr>
          </w:p>
        </w:tc>
        <w:tc>
          <w:tcPr>
            <w:tcW w:w="1477" w:type="dxa"/>
            <w:noWrap w:val="0"/>
            <w:vAlign w:val="center"/>
          </w:tcPr>
          <w:p>
            <w:pPr>
              <w:spacing w:line="420" w:lineRule="exact"/>
              <w:jc w:val="center"/>
              <w:rPr>
                <w:rFonts w:ascii="新宋体" w:hAnsi="新宋体" w:eastAsia="新宋体" w:cs="新宋体"/>
                <w:color w:val="auto"/>
                <w:sz w:val="22"/>
                <w:szCs w:val="22"/>
                <w:highlight w:val="none"/>
              </w:rPr>
            </w:pPr>
          </w:p>
        </w:tc>
        <w:tc>
          <w:tcPr>
            <w:tcW w:w="1570" w:type="dxa"/>
            <w:noWrap w:val="0"/>
            <w:vAlign w:val="center"/>
          </w:tcPr>
          <w:p>
            <w:pPr>
              <w:spacing w:line="420" w:lineRule="exact"/>
              <w:ind w:right="-11"/>
              <w:jc w:val="center"/>
              <w:rPr>
                <w:rFonts w:ascii="新宋体" w:hAnsi="新宋体" w:eastAsia="新宋体" w:cs="新宋体"/>
                <w:color w:val="auto"/>
                <w:sz w:val="22"/>
                <w:szCs w:val="22"/>
                <w:highlight w:val="none"/>
              </w:rPr>
            </w:pPr>
          </w:p>
        </w:tc>
        <w:tc>
          <w:tcPr>
            <w:tcW w:w="708" w:type="dxa"/>
            <w:noWrap w:val="0"/>
            <w:vAlign w:val="center"/>
          </w:tcPr>
          <w:p>
            <w:pPr>
              <w:spacing w:line="420" w:lineRule="exact"/>
              <w:jc w:val="center"/>
              <w:rPr>
                <w:rFonts w:ascii="新宋体" w:hAnsi="新宋体" w:eastAsia="新宋体" w:cs="新宋体"/>
                <w:color w:val="auto"/>
                <w:sz w:val="22"/>
                <w:szCs w:val="22"/>
                <w:highlight w:val="none"/>
              </w:rPr>
            </w:pPr>
          </w:p>
        </w:tc>
        <w:tc>
          <w:tcPr>
            <w:tcW w:w="1143" w:type="dxa"/>
            <w:noWrap w:val="0"/>
            <w:vAlign w:val="center"/>
          </w:tcPr>
          <w:p>
            <w:pPr>
              <w:spacing w:line="420" w:lineRule="exact"/>
              <w:ind w:right="-11"/>
              <w:jc w:val="center"/>
              <w:rPr>
                <w:rFonts w:ascii="新宋体" w:hAnsi="新宋体" w:eastAsia="新宋体" w:cs="新宋体"/>
                <w:color w:val="auto"/>
                <w:sz w:val="22"/>
                <w:szCs w:val="22"/>
                <w:highlight w:val="none"/>
              </w:rPr>
            </w:pPr>
          </w:p>
        </w:tc>
        <w:tc>
          <w:tcPr>
            <w:tcW w:w="1000" w:type="dxa"/>
            <w:noWrap w:val="0"/>
            <w:vAlign w:val="center"/>
          </w:tcPr>
          <w:p>
            <w:pPr>
              <w:spacing w:line="420" w:lineRule="exact"/>
              <w:ind w:right="-11"/>
              <w:jc w:val="center"/>
              <w:rPr>
                <w:rFonts w:ascii="新宋体" w:hAnsi="新宋体" w:eastAsia="新宋体" w:cs="新宋体"/>
                <w:color w:val="auto"/>
                <w:sz w:val="22"/>
                <w:szCs w:val="22"/>
                <w:highlight w:val="none"/>
              </w:rPr>
            </w:pPr>
          </w:p>
        </w:tc>
        <w:tc>
          <w:tcPr>
            <w:tcW w:w="1159" w:type="dxa"/>
            <w:tcBorders>
              <w:right w:val="single" w:color="auto" w:sz="12" w:space="0"/>
            </w:tcBorders>
            <w:noWrap w:val="0"/>
            <w:vAlign w:val="center"/>
          </w:tcPr>
          <w:p>
            <w:pPr>
              <w:spacing w:line="420" w:lineRule="exact"/>
              <w:ind w:right="-11"/>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tcBorders>
              <w:left w:val="single" w:color="auto" w:sz="12" w:space="0"/>
            </w:tcBorders>
            <w:noWrap w:val="0"/>
            <w:vAlign w:val="center"/>
          </w:tcPr>
          <w:p>
            <w:pPr>
              <w:spacing w:line="420" w:lineRule="exact"/>
              <w:ind w:right="-11"/>
              <w:jc w:val="center"/>
              <w:rPr>
                <w:rFonts w:ascii="新宋体" w:hAnsi="新宋体" w:eastAsia="新宋体" w:cs="新宋体"/>
                <w:color w:val="auto"/>
                <w:sz w:val="22"/>
                <w:szCs w:val="22"/>
                <w:highlight w:val="none"/>
              </w:rPr>
            </w:pPr>
          </w:p>
        </w:tc>
        <w:tc>
          <w:tcPr>
            <w:tcW w:w="1605" w:type="dxa"/>
            <w:noWrap w:val="0"/>
            <w:vAlign w:val="center"/>
          </w:tcPr>
          <w:p>
            <w:pPr>
              <w:spacing w:line="42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w:t>
            </w:r>
          </w:p>
        </w:tc>
        <w:tc>
          <w:tcPr>
            <w:tcW w:w="1477" w:type="dxa"/>
            <w:noWrap w:val="0"/>
            <w:vAlign w:val="center"/>
          </w:tcPr>
          <w:p>
            <w:pPr>
              <w:spacing w:line="420" w:lineRule="exact"/>
              <w:jc w:val="center"/>
              <w:rPr>
                <w:rFonts w:ascii="新宋体" w:hAnsi="新宋体" w:eastAsia="新宋体" w:cs="新宋体"/>
                <w:color w:val="auto"/>
                <w:sz w:val="22"/>
                <w:szCs w:val="22"/>
                <w:highlight w:val="none"/>
              </w:rPr>
            </w:pPr>
          </w:p>
        </w:tc>
        <w:tc>
          <w:tcPr>
            <w:tcW w:w="1570" w:type="dxa"/>
            <w:noWrap w:val="0"/>
            <w:vAlign w:val="center"/>
          </w:tcPr>
          <w:p>
            <w:pPr>
              <w:spacing w:line="420" w:lineRule="exact"/>
              <w:ind w:right="-11"/>
              <w:jc w:val="center"/>
              <w:rPr>
                <w:rFonts w:ascii="新宋体" w:hAnsi="新宋体" w:eastAsia="新宋体" w:cs="新宋体"/>
                <w:color w:val="auto"/>
                <w:sz w:val="22"/>
                <w:szCs w:val="22"/>
                <w:highlight w:val="none"/>
              </w:rPr>
            </w:pPr>
          </w:p>
        </w:tc>
        <w:tc>
          <w:tcPr>
            <w:tcW w:w="708" w:type="dxa"/>
            <w:noWrap w:val="0"/>
            <w:vAlign w:val="center"/>
          </w:tcPr>
          <w:p>
            <w:pPr>
              <w:spacing w:line="420" w:lineRule="exact"/>
              <w:jc w:val="center"/>
              <w:rPr>
                <w:rFonts w:ascii="新宋体" w:hAnsi="新宋体" w:eastAsia="新宋体" w:cs="新宋体"/>
                <w:color w:val="auto"/>
                <w:sz w:val="22"/>
                <w:szCs w:val="22"/>
                <w:highlight w:val="none"/>
              </w:rPr>
            </w:pPr>
          </w:p>
        </w:tc>
        <w:tc>
          <w:tcPr>
            <w:tcW w:w="1143" w:type="dxa"/>
            <w:noWrap w:val="0"/>
            <w:vAlign w:val="center"/>
          </w:tcPr>
          <w:p>
            <w:pPr>
              <w:spacing w:line="420" w:lineRule="exact"/>
              <w:ind w:right="-11"/>
              <w:jc w:val="center"/>
              <w:rPr>
                <w:rFonts w:ascii="新宋体" w:hAnsi="新宋体" w:eastAsia="新宋体" w:cs="新宋体"/>
                <w:color w:val="auto"/>
                <w:sz w:val="22"/>
                <w:szCs w:val="22"/>
                <w:highlight w:val="none"/>
              </w:rPr>
            </w:pPr>
          </w:p>
        </w:tc>
        <w:tc>
          <w:tcPr>
            <w:tcW w:w="1000" w:type="dxa"/>
            <w:noWrap w:val="0"/>
            <w:vAlign w:val="center"/>
          </w:tcPr>
          <w:p>
            <w:pPr>
              <w:spacing w:line="420" w:lineRule="exact"/>
              <w:ind w:right="-11"/>
              <w:jc w:val="center"/>
              <w:rPr>
                <w:rFonts w:ascii="新宋体" w:hAnsi="新宋体" w:eastAsia="新宋体" w:cs="新宋体"/>
                <w:color w:val="auto"/>
                <w:sz w:val="22"/>
                <w:szCs w:val="22"/>
                <w:highlight w:val="none"/>
              </w:rPr>
            </w:pPr>
          </w:p>
        </w:tc>
        <w:tc>
          <w:tcPr>
            <w:tcW w:w="1159" w:type="dxa"/>
            <w:tcBorders>
              <w:right w:val="single" w:color="auto" w:sz="12" w:space="0"/>
            </w:tcBorders>
            <w:noWrap w:val="0"/>
            <w:vAlign w:val="center"/>
          </w:tcPr>
          <w:p>
            <w:pPr>
              <w:spacing w:line="420" w:lineRule="exact"/>
              <w:ind w:right="-11"/>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3707" w:type="dxa"/>
            <w:gridSpan w:val="3"/>
            <w:tcBorders>
              <w:top w:val="single" w:color="auto" w:sz="12" w:space="0"/>
              <w:left w:val="single" w:color="auto" w:sz="12" w:space="0"/>
            </w:tcBorders>
            <w:noWrap w:val="0"/>
            <w:vAlign w:val="center"/>
          </w:tcPr>
          <w:p>
            <w:pPr>
              <w:spacing w:line="420" w:lineRule="exact"/>
              <w:ind w:right="-11"/>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运杂及保险费（含卸货）</w:t>
            </w:r>
          </w:p>
        </w:tc>
        <w:tc>
          <w:tcPr>
            <w:tcW w:w="5580" w:type="dxa"/>
            <w:gridSpan w:val="5"/>
            <w:tcBorders>
              <w:top w:val="single" w:color="auto" w:sz="12" w:space="0"/>
              <w:right w:val="single" w:color="auto" w:sz="12" w:space="0"/>
            </w:tcBorders>
            <w:noWrap w:val="0"/>
            <w:vAlign w:val="top"/>
          </w:tcPr>
          <w:p>
            <w:pPr>
              <w:spacing w:line="420" w:lineRule="exact"/>
              <w:rPr>
                <w:rFonts w:ascii="新宋体" w:hAnsi="新宋体" w:eastAsia="新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3"/>
            <w:tcBorders>
              <w:left w:val="single" w:color="auto" w:sz="12" w:space="0"/>
            </w:tcBorders>
            <w:noWrap w:val="0"/>
            <w:vAlign w:val="center"/>
          </w:tcPr>
          <w:p>
            <w:pPr>
              <w:spacing w:line="420" w:lineRule="exact"/>
              <w:ind w:right="-11"/>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安装、调试费（包括前端施工费、中心设备集成费、设备的测试、调试、验收等费用）</w:t>
            </w:r>
          </w:p>
        </w:tc>
        <w:tc>
          <w:tcPr>
            <w:tcW w:w="5580" w:type="dxa"/>
            <w:gridSpan w:val="5"/>
            <w:tcBorders>
              <w:right w:val="single" w:color="auto" w:sz="12" w:space="0"/>
            </w:tcBorders>
            <w:noWrap w:val="0"/>
            <w:vAlign w:val="top"/>
          </w:tcPr>
          <w:p>
            <w:pPr>
              <w:spacing w:line="420" w:lineRule="exact"/>
              <w:rPr>
                <w:rFonts w:ascii="新宋体" w:hAnsi="新宋体" w:eastAsia="新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3"/>
            <w:tcBorders>
              <w:left w:val="single" w:color="auto" w:sz="12" w:space="0"/>
            </w:tcBorders>
            <w:noWrap w:val="0"/>
            <w:vAlign w:val="center"/>
          </w:tcPr>
          <w:p>
            <w:pPr>
              <w:spacing w:line="420" w:lineRule="exact"/>
              <w:ind w:right="-11"/>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设计费（如有）、通信链路服务等</w:t>
            </w:r>
          </w:p>
        </w:tc>
        <w:tc>
          <w:tcPr>
            <w:tcW w:w="5580" w:type="dxa"/>
            <w:gridSpan w:val="5"/>
            <w:tcBorders>
              <w:right w:val="single" w:color="auto" w:sz="12" w:space="0"/>
            </w:tcBorders>
            <w:noWrap w:val="0"/>
            <w:vAlign w:val="top"/>
          </w:tcPr>
          <w:p>
            <w:pPr>
              <w:spacing w:line="420" w:lineRule="exact"/>
              <w:rPr>
                <w:rFonts w:ascii="新宋体" w:hAnsi="新宋体" w:eastAsia="新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3707" w:type="dxa"/>
            <w:gridSpan w:val="3"/>
            <w:tcBorders>
              <w:left w:val="single" w:color="auto" w:sz="12" w:space="0"/>
            </w:tcBorders>
            <w:noWrap w:val="0"/>
            <w:vAlign w:val="center"/>
          </w:tcPr>
          <w:p>
            <w:pPr>
              <w:spacing w:line="420" w:lineRule="exact"/>
              <w:ind w:right="-11"/>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培训费、售后服务</w:t>
            </w:r>
          </w:p>
        </w:tc>
        <w:tc>
          <w:tcPr>
            <w:tcW w:w="5580" w:type="dxa"/>
            <w:gridSpan w:val="5"/>
            <w:tcBorders>
              <w:right w:val="single" w:color="auto" w:sz="12" w:space="0"/>
            </w:tcBorders>
            <w:noWrap w:val="0"/>
            <w:vAlign w:val="top"/>
          </w:tcPr>
          <w:p>
            <w:pPr>
              <w:spacing w:line="420" w:lineRule="exact"/>
              <w:rPr>
                <w:rFonts w:ascii="新宋体" w:hAnsi="新宋体" w:eastAsia="新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3707" w:type="dxa"/>
            <w:gridSpan w:val="3"/>
            <w:tcBorders>
              <w:left w:val="single" w:color="auto" w:sz="12" w:space="0"/>
            </w:tcBorders>
            <w:noWrap w:val="0"/>
            <w:vAlign w:val="center"/>
          </w:tcPr>
          <w:p>
            <w:pPr>
              <w:spacing w:line="420" w:lineRule="exact"/>
              <w:ind w:right="-11"/>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税金</w:t>
            </w:r>
          </w:p>
        </w:tc>
        <w:tc>
          <w:tcPr>
            <w:tcW w:w="5580" w:type="dxa"/>
            <w:gridSpan w:val="5"/>
            <w:tcBorders>
              <w:right w:val="single" w:color="auto" w:sz="12" w:space="0"/>
            </w:tcBorders>
            <w:noWrap w:val="0"/>
            <w:vAlign w:val="top"/>
          </w:tcPr>
          <w:p>
            <w:pPr>
              <w:spacing w:line="420" w:lineRule="exact"/>
              <w:rPr>
                <w:rFonts w:ascii="新宋体" w:hAnsi="新宋体" w:eastAsia="新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3707" w:type="dxa"/>
            <w:gridSpan w:val="3"/>
            <w:tcBorders>
              <w:left w:val="single" w:color="auto" w:sz="12" w:space="0"/>
            </w:tcBorders>
            <w:noWrap w:val="0"/>
            <w:vAlign w:val="center"/>
          </w:tcPr>
          <w:p>
            <w:pPr>
              <w:widowControl/>
              <w:spacing w:line="42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运营维护费（电费、系统整体维护费、网络服务费）</w:t>
            </w:r>
          </w:p>
        </w:tc>
        <w:tc>
          <w:tcPr>
            <w:tcW w:w="5580" w:type="dxa"/>
            <w:gridSpan w:val="5"/>
            <w:tcBorders>
              <w:right w:val="single" w:color="auto" w:sz="12" w:space="0"/>
            </w:tcBorders>
            <w:noWrap w:val="0"/>
            <w:vAlign w:val="top"/>
          </w:tcPr>
          <w:p>
            <w:pPr>
              <w:spacing w:line="420" w:lineRule="exact"/>
              <w:rPr>
                <w:rFonts w:ascii="新宋体" w:hAnsi="新宋体" w:eastAsia="新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3707" w:type="dxa"/>
            <w:gridSpan w:val="3"/>
            <w:tcBorders>
              <w:left w:val="single" w:color="auto" w:sz="12" w:space="0"/>
            </w:tcBorders>
            <w:noWrap w:val="0"/>
            <w:vAlign w:val="center"/>
          </w:tcPr>
          <w:p>
            <w:pPr>
              <w:spacing w:line="420" w:lineRule="exact"/>
              <w:ind w:right="-11"/>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招标代理费</w:t>
            </w:r>
          </w:p>
        </w:tc>
        <w:tc>
          <w:tcPr>
            <w:tcW w:w="5580" w:type="dxa"/>
            <w:gridSpan w:val="5"/>
            <w:tcBorders>
              <w:right w:val="single" w:color="auto" w:sz="12" w:space="0"/>
            </w:tcBorders>
            <w:noWrap w:val="0"/>
            <w:vAlign w:val="top"/>
          </w:tcPr>
          <w:p>
            <w:pPr>
              <w:spacing w:line="42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3"/>
            <w:tcBorders>
              <w:left w:val="single" w:color="auto" w:sz="12" w:space="0"/>
              <w:bottom w:val="single" w:color="auto" w:sz="12" w:space="0"/>
            </w:tcBorders>
            <w:noWrap w:val="0"/>
            <w:vAlign w:val="center"/>
          </w:tcPr>
          <w:p>
            <w:pPr>
              <w:spacing w:line="420" w:lineRule="exact"/>
              <w:ind w:right="-11"/>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合计总价</w:t>
            </w:r>
          </w:p>
        </w:tc>
        <w:tc>
          <w:tcPr>
            <w:tcW w:w="5580" w:type="dxa"/>
            <w:gridSpan w:val="5"/>
            <w:tcBorders>
              <w:bottom w:val="single" w:color="auto" w:sz="12" w:space="0"/>
              <w:right w:val="single" w:color="auto" w:sz="12" w:space="0"/>
            </w:tcBorders>
            <w:noWrap w:val="0"/>
            <w:vAlign w:val="top"/>
          </w:tcPr>
          <w:p>
            <w:pPr>
              <w:spacing w:line="420" w:lineRule="exact"/>
              <w:rPr>
                <w:rFonts w:ascii="新宋体" w:hAnsi="新宋体" w:eastAsia="新宋体" w:cs="新宋体"/>
                <w:bCs/>
                <w:color w:val="auto"/>
                <w:sz w:val="22"/>
                <w:szCs w:val="22"/>
                <w:highlight w:val="none"/>
              </w:rPr>
            </w:pPr>
          </w:p>
        </w:tc>
      </w:tr>
    </w:tbl>
    <w:p>
      <w:pPr>
        <w:tabs>
          <w:tab w:val="left" w:pos="360"/>
        </w:tabs>
        <w:spacing w:line="460" w:lineRule="exact"/>
        <w:rPr>
          <w:rFonts w:hint="eastAsia" w:ascii="新宋体" w:hAnsi="新宋体" w:eastAsia="新宋体"/>
          <w:b/>
          <w:color w:val="auto"/>
          <w:sz w:val="22"/>
          <w:szCs w:val="22"/>
          <w:highlight w:val="none"/>
        </w:rPr>
      </w:pPr>
    </w:p>
    <w:p>
      <w:pPr>
        <w:spacing w:line="380" w:lineRule="exact"/>
        <w:rPr>
          <w:rFonts w:hint="eastAsia" w:ascii="新宋体" w:hAnsi="新宋体" w:eastAsia="新宋体"/>
          <w:b/>
          <w:bCs/>
          <w:color w:val="auto"/>
          <w:sz w:val="22"/>
          <w:szCs w:val="22"/>
          <w:highlight w:val="none"/>
        </w:rPr>
      </w:pPr>
      <w:r>
        <w:rPr>
          <w:rFonts w:hint="eastAsia" w:ascii="新宋体" w:hAnsi="新宋体" w:eastAsia="新宋体"/>
          <w:b/>
          <w:color w:val="auto"/>
          <w:sz w:val="22"/>
          <w:szCs w:val="22"/>
          <w:highlight w:val="none"/>
        </w:rPr>
        <w:t>说明：</w:t>
      </w:r>
      <w:r>
        <w:rPr>
          <w:rFonts w:hint="eastAsia" w:ascii="新宋体" w:hAnsi="新宋体" w:eastAsia="新宋体"/>
          <w:b/>
          <w:bCs/>
          <w:color w:val="auto"/>
          <w:sz w:val="22"/>
          <w:szCs w:val="22"/>
          <w:highlight w:val="none"/>
        </w:rPr>
        <w:t>1、此表总计价应与附件一中“2、投标报价一览表”中投标报价相一致。</w:t>
      </w:r>
    </w:p>
    <w:p>
      <w:pPr>
        <w:spacing w:line="380" w:lineRule="exact"/>
        <w:ind w:firstLine="755" w:firstLineChars="342"/>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2、不提供详细投标分项报价将视为没有实质性响应招标文件。</w:t>
      </w:r>
    </w:p>
    <w:p>
      <w:pPr>
        <w:spacing w:line="380" w:lineRule="exact"/>
        <w:ind w:firstLine="720"/>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3、如果免费请在该项内容栏内注明“免”，如果含在产品价格中则填“含”，如无此项内容则填“无”，不留空白。</w:t>
      </w:r>
    </w:p>
    <w:p>
      <w:pPr>
        <w:spacing w:line="380" w:lineRule="exact"/>
        <w:ind w:firstLine="600" w:firstLineChars="300"/>
        <w:rPr>
          <w:rFonts w:hint="eastAsia" w:ascii="新宋体" w:hAnsi="新宋体" w:eastAsia="新宋体" w:cs="新宋体"/>
          <w:color w:val="auto"/>
          <w:sz w:val="20"/>
          <w:szCs w:val="22"/>
          <w:highlight w:val="none"/>
        </w:rPr>
      </w:pPr>
    </w:p>
    <w:p>
      <w:pPr>
        <w:spacing w:line="380" w:lineRule="exact"/>
        <w:ind w:firstLine="5280" w:firstLineChars="24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投标人全称（盖章）：</w:t>
      </w:r>
    </w:p>
    <w:p>
      <w:pPr>
        <w:spacing w:line="3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投标人代表（签字）：</w:t>
      </w:r>
    </w:p>
    <w:p>
      <w:pPr>
        <w:spacing w:line="380" w:lineRule="exact"/>
        <w:ind w:firstLine="220" w:firstLineChars="1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日   期：</w:t>
      </w:r>
    </w:p>
    <w:p>
      <w:pPr>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rPr>
          <w:rFonts w:hint="eastAsia"/>
          <w:color w:val="auto"/>
          <w:highlight w:val="none"/>
        </w:rPr>
      </w:pPr>
    </w:p>
    <w:p>
      <w:pPr>
        <w:rPr>
          <w:rFonts w:hint="eastAsia" w:ascii="新宋体" w:hAnsi="新宋体" w:eastAsia="新宋体" w:cs="新宋体"/>
          <w:b/>
          <w:bCs/>
          <w:color w:val="auto"/>
          <w:szCs w:val="21"/>
          <w:highlight w:val="none"/>
        </w:rPr>
      </w:pPr>
    </w:p>
    <w:p>
      <w:pPr>
        <w:rPr>
          <w:rFonts w:hint="eastAsia" w:ascii="新宋体" w:hAnsi="新宋体" w:eastAsia="新宋体" w:cs="新宋体"/>
          <w:color w:val="auto"/>
          <w:sz w:val="22"/>
          <w:szCs w:val="22"/>
          <w:highlight w:val="none"/>
        </w:rPr>
      </w:pPr>
    </w:p>
    <w:p>
      <w:pPr>
        <w:spacing w:line="400" w:lineRule="exact"/>
        <w:jc w:val="center"/>
        <w:outlineLvl w:val="3"/>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投标分项报价表</w:t>
      </w:r>
    </w:p>
    <w:p>
      <w:pPr>
        <w:spacing w:line="400" w:lineRule="exact"/>
        <w:jc w:val="center"/>
        <w:rPr>
          <w:rFonts w:hint="eastAsia" w:ascii="新宋体" w:hAnsi="新宋体" w:eastAsia="新宋体"/>
          <w:b/>
          <w:bCs/>
          <w:color w:val="auto"/>
          <w:sz w:val="22"/>
          <w:szCs w:val="22"/>
          <w:highlight w:val="none"/>
        </w:rPr>
      </w:pPr>
      <w:r>
        <w:rPr>
          <w:rFonts w:hint="eastAsia" w:ascii="新宋体" w:hAnsi="新宋体" w:eastAsia="新宋体" w:cs="新宋体"/>
          <w:b/>
          <w:bCs/>
          <w:color w:val="auto"/>
          <w:sz w:val="22"/>
          <w:szCs w:val="22"/>
          <w:highlight w:val="none"/>
        </w:rPr>
        <w:t>(</w:t>
      </w:r>
      <w:r>
        <w:rPr>
          <w:rFonts w:hint="eastAsia" w:ascii="新宋体" w:hAnsi="新宋体" w:eastAsia="新宋体" w:cs="宋体"/>
          <w:color w:val="auto"/>
          <w:kern w:val="0"/>
          <w:sz w:val="22"/>
          <w:szCs w:val="22"/>
          <w:highlight w:val="none"/>
        </w:rPr>
        <w:t>标段二：</w:t>
      </w:r>
      <w:r>
        <w:rPr>
          <w:rFonts w:hint="eastAsia" w:ascii="新宋体" w:hAnsi="新宋体" w:eastAsia="新宋体"/>
          <w:color w:val="auto"/>
          <w:sz w:val="22"/>
          <w:highlight w:val="none"/>
        </w:rPr>
        <w:t>瓯江口雪亮工程建设项目-水利等部门可视化工程建设</w:t>
      </w:r>
      <w:r>
        <w:rPr>
          <w:rFonts w:hint="eastAsia" w:ascii="新宋体" w:hAnsi="新宋体" w:eastAsia="新宋体" w:cs="新宋体"/>
          <w:color w:val="auto"/>
          <w:sz w:val="22"/>
          <w:szCs w:val="22"/>
          <w:highlight w:val="none"/>
        </w:rPr>
        <w:t xml:space="preserve"> </w:t>
      </w:r>
      <w:r>
        <w:rPr>
          <w:rFonts w:hint="eastAsia" w:ascii="新宋体" w:hAnsi="新宋体" w:eastAsia="新宋体" w:cs="新宋体"/>
          <w:b/>
          <w:bCs/>
          <w:color w:val="auto"/>
          <w:sz w:val="22"/>
          <w:szCs w:val="22"/>
          <w:highlight w:val="none"/>
        </w:rPr>
        <w:t>)</w:t>
      </w:r>
    </w:p>
    <w:p>
      <w:pPr>
        <w:spacing w:line="380" w:lineRule="exact"/>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 xml:space="preserve">项目名称： </w:t>
      </w:r>
      <w:r>
        <w:rPr>
          <w:rFonts w:hint="eastAsia" w:ascii="新宋体" w:hAnsi="新宋体" w:eastAsia="新宋体"/>
          <w:color w:val="auto"/>
          <w:sz w:val="22"/>
          <w:szCs w:val="22"/>
          <w:highlight w:val="none"/>
        </w:rPr>
        <w:t xml:space="preserve">                                              </w:t>
      </w:r>
      <w:r>
        <w:rPr>
          <w:rFonts w:hint="eastAsia" w:ascii="新宋体" w:hAnsi="新宋体" w:eastAsia="新宋体"/>
          <w:b/>
          <w:bCs/>
          <w:color w:val="auto"/>
          <w:sz w:val="22"/>
          <w:szCs w:val="22"/>
          <w:highlight w:val="none"/>
        </w:rPr>
        <w:t>项目编号：</w:t>
      </w:r>
    </w:p>
    <w:tbl>
      <w:tblPr>
        <w:tblStyle w:val="52"/>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1605"/>
        <w:gridCol w:w="1477"/>
        <w:gridCol w:w="1570"/>
        <w:gridCol w:w="708"/>
        <w:gridCol w:w="1143"/>
        <w:gridCol w:w="1000"/>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tcBorders>
              <w:top w:val="single" w:color="auto" w:sz="12" w:space="0"/>
              <w:left w:val="single" w:color="auto" w:sz="12" w:space="0"/>
              <w:bottom w:val="single" w:color="auto" w:sz="12" w:space="0"/>
            </w:tcBorders>
            <w:noWrap w:val="0"/>
            <w:vAlign w:val="center"/>
          </w:tcPr>
          <w:p>
            <w:pPr>
              <w:spacing w:line="420" w:lineRule="exact"/>
              <w:ind w:right="-11"/>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项目</w:t>
            </w:r>
          </w:p>
        </w:tc>
        <w:tc>
          <w:tcPr>
            <w:tcW w:w="1605" w:type="dxa"/>
            <w:tcBorders>
              <w:top w:val="single" w:color="auto" w:sz="12" w:space="0"/>
              <w:bottom w:val="single" w:color="auto" w:sz="12" w:space="0"/>
            </w:tcBorders>
            <w:noWrap w:val="0"/>
            <w:vAlign w:val="center"/>
          </w:tcPr>
          <w:p>
            <w:pPr>
              <w:spacing w:line="420" w:lineRule="exact"/>
              <w:ind w:right="-11"/>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货物名称</w:t>
            </w:r>
          </w:p>
        </w:tc>
        <w:tc>
          <w:tcPr>
            <w:tcW w:w="1477" w:type="dxa"/>
            <w:tcBorders>
              <w:top w:val="single" w:color="auto" w:sz="12" w:space="0"/>
              <w:bottom w:val="single" w:color="auto" w:sz="12" w:space="0"/>
            </w:tcBorders>
            <w:noWrap w:val="0"/>
            <w:vAlign w:val="center"/>
          </w:tcPr>
          <w:p>
            <w:pPr>
              <w:spacing w:line="420" w:lineRule="exact"/>
              <w:ind w:right="-11"/>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品牌型号规格、产地</w:t>
            </w:r>
          </w:p>
        </w:tc>
        <w:tc>
          <w:tcPr>
            <w:tcW w:w="1570" w:type="dxa"/>
            <w:tcBorders>
              <w:top w:val="single" w:color="auto" w:sz="12" w:space="0"/>
              <w:bottom w:val="single" w:color="auto" w:sz="12" w:space="0"/>
            </w:tcBorders>
            <w:noWrap w:val="0"/>
            <w:vAlign w:val="center"/>
          </w:tcPr>
          <w:p>
            <w:pPr>
              <w:spacing w:line="420" w:lineRule="exact"/>
              <w:ind w:right="-11"/>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制造厂商名称</w:t>
            </w:r>
          </w:p>
        </w:tc>
        <w:tc>
          <w:tcPr>
            <w:tcW w:w="708" w:type="dxa"/>
            <w:tcBorders>
              <w:top w:val="single" w:color="auto" w:sz="12" w:space="0"/>
              <w:bottom w:val="single" w:color="auto" w:sz="12" w:space="0"/>
            </w:tcBorders>
            <w:noWrap w:val="0"/>
            <w:vAlign w:val="center"/>
          </w:tcPr>
          <w:p>
            <w:pPr>
              <w:spacing w:line="420" w:lineRule="exact"/>
              <w:ind w:right="-11"/>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数量</w:t>
            </w:r>
          </w:p>
        </w:tc>
        <w:tc>
          <w:tcPr>
            <w:tcW w:w="1143" w:type="dxa"/>
            <w:tcBorders>
              <w:top w:val="single" w:color="auto" w:sz="12" w:space="0"/>
              <w:bottom w:val="single" w:color="auto" w:sz="12" w:space="0"/>
            </w:tcBorders>
            <w:noWrap w:val="0"/>
            <w:vAlign w:val="center"/>
          </w:tcPr>
          <w:p>
            <w:pPr>
              <w:spacing w:line="420" w:lineRule="exact"/>
              <w:ind w:right="-11"/>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出厂单价</w:t>
            </w:r>
          </w:p>
          <w:p>
            <w:pPr>
              <w:spacing w:line="420" w:lineRule="exact"/>
              <w:ind w:right="-11"/>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（含税）</w:t>
            </w:r>
          </w:p>
        </w:tc>
        <w:tc>
          <w:tcPr>
            <w:tcW w:w="1000" w:type="dxa"/>
            <w:tcBorders>
              <w:top w:val="single" w:color="auto" w:sz="12" w:space="0"/>
              <w:bottom w:val="single" w:color="auto" w:sz="12" w:space="0"/>
            </w:tcBorders>
            <w:noWrap w:val="0"/>
            <w:vAlign w:val="center"/>
          </w:tcPr>
          <w:p>
            <w:pPr>
              <w:spacing w:line="420" w:lineRule="exact"/>
              <w:ind w:right="-11"/>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总价</w:t>
            </w:r>
          </w:p>
          <w:p>
            <w:pPr>
              <w:spacing w:line="420" w:lineRule="exact"/>
              <w:ind w:right="-11"/>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（含税）</w:t>
            </w:r>
          </w:p>
        </w:tc>
        <w:tc>
          <w:tcPr>
            <w:tcW w:w="1159" w:type="dxa"/>
            <w:tcBorders>
              <w:top w:val="single" w:color="auto" w:sz="12" w:space="0"/>
              <w:bottom w:val="single" w:color="auto" w:sz="12" w:space="0"/>
              <w:right w:val="single" w:color="auto" w:sz="12" w:space="0"/>
            </w:tcBorders>
            <w:noWrap w:val="0"/>
            <w:vAlign w:val="center"/>
          </w:tcPr>
          <w:p>
            <w:pPr>
              <w:spacing w:line="420" w:lineRule="exact"/>
              <w:ind w:right="-11"/>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免费</w:t>
            </w:r>
          </w:p>
          <w:p>
            <w:pPr>
              <w:spacing w:line="420" w:lineRule="exact"/>
              <w:ind w:right="-11"/>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保修期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tcBorders>
              <w:left w:val="single" w:color="auto" w:sz="12" w:space="0"/>
            </w:tcBorders>
            <w:noWrap w:val="0"/>
            <w:vAlign w:val="center"/>
          </w:tcPr>
          <w:p>
            <w:pPr>
              <w:spacing w:line="420" w:lineRule="exact"/>
              <w:ind w:right="-11"/>
              <w:jc w:val="center"/>
              <w:rPr>
                <w:rFonts w:ascii="新宋体" w:hAnsi="新宋体" w:eastAsia="新宋体" w:cs="新宋体"/>
                <w:color w:val="auto"/>
                <w:sz w:val="22"/>
                <w:szCs w:val="22"/>
                <w:highlight w:val="none"/>
              </w:rPr>
            </w:pPr>
          </w:p>
        </w:tc>
        <w:tc>
          <w:tcPr>
            <w:tcW w:w="1605" w:type="dxa"/>
            <w:noWrap w:val="0"/>
            <w:vAlign w:val="center"/>
          </w:tcPr>
          <w:p>
            <w:pPr>
              <w:spacing w:line="420" w:lineRule="exact"/>
              <w:rPr>
                <w:rFonts w:ascii="新宋体" w:hAnsi="新宋体" w:eastAsia="新宋体" w:cs="新宋体"/>
                <w:color w:val="auto"/>
                <w:sz w:val="22"/>
                <w:szCs w:val="22"/>
                <w:highlight w:val="none"/>
              </w:rPr>
            </w:pPr>
          </w:p>
        </w:tc>
        <w:tc>
          <w:tcPr>
            <w:tcW w:w="1477" w:type="dxa"/>
            <w:noWrap w:val="0"/>
            <w:vAlign w:val="center"/>
          </w:tcPr>
          <w:p>
            <w:pPr>
              <w:spacing w:line="420" w:lineRule="exact"/>
              <w:jc w:val="center"/>
              <w:rPr>
                <w:rFonts w:ascii="新宋体" w:hAnsi="新宋体" w:eastAsia="新宋体" w:cs="新宋体"/>
                <w:color w:val="auto"/>
                <w:sz w:val="22"/>
                <w:szCs w:val="22"/>
                <w:highlight w:val="none"/>
              </w:rPr>
            </w:pPr>
          </w:p>
        </w:tc>
        <w:tc>
          <w:tcPr>
            <w:tcW w:w="1570" w:type="dxa"/>
            <w:noWrap w:val="0"/>
            <w:vAlign w:val="center"/>
          </w:tcPr>
          <w:p>
            <w:pPr>
              <w:spacing w:line="420" w:lineRule="exact"/>
              <w:ind w:right="-11"/>
              <w:jc w:val="center"/>
              <w:rPr>
                <w:rFonts w:ascii="新宋体" w:hAnsi="新宋体" w:eastAsia="新宋体" w:cs="新宋体"/>
                <w:color w:val="auto"/>
                <w:sz w:val="22"/>
                <w:szCs w:val="22"/>
                <w:highlight w:val="none"/>
              </w:rPr>
            </w:pPr>
          </w:p>
        </w:tc>
        <w:tc>
          <w:tcPr>
            <w:tcW w:w="708" w:type="dxa"/>
            <w:noWrap w:val="0"/>
            <w:vAlign w:val="center"/>
          </w:tcPr>
          <w:p>
            <w:pPr>
              <w:spacing w:line="420" w:lineRule="exact"/>
              <w:jc w:val="center"/>
              <w:rPr>
                <w:rFonts w:ascii="新宋体" w:hAnsi="新宋体" w:eastAsia="新宋体" w:cs="新宋体"/>
                <w:color w:val="auto"/>
                <w:sz w:val="22"/>
                <w:szCs w:val="22"/>
                <w:highlight w:val="none"/>
              </w:rPr>
            </w:pPr>
          </w:p>
        </w:tc>
        <w:tc>
          <w:tcPr>
            <w:tcW w:w="1143" w:type="dxa"/>
            <w:noWrap w:val="0"/>
            <w:vAlign w:val="center"/>
          </w:tcPr>
          <w:p>
            <w:pPr>
              <w:spacing w:line="420" w:lineRule="exact"/>
              <w:ind w:right="-11"/>
              <w:jc w:val="center"/>
              <w:rPr>
                <w:rFonts w:ascii="新宋体" w:hAnsi="新宋体" w:eastAsia="新宋体" w:cs="新宋体"/>
                <w:color w:val="auto"/>
                <w:sz w:val="22"/>
                <w:szCs w:val="22"/>
                <w:highlight w:val="none"/>
              </w:rPr>
            </w:pPr>
          </w:p>
        </w:tc>
        <w:tc>
          <w:tcPr>
            <w:tcW w:w="1000" w:type="dxa"/>
            <w:noWrap w:val="0"/>
            <w:vAlign w:val="center"/>
          </w:tcPr>
          <w:p>
            <w:pPr>
              <w:spacing w:line="420" w:lineRule="exact"/>
              <w:ind w:right="-11"/>
              <w:jc w:val="center"/>
              <w:rPr>
                <w:rFonts w:ascii="新宋体" w:hAnsi="新宋体" w:eastAsia="新宋体" w:cs="新宋体"/>
                <w:color w:val="auto"/>
                <w:sz w:val="22"/>
                <w:szCs w:val="22"/>
                <w:highlight w:val="none"/>
              </w:rPr>
            </w:pPr>
          </w:p>
        </w:tc>
        <w:tc>
          <w:tcPr>
            <w:tcW w:w="1159" w:type="dxa"/>
            <w:tcBorders>
              <w:right w:val="single" w:color="auto" w:sz="12" w:space="0"/>
            </w:tcBorders>
            <w:noWrap w:val="0"/>
            <w:vAlign w:val="center"/>
          </w:tcPr>
          <w:p>
            <w:pPr>
              <w:spacing w:line="420" w:lineRule="exact"/>
              <w:ind w:right="-11"/>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tcBorders>
              <w:left w:val="single" w:color="auto" w:sz="12" w:space="0"/>
            </w:tcBorders>
            <w:noWrap w:val="0"/>
            <w:vAlign w:val="center"/>
          </w:tcPr>
          <w:p>
            <w:pPr>
              <w:spacing w:line="420" w:lineRule="exact"/>
              <w:ind w:right="-11"/>
              <w:jc w:val="center"/>
              <w:rPr>
                <w:rFonts w:ascii="新宋体" w:hAnsi="新宋体" w:eastAsia="新宋体" w:cs="新宋体"/>
                <w:color w:val="auto"/>
                <w:sz w:val="22"/>
                <w:szCs w:val="22"/>
                <w:highlight w:val="none"/>
              </w:rPr>
            </w:pPr>
          </w:p>
        </w:tc>
        <w:tc>
          <w:tcPr>
            <w:tcW w:w="1605" w:type="dxa"/>
            <w:noWrap w:val="0"/>
            <w:vAlign w:val="center"/>
          </w:tcPr>
          <w:p>
            <w:pPr>
              <w:spacing w:line="420" w:lineRule="exact"/>
              <w:rPr>
                <w:rFonts w:ascii="新宋体" w:hAnsi="新宋体" w:eastAsia="新宋体" w:cs="新宋体"/>
                <w:color w:val="auto"/>
                <w:sz w:val="22"/>
                <w:szCs w:val="22"/>
                <w:highlight w:val="none"/>
              </w:rPr>
            </w:pPr>
          </w:p>
        </w:tc>
        <w:tc>
          <w:tcPr>
            <w:tcW w:w="1477" w:type="dxa"/>
            <w:noWrap w:val="0"/>
            <w:vAlign w:val="center"/>
          </w:tcPr>
          <w:p>
            <w:pPr>
              <w:spacing w:line="420" w:lineRule="exact"/>
              <w:jc w:val="center"/>
              <w:rPr>
                <w:rFonts w:ascii="新宋体" w:hAnsi="新宋体" w:eastAsia="新宋体" w:cs="新宋体"/>
                <w:color w:val="auto"/>
                <w:sz w:val="22"/>
                <w:szCs w:val="22"/>
                <w:highlight w:val="none"/>
              </w:rPr>
            </w:pPr>
          </w:p>
        </w:tc>
        <w:tc>
          <w:tcPr>
            <w:tcW w:w="1570" w:type="dxa"/>
            <w:noWrap w:val="0"/>
            <w:vAlign w:val="center"/>
          </w:tcPr>
          <w:p>
            <w:pPr>
              <w:spacing w:line="420" w:lineRule="exact"/>
              <w:ind w:right="-11"/>
              <w:jc w:val="center"/>
              <w:rPr>
                <w:rFonts w:ascii="新宋体" w:hAnsi="新宋体" w:eastAsia="新宋体" w:cs="新宋体"/>
                <w:color w:val="auto"/>
                <w:sz w:val="22"/>
                <w:szCs w:val="22"/>
                <w:highlight w:val="none"/>
              </w:rPr>
            </w:pPr>
          </w:p>
        </w:tc>
        <w:tc>
          <w:tcPr>
            <w:tcW w:w="708" w:type="dxa"/>
            <w:noWrap w:val="0"/>
            <w:vAlign w:val="center"/>
          </w:tcPr>
          <w:p>
            <w:pPr>
              <w:spacing w:line="420" w:lineRule="exact"/>
              <w:jc w:val="center"/>
              <w:rPr>
                <w:rFonts w:ascii="新宋体" w:hAnsi="新宋体" w:eastAsia="新宋体" w:cs="新宋体"/>
                <w:color w:val="auto"/>
                <w:sz w:val="22"/>
                <w:szCs w:val="22"/>
                <w:highlight w:val="none"/>
              </w:rPr>
            </w:pPr>
          </w:p>
        </w:tc>
        <w:tc>
          <w:tcPr>
            <w:tcW w:w="1143" w:type="dxa"/>
            <w:noWrap w:val="0"/>
            <w:vAlign w:val="center"/>
          </w:tcPr>
          <w:p>
            <w:pPr>
              <w:spacing w:line="420" w:lineRule="exact"/>
              <w:ind w:right="-11"/>
              <w:jc w:val="center"/>
              <w:rPr>
                <w:rFonts w:ascii="新宋体" w:hAnsi="新宋体" w:eastAsia="新宋体" w:cs="新宋体"/>
                <w:color w:val="auto"/>
                <w:sz w:val="22"/>
                <w:szCs w:val="22"/>
                <w:highlight w:val="none"/>
              </w:rPr>
            </w:pPr>
          </w:p>
        </w:tc>
        <w:tc>
          <w:tcPr>
            <w:tcW w:w="1000" w:type="dxa"/>
            <w:noWrap w:val="0"/>
            <w:vAlign w:val="center"/>
          </w:tcPr>
          <w:p>
            <w:pPr>
              <w:spacing w:line="420" w:lineRule="exact"/>
              <w:ind w:right="-11"/>
              <w:jc w:val="center"/>
              <w:rPr>
                <w:rFonts w:ascii="新宋体" w:hAnsi="新宋体" w:eastAsia="新宋体" w:cs="新宋体"/>
                <w:color w:val="auto"/>
                <w:sz w:val="22"/>
                <w:szCs w:val="22"/>
                <w:highlight w:val="none"/>
              </w:rPr>
            </w:pPr>
          </w:p>
        </w:tc>
        <w:tc>
          <w:tcPr>
            <w:tcW w:w="1159" w:type="dxa"/>
            <w:tcBorders>
              <w:right w:val="single" w:color="auto" w:sz="12" w:space="0"/>
            </w:tcBorders>
            <w:noWrap w:val="0"/>
            <w:vAlign w:val="center"/>
          </w:tcPr>
          <w:p>
            <w:pPr>
              <w:spacing w:line="420" w:lineRule="exact"/>
              <w:ind w:right="-11"/>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tcBorders>
              <w:left w:val="single" w:color="auto" w:sz="12" w:space="0"/>
            </w:tcBorders>
            <w:noWrap w:val="0"/>
            <w:vAlign w:val="center"/>
          </w:tcPr>
          <w:p>
            <w:pPr>
              <w:spacing w:line="420" w:lineRule="exact"/>
              <w:ind w:right="-11"/>
              <w:jc w:val="center"/>
              <w:rPr>
                <w:rFonts w:ascii="新宋体" w:hAnsi="新宋体" w:eastAsia="新宋体" w:cs="新宋体"/>
                <w:color w:val="auto"/>
                <w:sz w:val="22"/>
                <w:szCs w:val="22"/>
                <w:highlight w:val="none"/>
              </w:rPr>
            </w:pPr>
          </w:p>
        </w:tc>
        <w:tc>
          <w:tcPr>
            <w:tcW w:w="1605" w:type="dxa"/>
            <w:noWrap w:val="0"/>
            <w:vAlign w:val="center"/>
          </w:tcPr>
          <w:p>
            <w:pPr>
              <w:spacing w:line="420" w:lineRule="exact"/>
              <w:rPr>
                <w:rFonts w:ascii="新宋体" w:hAnsi="新宋体" w:eastAsia="新宋体" w:cs="新宋体"/>
                <w:color w:val="auto"/>
                <w:sz w:val="22"/>
                <w:szCs w:val="22"/>
                <w:highlight w:val="none"/>
              </w:rPr>
            </w:pPr>
          </w:p>
        </w:tc>
        <w:tc>
          <w:tcPr>
            <w:tcW w:w="1477" w:type="dxa"/>
            <w:noWrap w:val="0"/>
            <w:vAlign w:val="center"/>
          </w:tcPr>
          <w:p>
            <w:pPr>
              <w:spacing w:line="420" w:lineRule="exact"/>
              <w:jc w:val="center"/>
              <w:rPr>
                <w:rFonts w:ascii="新宋体" w:hAnsi="新宋体" w:eastAsia="新宋体" w:cs="新宋体"/>
                <w:color w:val="auto"/>
                <w:sz w:val="22"/>
                <w:szCs w:val="22"/>
                <w:highlight w:val="none"/>
              </w:rPr>
            </w:pPr>
          </w:p>
        </w:tc>
        <w:tc>
          <w:tcPr>
            <w:tcW w:w="1570" w:type="dxa"/>
            <w:noWrap w:val="0"/>
            <w:vAlign w:val="center"/>
          </w:tcPr>
          <w:p>
            <w:pPr>
              <w:spacing w:line="420" w:lineRule="exact"/>
              <w:ind w:right="-11"/>
              <w:jc w:val="center"/>
              <w:rPr>
                <w:rFonts w:ascii="新宋体" w:hAnsi="新宋体" w:eastAsia="新宋体" w:cs="新宋体"/>
                <w:color w:val="auto"/>
                <w:sz w:val="22"/>
                <w:szCs w:val="22"/>
                <w:highlight w:val="none"/>
              </w:rPr>
            </w:pPr>
          </w:p>
        </w:tc>
        <w:tc>
          <w:tcPr>
            <w:tcW w:w="708" w:type="dxa"/>
            <w:noWrap w:val="0"/>
            <w:vAlign w:val="center"/>
          </w:tcPr>
          <w:p>
            <w:pPr>
              <w:spacing w:line="420" w:lineRule="exact"/>
              <w:jc w:val="center"/>
              <w:rPr>
                <w:rFonts w:ascii="新宋体" w:hAnsi="新宋体" w:eastAsia="新宋体" w:cs="新宋体"/>
                <w:color w:val="auto"/>
                <w:sz w:val="22"/>
                <w:szCs w:val="22"/>
                <w:highlight w:val="none"/>
              </w:rPr>
            </w:pPr>
          </w:p>
        </w:tc>
        <w:tc>
          <w:tcPr>
            <w:tcW w:w="1143" w:type="dxa"/>
            <w:noWrap w:val="0"/>
            <w:vAlign w:val="center"/>
          </w:tcPr>
          <w:p>
            <w:pPr>
              <w:spacing w:line="420" w:lineRule="exact"/>
              <w:ind w:right="-11"/>
              <w:jc w:val="center"/>
              <w:rPr>
                <w:rFonts w:ascii="新宋体" w:hAnsi="新宋体" w:eastAsia="新宋体" w:cs="新宋体"/>
                <w:color w:val="auto"/>
                <w:sz w:val="22"/>
                <w:szCs w:val="22"/>
                <w:highlight w:val="none"/>
              </w:rPr>
            </w:pPr>
          </w:p>
        </w:tc>
        <w:tc>
          <w:tcPr>
            <w:tcW w:w="1000" w:type="dxa"/>
            <w:noWrap w:val="0"/>
            <w:vAlign w:val="center"/>
          </w:tcPr>
          <w:p>
            <w:pPr>
              <w:spacing w:line="420" w:lineRule="exact"/>
              <w:ind w:right="-11"/>
              <w:jc w:val="center"/>
              <w:rPr>
                <w:rFonts w:ascii="新宋体" w:hAnsi="新宋体" w:eastAsia="新宋体" w:cs="新宋体"/>
                <w:color w:val="auto"/>
                <w:sz w:val="22"/>
                <w:szCs w:val="22"/>
                <w:highlight w:val="none"/>
              </w:rPr>
            </w:pPr>
          </w:p>
        </w:tc>
        <w:tc>
          <w:tcPr>
            <w:tcW w:w="1159" w:type="dxa"/>
            <w:tcBorders>
              <w:right w:val="single" w:color="auto" w:sz="12" w:space="0"/>
            </w:tcBorders>
            <w:noWrap w:val="0"/>
            <w:vAlign w:val="center"/>
          </w:tcPr>
          <w:p>
            <w:pPr>
              <w:spacing w:line="420" w:lineRule="exact"/>
              <w:ind w:right="-11"/>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tcBorders>
              <w:left w:val="single" w:color="auto" w:sz="12" w:space="0"/>
            </w:tcBorders>
            <w:noWrap w:val="0"/>
            <w:vAlign w:val="center"/>
          </w:tcPr>
          <w:p>
            <w:pPr>
              <w:spacing w:line="420" w:lineRule="exact"/>
              <w:ind w:right="-11"/>
              <w:jc w:val="center"/>
              <w:rPr>
                <w:rFonts w:ascii="新宋体" w:hAnsi="新宋体" w:eastAsia="新宋体" w:cs="新宋体"/>
                <w:color w:val="auto"/>
                <w:sz w:val="22"/>
                <w:szCs w:val="22"/>
                <w:highlight w:val="none"/>
              </w:rPr>
            </w:pPr>
          </w:p>
        </w:tc>
        <w:tc>
          <w:tcPr>
            <w:tcW w:w="1605" w:type="dxa"/>
            <w:noWrap w:val="0"/>
            <w:vAlign w:val="center"/>
          </w:tcPr>
          <w:p>
            <w:pPr>
              <w:spacing w:line="42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w:t>
            </w:r>
          </w:p>
        </w:tc>
        <w:tc>
          <w:tcPr>
            <w:tcW w:w="1477" w:type="dxa"/>
            <w:noWrap w:val="0"/>
            <w:vAlign w:val="center"/>
          </w:tcPr>
          <w:p>
            <w:pPr>
              <w:spacing w:line="420" w:lineRule="exact"/>
              <w:jc w:val="center"/>
              <w:rPr>
                <w:rFonts w:ascii="新宋体" w:hAnsi="新宋体" w:eastAsia="新宋体" w:cs="新宋体"/>
                <w:color w:val="auto"/>
                <w:sz w:val="22"/>
                <w:szCs w:val="22"/>
                <w:highlight w:val="none"/>
              </w:rPr>
            </w:pPr>
          </w:p>
        </w:tc>
        <w:tc>
          <w:tcPr>
            <w:tcW w:w="1570" w:type="dxa"/>
            <w:noWrap w:val="0"/>
            <w:vAlign w:val="center"/>
          </w:tcPr>
          <w:p>
            <w:pPr>
              <w:spacing w:line="420" w:lineRule="exact"/>
              <w:ind w:right="-11"/>
              <w:jc w:val="center"/>
              <w:rPr>
                <w:rFonts w:ascii="新宋体" w:hAnsi="新宋体" w:eastAsia="新宋体" w:cs="新宋体"/>
                <w:color w:val="auto"/>
                <w:sz w:val="22"/>
                <w:szCs w:val="22"/>
                <w:highlight w:val="none"/>
              </w:rPr>
            </w:pPr>
          </w:p>
        </w:tc>
        <w:tc>
          <w:tcPr>
            <w:tcW w:w="708" w:type="dxa"/>
            <w:noWrap w:val="0"/>
            <w:vAlign w:val="center"/>
          </w:tcPr>
          <w:p>
            <w:pPr>
              <w:spacing w:line="420" w:lineRule="exact"/>
              <w:jc w:val="center"/>
              <w:rPr>
                <w:rFonts w:ascii="新宋体" w:hAnsi="新宋体" w:eastAsia="新宋体" w:cs="新宋体"/>
                <w:color w:val="auto"/>
                <w:sz w:val="22"/>
                <w:szCs w:val="22"/>
                <w:highlight w:val="none"/>
              </w:rPr>
            </w:pPr>
          </w:p>
        </w:tc>
        <w:tc>
          <w:tcPr>
            <w:tcW w:w="1143" w:type="dxa"/>
            <w:noWrap w:val="0"/>
            <w:vAlign w:val="center"/>
          </w:tcPr>
          <w:p>
            <w:pPr>
              <w:spacing w:line="420" w:lineRule="exact"/>
              <w:ind w:right="-11"/>
              <w:jc w:val="center"/>
              <w:rPr>
                <w:rFonts w:ascii="新宋体" w:hAnsi="新宋体" w:eastAsia="新宋体" w:cs="新宋体"/>
                <w:color w:val="auto"/>
                <w:sz w:val="22"/>
                <w:szCs w:val="22"/>
                <w:highlight w:val="none"/>
              </w:rPr>
            </w:pPr>
          </w:p>
        </w:tc>
        <w:tc>
          <w:tcPr>
            <w:tcW w:w="1000" w:type="dxa"/>
            <w:noWrap w:val="0"/>
            <w:vAlign w:val="center"/>
          </w:tcPr>
          <w:p>
            <w:pPr>
              <w:spacing w:line="420" w:lineRule="exact"/>
              <w:ind w:right="-11"/>
              <w:jc w:val="center"/>
              <w:rPr>
                <w:rFonts w:ascii="新宋体" w:hAnsi="新宋体" w:eastAsia="新宋体" w:cs="新宋体"/>
                <w:color w:val="auto"/>
                <w:sz w:val="22"/>
                <w:szCs w:val="22"/>
                <w:highlight w:val="none"/>
              </w:rPr>
            </w:pPr>
          </w:p>
        </w:tc>
        <w:tc>
          <w:tcPr>
            <w:tcW w:w="1159" w:type="dxa"/>
            <w:tcBorders>
              <w:right w:val="single" w:color="auto" w:sz="12" w:space="0"/>
            </w:tcBorders>
            <w:noWrap w:val="0"/>
            <w:vAlign w:val="center"/>
          </w:tcPr>
          <w:p>
            <w:pPr>
              <w:spacing w:line="420" w:lineRule="exact"/>
              <w:ind w:right="-11"/>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3707" w:type="dxa"/>
            <w:gridSpan w:val="3"/>
            <w:tcBorders>
              <w:top w:val="single" w:color="auto" w:sz="12" w:space="0"/>
              <w:left w:val="single" w:color="auto" w:sz="12" w:space="0"/>
            </w:tcBorders>
            <w:noWrap w:val="0"/>
            <w:vAlign w:val="center"/>
          </w:tcPr>
          <w:p>
            <w:pPr>
              <w:spacing w:line="420" w:lineRule="exact"/>
              <w:ind w:right="-11"/>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运杂及保险费（含卸货）</w:t>
            </w:r>
          </w:p>
        </w:tc>
        <w:tc>
          <w:tcPr>
            <w:tcW w:w="5580" w:type="dxa"/>
            <w:gridSpan w:val="5"/>
            <w:tcBorders>
              <w:top w:val="single" w:color="auto" w:sz="12" w:space="0"/>
              <w:right w:val="single" w:color="auto" w:sz="12" w:space="0"/>
            </w:tcBorders>
            <w:noWrap w:val="0"/>
            <w:vAlign w:val="top"/>
          </w:tcPr>
          <w:p>
            <w:pPr>
              <w:spacing w:line="420" w:lineRule="exact"/>
              <w:rPr>
                <w:rFonts w:ascii="新宋体" w:hAnsi="新宋体" w:eastAsia="新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3"/>
            <w:tcBorders>
              <w:left w:val="single" w:color="auto" w:sz="12" w:space="0"/>
            </w:tcBorders>
            <w:noWrap w:val="0"/>
            <w:vAlign w:val="center"/>
          </w:tcPr>
          <w:p>
            <w:pPr>
              <w:spacing w:line="420" w:lineRule="exact"/>
              <w:ind w:right="-11"/>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安装、调试费（包括前端施工费、中心设备集成费、设备的测试、调试、验收等费用）</w:t>
            </w:r>
          </w:p>
        </w:tc>
        <w:tc>
          <w:tcPr>
            <w:tcW w:w="5580" w:type="dxa"/>
            <w:gridSpan w:val="5"/>
            <w:tcBorders>
              <w:right w:val="single" w:color="auto" w:sz="12" w:space="0"/>
            </w:tcBorders>
            <w:noWrap w:val="0"/>
            <w:vAlign w:val="top"/>
          </w:tcPr>
          <w:p>
            <w:pPr>
              <w:spacing w:line="420" w:lineRule="exact"/>
              <w:rPr>
                <w:rFonts w:ascii="新宋体" w:hAnsi="新宋体" w:eastAsia="新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3"/>
            <w:tcBorders>
              <w:left w:val="single" w:color="auto" w:sz="12" w:space="0"/>
            </w:tcBorders>
            <w:noWrap w:val="0"/>
            <w:vAlign w:val="center"/>
          </w:tcPr>
          <w:p>
            <w:pPr>
              <w:spacing w:line="420" w:lineRule="exact"/>
              <w:ind w:right="-11"/>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设计费（如有）、通信链路服务等</w:t>
            </w:r>
          </w:p>
        </w:tc>
        <w:tc>
          <w:tcPr>
            <w:tcW w:w="5580" w:type="dxa"/>
            <w:gridSpan w:val="5"/>
            <w:tcBorders>
              <w:right w:val="single" w:color="auto" w:sz="12" w:space="0"/>
            </w:tcBorders>
            <w:noWrap w:val="0"/>
            <w:vAlign w:val="top"/>
          </w:tcPr>
          <w:p>
            <w:pPr>
              <w:spacing w:line="420" w:lineRule="exact"/>
              <w:rPr>
                <w:rFonts w:ascii="新宋体" w:hAnsi="新宋体" w:eastAsia="新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3707" w:type="dxa"/>
            <w:gridSpan w:val="3"/>
            <w:tcBorders>
              <w:left w:val="single" w:color="auto" w:sz="12" w:space="0"/>
            </w:tcBorders>
            <w:noWrap w:val="0"/>
            <w:vAlign w:val="center"/>
          </w:tcPr>
          <w:p>
            <w:pPr>
              <w:spacing w:line="420" w:lineRule="exact"/>
              <w:ind w:right="-11"/>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培训费、售后服务</w:t>
            </w:r>
          </w:p>
        </w:tc>
        <w:tc>
          <w:tcPr>
            <w:tcW w:w="5580" w:type="dxa"/>
            <w:gridSpan w:val="5"/>
            <w:tcBorders>
              <w:right w:val="single" w:color="auto" w:sz="12" w:space="0"/>
            </w:tcBorders>
            <w:noWrap w:val="0"/>
            <w:vAlign w:val="top"/>
          </w:tcPr>
          <w:p>
            <w:pPr>
              <w:spacing w:line="420" w:lineRule="exact"/>
              <w:rPr>
                <w:rFonts w:ascii="新宋体" w:hAnsi="新宋体" w:eastAsia="新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3707" w:type="dxa"/>
            <w:gridSpan w:val="3"/>
            <w:tcBorders>
              <w:left w:val="single" w:color="auto" w:sz="12" w:space="0"/>
            </w:tcBorders>
            <w:noWrap w:val="0"/>
            <w:vAlign w:val="center"/>
          </w:tcPr>
          <w:p>
            <w:pPr>
              <w:spacing w:line="420" w:lineRule="exact"/>
              <w:ind w:right="-11"/>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税金</w:t>
            </w:r>
          </w:p>
        </w:tc>
        <w:tc>
          <w:tcPr>
            <w:tcW w:w="5580" w:type="dxa"/>
            <w:gridSpan w:val="5"/>
            <w:tcBorders>
              <w:right w:val="single" w:color="auto" w:sz="12" w:space="0"/>
            </w:tcBorders>
            <w:noWrap w:val="0"/>
            <w:vAlign w:val="top"/>
          </w:tcPr>
          <w:p>
            <w:pPr>
              <w:spacing w:line="420" w:lineRule="exact"/>
              <w:rPr>
                <w:rFonts w:ascii="新宋体" w:hAnsi="新宋体" w:eastAsia="新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3707" w:type="dxa"/>
            <w:gridSpan w:val="3"/>
            <w:tcBorders>
              <w:left w:val="single" w:color="auto" w:sz="12" w:space="0"/>
            </w:tcBorders>
            <w:noWrap w:val="0"/>
            <w:vAlign w:val="center"/>
          </w:tcPr>
          <w:p>
            <w:pPr>
              <w:widowControl/>
              <w:spacing w:line="42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运营维护费（电费、系统整体维护费、网络服务费）</w:t>
            </w:r>
          </w:p>
        </w:tc>
        <w:tc>
          <w:tcPr>
            <w:tcW w:w="5580" w:type="dxa"/>
            <w:gridSpan w:val="5"/>
            <w:tcBorders>
              <w:right w:val="single" w:color="auto" w:sz="12" w:space="0"/>
            </w:tcBorders>
            <w:noWrap w:val="0"/>
            <w:vAlign w:val="top"/>
          </w:tcPr>
          <w:p>
            <w:pPr>
              <w:spacing w:line="420" w:lineRule="exact"/>
              <w:rPr>
                <w:rFonts w:ascii="新宋体" w:hAnsi="新宋体" w:eastAsia="新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3707" w:type="dxa"/>
            <w:gridSpan w:val="3"/>
            <w:tcBorders>
              <w:left w:val="single" w:color="auto" w:sz="12" w:space="0"/>
            </w:tcBorders>
            <w:noWrap w:val="0"/>
            <w:vAlign w:val="center"/>
          </w:tcPr>
          <w:p>
            <w:pPr>
              <w:spacing w:line="420" w:lineRule="exact"/>
              <w:ind w:right="-11"/>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招标代理费</w:t>
            </w:r>
          </w:p>
        </w:tc>
        <w:tc>
          <w:tcPr>
            <w:tcW w:w="5580" w:type="dxa"/>
            <w:gridSpan w:val="5"/>
            <w:tcBorders>
              <w:right w:val="single" w:color="auto" w:sz="12" w:space="0"/>
            </w:tcBorders>
            <w:noWrap w:val="0"/>
            <w:vAlign w:val="top"/>
          </w:tcPr>
          <w:p>
            <w:pPr>
              <w:spacing w:line="42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3"/>
            <w:tcBorders>
              <w:left w:val="single" w:color="auto" w:sz="12" w:space="0"/>
              <w:bottom w:val="single" w:color="auto" w:sz="12" w:space="0"/>
            </w:tcBorders>
            <w:noWrap w:val="0"/>
            <w:vAlign w:val="center"/>
          </w:tcPr>
          <w:p>
            <w:pPr>
              <w:spacing w:line="420" w:lineRule="exact"/>
              <w:ind w:right="-11"/>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合计总价</w:t>
            </w:r>
          </w:p>
        </w:tc>
        <w:tc>
          <w:tcPr>
            <w:tcW w:w="5580" w:type="dxa"/>
            <w:gridSpan w:val="5"/>
            <w:tcBorders>
              <w:bottom w:val="single" w:color="auto" w:sz="12" w:space="0"/>
              <w:right w:val="single" w:color="auto" w:sz="12" w:space="0"/>
            </w:tcBorders>
            <w:noWrap w:val="0"/>
            <w:vAlign w:val="top"/>
          </w:tcPr>
          <w:p>
            <w:pPr>
              <w:spacing w:line="420" w:lineRule="exact"/>
              <w:rPr>
                <w:rFonts w:ascii="新宋体" w:hAnsi="新宋体" w:eastAsia="新宋体" w:cs="新宋体"/>
                <w:bCs/>
                <w:color w:val="auto"/>
                <w:sz w:val="22"/>
                <w:szCs w:val="22"/>
                <w:highlight w:val="none"/>
              </w:rPr>
            </w:pPr>
          </w:p>
        </w:tc>
      </w:tr>
    </w:tbl>
    <w:p>
      <w:pPr>
        <w:spacing w:line="380" w:lineRule="exact"/>
        <w:rPr>
          <w:rFonts w:hint="eastAsia" w:ascii="新宋体" w:hAnsi="新宋体" w:eastAsia="新宋体"/>
          <w:b/>
          <w:bCs/>
          <w:color w:val="auto"/>
          <w:sz w:val="22"/>
          <w:szCs w:val="22"/>
          <w:highlight w:val="none"/>
        </w:rPr>
      </w:pPr>
    </w:p>
    <w:p>
      <w:pPr>
        <w:spacing w:line="380" w:lineRule="exact"/>
        <w:rPr>
          <w:rFonts w:hint="eastAsia" w:ascii="新宋体" w:hAnsi="新宋体" w:eastAsia="新宋体"/>
          <w:b/>
          <w:bCs/>
          <w:color w:val="auto"/>
          <w:sz w:val="22"/>
          <w:szCs w:val="22"/>
          <w:highlight w:val="none"/>
        </w:rPr>
      </w:pPr>
      <w:r>
        <w:rPr>
          <w:rFonts w:hint="eastAsia" w:ascii="新宋体" w:hAnsi="新宋体" w:eastAsia="新宋体"/>
          <w:b/>
          <w:color w:val="auto"/>
          <w:sz w:val="22"/>
          <w:szCs w:val="22"/>
          <w:highlight w:val="none"/>
        </w:rPr>
        <w:t>说明：</w:t>
      </w:r>
      <w:r>
        <w:rPr>
          <w:rFonts w:hint="eastAsia" w:ascii="新宋体" w:hAnsi="新宋体" w:eastAsia="新宋体"/>
          <w:b/>
          <w:bCs/>
          <w:color w:val="auto"/>
          <w:sz w:val="22"/>
          <w:szCs w:val="22"/>
          <w:highlight w:val="none"/>
        </w:rPr>
        <w:t>1、此表总计价应与附件一中“2、投标报价一览表”中投标报价相一致。</w:t>
      </w:r>
    </w:p>
    <w:p>
      <w:pPr>
        <w:spacing w:line="380" w:lineRule="exact"/>
        <w:ind w:firstLine="755" w:firstLineChars="342"/>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2、不提供详细投标分项报价将视为没有实质性响应招标文件。</w:t>
      </w:r>
    </w:p>
    <w:p>
      <w:pPr>
        <w:spacing w:line="380" w:lineRule="exact"/>
        <w:ind w:firstLine="720"/>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3、如果免费请在该项内容栏内注明“免”，如果含在产品价格中则填“含”，如无此项内容则填“无”，不留空白。</w:t>
      </w:r>
    </w:p>
    <w:p>
      <w:pPr>
        <w:tabs>
          <w:tab w:val="left" w:pos="360"/>
        </w:tabs>
        <w:spacing w:line="460" w:lineRule="exact"/>
        <w:ind w:firstLine="773" w:firstLineChars="350"/>
        <w:rPr>
          <w:rFonts w:hint="eastAsia" w:ascii="新宋体" w:hAnsi="新宋体" w:eastAsia="新宋体"/>
          <w:b/>
          <w:color w:val="auto"/>
          <w:sz w:val="22"/>
          <w:szCs w:val="22"/>
          <w:highlight w:val="none"/>
        </w:rPr>
      </w:pPr>
    </w:p>
    <w:p>
      <w:pPr>
        <w:spacing w:line="380" w:lineRule="exact"/>
        <w:ind w:firstLine="600" w:firstLineChars="300"/>
        <w:rPr>
          <w:rFonts w:hint="eastAsia" w:ascii="新宋体" w:hAnsi="新宋体" w:eastAsia="新宋体" w:cs="新宋体"/>
          <w:color w:val="auto"/>
          <w:sz w:val="20"/>
          <w:szCs w:val="22"/>
          <w:highlight w:val="none"/>
        </w:rPr>
      </w:pPr>
    </w:p>
    <w:p>
      <w:pPr>
        <w:spacing w:line="380" w:lineRule="exact"/>
        <w:ind w:firstLine="5280" w:firstLineChars="24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投标人全称（盖章）：</w:t>
      </w:r>
    </w:p>
    <w:p>
      <w:pPr>
        <w:spacing w:line="3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投标人代表（签字）：</w:t>
      </w:r>
    </w:p>
    <w:p>
      <w:pPr>
        <w:pStyle w:val="23"/>
        <w:spacing w:line="460" w:lineRule="exact"/>
        <w:ind w:left="440" w:hanging="44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日   期：</w:t>
      </w:r>
    </w:p>
    <w:p>
      <w:pPr>
        <w:pStyle w:val="23"/>
        <w:spacing w:line="460" w:lineRule="exact"/>
        <w:ind w:left="440" w:hanging="440"/>
        <w:rPr>
          <w:rFonts w:hint="eastAsia" w:ascii="新宋体" w:hAnsi="新宋体" w:eastAsia="新宋体" w:cs="新宋体"/>
          <w:color w:val="auto"/>
          <w:sz w:val="22"/>
          <w:szCs w:val="22"/>
          <w:highlight w:val="none"/>
        </w:rPr>
      </w:pPr>
    </w:p>
    <w:p>
      <w:pPr>
        <w:pStyle w:val="23"/>
        <w:spacing w:line="460" w:lineRule="exact"/>
        <w:ind w:left="440" w:hanging="440"/>
        <w:rPr>
          <w:rFonts w:hint="eastAsia" w:ascii="新宋体" w:hAnsi="新宋体" w:eastAsia="新宋体" w:cs="新宋体"/>
          <w:color w:val="auto"/>
          <w:sz w:val="22"/>
          <w:szCs w:val="22"/>
          <w:highlight w:val="none"/>
        </w:rPr>
      </w:pPr>
    </w:p>
    <w:p>
      <w:pPr>
        <w:pStyle w:val="23"/>
        <w:spacing w:line="460" w:lineRule="exact"/>
        <w:ind w:left="440" w:hanging="440"/>
        <w:rPr>
          <w:rFonts w:hint="eastAsia" w:ascii="新宋体" w:hAnsi="新宋体" w:eastAsia="新宋体" w:cs="新宋体"/>
          <w:color w:val="auto"/>
          <w:sz w:val="22"/>
          <w:szCs w:val="22"/>
          <w:highlight w:val="none"/>
        </w:rPr>
      </w:pPr>
    </w:p>
    <w:p>
      <w:pPr>
        <w:spacing w:line="400" w:lineRule="exact"/>
        <w:jc w:val="center"/>
        <w:outlineLvl w:val="3"/>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投标分项报价表</w:t>
      </w:r>
    </w:p>
    <w:p>
      <w:pPr>
        <w:spacing w:line="380" w:lineRule="exact"/>
        <w:jc w:val="center"/>
        <w:rPr>
          <w:rFonts w:hint="eastAsia" w:ascii="新宋体" w:hAnsi="新宋体" w:eastAsia="新宋体"/>
          <w:b/>
          <w:bCs/>
          <w:color w:val="auto"/>
          <w:sz w:val="22"/>
          <w:szCs w:val="22"/>
          <w:highlight w:val="none"/>
        </w:rPr>
      </w:pPr>
      <w:r>
        <w:rPr>
          <w:rFonts w:hint="eastAsia" w:ascii="新宋体" w:hAnsi="新宋体" w:eastAsia="新宋体"/>
          <w:b/>
          <w:color w:val="auto"/>
          <w:sz w:val="22"/>
          <w:szCs w:val="22"/>
          <w:highlight w:val="none"/>
        </w:rPr>
        <w:t>（</w:t>
      </w:r>
      <w:r>
        <w:rPr>
          <w:rFonts w:hint="eastAsia" w:ascii="新宋体" w:hAnsi="新宋体" w:eastAsia="新宋体"/>
          <w:color w:val="auto"/>
          <w:sz w:val="22"/>
          <w:highlight w:val="none"/>
        </w:rPr>
        <w:t xml:space="preserve"> 标段三：项目咨询监理</w:t>
      </w:r>
      <w:r>
        <w:rPr>
          <w:rFonts w:hint="eastAsia" w:ascii="新宋体" w:hAnsi="新宋体" w:eastAsia="新宋体"/>
          <w:b/>
          <w:color w:val="auto"/>
          <w:sz w:val="22"/>
          <w:highlight w:val="none"/>
        </w:rPr>
        <w:t>）</w:t>
      </w:r>
    </w:p>
    <w:p>
      <w:pPr>
        <w:spacing w:line="380" w:lineRule="exact"/>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 xml:space="preserve">项目名称： </w:t>
      </w:r>
      <w:r>
        <w:rPr>
          <w:rFonts w:hint="eastAsia" w:ascii="新宋体" w:hAnsi="新宋体" w:eastAsia="新宋体"/>
          <w:color w:val="auto"/>
          <w:sz w:val="22"/>
          <w:szCs w:val="22"/>
          <w:highlight w:val="none"/>
        </w:rPr>
        <w:t xml:space="preserve">                                              </w:t>
      </w:r>
      <w:r>
        <w:rPr>
          <w:rFonts w:hint="eastAsia" w:ascii="新宋体" w:hAnsi="新宋体" w:eastAsia="新宋体"/>
          <w:b/>
          <w:bCs/>
          <w:color w:val="auto"/>
          <w:sz w:val="22"/>
          <w:szCs w:val="22"/>
          <w:highlight w:val="none"/>
        </w:rPr>
        <w:t>项目编号：</w:t>
      </w:r>
    </w:p>
    <w:tbl>
      <w:tblPr>
        <w:tblStyle w:val="52"/>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4346"/>
        <w:gridCol w:w="1047"/>
        <w:gridCol w:w="1046"/>
        <w:gridCol w:w="1277"/>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62" w:type="dxa"/>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序号</w:t>
            </w:r>
          </w:p>
          <w:p>
            <w:pPr>
              <w:spacing w:line="460" w:lineRule="exact"/>
              <w:jc w:val="center"/>
              <w:rPr>
                <w:rFonts w:hint="eastAsia" w:ascii="新宋体" w:hAnsi="新宋体" w:eastAsia="新宋体" w:cs="新宋体"/>
                <w:color w:val="auto"/>
                <w:sz w:val="22"/>
                <w:szCs w:val="22"/>
                <w:highlight w:val="none"/>
              </w:rPr>
            </w:pPr>
          </w:p>
        </w:tc>
        <w:tc>
          <w:tcPr>
            <w:tcW w:w="4346" w:type="dxa"/>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项目内容</w:t>
            </w:r>
          </w:p>
        </w:tc>
        <w:tc>
          <w:tcPr>
            <w:tcW w:w="1047" w:type="dxa"/>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数量</w:t>
            </w:r>
          </w:p>
        </w:tc>
        <w:tc>
          <w:tcPr>
            <w:tcW w:w="1046" w:type="dxa"/>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单价 </w:t>
            </w:r>
          </w:p>
        </w:tc>
        <w:tc>
          <w:tcPr>
            <w:tcW w:w="1277" w:type="dxa"/>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合价 </w:t>
            </w:r>
          </w:p>
        </w:tc>
        <w:tc>
          <w:tcPr>
            <w:tcW w:w="958" w:type="dxa"/>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862" w:type="dxa"/>
            <w:shd w:val="clear" w:color="auto" w:fill="auto"/>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p>
        </w:tc>
        <w:tc>
          <w:tcPr>
            <w:tcW w:w="4346" w:type="dxa"/>
            <w:shd w:val="clear" w:color="auto" w:fill="FFFFFF"/>
            <w:noWrap w:val="0"/>
            <w:vAlign w:val="center"/>
          </w:tcPr>
          <w:p>
            <w:pPr>
              <w:widowControl/>
              <w:spacing w:before="120" w:beforeLines="50" w:after="120" w:afterLines="50" w:line="460" w:lineRule="exact"/>
              <w:rPr>
                <w:rFonts w:hint="eastAsia" w:ascii="新宋体" w:hAnsi="新宋体" w:eastAsia="新宋体" w:cs="新宋体"/>
                <w:color w:val="auto"/>
                <w:sz w:val="22"/>
                <w:szCs w:val="22"/>
                <w:highlight w:val="none"/>
              </w:rPr>
            </w:pPr>
          </w:p>
        </w:tc>
        <w:tc>
          <w:tcPr>
            <w:tcW w:w="1047"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046"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277"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958" w:type="dxa"/>
            <w:noWrap w:val="0"/>
            <w:vAlign w:val="center"/>
          </w:tcPr>
          <w:p>
            <w:pPr>
              <w:spacing w:line="460" w:lineRule="exact"/>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trPr>
        <w:tc>
          <w:tcPr>
            <w:tcW w:w="862" w:type="dxa"/>
            <w:shd w:val="clear" w:color="auto" w:fill="auto"/>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p>
        </w:tc>
        <w:tc>
          <w:tcPr>
            <w:tcW w:w="4346" w:type="dxa"/>
            <w:shd w:val="clear" w:color="auto" w:fill="FFFFFF"/>
            <w:noWrap w:val="0"/>
            <w:vAlign w:val="center"/>
          </w:tcPr>
          <w:p>
            <w:pPr>
              <w:widowControl/>
              <w:spacing w:before="120" w:beforeLines="50" w:after="120" w:afterLines="50" w:line="460" w:lineRule="exact"/>
              <w:rPr>
                <w:rFonts w:hint="eastAsia" w:ascii="新宋体" w:hAnsi="新宋体" w:eastAsia="新宋体" w:cs="新宋体"/>
                <w:color w:val="auto"/>
                <w:sz w:val="22"/>
                <w:szCs w:val="22"/>
                <w:highlight w:val="none"/>
              </w:rPr>
            </w:pPr>
          </w:p>
        </w:tc>
        <w:tc>
          <w:tcPr>
            <w:tcW w:w="1047"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046"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277"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958" w:type="dxa"/>
            <w:noWrap w:val="0"/>
            <w:vAlign w:val="center"/>
          </w:tcPr>
          <w:p>
            <w:pPr>
              <w:spacing w:line="460" w:lineRule="exact"/>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trPr>
        <w:tc>
          <w:tcPr>
            <w:tcW w:w="862" w:type="dxa"/>
            <w:shd w:val="clear" w:color="auto" w:fill="auto"/>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4346" w:type="dxa"/>
            <w:shd w:val="clear" w:color="auto" w:fill="FFFFFF"/>
            <w:noWrap w:val="0"/>
            <w:vAlign w:val="center"/>
          </w:tcPr>
          <w:p>
            <w:pPr>
              <w:widowControl/>
              <w:spacing w:before="120" w:beforeLines="50" w:after="120" w:afterLines="50" w:line="460" w:lineRule="exact"/>
              <w:rPr>
                <w:rFonts w:hint="eastAsia" w:ascii="新宋体" w:hAnsi="新宋体" w:eastAsia="新宋体" w:cs="新宋体"/>
                <w:color w:val="auto"/>
                <w:sz w:val="22"/>
                <w:szCs w:val="22"/>
                <w:highlight w:val="none"/>
              </w:rPr>
            </w:pPr>
          </w:p>
        </w:tc>
        <w:tc>
          <w:tcPr>
            <w:tcW w:w="1047"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046"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277"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958" w:type="dxa"/>
            <w:noWrap w:val="0"/>
            <w:vAlign w:val="center"/>
          </w:tcPr>
          <w:p>
            <w:pPr>
              <w:spacing w:line="460" w:lineRule="exact"/>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862" w:type="dxa"/>
            <w:shd w:val="clear" w:color="auto" w:fill="auto"/>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w:t>
            </w:r>
          </w:p>
        </w:tc>
        <w:tc>
          <w:tcPr>
            <w:tcW w:w="4346" w:type="dxa"/>
            <w:shd w:val="clear" w:color="auto" w:fill="FFFFFF"/>
            <w:noWrap w:val="0"/>
            <w:vAlign w:val="center"/>
          </w:tcPr>
          <w:p>
            <w:pPr>
              <w:widowControl/>
              <w:spacing w:before="120" w:beforeLines="50" w:after="120" w:afterLines="50" w:line="460" w:lineRule="exact"/>
              <w:rPr>
                <w:rFonts w:hint="eastAsia" w:ascii="新宋体" w:hAnsi="新宋体" w:eastAsia="新宋体" w:cs="新宋体"/>
                <w:color w:val="auto"/>
                <w:sz w:val="22"/>
                <w:szCs w:val="22"/>
                <w:highlight w:val="none"/>
              </w:rPr>
            </w:pPr>
          </w:p>
        </w:tc>
        <w:tc>
          <w:tcPr>
            <w:tcW w:w="1047"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046"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277"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958" w:type="dxa"/>
            <w:noWrap w:val="0"/>
            <w:vAlign w:val="center"/>
          </w:tcPr>
          <w:p>
            <w:pPr>
              <w:spacing w:line="460" w:lineRule="exact"/>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exact"/>
        </w:trPr>
        <w:tc>
          <w:tcPr>
            <w:tcW w:w="862" w:type="dxa"/>
            <w:shd w:val="clear" w:color="auto" w:fill="auto"/>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w:t>
            </w:r>
          </w:p>
        </w:tc>
        <w:tc>
          <w:tcPr>
            <w:tcW w:w="4346" w:type="dxa"/>
            <w:shd w:val="clear" w:color="auto" w:fill="FFFFFF"/>
            <w:noWrap w:val="0"/>
            <w:vAlign w:val="center"/>
          </w:tcPr>
          <w:p>
            <w:pPr>
              <w:widowControl/>
              <w:spacing w:before="120" w:beforeLines="50" w:after="120" w:afterLines="50" w:line="460" w:lineRule="exact"/>
              <w:rPr>
                <w:rFonts w:hint="eastAsia" w:ascii="新宋体" w:hAnsi="新宋体" w:eastAsia="新宋体" w:cs="新宋体"/>
                <w:color w:val="auto"/>
                <w:sz w:val="22"/>
                <w:szCs w:val="22"/>
                <w:highlight w:val="none"/>
              </w:rPr>
            </w:pPr>
          </w:p>
        </w:tc>
        <w:tc>
          <w:tcPr>
            <w:tcW w:w="1047"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046"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277"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958" w:type="dxa"/>
            <w:noWrap w:val="0"/>
            <w:vAlign w:val="center"/>
          </w:tcPr>
          <w:p>
            <w:pPr>
              <w:spacing w:line="460" w:lineRule="exact"/>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862" w:type="dxa"/>
            <w:shd w:val="clear" w:color="auto" w:fill="auto"/>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w:t>
            </w:r>
          </w:p>
        </w:tc>
        <w:tc>
          <w:tcPr>
            <w:tcW w:w="4346" w:type="dxa"/>
            <w:shd w:val="clear" w:color="auto" w:fill="FFFFFF"/>
            <w:noWrap w:val="0"/>
            <w:vAlign w:val="center"/>
          </w:tcPr>
          <w:p>
            <w:pPr>
              <w:widowControl/>
              <w:spacing w:before="120" w:beforeLines="50" w:after="120" w:afterLines="50" w:line="460" w:lineRule="exact"/>
              <w:rPr>
                <w:rFonts w:hint="eastAsia" w:ascii="新宋体" w:hAnsi="新宋体" w:eastAsia="新宋体" w:cs="新宋体"/>
                <w:color w:val="auto"/>
                <w:sz w:val="22"/>
                <w:szCs w:val="22"/>
                <w:highlight w:val="none"/>
              </w:rPr>
            </w:pPr>
          </w:p>
        </w:tc>
        <w:tc>
          <w:tcPr>
            <w:tcW w:w="1047"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046"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277"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958" w:type="dxa"/>
            <w:noWrap w:val="0"/>
            <w:vAlign w:val="center"/>
          </w:tcPr>
          <w:p>
            <w:pPr>
              <w:spacing w:line="460" w:lineRule="exact"/>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862" w:type="dxa"/>
            <w:shd w:val="clear" w:color="auto" w:fill="auto"/>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w:t>
            </w:r>
          </w:p>
        </w:tc>
        <w:tc>
          <w:tcPr>
            <w:tcW w:w="4346" w:type="dxa"/>
            <w:shd w:val="clear" w:color="auto" w:fill="FFFFFF"/>
            <w:noWrap w:val="0"/>
            <w:vAlign w:val="center"/>
          </w:tcPr>
          <w:p>
            <w:pPr>
              <w:widowControl/>
              <w:spacing w:before="120" w:beforeLines="50" w:after="120" w:afterLines="50" w:line="460" w:lineRule="exact"/>
              <w:rPr>
                <w:rFonts w:hint="eastAsia" w:ascii="新宋体" w:hAnsi="新宋体" w:eastAsia="新宋体" w:cs="新宋体"/>
                <w:color w:val="auto"/>
                <w:sz w:val="22"/>
                <w:szCs w:val="22"/>
                <w:highlight w:val="none"/>
              </w:rPr>
            </w:pPr>
          </w:p>
        </w:tc>
        <w:tc>
          <w:tcPr>
            <w:tcW w:w="1047"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046"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277"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958" w:type="dxa"/>
            <w:noWrap w:val="0"/>
            <w:vAlign w:val="center"/>
          </w:tcPr>
          <w:p>
            <w:pPr>
              <w:spacing w:line="460" w:lineRule="exact"/>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trPr>
        <w:tc>
          <w:tcPr>
            <w:tcW w:w="862" w:type="dxa"/>
            <w:shd w:val="clear" w:color="auto" w:fill="auto"/>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w:t>
            </w:r>
          </w:p>
        </w:tc>
        <w:tc>
          <w:tcPr>
            <w:tcW w:w="4346" w:type="dxa"/>
            <w:shd w:val="clear" w:color="auto" w:fill="FFFFFF"/>
            <w:noWrap w:val="0"/>
            <w:vAlign w:val="center"/>
          </w:tcPr>
          <w:p>
            <w:pPr>
              <w:widowControl/>
              <w:spacing w:before="120" w:beforeLines="50" w:after="120" w:afterLines="50" w:line="460" w:lineRule="exact"/>
              <w:rPr>
                <w:rFonts w:hint="eastAsia" w:ascii="新宋体" w:hAnsi="新宋体" w:eastAsia="新宋体" w:cs="新宋体"/>
                <w:color w:val="auto"/>
                <w:sz w:val="22"/>
                <w:szCs w:val="22"/>
                <w:highlight w:val="none"/>
              </w:rPr>
            </w:pPr>
          </w:p>
        </w:tc>
        <w:tc>
          <w:tcPr>
            <w:tcW w:w="1047"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046"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277"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958" w:type="dxa"/>
            <w:noWrap w:val="0"/>
            <w:vAlign w:val="center"/>
          </w:tcPr>
          <w:p>
            <w:pPr>
              <w:spacing w:line="460" w:lineRule="exact"/>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trPr>
        <w:tc>
          <w:tcPr>
            <w:tcW w:w="862" w:type="dxa"/>
            <w:shd w:val="clear" w:color="auto" w:fill="auto"/>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w:t>
            </w:r>
          </w:p>
        </w:tc>
        <w:tc>
          <w:tcPr>
            <w:tcW w:w="4346" w:type="dxa"/>
            <w:shd w:val="clear" w:color="auto" w:fill="FFFFFF"/>
            <w:noWrap w:val="0"/>
            <w:vAlign w:val="center"/>
          </w:tcPr>
          <w:p>
            <w:pPr>
              <w:widowControl/>
              <w:spacing w:before="120" w:beforeLines="50" w:after="120" w:afterLines="50" w:line="460" w:lineRule="exact"/>
              <w:rPr>
                <w:rFonts w:hint="eastAsia" w:ascii="新宋体" w:hAnsi="新宋体" w:eastAsia="新宋体" w:cs="新宋体"/>
                <w:color w:val="auto"/>
                <w:sz w:val="22"/>
                <w:szCs w:val="22"/>
                <w:highlight w:val="none"/>
              </w:rPr>
            </w:pPr>
          </w:p>
        </w:tc>
        <w:tc>
          <w:tcPr>
            <w:tcW w:w="1047"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046"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277"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958" w:type="dxa"/>
            <w:noWrap w:val="0"/>
            <w:vAlign w:val="center"/>
          </w:tcPr>
          <w:p>
            <w:pPr>
              <w:spacing w:line="460" w:lineRule="exact"/>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trPr>
        <w:tc>
          <w:tcPr>
            <w:tcW w:w="862" w:type="dxa"/>
            <w:shd w:val="clear" w:color="auto" w:fill="auto"/>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w:t>
            </w:r>
          </w:p>
        </w:tc>
        <w:tc>
          <w:tcPr>
            <w:tcW w:w="4346" w:type="dxa"/>
            <w:shd w:val="clear" w:color="auto" w:fill="FFFFFF"/>
            <w:noWrap w:val="0"/>
            <w:vAlign w:val="center"/>
          </w:tcPr>
          <w:p>
            <w:pPr>
              <w:widowControl/>
              <w:spacing w:before="120" w:beforeLines="50" w:after="120" w:afterLines="50"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w:t>
            </w:r>
          </w:p>
        </w:tc>
        <w:tc>
          <w:tcPr>
            <w:tcW w:w="1047"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046"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277"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958" w:type="dxa"/>
            <w:noWrap w:val="0"/>
            <w:vAlign w:val="center"/>
          </w:tcPr>
          <w:p>
            <w:pPr>
              <w:spacing w:line="460" w:lineRule="exact"/>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62" w:type="dxa"/>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w:t>
            </w:r>
          </w:p>
        </w:tc>
        <w:tc>
          <w:tcPr>
            <w:tcW w:w="4346" w:type="dxa"/>
            <w:noWrap w:val="0"/>
            <w:vAlign w:val="center"/>
          </w:tcPr>
          <w:p>
            <w:pPr>
              <w:spacing w:line="460" w:lineRule="exact"/>
              <w:rPr>
                <w:rFonts w:hint="eastAsia" w:ascii="新宋体" w:hAnsi="新宋体" w:eastAsia="新宋体"/>
                <w:bCs/>
                <w:color w:val="auto"/>
                <w:sz w:val="22"/>
                <w:szCs w:val="22"/>
                <w:highlight w:val="none"/>
              </w:rPr>
            </w:pPr>
            <w:r>
              <w:rPr>
                <w:rFonts w:hint="eastAsia" w:ascii="新宋体" w:hAnsi="新宋体" w:eastAsia="新宋体" w:cs="新宋体"/>
                <w:bCs/>
                <w:color w:val="auto"/>
                <w:sz w:val="22"/>
                <w:szCs w:val="22"/>
                <w:highlight w:val="none"/>
              </w:rPr>
              <w:t>人员费用</w:t>
            </w:r>
          </w:p>
        </w:tc>
        <w:tc>
          <w:tcPr>
            <w:tcW w:w="1047"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046"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277"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958" w:type="dxa"/>
            <w:noWrap w:val="0"/>
            <w:vAlign w:val="center"/>
          </w:tcPr>
          <w:p>
            <w:pPr>
              <w:spacing w:line="460" w:lineRule="exact"/>
              <w:jc w:val="center"/>
              <w:rPr>
                <w:rFonts w:hint="eastAsia" w:ascii="新宋体" w:hAnsi="新宋体" w:eastAsia="新宋体" w:cs="新宋体"/>
                <w:color w:val="auto"/>
                <w:sz w:val="22"/>
                <w:szCs w:val="22"/>
                <w:highlight w:val="none"/>
              </w:rPr>
            </w:pPr>
          </w:p>
        </w:tc>
      </w:tr>
      <w:tr>
        <w:tblPrEx>
          <w:tblCellMar>
            <w:top w:w="0" w:type="dxa"/>
            <w:left w:w="108" w:type="dxa"/>
            <w:bottom w:w="0" w:type="dxa"/>
            <w:right w:w="108" w:type="dxa"/>
          </w:tblCellMar>
        </w:tblPrEx>
        <w:trPr>
          <w:trHeight w:val="552" w:hRule="exact"/>
        </w:trPr>
        <w:tc>
          <w:tcPr>
            <w:tcW w:w="862" w:type="dxa"/>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w:t>
            </w:r>
          </w:p>
        </w:tc>
        <w:tc>
          <w:tcPr>
            <w:tcW w:w="4346" w:type="dxa"/>
            <w:noWrap w:val="0"/>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bCs/>
                <w:color w:val="auto"/>
                <w:sz w:val="22"/>
                <w:szCs w:val="22"/>
                <w:highlight w:val="none"/>
              </w:rPr>
              <w:t>验验费</w:t>
            </w:r>
            <w:r>
              <w:rPr>
                <w:rFonts w:hint="eastAsia" w:ascii="新宋体" w:hAnsi="新宋体" w:eastAsia="新宋体" w:cs="新宋体"/>
                <w:color w:val="auto"/>
                <w:sz w:val="22"/>
                <w:szCs w:val="22"/>
                <w:highlight w:val="none"/>
              </w:rPr>
              <w:t>（含第三方检验费）</w:t>
            </w:r>
          </w:p>
        </w:tc>
        <w:tc>
          <w:tcPr>
            <w:tcW w:w="4328" w:type="dxa"/>
            <w:gridSpan w:val="4"/>
            <w:noWrap w:val="0"/>
            <w:vAlign w:val="center"/>
          </w:tcPr>
          <w:p>
            <w:pPr>
              <w:spacing w:line="460" w:lineRule="exact"/>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trPr>
        <w:tc>
          <w:tcPr>
            <w:tcW w:w="862" w:type="dxa"/>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w:t>
            </w:r>
          </w:p>
        </w:tc>
        <w:tc>
          <w:tcPr>
            <w:tcW w:w="4346" w:type="dxa"/>
            <w:noWrap w:val="0"/>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税金</w:t>
            </w:r>
          </w:p>
        </w:tc>
        <w:tc>
          <w:tcPr>
            <w:tcW w:w="4328" w:type="dxa"/>
            <w:gridSpan w:val="4"/>
            <w:noWrap w:val="0"/>
            <w:vAlign w:val="center"/>
          </w:tcPr>
          <w:p>
            <w:pPr>
              <w:spacing w:line="460" w:lineRule="exact"/>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62" w:type="dxa"/>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w:t>
            </w:r>
          </w:p>
        </w:tc>
        <w:tc>
          <w:tcPr>
            <w:tcW w:w="4346" w:type="dxa"/>
            <w:noWrap w:val="0"/>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其他</w:t>
            </w:r>
          </w:p>
        </w:tc>
        <w:tc>
          <w:tcPr>
            <w:tcW w:w="4328" w:type="dxa"/>
            <w:gridSpan w:val="4"/>
            <w:noWrap w:val="0"/>
            <w:vAlign w:val="center"/>
          </w:tcPr>
          <w:p>
            <w:pPr>
              <w:spacing w:line="460" w:lineRule="exact"/>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trPr>
        <w:tc>
          <w:tcPr>
            <w:tcW w:w="862" w:type="dxa"/>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w:t>
            </w:r>
          </w:p>
        </w:tc>
        <w:tc>
          <w:tcPr>
            <w:tcW w:w="4346" w:type="dxa"/>
            <w:noWrap w:val="0"/>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招标代理服务费</w:t>
            </w:r>
          </w:p>
        </w:tc>
        <w:tc>
          <w:tcPr>
            <w:tcW w:w="4328" w:type="dxa"/>
            <w:gridSpan w:val="4"/>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trPr>
        <w:tc>
          <w:tcPr>
            <w:tcW w:w="5208" w:type="dxa"/>
            <w:gridSpan w:val="2"/>
            <w:noWrap w:val="0"/>
            <w:vAlign w:val="top"/>
          </w:tcPr>
          <w:p>
            <w:pPr>
              <w:spacing w:line="460" w:lineRule="exact"/>
              <w:ind w:firstLine="1650" w:firstLineChars="7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总    计   价</w:t>
            </w:r>
          </w:p>
        </w:tc>
        <w:tc>
          <w:tcPr>
            <w:tcW w:w="4328" w:type="dxa"/>
            <w:gridSpan w:val="4"/>
            <w:noWrap w:val="0"/>
            <w:vAlign w:val="center"/>
          </w:tcPr>
          <w:p>
            <w:pPr>
              <w:spacing w:line="460" w:lineRule="exact"/>
              <w:jc w:val="center"/>
              <w:rPr>
                <w:rFonts w:hint="eastAsia" w:ascii="新宋体" w:hAnsi="新宋体" w:eastAsia="新宋体" w:cs="新宋体"/>
                <w:color w:val="auto"/>
                <w:sz w:val="22"/>
                <w:szCs w:val="22"/>
                <w:highlight w:val="none"/>
              </w:rPr>
            </w:pPr>
          </w:p>
        </w:tc>
      </w:tr>
    </w:tbl>
    <w:p>
      <w:pPr>
        <w:tabs>
          <w:tab w:val="left" w:pos="360"/>
        </w:tabs>
        <w:spacing w:line="460" w:lineRule="exact"/>
        <w:rPr>
          <w:rFonts w:hint="eastAsia" w:ascii="新宋体" w:hAnsi="新宋体" w:eastAsia="新宋体"/>
          <w:b/>
          <w:color w:val="auto"/>
          <w:sz w:val="22"/>
          <w:szCs w:val="22"/>
          <w:highlight w:val="none"/>
        </w:rPr>
      </w:pPr>
    </w:p>
    <w:p>
      <w:pPr>
        <w:spacing w:line="380" w:lineRule="exact"/>
        <w:rPr>
          <w:rFonts w:hint="eastAsia" w:ascii="新宋体" w:hAnsi="新宋体" w:eastAsia="新宋体"/>
          <w:b/>
          <w:bCs/>
          <w:color w:val="auto"/>
          <w:sz w:val="22"/>
          <w:szCs w:val="22"/>
          <w:highlight w:val="none"/>
        </w:rPr>
      </w:pPr>
      <w:r>
        <w:rPr>
          <w:rFonts w:hint="eastAsia" w:ascii="新宋体" w:hAnsi="新宋体" w:eastAsia="新宋体"/>
          <w:b/>
          <w:color w:val="auto"/>
          <w:sz w:val="22"/>
          <w:szCs w:val="22"/>
          <w:highlight w:val="none"/>
        </w:rPr>
        <w:t>说明：</w:t>
      </w:r>
      <w:r>
        <w:rPr>
          <w:rFonts w:hint="eastAsia" w:ascii="新宋体" w:hAnsi="新宋体" w:eastAsia="新宋体"/>
          <w:b/>
          <w:bCs/>
          <w:color w:val="auto"/>
          <w:sz w:val="22"/>
          <w:szCs w:val="22"/>
          <w:highlight w:val="none"/>
        </w:rPr>
        <w:t>1、此表总计价应与附件一中“2、投标报价一览表”中投标报价相一致。</w:t>
      </w:r>
    </w:p>
    <w:p>
      <w:pPr>
        <w:spacing w:line="380" w:lineRule="exact"/>
        <w:ind w:firstLine="755" w:firstLineChars="342"/>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2、不提供详细投标分项报价将视为没有实质性响应招标文件。</w:t>
      </w:r>
    </w:p>
    <w:p>
      <w:pPr>
        <w:spacing w:line="380" w:lineRule="exact"/>
        <w:ind w:firstLine="720"/>
        <w:rPr>
          <w:rFonts w:hint="eastAsia" w:ascii="新宋体" w:hAnsi="新宋体" w:eastAsia="新宋体" w:cs="新宋体"/>
          <w:color w:val="auto"/>
          <w:sz w:val="20"/>
          <w:szCs w:val="22"/>
          <w:highlight w:val="none"/>
        </w:rPr>
      </w:pPr>
      <w:r>
        <w:rPr>
          <w:rFonts w:hint="eastAsia" w:ascii="新宋体" w:hAnsi="新宋体" w:eastAsia="新宋体"/>
          <w:b/>
          <w:bCs/>
          <w:color w:val="auto"/>
          <w:sz w:val="22"/>
          <w:szCs w:val="22"/>
          <w:highlight w:val="none"/>
        </w:rPr>
        <w:t>3、如果免费请在该项内容栏内注明“免”，如果含在产品价格中则填“含”，如无此项内容则填“无”，不留空白。</w:t>
      </w:r>
    </w:p>
    <w:p>
      <w:pPr>
        <w:spacing w:line="380" w:lineRule="exact"/>
        <w:ind w:firstLine="5280" w:firstLineChars="24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投标人全称（盖章）：</w:t>
      </w:r>
    </w:p>
    <w:p>
      <w:pPr>
        <w:spacing w:line="3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投标人代表（签字）：</w:t>
      </w:r>
    </w:p>
    <w:p>
      <w:pPr>
        <w:pStyle w:val="23"/>
        <w:spacing w:line="460" w:lineRule="exact"/>
        <w:ind w:left="440" w:hanging="44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日   期：</w:t>
      </w:r>
    </w:p>
    <w:p>
      <w:pPr>
        <w:pStyle w:val="23"/>
        <w:spacing w:line="460" w:lineRule="exact"/>
        <w:ind w:left="440" w:hanging="440"/>
        <w:rPr>
          <w:rFonts w:hint="eastAsia" w:ascii="新宋体" w:hAnsi="新宋体" w:eastAsia="新宋体" w:cs="新宋体"/>
          <w:color w:val="auto"/>
          <w:sz w:val="22"/>
          <w:szCs w:val="22"/>
          <w:highlight w:val="none"/>
        </w:rPr>
      </w:pPr>
    </w:p>
    <w:p>
      <w:pPr>
        <w:pStyle w:val="23"/>
        <w:ind w:left="440" w:hanging="440"/>
        <w:rPr>
          <w:rFonts w:hint="eastAsia" w:ascii="新宋体" w:hAnsi="新宋体" w:eastAsia="新宋体" w:cs="新宋体"/>
          <w:color w:val="auto"/>
          <w:sz w:val="22"/>
          <w:szCs w:val="22"/>
          <w:highlight w:val="none"/>
        </w:rPr>
      </w:pPr>
    </w:p>
    <w:p>
      <w:pPr>
        <w:pStyle w:val="23"/>
        <w:ind w:left="440" w:hanging="440"/>
        <w:rPr>
          <w:rFonts w:hint="eastAsia" w:ascii="新宋体" w:hAnsi="新宋体" w:eastAsia="新宋体" w:cs="新宋体"/>
          <w:color w:val="auto"/>
          <w:sz w:val="22"/>
          <w:szCs w:val="22"/>
          <w:highlight w:val="none"/>
        </w:rPr>
      </w:pPr>
    </w:p>
    <w:p>
      <w:pPr>
        <w:spacing w:line="420" w:lineRule="exact"/>
        <w:ind w:left="514" w:leftChars="245"/>
        <w:outlineLvl w:val="3"/>
        <w:rPr>
          <w:rFonts w:hint="eastAsia" w:ascii="新宋体" w:hAnsi="新宋体" w:eastAsia="新宋体"/>
          <w:b/>
          <w:bCs/>
          <w:color w:val="auto"/>
          <w:sz w:val="22"/>
          <w:szCs w:val="22"/>
          <w:highlight w:val="none"/>
        </w:rPr>
      </w:pPr>
      <w:r>
        <w:rPr>
          <w:rFonts w:hint="eastAsia" w:ascii="新宋体" w:hAnsi="新宋体" w:eastAsia="新宋体" w:cs="新宋体"/>
          <w:b/>
          <w:bCs/>
          <w:color w:val="auto"/>
          <w:sz w:val="28"/>
          <w:szCs w:val="28"/>
          <w:highlight w:val="none"/>
        </w:rPr>
        <w:t>4、监狱企业的相关证明材料</w:t>
      </w:r>
    </w:p>
    <w:p>
      <w:pPr>
        <w:spacing w:line="460" w:lineRule="exact"/>
        <w:ind w:firstLine="571" w:firstLineChars="245"/>
        <w:rPr>
          <w:rFonts w:hint="eastAsia" w:ascii="新宋体" w:hAnsi="新宋体" w:eastAsia="新宋体"/>
          <w:b/>
          <w:bCs/>
          <w:color w:val="auto"/>
          <w:sz w:val="22"/>
          <w:szCs w:val="22"/>
          <w:highlight w:val="none"/>
          <w:u w:val="single"/>
          <w:lang w:val="zh-CN"/>
        </w:rPr>
      </w:pPr>
      <w:r>
        <w:rPr>
          <w:rFonts w:hint="eastAsia" w:ascii="宋体" w:hAnsi="宋体"/>
          <w:b/>
          <w:color w:val="auto"/>
          <w:spacing w:val="6"/>
          <w:sz w:val="22"/>
          <w:szCs w:val="22"/>
          <w:highlight w:val="none"/>
        </w:rPr>
        <w:t>需提供相关证明材料，</w:t>
      </w:r>
      <w:r>
        <w:rPr>
          <w:rFonts w:hint="eastAsia" w:ascii="新宋体" w:hAnsi="新宋体" w:eastAsia="新宋体"/>
          <w:b/>
          <w:bCs/>
          <w:color w:val="auto"/>
          <w:sz w:val="22"/>
          <w:szCs w:val="22"/>
          <w:highlight w:val="none"/>
          <w:u w:val="single"/>
          <w:lang w:val="zh-CN"/>
        </w:rPr>
        <w:t>未提供证明材料或不能清楚辨析</w:t>
      </w:r>
      <w:r>
        <w:rPr>
          <w:rFonts w:hint="eastAsia" w:ascii="新宋体" w:hAnsi="新宋体" w:eastAsia="新宋体"/>
          <w:b/>
          <w:bCs/>
          <w:color w:val="auto"/>
          <w:sz w:val="22"/>
          <w:szCs w:val="22"/>
          <w:highlight w:val="none"/>
          <w:u w:val="single"/>
        </w:rPr>
        <w:t>是监狱企业的按非监狱企业处理，所提供的证明材料应为最新的最近的</w:t>
      </w:r>
      <w:r>
        <w:rPr>
          <w:rFonts w:hint="eastAsia" w:ascii="新宋体" w:hAnsi="新宋体" w:eastAsia="新宋体"/>
          <w:b/>
          <w:bCs/>
          <w:color w:val="auto"/>
          <w:sz w:val="22"/>
          <w:szCs w:val="22"/>
          <w:highlight w:val="none"/>
          <w:u w:val="single"/>
          <w:lang w:val="zh-CN"/>
        </w:rPr>
        <w:t>。</w:t>
      </w:r>
    </w:p>
    <w:p>
      <w:pPr>
        <w:adjustRightInd w:val="0"/>
        <w:snapToGrid w:val="0"/>
        <w:spacing w:line="300" w:lineRule="auto"/>
        <w:jc w:val="center"/>
        <w:rPr>
          <w:rFonts w:ascii="宋体" w:hAnsi="宋体"/>
          <w:b/>
          <w:color w:val="auto"/>
          <w:spacing w:val="6"/>
          <w:sz w:val="22"/>
          <w:szCs w:val="22"/>
          <w:highlight w:val="none"/>
        </w:rPr>
      </w:pPr>
    </w:p>
    <w:p>
      <w:pPr>
        <w:adjustRightInd w:val="0"/>
        <w:snapToGrid w:val="0"/>
        <w:spacing w:line="300" w:lineRule="auto"/>
        <w:jc w:val="center"/>
        <w:rPr>
          <w:rFonts w:hint="eastAsia" w:ascii="宋体" w:hAnsi="宋体"/>
          <w:b/>
          <w:color w:val="auto"/>
          <w:spacing w:val="6"/>
          <w:sz w:val="22"/>
          <w:szCs w:val="22"/>
          <w:highlight w:val="none"/>
        </w:rPr>
      </w:pPr>
    </w:p>
    <w:p>
      <w:pPr>
        <w:adjustRightInd w:val="0"/>
        <w:snapToGrid w:val="0"/>
        <w:spacing w:line="300" w:lineRule="auto"/>
        <w:jc w:val="center"/>
        <w:rPr>
          <w:rFonts w:hint="eastAsia" w:ascii="宋体" w:hAnsi="宋体"/>
          <w:b/>
          <w:color w:val="auto"/>
          <w:spacing w:val="6"/>
          <w:sz w:val="22"/>
          <w:szCs w:val="22"/>
          <w:highlight w:val="none"/>
        </w:rPr>
      </w:pPr>
    </w:p>
    <w:p>
      <w:pPr>
        <w:adjustRightInd w:val="0"/>
        <w:snapToGrid w:val="0"/>
        <w:spacing w:line="300" w:lineRule="auto"/>
        <w:jc w:val="center"/>
        <w:rPr>
          <w:rFonts w:hint="eastAsia" w:ascii="宋体" w:hAnsi="宋体" w:cs="Arial"/>
          <w:color w:val="auto"/>
          <w:kern w:val="0"/>
          <w:sz w:val="22"/>
          <w:szCs w:val="22"/>
          <w:highlight w:val="none"/>
        </w:rPr>
      </w:pPr>
      <w:r>
        <w:rPr>
          <w:rFonts w:hint="eastAsia" w:ascii="宋体" w:hAnsi="宋体"/>
          <w:b/>
          <w:color w:val="auto"/>
          <w:spacing w:val="6"/>
          <w:sz w:val="22"/>
          <w:szCs w:val="22"/>
          <w:highlight w:val="none"/>
        </w:rPr>
        <w:t>监狱企业声明函</w:t>
      </w:r>
    </w:p>
    <w:p>
      <w:pPr>
        <w:snapToGrid w:val="0"/>
        <w:spacing w:line="460" w:lineRule="exact"/>
        <w:ind w:firstLine="464" w:firstLineChars="200"/>
        <w:jc w:val="center"/>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【非监狱企业不用提供】</w:t>
      </w:r>
    </w:p>
    <w:p>
      <w:pPr>
        <w:snapToGrid w:val="0"/>
        <w:spacing w:line="460" w:lineRule="exact"/>
        <w:ind w:firstLine="464"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 xml:space="preserve">本企业郑重声明，根据《关于政府采购支持监狱企业发展有关问题的通知》（财库[2014]68号）的规定，本企业为监狱企业。 </w:t>
      </w:r>
    </w:p>
    <w:p>
      <w:pPr>
        <w:snapToGrid w:val="0"/>
        <w:spacing w:line="460" w:lineRule="exact"/>
        <w:ind w:firstLine="464"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根据上述标准，我企业属于监狱企业的理由为：</w:t>
      </w:r>
      <w:r>
        <w:rPr>
          <w:rFonts w:hint="eastAsia" w:ascii="新宋体" w:hAnsi="新宋体" w:eastAsia="新宋体" w:cs="新宋体"/>
          <w:color w:val="auto"/>
          <w:spacing w:val="6"/>
          <w:sz w:val="22"/>
          <w:szCs w:val="22"/>
          <w:highlight w:val="none"/>
          <w:u w:val="single"/>
        </w:rPr>
        <w:t xml:space="preserve">                                   </w:t>
      </w:r>
      <w:r>
        <w:rPr>
          <w:rFonts w:hint="eastAsia" w:ascii="新宋体" w:hAnsi="新宋体" w:eastAsia="新宋体" w:cs="新宋体"/>
          <w:color w:val="auto"/>
          <w:spacing w:val="6"/>
          <w:sz w:val="22"/>
          <w:szCs w:val="22"/>
          <w:highlight w:val="none"/>
        </w:rPr>
        <w:t xml:space="preserve">。 </w:t>
      </w:r>
    </w:p>
    <w:p>
      <w:pPr>
        <w:snapToGrid w:val="0"/>
        <w:spacing w:line="460" w:lineRule="exact"/>
        <w:ind w:firstLine="464"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本企业为参加（招标项目名称</w:t>
      </w:r>
      <w:r>
        <w:rPr>
          <w:rFonts w:hint="eastAsia" w:ascii="新宋体" w:hAnsi="新宋体" w:eastAsia="新宋体" w:cs="新宋体"/>
          <w:color w:val="auto"/>
          <w:spacing w:val="6"/>
          <w:sz w:val="22"/>
          <w:szCs w:val="22"/>
          <w:highlight w:val="none"/>
          <w:u w:val="single"/>
        </w:rPr>
        <w:t xml:space="preserve">：         </w:t>
      </w:r>
      <w:r>
        <w:rPr>
          <w:rFonts w:hint="eastAsia" w:ascii="新宋体" w:hAnsi="新宋体" w:eastAsia="新宋体" w:cs="新宋体"/>
          <w:color w:val="auto"/>
          <w:spacing w:val="6"/>
          <w:sz w:val="22"/>
          <w:szCs w:val="22"/>
          <w:highlight w:val="none"/>
        </w:rPr>
        <w:t>）（招标编号</w:t>
      </w:r>
      <w:r>
        <w:rPr>
          <w:rFonts w:hint="eastAsia" w:ascii="新宋体" w:hAnsi="新宋体" w:eastAsia="新宋体" w:cs="新宋体"/>
          <w:color w:val="auto"/>
          <w:spacing w:val="6"/>
          <w:sz w:val="22"/>
          <w:szCs w:val="22"/>
          <w:highlight w:val="none"/>
          <w:u w:val="single"/>
        </w:rPr>
        <w:t xml:space="preserve">：         </w:t>
      </w:r>
      <w:r>
        <w:rPr>
          <w:rFonts w:hint="eastAsia" w:ascii="新宋体" w:hAnsi="新宋体" w:eastAsia="新宋体" w:cs="新宋体"/>
          <w:color w:val="auto"/>
          <w:spacing w:val="6"/>
          <w:sz w:val="22"/>
          <w:szCs w:val="22"/>
          <w:highlight w:val="none"/>
        </w:rPr>
        <w:t xml:space="preserve">）采购活动并承担本工程。 </w:t>
      </w:r>
    </w:p>
    <w:p>
      <w:pPr>
        <w:snapToGrid w:val="0"/>
        <w:spacing w:line="460" w:lineRule="exact"/>
        <w:ind w:firstLine="464"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 xml:space="preserve">本企业对上述声明的真实性负责。如有虚假，将依法承担相应责任。  </w:t>
      </w:r>
    </w:p>
    <w:p>
      <w:pPr>
        <w:adjustRightInd w:val="0"/>
        <w:snapToGrid w:val="0"/>
        <w:spacing w:line="460" w:lineRule="exact"/>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投标人全称（盖章）：</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 xml:space="preserve">                   </w:t>
      </w:r>
    </w:p>
    <w:p>
      <w:pPr>
        <w:adjustRightInd w:val="0"/>
        <w:snapToGrid w:val="0"/>
        <w:spacing w:line="460" w:lineRule="exact"/>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日期：    年    月   日 </w:t>
      </w:r>
    </w:p>
    <w:p>
      <w:pPr>
        <w:snapToGrid w:val="0"/>
        <w:spacing w:line="460" w:lineRule="exact"/>
        <w:ind w:firstLine="464"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 xml:space="preserve">监狱企业参加政府采购活动时，应当提供由省级以上监狱管理局、戒毒管理局（含新疆生产建设兵团）出具的属于监狱企业的证明文件。 </w:t>
      </w:r>
    </w:p>
    <w:p>
      <w:pPr>
        <w:adjustRightInd w:val="0"/>
        <w:snapToGrid w:val="0"/>
        <w:spacing w:line="460" w:lineRule="exact"/>
        <w:ind w:firstLine="464"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spacing w:val="6"/>
          <w:sz w:val="22"/>
          <w:szCs w:val="22"/>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460" w:lineRule="exact"/>
        <w:rPr>
          <w:rFonts w:hint="eastAsia" w:ascii="新宋体" w:hAnsi="新宋体" w:eastAsia="新宋体" w:cs="新宋体"/>
          <w:color w:val="auto"/>
          <w:spacing w:val="20"/>
          <w:sz w:val="22"/>
          <w:szCs w:val="22"/>
          <w:highlight w:val="none"/>
        </w:rPr>
      </w:pPr>
    </w:p>
    <w:p>
      <w:pPr>
        <w:spacing w:line="460" w:lineRule="exact"/>
        <w:rPr>
          <w:rFonts w:hint="eastAsia" w:ascii="新宋体" w:hAnsi="新宋体" w:eastAsia="新宋体" w:cs="新宋体"/>
          <w:color w:val="auto"/>
          <w:spacing w:val="20"/>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pStyle w:val="23"/>
        <w:rPr>
          <w:rFonts w:hint="eastAsia"/>
          <w:color w:val="auto"/>
          <w:highlight w:val="none"/>
        </w:rPr>
      </w:pPr>
    </w:p>
    <w:p>
      <w:pPr>
        <w:pStyle w:val="23"/>
        <w:rPr>
          <w:rFonts w:hint="eastAsia"/>
          <w:color w:val="auto"/>
          <w:highlight w:val="none"/>
        </w:rPr>
      </w:pPr>
    </w:p>
    <w:p>
      <w:pPr>
        <w:tabs>
          <w:tab w:val="left" w:pos="1620"/>
        </w:tabs>
        <w:spacing w:line="460" w:lineRule="exact"/>
        <w:outlineLvl w:val="3"/>
        <w:rPr>
          <w:rFonts w:hint="eastAsia" w:ascii="新宋体" w:hAnsi="新宋体" w:eastAsia="新宋体"/>
          <w:b/>
          <w:bCs/>
          <w:color w:val="auto"/>
          <w:sz w:val="22"/>
          <w:szCs w:val="22"/>
          <w:highlight w:val="none"/>
        </w:rPr>
      </w:pPr>
      <w:r>
        <w:rPr>
          <w:rFonts w:hint="eastAsia" w:ascii="新宋体" w:hAnsi="新宋体" w:eastAsia="新宋体" w:cs="新宋体"/>
          <w:b/>
          <w:bCs/>
          <w:color w:val="auto"/>
          <w:sz w:val="28"/>
          <w:szCs w:val="28"/>
          <w:highlight w:val="none"/>
        </w:rPr>
        <w:t>5、中小企业的相关证明材料</w:t>
      </w:r>
    </w:p>
    <w:p>
      <w:pPr>
        <w:snapToGrid w:val="0"/>
        <w:spacing w:line="460" w:lineRule="exact"/>
        <w:ind w:firstLine="464" w:firstLineChars="200"/>
        <w:jc w:val="center"/>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【非</w:t>
      </w:r>
      <w:r>
        <w:rPr>
          <w:rFonts w:hint="eastAsia" w:ascii="新宋体" w:hAnsi="新宋体" w:eastAsia="新宋体" w:cs="新宋体"/>
          <w:color w:val="auto"/>
          <w:spacing w:val="6"/>
          <w:sz w:val="22"/>
          <w:szCs w:val="22"/>
          <w:highlight w:val="none"/>
          <w:lang w:val="zh-CN"/>
        </w:rPr>
        <w:t>小型、微型</w:t>
      </w:r>
      <w:r>
        <w:rPr>
          <w:rFonts w:hint="eastAsia" w:ascii="新宋体" w:hAnsi="新宋体" w:eastAsia="新宋体" w:cs="新宋体"/>
          <w:color w:val="auto"/>
          <w:spacing w:val="6"/>
          <w:sz w:val="22"/>
          <w:szCs w:val="22"/>
          <w:highlight w:val="none"/>
        </w:rPr>
        <w:t>企业不用提供】</w:t>
      </w:r>
    </w:p>
    <w:p>
      <w:pPr>
        <w:spacing w:line="380" w:lineRule="exact"/>
        <w:rPr>
          <w:rFonts w:hint="eastAsia" w:ascii="新宋体" w:hAnsi="新宋体" w:eastAsia="新宋体"/>
          <w:color w:val="auto"/>
          <w:sz w:val="22"/>
          <w:szCs w:val="22"/>
          <w:highlight w:val="none"/>
        </w:rPr>
      </w:pPr>
    </w:p>
    <w:p>
      <w:pPr>
        <w:spacing w:line="460" w:lineRule="exact"/>
        <w:ind w:firstLine="539" w:firstLineChars="245"/>
        <w:rPr>
          <w:rFonts w:hint="eastAsia" w:ascii="新宋体" w:hAnsi="新宋体" w:eastAsia="新宋体"/>
          <w:color w:val="auto"/>
          <w:sz w:val="22"/>
          <w:szCs w:val="22"/>
          <w:highlight w:val="none"/>
          <w:lang w:val="zh-CN"/>
        </w:rPr>
      </w:pPr>
      <w:r>
        <w:rPr>
          <w:rFonts w:hint="eastAsia" w:ascii="新宋体" w:hAnsi="新宋体" w:eastAsia="新宋体"/>
          <w:color w:val="auto"/>
          <w:sz w:val="22"/>
          <w:szCs w:val="22"/>
          <w:highlight w:val="none"/>
          <w:lang w:val="zh-CN"/>
        </w:rPr>
        <w:t>根据《政府采购促进中小企业发展暂行办法》（财库[2011]181号），对小型或微型企业参加投标且投标产品为小型或微型企业生产的，</w:t>
      </w:r>
      <w:r>
        <w:rPr>
          <w:rFonts w:hint="eastAsia" w:ascii="新宋体" w:hAnsi="新宋体" w:eastAsia="新宋体"/>
          <w:b/>
          <w:bCs/>
          <w:color w:val="auto"/>
          <w:sz w:val="22"/>
          <w:szCs w:val="22"/>
          <w:highlight w:val="none"/>
          <w:u w:val="single"/>
          <w:lang w:val="zh-CN"/>
        </w:rPr>
        <w:t>价格给予6%的扣除</w:t>
      </w:r>
      <w:r>
        <w:rPr>
          <w:rFonts w:hint="eastAsia" w:ascii="新宋体" w:hAnsi="新宋体" w:eastAsia="新宋体"/>
          <w:color w:val="auto"/>
          <w:sz w:val="22"/>
          <w:szCs w:val="22"/>
          <w:highlight w:val="none"/>
          <w:lang w:val="zh-CN"/>
        </w:rPr>
        <w:t>，用扣除后的价格参与价格评分。</w:t>
      </w:r>
    </w:p>
    <w:p>
      <w:pPr>
        <w:spacing w:line="460" w:lineRule="exact"/>
        <w:ind w:firstLine="541" w:firstLineChars="245"/>
        <w:rPr>
          <w:rFonts w:hint="eastAsia" w:ascii="新宋体" w:hAnsi="新宋体" w:eastAsia="新宋体"/>
          <w:color w:val="auto"/>
          <w:sz w:val="22"/>
          <w:szCs w:val="22"/>
          <w:highlight w:val="none"/>
          <w:lang w:val="zh-CN"/>
        </w:rPr>
      </w:pPr>
      <w:r>
        <w:rPr>
          <w:rFonts w:hint="eastAsia" w:ascii="新宋体" w:hAnsi="新宋体" w:eastAsia="新宋体"/>
          <w:b/>
          <w:bCs/>
          <w:color w:val="auto"/>
          <w:sz w:val="22"/>
          <w:szCs w:val="22"/>
          <w:highlight w:val="none"/>
          <w:u w:val="single"/>
          <w:lang w:val="zh-CN"/>
        </w:rPr>
        <w:t>同时符合以下所有要求的投标人被认定为小型、微型企业：</w:t>
      </w:r>
    </w:p>
    <w:p>
      <w:pPr>
        <w:spacing w:line="460" w:lineRule="exact"/>
        <w:ind w:firstLine="541" w:firstLineChars="245"/>
        <w:rPr>
          <w:rFonts w:hint="eastAsia" w:ascii="新宋体" w:hAnsi="新宋体" w:eastAsia="新宋体"/>
          <w:b/>
          <w:bCs/>
          <w:color w:val="auto"/>
          <w:sz w:val="22"/>
          <w:szCs w:val="22"/>
          <w:highlight w:val="none"/>
          <w:lang w:val="zh-CN"/>
        </w:rPr>
      </w:pPr>
      <w:r>
        <w:rPr>
          <w:rFonts w:hint="eastAsia" w:ascii="新宋体" w:hAnsi="新宋体" w:eastAsia="新宋体" w:cs="新宋体"/>
          <w:b/>
          <w:bCs/>
          <w:color w:val="auto"/>
          <w:sz w:val="22"/>
          <w:szCs w:val="22"/>
          <w:highlight w:val="none"/>
          <w:lang w:val="zh-CN"/>
        </w:rPr>
        <w:t>①</w:t>
      </w:r>
      <w:r>
        <w:rPr>
          <w:rFonts w:hint="eastAsia" w:ascii="新宋体" w:hAnsi="新宋体" w:eastAsia="新宋体"/>
          <w:b/>
          <w:bCs/>
          <w:color w:val="auto"/>
          <w:sz w:val="22"/>
          <w:szCs w:val="22"/>
          <w:highlight w:val="none"/>
          <w:lang w:val="zh-CN"/>
        </w:rPr>
        <w:t>投标人及投标产品生产企业按照《关于印发中小企业划型标准规定的通知》（工信部联企业〔2011〕300号）的所属行业规定为小型、微型企业。</w:t>
      </w:r>
    </w:p>
    <w:p>
      <w:pPr>
        <w:spacing w:line="460" w:lineRule="exact"/>
        <w:ind w:firstLine="541" w:firstLineChars="245"/>
        <w:rPr>
          <w:rFonts w:hint="eastAsia" w:ascii="新宋体" w:hAnsi="新宋体" w:eastAsia="新宋体"/>
          <w:b/>
          <w:bCs/>
          <w:color w:val="auto"/>
          <w:sz w:val="22"/>
          <w:szCs w:val="22"/>
          <w:highlight w:val="none"/>
          <w:u w:val="single"/>
          <w:lang w:val="zh-CN"/>
        </w:rPr>
      </w:pPr>
      <w:r>
        <w:rPr>
          <w:rFonts w:hint="eastAsia" w:ascii="新宋体" w:hAnsi="新宋体" w:eastAsia="新宋体"/>
          <w:b/>
          <w:bCs/>
          <w:color w:val="auto"/>
          <w:sz w:val="22"/>
          <w:szCs w:val="22"/>
          <w:highlight w:val="none"/>
          <w:u w:val="single"/>
          <w:lang w:val="zh-CN"/>
        </w:rPr>
        <w:t>投标文件中必须提供《中小企业声明函》、《关于印发中小企业划型标准规定的通知》（工信部联企业〔2011〕300号）。</w:t>
      </w:r>
    </w:p>
    <w:p>
      <w:pPr>
        <w:spacing w:line="460" w:lineRule="exact"/>
        <w:ind w:firstLine="541" w:firstLineChars="245"/>
        <w:rPr>
          <w:rFonts w:hint="eastAsia" w:ascii="新宋体" w:hAnsi="新宋体" w:eastAsia="新宋体"/>
          <w:b/>
          <w:bCs/>
          <w:color w:val="auto"/>
          <w:sz w:val="22"/>
          <w:szCs w:val="22"/>
          <w:highlight w:val="none"/>
          <w:u w:val="single"/>
          <w:lang w:val="zh-CN"/>
        </w:rPr>
      </w:pPr>
      <w:r>
        <w:rPr>
          <w:rFonts w:hint="eastAsia" w:ascii="新宋体" w:hAnsi="新宋体" w:eastAsia="新宋体"/>
          <w:b/>
          <w:bCs/>
          <w:color w:val="auto"/>
          <w:sz w:val="22"/>
          <w:szCs w:val="22"/>
          <w:highlight w:val="none"/>
          <w:u w:val="single"/>
          <w:lang w:val="zh-CN"/>
        </w:rPr>
        <w:t>必须提供</w:t>
      </w:r>
      <w:r>
        <w:rPr>
          <w:rFonts w:hint="eastAsia" w:ascii="新宋体" w:hAnsi="新宋体" w:eastAsia="新宋体"/>
          <w:b/>
          <w:bCs/>
          <w:color w:val="auto"/>
          <w:sz w:val="22"/>
          <w:szCs w:val="22"/>
          <w:highlight w:val="none"/>
          <w:u w:val="single"/>
        </w:rPr>
        <w:t>投标人、</w:t>
      </w:r>
      <w:r>
        <w:rPr>
          <w:rFonts w:hint="eastAsia" w:ascii="新宋体" w:hAnsi="新宋体" w:eastAsia="新宋体"/>
          <w:b/>
          <w:bCs/>
          <w:color w:val="auto"/>
          <w:sz w:val="22"/>
          <w:szCs w:val="22"/>
          <w:highlight w:val="none"/>
          <w:u w:val="single"/>
          <w:lang w:val="zh-CN"/>
        </w:rPr>
        <w:t>投标产品生产企业为小型、微型企业</w:t>
      </w:r>
      <w:r>
        <w:rPr>
          <w:rFonts w:hint="eastAsia" w:ascii="新宋体" w:hAnsi="新宋体" w:eastAsia="新宋体"/>
          <w:b/>
          <w:bCs/>
          <w:color w:val="auto"/>
          <w:sz w:val="22"/>
          <w:szCs w:val="22"/>
          <w:highlight w:val="none"/>
          <w:u w:val="single"/>
        </w:rPr>
        <w:t>与</w:t>
      </w:r>
      <w:r>
        <w:rPr>
          <w:rFonts w:hint="eastAsia" w:ascii="新宋体" w:hAnsi="新宋体" w:eastAsia="新宋体"/>
          <w:b/>
          <w:bCs/>
          <w:color w:val="auto"/>
          <w:sz w:val="22"/>
          <w:szCs w:val="22"/>
          <w:highlight w:val="none"/>
          <w:u w:val="single"/>
          <w:lang w:val="zh-CN"/>
        </w:rPr>
        <w:t>《关于印发中小企业划型标准规定的通知》（工信部联企业〔2011〕300号）</w:t>
      </w:r>
      <w:r>
        <w:rPr>
          <w:rFonts w:hint="eastAsia" w:ascii="新宋体" w:hAnsi="新宋体" w:eastAsia="新宋体"/>
          <w:b/>
          <w:bCs/>
          <w:color w:val="auto"/>
          <w:sz w:val="22"/>
          <w:szCs w:val="22"/>
          <w:highlight w:val="none"/>
          <w:u w:val="single"/>
        </w:rPr>
        <w:t>规定所属行业</w:t>
      </w:r>
      <w:r>
        <w:rPr>
          <w:rFonts w:hint="eastAsia" w:ascii="新宋体" w:hAnsi="新宋体" w:eastAsia="新宋体"/>
          <w:b/>
          <w:bCs/>
          <w:color w:val="auto"/>
          <w:sz w:val="22"/>
          <w:szCs w:val="22"/>
          <w:highlight w:val="none"/>
          <w:u w:val="single"/>
          <w:lang w:val="zh-CN"/>
        </w:rPr>
        <w:t>为小型、微型企业</w:t>
      </w:r>
      <w:r>
        <w:rPr>
          <w:rFonts w:hint="eastAsia" w:ascii="新宋体" w:hAnsi="新宋体" w:eastAsia="新宋体"/>
          <w:b/>
          <w:bCs/>
          <w:color w:val="auto"/>
          <w:sz w:val="22"/>
          <w:szCs w:val="22"/>
          <w:highlight w:val="none"/>
          <w:u w:val="single"/>
        </w:rPr>
        <w:t>标准要求对应的</w:t>
      </w:r>
      <w:r>
        <w:rPr>
          <w:rFonts w:hint="eastAsia" w:ascii="新宋体" w:hAnsi="新宋体" w:eastAsia="新宋体"/>
          <w:b/>
          <w:bCs/>
          <w:color w:val="auto"/>
          <w:sz w:val="22"/>
          <w:szCs w:val="22"/>
          <w:highlight w:val="none"/>
          <w:u w:val="single"/>
          <w:lang w:val="zh-CN"/>
        </w:rPr>
        <w:t>相关充分证明材料（</w:t>
      </w:r>
      <w:r>
        <w:rPr>
          <w:rFonts w:hint="eastAsia" w:ascii="新宋体" w:hAnsi="新宋体" w:eastAsia="新宋体"/>
          <w:b/>
          <w:bCs/>
          <w:color w:val="auto"/>
          <w:sz w:val="22"/>
          <w:szCs w:val="22"/>
          <w:highlight w:val="none"/>
          <w:u w:val="single"/>
        </w:rPr>
        <w:t>如社保、财务报表等</w:t>
      </w:r>
      <w:r>
        <w:rPr>
          <w:rFonts w:hint="eastAsia" w:ascii="新宋体" w:hAnsi="新宋体" w:eastAsia="新宋体"/>
          <w:b/>
          <w:bCs/>
          <w:color w:val="auto"/>
          <w:sz w:val="22"/>
          <w:szCs w:val="22"/>
          <w:highlight w:val="none"/>
          <w:u w:val="single"/>
          <w:lang w:val="zh-CN"/>
        </w:rPr>
        <w:t>）；</w:t>
      </w:r>
    </w:p>
    <w:p>
      <w:pPr>
        <w:spacing w:line="460" w:lineRule="exact"/>
        <w:ind w:firstLine="541" w:firstLineChars="245"/>
        <w:rPr>
          <w:rFonts w:hint="eastAsia" w:ascii="新宋体" w:hAnsi="新宋体" w:eastAsia="新宋体"/>
          <w:b/>
          <w:bCs/>
          <w:color w:val="auto"/>
          <w:sz w:val="22"/>
          <w:szCs w:val="22"/>
          <w:highlight w:val="none"/>
          <w:u w:val="single"/>
        </w:rPr>
      </w:pPr>
      <w:r>
        <w:rPr>
          <w:rFonts w:hint="eastAsia" w:ascii="新宋体" w:hAnsi="新宋体" w:eastAsia="新宋体"/>
          <w:b/>
          <w:bCs/>
          <w:color w:val="auto"/>
          <w:sz w:val="22"/>
          <w:szCs w:val="22"/>
          <w:highlight w:val="none"/>
          <w:u w:val="single"/>
        </w:rPr>
        <w:t>非单一产品采购项目以核心产品为准，应当根据采购项目技术构成、产品价格比重等合理确定核心产品。</w:t>
      </w:r>
    </w:p>
    <w:p>
      <w:pPr>
        <w:spacing w:line="460" w:lineRule="exact"/>
        <w:ind w:firstLine="541" w:firstLineChars="245"/>
        <w:rPr>
          <w:rFonts w:hint="eastAsia" w:ascii="新宋体" w:hAnsi="新宋体" w:eastAsia="新宋体"/>
          <w:b/>
          <w:bCs/>
          <w:color w:val="auto"/>
          <w:sz w:val="22"/>
          <w:szCs w:val="22"/>
          <w:highlight w:val="none"/>
          <w:lang w:val="zh-CN"/>
        </w:rPr>
      </w:pPr>
      <w:r>
        <w:rPr>
          <w:rFonts w:hint="eastAsia" w:ascii="新宋体" w:hAnsi="新宋体" w:eastAsia="新宋体" w:cs="新宋体"/>
          <w:b/>
          <w:bCs/>
          <w:color w:val="auto"/>
          <w:sz w:val="22"/>
          <w:szCs w:val="22"/>
          <w:highlight w:val="none"/>
          <w:lang w:val="zh-CN"/>
        </w:rPr>
        <w:t>②</w:t>
      </w:r>
      <w:r>
        <w:rPr>
          <w:rFonts w:hint="eastAsia" w:ascii="新宋体" w:hAnsi="新宋体" w:eastAsia="新宋体"/>
          <w:b/>
          <w:bCs/>
          <w:color w:val="auto"/>
          <w:sz w:val="22"/>
          <w:szCs w:val="22"/>
          <w:highlight w:val="none"/>
          <w:lang w:val="zh-CN"/>
        </w:rPr>
        <w:t>投标人已通过浙江政府采购网申请注册并成为正式入库供应商</w:t>
      </w:r>
      <w:r>
        <w:rPr>
          <w:rFonts w:hint="eastAsia" w:ascii="新宋体" w:hAnsi="新宋体" w:eastAsia="新宋体"/>
          <w:b/>
          <w:bCs/>
          <w:color w:val="auto"/>
          <w:sz w:val="22"/>
          <w:szCs w:val="22"/>
          <w:highlight w:val="none"/>
          <w:u w:val="single"/>
          <w:lang w:val="zh-CN"/>
        </w:rPr>
        <w:t>并提供</w:t>
      </w:r>
      <w:r>
        <w:rPr>
          <w:rFonts w:hint="eastAsia" w:ascii="新宋体" w:hAnsi="新宋体" w:eastAsia="新宋体"/>
          <w:b/>
          <w:bCs/>
          <w:color w:val="auto"/>
          <w:sz w:val="22"/>
          <w:szCs w:val="22"/>
          <w:highlight w:val="none"/>
          <w:u w:val="single"/>
        </w:rPr>
        <w:t>注册为</w:t>
      </w:r>
      <w:r>
        <w:rPr>
          <w:rFonts w:hint="eastAsia" w:ascii="新宋体" w:hAnsi="新宋体" w:eastAsia="新宋体"/>
          <w:b/>
          <w:bCs/>
          <w:color w:val="auto"/>
          <w:sz w:val="22"/>
          <w:szCs w:val="22"/>
          <w:highlight w:val="none"/>
          <w:u w:val="single"/>
          <w:lang w:val="zh-CN"/>
        </w:rPr>
        <w:t>小型、微型企业证明材料</w:t>
      </w:r>
      <w:r>
        <w:rPr>
          <w:rFonts w:hint="eastAsia" w:ascii="新宋体" w:hAnsi="新宋体" w:eastAsia="新宋体"/>
          <w:b/>
          <w:bCs/>
          <w:color w:val="auto"/>
          <w:sz w:val="22"/>
          <w:szCs w:val="22"/>
          <w:highlight w:val="none"/>
          <w:lang w:val="zh-CN"/>
        </w:rPr>
        <w:t>。</w:t>
      </w:r>
    </w:p>
    <w:p>
      <w:pPr>
        <w:spacing w:line="460" w:lineRule="exact"/>
        <w:ind w:firstLine="541" w:firstLineChars="245"/>
        <w:rPr>
          <w:rFonts w:hint="eastAsia" w:ascii="新宋体" w:hAnsi="新宋体" w:eastAsia="新宋体"/>
          <w:b/>
          <w:bCs/>
          <w:color w:val="auto"/>
          <w:sz w:val="22"/>
          <w:szCs w:val="22"/>
          <w:highlight w:val="none"/>
        </w:rPr>
      </w:pPr>
    </w:p>
    <w:p>
      <w:pPr>
        <w:spacing w:line="460" w:lineRule="exact"/>
        <w:ind w:firstLine="541" w:firstLineChars="245"/>
        <w:rPr>
          <w:rFonts w:hint="eastAsia" w:ascii="新宋体" w:hAnsi="新宋体" w:eastAsia="新宋体"/>
          <w:b/>
          <w:bCs/>
          <w:color w:val="auto"/>
          <w:sz w:val="22"/>
          <w:szCs w:val="22"/>
          <w:highlight w:val="none"/>
          <w:u w:val="single"/>
          <w:lang w:val="zh-CN"/>
        </w:rPr>
      </w:pPr>
      <w:r>
        <w:rPr>
          <w:rFonts w:hint="eastAsia" w:ascii="新宋体" w:hAnsi="新宋体" w:eastAsia="新宋体"/>
          <w:b/>
          <w:bCs/>
          <w:color w:val="auto"/>
          <w:sz w:val="22"/>
          <w:szCs w:val="22"/>
          <w:highlight w:val="none"/>
          <w:u w:val="single"/>
        </w:rPr>
        <w:t>注：</w:t>
      </w:r>
      <w:r>
        <w:rPr>
          <w:rFonts w:hint="eastAsia" w:ascii="新宋体" w:hAnsi="新宋体" w:eastAsia="新宋体"/>
          <w:b/>
          <w:bCs/>
          <w:color w:val="auto"/>
          <w:sz w:val="22"/>
          <w:szCs w:val="22"/>
          <w:highlight w:val="none"/>
          <w:u w:val="single"/>
          <w:lang w:val="zh-CN"/>
        </w:rPr>
        <w:t>未提供证明材料或不能清楚辨析</w:t>
      </w:r>
      <w:r>
        <w:rPr>
          <w:rFonts w:hint="eastAsia" w:ascii="新宋体" w:hAnsi="新宋体" w:eastAsia="新宋体"/>
          <w:b/>
          <w:bCs/>
          <w:color w:val="auto"/>
          <w:sz w:val="22"/>
          <w:szCs w:val="22"/>
          <w:highlight w:val="none"/>
          <w:u w:val="single"/>
        </w:rPr>
        <w:t>是</w:t>
      </w:r>
      <w:r>
        <w:rPr>
          <w:rFonts w:hint="eastAsia" w:ascii="新宋体" w:hAnsi="新宋体" w:eastAsia="新宋体"/>
          <w:b/>
          <w:bCs/>
          <w:color w:val="auto"/>
          <w:sz w:val="22"/>
          <w:szCs w:val="22"/>
          <w:highlight w:val="none"/>
          <w:u w:val="single"/>
          <w:lang w:val="zh-CN"/>
        </w:rPr>
        <w:t>小型、微型企业</w:t>
      </w:r>
      <w:r>
        <w:rPr>
          <w:rFonts w:hint="eastAsia" w:ascii="新宋体" w:hAnsi="新宋体" w:eastAsia="新宋体"/>
          <w:b/>
          <w:bCs/>
          <w:color w:val="auto"/>
          <w:sz w:val="22"/>
          <w:szCs w:val="22"/>
          <w:highlight w:val="none"/>
          <w:u w:val="single"/>
        </w:rPr>
        <w:t>的按非小型或</w:t>
      </w:r>
      <w:r>
        <w:rPr>
          <w:rFonts w:hint="eastAsia" w:ascii="新宋体" w:hAnsi="新宋体" w:eastAsia="新宋体"/>
          <w:b/>
          <w:bCs/>
          <w:color w:val="auto"/>
          <w:sz w:val="22"/>
          <w:szCs w:val="22"/>
          <w:highlight w:val="none"/>
          <w:u w:val="single"/>
          <w:lang w:val="zh-CN"/>
        </w:rPr>
        <w:t>微型企业</w:t>
      </w:r>
      <w:r>
        <w:rPr>
          <w:rFonts w:hint="eastAsia" w:ascii="新宋体" w:hAnsi="新宋体" w:eastAsia="新宋体"/>
          <w:b/>
          <w:bCs/>
          <w:color w:val="auto"/>
          <w:sz w:val="22"/>
          <w:szCs w:val="22"/>
          <w:highlight w:val="none"/>
          <w:u w:val="single"/>
        </w:rPr>
        <w:t>处理，所提供的证明材料应为最新的最近的</w:t>
      </w:r>
      <w:r>
        <w:rPr>
          <w:rFonts w:hint="eastAsia" w:ascii="新宋体" w:hAnsi="新宋体" w:eastAsia="新宋体"/>
          <w:b/>
          <w:bCs/>
          <w:color w:val="auto"/>
          <w:sz w:val="22"/>
          <w:szCs w:val="22"/>
          <w:highlight w:val="none"/>
          <w:u w:val="single"/>
          <w:lang w:val="zh-CN"/>
        </w:rPr>
        <w:t>。</w:t>
      </w: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spacing w:line="380" w:lineRule="exact"/>
        <w:rPr>
          <w:rFonts w:hint="eastAsia" w:ascii="新宋体" w:hAnsi="新宋体" w:eastAsia="新宋体"/>
          <w:color w:val="auto"/>
          <w:sz w:val="22"/>
          <w:szCs w:val="22"/>
          <w:highlight w:val="none"/>
        </w:rPr>
      </w:pPr>
    </w:p>
    <w:p>
      <w:pPr>
        <w:tabs>
          <w:tab w:val="left" w:pos="1620"/>
        </w:tabs>
        <w:spacing w:line="460" w:lineRule="exact"/>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《中小企业声明函》</w:t>
      </w:r>
    </w:p>
    <w:p>
      <w:pPr>
        <w:snapToGrid w:val="0"/>
        <w:spacing w:line="460" w:lineRule="exact"/>
        <w:jc w:val="center"/>
        <w:rPr>
          <w:rFonts w:hint="eastAsia" w:ascii="新宋体" w:hAnsi="新宋体" w:eastAsia="新宋体" w:cs="新宋体"/>
          <w:color w:val="auto"/>
          <w:sz w:val="22"/>
          <w:szCs w:val="22"/>
          <w:highlight w:val="none"/>
        </w:rPr>
      </w:pPr>
      <w:r>
        <w:rPr>
          <w:rFonts w:hint="eastAsia" w:ascii="宋体" w:hAnsi="宋体" w:cs="Arial"/>
          <w:color w:val="auto"/>
          <w:kern w:val="0"/>
          <w:sz w:val="22"/>
          <w:szCs w:val="22"/>
          <w:highlight w:val="none"/>
        </w:rPr>
        <w:t>【不属于中小企业单位的无需填写、递交】</w:t>
      </w:r>
    </w:p>
    <w:p>
      <w:pPr>
        <w:snapToGrid w:val="0"/>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本公司郑重声明，根据《政府采购促进中小企业发展暂行办法》（财库[2011]181号）的规定，本公司为______（请填写：中型、小型、微型）企业。即，本公司同时满足以下条件：</w:t>
      </w:r>
      <w:r>
        <w:rPr>
          <w:rFonts w:hint="eastAsia" w:ascii="新宋体" w:hAnsi="新宋体" w:eastAsia="新宋体" w:cs="新宋体"/>
          <w:color w:val="auto"/>
          <w:sz w:val="22"/>
          <w:szCs w:val="22"/>
          <w:highlight w:val="none"/>
        </w:rPr>
        <w:br w:type="textWrapping"/>
      </w:r>
      <w:r>
        <w:rPr>
          <w:rFonts w:hint="eastAsia" w:ascii="新宋体" w:hAnsi="新宋体" w:eastAsia="新宋体" w:cs="新宋体"/>
          <w:color w:val="auto"/>
          <w:sz w:val="22"/>
          <w:szCs w:val="22"/>
          <w:highlight w:val="none"/>
        </w:rPr>
        <w:t>  1.根据《工业和信息化部、国家统计局、国家发展和改革委员会、财政部关于印发中小企业划型标准规定的通知》（工信部联企业[2011]300号）规定的划分标准，本公司为______（请填写：中型、小型、微型）企业。</w:t>
      </w:r>
      <w:r>
        <w:rPr>
          <w:rFonts w:hint="eastAsia" w:ascii="新宋体" w:hAnsi="新宋体" w:eastAsia="新宋体" w:cs="新宋体"/>
          <w:color w:val="auto"/>
          <w:sz w:val="22"/>
          <w:szCs w:val="22"/>
          <w:highlight w:val="none"/>
        </w:rPr>
        <w:br w:type="textWrapping"/>
      </w:r>
      <w:r>
        <w:rPr>
          <w:rFonts w:hint="eastAsia" w:ascii="新宋体" w:hAnsi="新宋体" w:eastAsia="新宋体" w:cs="新宋体"/>
          <w:color w:val="auto"/>
          <w:sz w:val="22"/>
          <w:szCs w:val="22"/>
          <w:highlight w:val="none"/>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ascii="新宋体" w:hAnsi="新宋体" w:eastAsia="新宋体" w:cs="新宋体"/>
          <w:color w:val="auto"/>
          <w:sz w:val="22"/>
          <w:szCs w:val="22"/>
          <w:highlight w:val="none"/>
        </w:rPr>
        <w:br w:type="textWrapping"/>
      </w:r>
      <w:r>
        <w:rPr>
          <w:rFonts w:hint="eastAsia" w:ascii="新宋体" w:hAnsi="新宋体" w:eastAsia="新宋体" w:cs="新宋体"/>
          <w:color w:val="auto"/>
          <w:sz w:val="22"/>
          <w:szCs w:val="22"/>
          <w:highlight w:val="none"/>
        </w:rPr>
        <w:t>  </w:t>
      </w:r>
    </w:p>
    <w:p>
      <w:pPr>
        <w:snapToGrid w:val="0"/>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本公司对上述声明的真实性负责。如有虚假，将依法承担相应责任。</w:t>
      </w:r>
    </w:p>
    <w:p>
      <w:pPr>
        <w:snapToGrid w:val="0"/>
        <w:spacing w:line="460" w:lineRule="exact"/>
        <w:rPr>
          <w:rFonts w:hint="eastAsia" w:ascii="新宋体" w:hAnsi="新宋体" w:eastAsia="新宋体" w:cs="新宋体"/>
          <w:color w:val="auto"/>
          <w:sz w:val="22"/>
          <w:szCs w:val="22"/>
          <w:highlight w:val="none"/>
        </w:rPr>
      </w:pPr>
    </w:p>
    <w:p>
      <w:pPr>
        <w:snapToGrid w:val="0"/>
        <w:spacing w:line="460" w:lineRule="exact"/>
        <w:rPr>
          <w:rFonts w:hint="eastAsia" w:ascii="新宋体" w:hAnsi="新宋体" w:eastAsia="新宋体" w:cs="新宋体"/>
          <w:color w:val="auto"/>
          <w:sz w:val="22"/>
          <w:szCs w:val="22"/>
          <w:highlight w:val="none"/>
        </w:rPr>
      </w:pPr>
    </w:p>
    <w:p>
      <w:pPr>
        <w:snapToGrid w:val="0"/>
        <w:spacing w:line="460" w:lineRule="exact"/>
        <w:rPr>
          <w:rFonts w:hint="eastAsia" w:ascii="新宋体" w:hAnsi="新宋体" w:eastAsia="新宋体" w:cs="新宋体"/>
          <w:color w:val="auto"/>
          <w:spacing w:val="20"/>
          <w:sz w:val="22"/>
          <w:szCs w:val="22"/>
          <w:highlight w:val="none"/>
          <w:u w:val="single"/>
        </w:rPr>
      </w:pPr>
      <w:r>
        <w:rPr>
          <w:rFonts w:hint="eastAsia" w:ascii="新宋体" w:hAnsi="新宋体" w:eastAsia="新宋体" w:cs="新宋体"/>
          <w:color w:val="auto"/>
          <w:sz w:val="22"/>
          <w:szCs w:val="22"/>
          <w:highlight w:val="none"/>
        </w:rPr>
        <w:t>法定代表人或授权委托人</w:t>
      </w:r>
      <w:r>
        <w:rPr>
          <w:rFonts w:hint="eastAsia" w:ascii="新宋体" w:hAnsi="新宋体" w:eastAsia="新宋体" w:cs="新宋体"/>
          <w:color w:val="auto"/>
          <w:spacing w:val="20"/>
          <w:sz w:val="22"/>
          <w:szCs w:val="22"/>
          <w:highlight w:val="none"/>
        </w:rPr>
        <w:t>签名：</w:t>
      </w:r>
      <w:r>
        <w:rPr>
          <w:rFonts w:hint="eastAsia" w:ascii="新宋体" w:hAnsi="新宋体" w:eastAsia="新宋体" w:cs="新宋体"/>
          <w:color w:val="auto"/>
          <w:spacing w:val="20"/>
          <w:sz w:val="22"/>
          <w:szCs w:val="22"/>
          <w:highlight w:val="none"/>
          <w:u w:val="single"/>
        </w:rPr>
        <w:t xml:space="preserve">          </w:t>
      </w:r>
    </w:p>
    <w:p>
      <w:pPr>
        <w:snapToGrid w:val="0"/>
        <w:spacing w:line="460" w:lineRule="exact"/>
        <w:rPr>
          <w:rFonts w:hint="eastAsia" w:ascii="新宋体" w:hAnsi="新宋体" w:eastAsia="新宋体" w:cs="新宋体"/>
          <w:color w:val="auto"/>
          <w:spacing w:val="20"/>
          <w:sz w:val="22"/>
          <w:szCs w:val="22"/>
          <w:highlight w:val="none"/>
        </w:rPr>
      </w:pPr>
    </w:p>
    <w:p>
      <w:pPr>
        <w:spacing w:line="460" w:lineRule="exact"/>
        <w:rPr>
          <w:rFonts w:hint="eastAsia" w:ascii="新宋体" w:hAnsi="新宋体" w:eastAsia="新宋体" w:cs="新宋体"/>
          <w:color w:val="auto"/>
          <w:spacing w:val="20"/>
          <w:sz w:val="22"/>
          <w:szCs w:val="22"/>
          <w:highlight w:val="none"/>
        </w:rPr>
      </w:pPr>
      <w:r>
        <w:rPr>
          <w:rFonts w:hint="eastAsia" w:ascii="新宋体" w:hAnsi="新宋体" w:eastAsia="新宋体" w:cs="新宋体"/>
          <w:color w:val="auto"/>
          <w:spacing w:val="20"/>
          <w:sz w:val="22"/>
          <w:szCs w:val="22"/>
          <w:highlight w:val="none"/>
        </w:rPr>
        <w:t>投标人盖章：</w:t>
      </w:r>
      <w:r>
        <w:rPr>
          <w:rFonts w:hint="eastAsia" w:ascii="新宋体" w:hAnsi="新宋体" w:eastAsia="新宋体" w:cs="新宋体"/>
          <w:color w:val="auto"/>
          <w:spacing w:val="20"/>
          <w:sz w:val="22"/>
          <w:szCs w:val="22"/>
          <w:highlight w:val="none"/>
          <w:u w:val="single"/>
        </w:rPr>
        <w:t xml:space="preserve">               </w:t>
      </w:r>
      <w:r>
        <w:rPr>
          <w:rFonts w:hint="eastAsia" w:ascii="新宋体" w:hAnsi="新宋体" w:eastAsia="新宋体" w:cs="新宋体"/>
          <w:color w:val="auto"/>
          <w:spacing w:val="20"/>
          <w:sz w:val="22"/>
          <w:szCs w:val="22"/>
          <w:highlight w:val="none"/>
        </w:rPr>
        <w:t xml:space="preserve">           日  期：</w:t>
      </w:r>
    </w:p>
    <w:p>
      <w:pPr>
        <w:spacing w:line="460" w:lineRule="exact"/>
        <w:rPr>
          <w:rFonts w:hint="eastAsia" w:ascii="新宋体" w:hAnsi="新宋体" w:eastAsia="新宋体" w:cs="新宋体"/>
          <w:color w:val="auto"/>
          <w:spacing w:val="20"/>
          <w:sz w:val="22"/>
          <w:szCs w:val="22"/>
          <w:highlight w:val="none"/>
        </w:rPr>
      </w:pPr>
    </w:p>
    <w:p>
      <w:pPr>
        <w:spacing w:line="460" w:lineRule="exact"/>
        <w:rPr>
          <w:rFonts w:hint="eastAsia" w:ascii="新宋体" w:hAnsi="新宋体" w:eastAsia="新宋体" w:cs="新宋体"/>
          <w:color w:val="auto"/>
          <w:spacing w:val="20"/>
          <w:sz w:val="22"/>
          <w:szCs w:val="22"/>
          <w:highlight w:val="none"/>
        </w:rPr>
      </w:pPr>
    </w:p>
    <w:p>
      <w:pPr>
        <w:spacing w:line="460" w:lineRule="exact"/>
        <w:rPr>
          <w:rFonts w:hint="eastAsia" w:ascii="新宋体" w:hAnsi="新宋体" w:eastAsia="新宋体" w:cs="新宋体"/>
          <w:color w:val="auto"/>
          <w:spacing w:val="20"/>
          <w:sz w:val="22"/>
          <w:szCs w:val="22"/>
          <w:highlight w:val="none"/>
        </w:rPr>
      </w:pPr>
    </w:p>
    <w:p>
      <w:pPr>
        <w:spacing w:line="460" w:lineRule="exact"/>
        <w:rPr>
          <w:rFonts w:hint="eastAsia" w:ascii="新宋体" w:hAnsi="新宋体" w:eastAsia="新宋体" w:cs="新宋体"/>
          <w:color w:val="auto"/>
          <w:spacing w:val="20"/>
          <w:sz w:val="22"/>
          <w:szCs w:val="22"/>
          <w:highlight w:val="none"/>
        </w:rPr>
      </w:pPr>
    </w:p>
    <w:p>
      <w:pPr>
        <w:spacing w:line="460" w:lineRule="exact"/>
        <w:rPr>
          <w:rFonts w:hint="eastAsia" w:ascii="新宋体" w:hAnsi="新宋体" w:eastAsia="新宋体" w:cs="新宋体"/>
          <w:color w:val="auto"/>
          <w:spacing w:val="20"/>
          <w:sz w:val="22"/>
          <w:szCs w:val="22"/>
          <w:highlight w:val="none"/>
        </w:rPr>
      </w:pPr>
    </w:p>
    <w:p>
      <w:pPr>
        <w:spacing w:line="460" w:lineRule="exact"/>
        <w:rPr>
          <w:rFonts w:hint="eastAsia" w:ascii="新宋体" w:hAnsi="新宋体" w:eastAsia="新宋体" w:cs="新宋体"/>
          <w:color w:val="auto"/>
          <w:spacing w:val="20"/>
          <w:sz w:val="22"/>
          <w:szCs w:val="22"/>
          <w:highlight w:val="none"/>
        </w:rPr>
      </w:pPr>
    </w:p>
    <w:p>
      <w:pPr>
        <w:spacing w:line="460" w:lineRule="exact"/>
        <w:rPr>
          <w:rFonts w:hint="eastAsia" w:ascii="新宋体" w:hAnsi="新宋体" w:eastAsia="新宋体" w:cs="新宋体"/>
          <w:color w:val="auto"/>
          <w:spacing w:val="20"/>
          <w:sz w:val="22"/>
          <w:szCs w:val="22"/>
          <w:highlight w:val="none"/>
        </w:rPr>
      </w:pPr>
    </w:p>
    <w:p>
      <w:pPr>
        <w:spacing w:line="460" w:lineRule="exact"/>
        <w:rPr>
          <w:rFonts w:hint="eastAsia" w:ascii="新宋体" w:hAnsi="新宋体" w:eastAsia="新宋体" w:cs="新宋体"/>
          <w:color w:val="auto"/>
          <w:spacing w:val="20"/>
          <w:sz w:val="22"/>
          <w:szCs w:val="22"/>
          <w:highlight w:val="none"/>
        </w:rPr>
      </w:pPr>
    </w:p>
    <w:p>
      <w:pPr>
        <w:spacing w:line="460" w:lineRule="exact"/>
        <w:rPr>
          <w:rFonts w:hint="eastAsia" w:ascii="新宋体" w:hAnsi="新宋体" w:eastAsia="新宋体" w:cs="新宋体"/>
          <w:color w:val="auto"/>
          <w:spacing w:val="20"/>
          <w:sz w:val="22"/>
          <w:szCs w:val="22"/>
          <w:highlight w:val="none"/>
        </w:rPr>
      </w:pPr>
    </w:p>
    <w:p>
      <w:pPr>
        <w:spacing w:line="460" w:lineRule="exact"/>
        <w:rPr>
          <w:rFonts w:hint="eastAsia" w:ascii="新宋体" w:hAnsi="新宋体" w:eastAsia="新宋体" w:cs="新宋体"/>
          <w:color w:val="auto"/>
          <w:spacing w:val="20"/>
          <w:sz w:val="22"/>
          <w:szCs w:val="22"/>
          <w:highlight w:val="none"/>
        </w:rPr>
      </w:pPr>
    </w:p>
    <w:p>
      <w:pPr>
        <w:spacing w:line="460" w:lineRule="exact"/>
        <w:rPr>
          <w:rFonts w:hint="eastAsia" w:ascii="新宋体" w:hAnsi="新宋体" w:eastAsia="新宋体" w:cs="新宋体"/>
          <w:color w:val="auto"/>
          <w:spacing w:val="20"/>
          <w:sz w:val="22"/>
          <w:szCs w:val="22"/>
          <w:highlight w:val="none"/>
        </w:rPr>
      </w:pPr>
    </w:p>
    <w:p>
      <w:pPr>
        <w:pStyle w:val="9"/>
        <w:rPr>
          <w:rFonts w:hint="eastAsia" w:ascii="新宋体" w:hAnsi="新宋体" w:eastAsia="新宋体" w:cs="新宋体"/>
          <w:color w:val="auto"/>
          <w:spacing w:val="20"/>
          <w:sz w:val="22"/>
          <w:szCs w:val="22"/>
          <w:highlight w:val="none"/>
        </w:rPr>
      </w:pPr>
    </w:p>
    <w:p>
      <w:pPr>
        <w:rPr>
          <w:rFonts w:hint="eastAsia"/>
          <w:color w:val="auto"/>
          <w:highlight w:val="none"/>
        </w:rPr>
      </w:pPr>
    </w:p>
    <w:p>
      <w:pPr>
        <w:spacing w:line="460" w:lineRule="exact"/>
        <w:rPr>
          <w:rFonts w:hint="eastAsia" w:ascii="新宋体" w:hAnsi="新宋体" w:eastAsia="新宋体" w:cs="新宋体"/>
          <w:color w:val="auto"/>
          <w:spacing w:val="20"/>
          <w:sz w:val="22"/>
          <w:szCs w:val="22"/>
          <w:highlight w:val="none"/>
        </w:rPr>
      </w:pPr>
    </w:p>
    <w:p>
      <w:pPr>
        <w:spacing w:line="420" w:lineRule="exact"/>
        <w:ind w:left="514" w:leftChars="245"/>
        <w:outlineLvl w:val="3"/>
        <w:rPr>
          <w:rFonts w:hint="eastAsia" w:ascii="新宋体" w:hAnsi="新宋体" w:eastAsia="新宋体"/>
          <w:b/>
          <w:bCs/>
          <w:color w:val="auto"/>
          <w:sz w:val="22"/>
          <w:szCs w:val="22"/>
          <w:highlight w:val="none"/>
        </w:rPr>
      </w:pPr>
      <w:r>
        <w:rPr>
          <w:rFonts w:hint="eastAsia" w:ascii="新宋体" w:hAnsi="新宋体" w:eastAsia="新宋体" w:cs="新宋体"/>
          <w:b/>
          <w:bCs/>
          <w:color w:val="auto"/>
          <w:sz w:val="28"/>
          <w:szCs w:val="28"/>
          <w:highlight w:val="none"/>
        </w:rPr>
        <w:t>6、残疾人福利性单位的相关证明材料</w:t>
      </w:r>
    </w:p>
    <w:p>
      <w:pPr>
        <w:spacing w:line="460" w:lineRule="exact"/>
        <w:ind w:firstLine="699" w:firstLineChars="300"/>
        <w:rPr>
          <w:rFonts w:hint="eastAsia" w:ascii="新宋体" w:hAnsi="新宋体" w:eastAsia="新宋体" w:cs="新宋体"/>
          <w:color w:val="auto"/>
          <w:spacing w:val="20"/>
          <w:sz w:val="22"/>
          <w:szCs w:val="22"/>
          <w:highlight w:val="none"/>
        </w:rPr>
      </w:pPr>
      <w:r>
        <w:rPr>
          <w:rFonts w:hint="eastAsia" w:ascii="宋体" w:hAnsi="宋体"/>
          <w:b/>
          <w:color w:val="auto"/>
          <w:spacing w:val="6"/>
          <w:sz w:val="22"/>
          <w:szCs w:val="22"/>
          <w:highlight w:val="none"/>
        </w:rPr>
        <w:t>需提供相关证明材料，</w:t>
      </w:r>
      <w:r>
        <w:rPr>
          <w:rFonts w:hint="eastAsia" w:ascii="新宋体" w:hAnsi="新宋体" w:eastAsia="新宋体"/>
          <w:b/>
          <w:bCs/>
          <w:color w:val="auto"/>
          <w:sz w:val="22"/>
          <w:szCs w:val="22"/>
          <w:highlight w:val="none"/>
          <w:u w:val="single"/>
          <w:lang w:val="zh-CN"/>
        </w:rPr>
        <w:t>未提供证明材料或不能清楚辨析</w:t>
      </w:r>
      <w:r>
        <w:rPr>
          <w:rFonts w:hint="eastAsia" w:ascii="新宋体" w:hAnsi="新宋体" w:eastAsia="新宋体"/>
          <w:b/>
          <w:bCs/>
          <w:color w:val="auto"/>
          <w:sz w:val="22"/>
          <w:szCs w:val="22"/>
          <w:highlight w:val="none"/>
          <w:u w:val="single"/>
        </w:rPr>
        <w:t>是残疾人福利性单位的按非残疾人福利性单位处理，所提供的证明材料应为最新的最近的</w:t>
      </w:r>
      <w:r>
        <w:rPr>
          <w:rFonts w:hint="eastAsia" w:ascii="新宋体" w:hAnsi="新宋体" w:eastAsia="新宋体"/>
          <w:b/>
          <w:bCs/>
          <w:color w:val="auto"/>
          <w:sz w:val="22"/>
          <w:szCs w:val="22"/>
          <w:highlight w:val="none"/>
          <w:u w:val="single"/>
          <w:lang w:val="zh-CN"/>
        </w:rPr>
        <w:t>。</w:t>
      </w:r>
    </w:p>
    <w:p>
      <w:pPr>
        <w:spacing w:line="460" w:lineRule="exact"/>
        <w:rPr>
          <w:rFonts w:hint="eastAsia" w:ascii="新宋体" w:hAnsi="新宋体" w:eastAsia="新宋体" w:cs="新宋体"/>
          <w:color w:val="auto"/>
          <w:spacing w:val="20"/>
          <w:sz w:val="22"/>
          <w:szCs w:val="22"/>
          <w:highlight w:val="none"/>
        </w:rPr>
      </w:pPr>
    </w:p>
    <w:p>
      <w:pPr>
        <w:spacing w:line="460" w:lineRule="exact"/>
        <w:rPr>
          <w:rFonts w:hint="eastAsia" w:ascii="新宋体" w:hAnsi="新宋体" w:eastAsia="新宋体" w:cs="新宋体"/>
          <w:color w:val="auto"/>
          <w:spacing w:val="20"/>
          <w:sz w:val="22"/>
          <w:szCs w:val="22"/>
          <w:highlight w:val="none"/>
        </w:rPr>
      </w:pPr>
    </w:p>
    <w:p>
      <w:pPr>
        <w:spacing w:line="460" w:lineRule="exact"/>
        <w:jc w:val="center"/>
        <w:rPr>
          <w:rFonts w:hint="eastAsia" w:ascii="新宋体" w:hAnsi="新宋体" w:eastAsia="新宋体" w:cs="新宋体"/>
          <w:color w:val="auto"/>
          <w:spacing w:val="6"/>
          <w:sz w:val="22"/>
          <w:szCs w:val="22"/>
          <w:highlight w:val="none"/>
        </w:rPr>
      </w:pPr>
      <w:r>
        <w:rPr>
          <w:rFonts w:hint="eastAsia" w:ascii="新宋体" w:hAnsi="新宋体" w:eastAsia="新宋体" w:cs="新宋体"/>
          <w:b/>
          <w:color w:val="auto"/>
          <w:spacing w:val="6"/>
          <w:sz w:val="22"/>
          <w:szCs w:val="22"/>
          <w:highlight w:val="none"/>
        </w:rPr>
        <w:t>残疾人福利性单位声明函</w:t>
      </w:r>
    </w:p>
    <w:p>
      <w:pPr>
        <w:widowControl/>
        <w:adjustRightInd w:val="0"/>
        <w:snapToGrid w:val="0"/>
        <w:spacing w:line="460" w:lineRule="exact"/>
        <w:ind w:firstLine="440" w:firstLineChars="200"/>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【不属于残疾人福利性单位的无需填写、递交】</w:t>
      </w:r>
    </w:p>
    <w:p>
      <w:pPr>
        <w:snapToGrid w:val="0"/>
        <w:spacing w:line="460" w:lineRule="exact"/>
        <w:jc w:val="center"/>
        <w:rPr>
          <w:rFonts w:hint="eastAsia" w:ascii="新宋体" w:hAnsi="新宋体" w:eastAsia="新宋体" w:cs="新宋体"/>
          <w:b/>
          <w:bCs/>
          <w:color w:val="auto"/>
          <w:sz w:val="22"/>
          <w:szCs w:val="22"/>
          <w:highlight w:val="none"/>
        </w:rPr>
      </w:pPr>
    </w:p>
    <w:p>
      <w:pPr>
        <w:snapToGrid w:val="0"/>
        <w:spacing w:line="460" w:lineRule="exact"/>
        <w:ind w:firstLine="464"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本单位郑重声明，根据《财政部民政部中国残疾人联合会关于促进残疾人就业政府采购政策的通知》（财库</w:t>
      </w:r>
      <w:r>
        <w:rPr>
          <w:rFonts w:hint="eastAsia" w:ascii="新宋体" w:hAnsi="新宋体" w:eastAsia="新宋体" w:cs="新宋体"/>
          <w:color w:val="auto"/>
          <w:sz w:val="22"/>
          <w:szCs w:val="22"/>
          <w:highlight w:val="none"/>
        </w:rPr>
        <w:t>〔2017〕141</w:t>
      </w:r>
      <w:r>
        <w:rPr>
          <w:rFonts w:hint="eastAsia" w:ascii="新宋体" w:hAnsi="新宋体" w:eastAsia="新宋体" w:cs="新宋体"/>
          <w:color w:val="auto"/>
          <w:spacing w:val="6"/>
          <w:sz w:val="22"/>
          <w:szCs w:val="22"/>
          <w:highlight w:val="none"/>
        </w:rPr>
        <w:t>号）的规定，本单位为符合条件的残疾人福利性单位，且本单位参加</w:t>
      </w:r>
      <w:r>
        <w:rPr>
          <w:rFonts w:hint="eastAsia" w:ascii="新宋体" w:hAnsi="新宋体" w:eastAsia="新宋体" w:cs="新宋体"/>
          <w:color w:val="auto"/>
          <w:spacing w:val="6"/>
          <w:sz w:val="22"/>
          <w:szCs w:val="22"/>
          <w:highlight w:val="none"/>
          <w:u w:val="single"/>
        </w:rPr>
        <w:t>（招标人名称）</w:t>
      </w:r>
      <w:r>
        <w:rPr>
          <w:rFonts w:hint="eastAsia" w:ascii="新宋体" w:hAnsi="新宋体" w:eastAsia="新宋体" w:cs="新宋体"/>
          <w:color w:val="auto"/>
          <w:spacing w:val="6"/>
          <w:sz w:val="22"/>
          <w:szCs w:val="22"/>
          <w:highlight w:val="none"/>
        </w:rPr>
        <w:t>单位的</w:t>
      </w:r>
      <w:r>
        <w:rPr>
          <w:rFonts w:hint="eastAsia" w:ascii="新宋体" w:hAnsi="新宋体" w:eastAsia="新宋体" w:cs="新宋体"/>
          <w:color w:val="auto"/>
          <w:spacing w:val="6"/>
          <w:sz w:val="22"/>
          <w:szCs w:val="22"/>
          <w:highlight w:val="none"/>
          <w:u w:val="single"/>
        </w:rPr>
        <w:t>（招标项目名称）</w:t>
      </w:r>
      <w:r>
        <w:rPr>
          <w:rFonts w:hint="eastAsia" w:ascii="新宋体" w:hAnsi="新宋体" w:eastAsia="新宋体" w:cs="新宋体"/>
          <w:color w:val="auto"/>
          <w:spacing w:val="6"/>
          <w:sz w:val="22"/>
          <w:szCs w:val="22"/>
          <w:highlight w:val="none"/>
        </w:rPr>
        <w:t>项目采购活动提供本单位制造的货物（由本单位承担工程/提供服务），或者提供其他残疾人福利性单位制造的货物（不包括使用非残疾人福利性单位注册商标的货物）。</w:t>
      </w:r>
    </w:p>
    <w:p>
      <w:pPr>
        <w:snapToGrid w:val="0"/>
        <w:spacing w:line="460" w:lineRule="exact"/>
        <w:ind w:firstLine="464"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本单位对上述声明的真实性负责。如有虚假，将依法承担相应责任。</w:t>
      </w:r>
    </w:p>
    <w:p>
      <w:pPr>
        <w:snapToGrid w:val="0"/>
        <w:spacing w:line="460" w:lineRule="exact"/>
        <w:ind w:firstLine="464" w:firstLineChars="200"/>
        <w:rPr>
          <w:rFonts w:hint="eastAsia" w:ascii="新宋体" w:hAnsi="新宋体" w:eastAsia="新宋体" w:cs="新宋体"/>
          <w:color w:val="auto"/>
          <w:spacing w:val="6"/>
          <w:sz w:val="22"/>
          <w:szCs w:val="22"/>
          <w:highlight w:val="none"/>
        </w:rPr>
      </w:pPr>
    </w:p>
    <w:p>
      <w:pPr>
        <w:snapToGrid w:val="0"/>
        <w:spacing w:line="460" w:lineRule="exact"/>
        <w:ind w:firstLine="464" w:firstLineChars="200"/>
        <w:rPr>
          <w:rFonts w:hint="eastAsia" w:ascii="新宋体" w:hAnsi="新宋体" w:eastAsia="新宋体" w:cs="新宋体"/>
          <w:color w:val="auto"/>
          <w:spacing w:val="6"/>
          <w:sz w:val="22"/>
          <w:szCs w:val="22"/>
          <w:highlight w:val="none"/>
        </w:rPr>
      </w:pPr>
    </w:p>
    <w:p>
      <w:pPr>
        <w:adjustRightInd w:val="0"/>
        <w:snapToGrid w:val="0"/>
        <w:spacing w:line="460" w:lineRule="exact"/>
        <w:ind w:firstLine="440" w:firstLineChars="200"/>
        <w:rPr>
          <w:rFonts w:hint="eastAsia" w:ascii="新宋体" w:hAnsi="新宋体" w:eastAsia="新宋体" w:cs="新宋体"/>
          <w:color w:val="auto"/>
          <w:kern w:val="0"/>
          <w:sz w:val="22"/>
          <w:szCs w:val="22"/>
          <w:highlight w:val="none"/>
          <w:u w:val="single"/>
        </w:rPr>
      </w:pPr>
      <w:r>
        <w:rPr>
          <w:rFonts w:hint="eastAsia" w:ascii="新宋体" w:hAnsi="新宋体" w:eastAsia="新宋体" w:cs="新宋体"/>
          <w:color w:val="auto"/>
          <w:kern w:val="0"/>
          <w:sz w:val="22"/>
          <w:szCs w:val="22"/>
          <w:highlight w:val="none"/>
        </w:rPr>
        <w:t>投标人全称（盖章）：</w:t>
      </w:r>
      <w:r>
        <w:rPr>
          <w:rFonts w:hint="eastAsia" w:ascii="新宋体" w:hAnsi="新宋体" w:eastAsia="新宋体" w:cs="新宋体"/>
          <w:color w:val="auto"/>
          <w:kern w:val="0"/>
          <w:sz w:val="22"/>
          <w:szCs w:val="22"/>
          <w:highlight w:val="none"/>
          <w:u w:val="single"/>
        </w:rPr>
        <w:t xml:space="preserve">                    </w:t>
      </w:r>
    </w:p>
    <w:p>
      <w:pPr>
        <w:pStyle w:val="23"/>
        <w:spacing w:line="460" w:lineRule="exact"/>
        <w:ind w:left="437" w:leftChars="208" w:firstLine="0" w:firstLineChars="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日期：    年   月  日</w:t>
      </w:r>
    </w:p>
    <w:p>
      <w:pPr>
        <w:pStyle w:val="23"/>
        <w:spacing w:line="460" w:lineRule="exact"/>
        <w:ind w:left="440" w:hanging="440"/>
        <w:rPr>
          <w:rFonts w:hint="eastAsia" w:ascii="新宋体" w:hAnsi="新宋体" w:eastAsia="新宋体" w:cs="新宋体"/>
          <w:color w:val="auto"/>
          <w:kern w:val="0"/>
          <w:sz w:val="22"/>
          <w:szCs w:val="22"/>
          <w:highlight w:val="none"/>
        </w:rPr>
      </w:pPr>
    </w:p>
    <w:p>
      <w:pPr>
        <w:pStyle w:val="23"/>
        <w:ind w:left="440" w:hanging="440"/>
        <w:rPr>
          <w:rFonts w:hint="eastAsia" w:ascii="新宋体" w:hAnsi="新宋体" w:eastAsia="新宋体" w:cs="新宋体"/>
          <w:color w:val="auto"/>
          <w:kern w:val="0"/>
          <w:sz w:val="22"/>
          <w:szCs w:val="22"/>
          <w:highlight w:val="none"/>
        </w:rPr>
      </w:pPr>
    </w:p>
    <w:p>
      <w:pPr>
        <w:pStyle w:val="23"/>
        <w:ind w:left="440" w:hanging="440"/>
        <w:rPr>
          <w:rFonts w:hint="eastAsia" w:ascii="新宋体" w:hAnsi="新宋体" w:eastAsia="新宋体" w:cs="新宋体"/>
          <w:color w:val="auto"/>
          <w:kern w:val="0"/>
          <w:sz w:val="22"/>
          <w:szCs w:val="22"/>
          <w:highlight w:val="none"/>
        </w:rPr>
      </w:pPr>
    </w:p>
    <w:p>
      <w:pPr>
        <w:pStyle w:val="23"/>
        <w:ind w:left="440" w:hanging="440"/>
        <w:rPr>
          <w:rFonts w:hint="eastAsia" w:ascii="新宋体" w:hAnsi="新宋体" w:eastAsia="新宋体" w:cs="新宋体"/>
          <w:color w:val="auto"/>
          <w:kern w:val="0"/>
          <w:sz w:val="22"/>
          <w:szCs w:val="22"/>
          <w:highlight w:val="none"/>
        </w:rPr>
      </w:pPr>
    </w:p>
    <w:p>
      <w:pPr>
        <w:pStyle w:val="23"/>
        <w:ind w:left="440" w:hanging="440"/>
        <w:rPr>
          <w:rFonts w:hint="eastAsia" w:ascii="新宋体" w:hAnsi="新宋体" w:eastAsia="新宋体" w:cs="新宋体"/>
          <w:color w:val="auto"/>
          <w:kern w:val="0"/>
          <w:sz w:val="22"/>
          <w:szCs w:val="22"/>
          <w:highlight w:val="none"/>
        </w:rPr>
      </w:pPr>
    </w:p>
    <w:p>
      <w:pPr>
        <w:pStyle w:val="23"/>
        <w:ind w:left="440" w:hanging="440"/>
        <w:rPr>
          <w:rFonts w:hint="eastAsia" w:ascii="新宋体" w:hAnsi="新宋体" w:eastAsia="新宋体" w:cs="新宋体"/>
          <w:color w:val="auto"/>
          <w:kern w:val="0"/>
          <w:sz w:val="22"/>
          <w:szCs w:val="22"/>
          <w:highlight w:val="none"/>
        </w:rPr>
      </w:pPr>
    </w:p>
    <w:p>
      <w:pPr>
        <w:pStyle w:val="23"/>
        <w:ind w:left="440" w:hanging="440"/>
        <w:rPr>
          <w:rFonts w:hint="eastAsia" w:ascii="新宋体" w:hAnsi="新宋体" w:eastAsia="新宋体" w:cs="新宋体"/>
          <w:color w:val="auto"/>
          <w:kern w:val="0"/>
          <w:sz w:val="22"/>
          <w:szCs w:val="22"/>
          <w:highlight w:val="none"/>
        </w:rPr>
      </w:pPr>
    </w:p>
    <w:p>
      <w:pPr>
        <w:pStyle w:val="23"/>
        <w:ind w:left="440" w:hanging="440"/>
        <w:rPr>
          <w:rFonts w:hint="eastAsia" w:ascii="新宋体" w:hAnsi="新宋体" w:eastAsia="新宋体" w:cs="新宋体"/>
          <w:color w:val="auto"/>
          <w:kern w:val="0"/>
          <w:sz w:val="22"/>
          <w:szCs w:val="22"/>
          <w:highlight w:val="none"/>
        </w:rPr>
      </w:pPr>
    </w:p>
    <w:p>
      <w:pPr>
        <w:pStyle w:val="23"/>
        <w:ind w:left="440" w:hanging="440"/>
        <w:rPr>
          <w:rFonts w:hint="eastAsia" w:ascii="新宋体" w:hAnsi="新宋体" w:eastAsia="新宋体" w:cs="新宋体"/>
          <w:color w:val="auto"/>
          <w:kern w:val="0"/>
          <w:sz w:val="22"/>
          <w:szCs w:val="22"/>
          <w:highlight w:val="none"/>
        </w:rPr>
      </w:pPr>
    </w:p>
    <w:p>
      <w:pPr>
        <w:pStyle w:val="23"/>
        <w:ind w:left="440" w:hanging="440"/>
        <w:rPr>
          <w:rFonts w:hint="eastAsia" w:ascii="新宋体" w:hAnsi="新宋体" w:eastAsia="新宋体" w:cs="新宋体"/>
          <w:color w:val="auto"/>
          <w:kern w:val="0"/>
          <w:sz w:val="22"/>
          <w:szCs w:val="22"/>
          <w:highlight w:val="none"/>
        </w:rPr>
      </w:pPr>
    </w:p>
    <w:p>
      <w:pPr>
        <w:pStyle w:val="23"/>
        <w:ind w:left="440" w:hanging="440"/>
        <w:rPr>
          <w:rFonts w:hint="eastAsia" w:ascii="新宋体" w:hAnsi="新宋体" w:eastAsia="新宋体" w:cs="新宋体"/>
          <w:color w:val="auto"/>
          <w:kern w:val="0"/>
          <w:sz w:val="22"/>
          <w:szCs w:val="22"/>
          <w:highlight w:val="none"/>
        </w:rPr>
      </w:pPr>
    </w:p>
    <w:p>
      <w:pPr>
        <w:pStyle w:val="23"/>
        <w:ind w:left="440" w:hanging="440"/>
        <w:rPr>
          <w:rFonts w:hint="eastAsia" w:ascii="新宋体" w:hAnsi="新宋体" w:eastAsia="新宋体" w:cs="新宋体"/>
          <w:color w:val="auto"/>
          <w:kern w:val="0"/>
          <w:sz w:val="22"/>
          <w:szCs w:val="22"/>
          <w:highlight w:val="none"/>
        </w:rPr>
      </w:pPr>
    </w:p>
    <w:p>
      <w:pPr>
        <w:pStyle w:val="23"/>
        <w:ind w:left="440" w:hanging="440"/>
        <w:rPr>
          <w:rFonts w:hint="eastAsia" w:ascii="新宋体" w:hAnsi="新宋体" w:eastAsia="新宋体" w:cs="新宋体"/>
          <w:color w:val="auto"/>
          <w:kern w:val="0"/>
          <w:sz w:val="22"/>
          <w:szCs w:val="22"/>
          <w:highlight w:val="none"/>
        </w:rPr>
      </w:pPr>
    </w:p>
    <w:p>
      <w:pPr>
        <w:pStyle w:val="23"/>
        <w:ind w:left="440" w:hanging="440"/>
        <w:rPr>
          <w:rFonts w:hint="eastAsia" w:ascii="新宋体" w:hAnsi="新宋体" w:eastAsia="新宋体" w:cs="新宋体"/>
          <w:color w:val="auto"/>
          <w:kern w:val="0"/>
          <w:sz w:val="22"/>
          <w:szCs w:val="22"/>
          <w:highlight w:val="none"/>
        </w:rPr>
      </w:pPr>
    </w:p>
    <w:p>
      <w:pPr>
        <w:pStyle w:val="23"/>
        <w:ind w:left="440" w:hanging="440"/>
        <w:rPr>
          <w:rFonts w:hint="eastAsia" w:ascii="新宋体" w:hAnsi="新宋体" w:eastAsia="新宋体" w:cs="新宋体"/>
          <w:color w:val="auto"/>
          <w:kern w:val="0"/>
          <w:sz w:val="22"/>
          <w:szCs w:val="22"/>
          <w:highlight w:val="none"/>
        </w:rPr>
      </w:pPr>
    </w:p>
    <w:p>
      <w:pPr>
        <w:pStyle w:val="23"/>
        <w:ind w:left="440" w:hanging="440"/>
        <w:rPr>
          <w:rFonts w:hint="eastAsia" w:ascii="新宋体" w:hAnsi="新宋体" w:eastAsia="新宋体" w:cs="新宋体"/>
          <w:color w:val="auto"/>
          <w:kern w:val="0"/>
          <w:sz w:val="22"/>
          <w:szCs w:val="22"/>
          <w:highlight w:val="none"/>
        </w:rPr>
      </w:pPr>
    </w:p>
    <w:p>
      <w:pPr>
        <w:pStyle w:val="23"/>
        <w:ind w:left="440" w:hanging="440"/>
        <w:rPr>
          <w:rFonts w:hint="eastAsia" w:ascii="新宋体" w:hAnsi="新宋体" w:eastAsia="新宋体" w:cs="新宋体"/>
          <w:color w:val="auto"/>
          <w:kern w:val="0"/>
          <w:sz w:val="22"/>
          <w:szCs w:val="22"/>
          <w:highlight w:val="none"/>
        </w:rPr>
      </w:pPr>
    </w:p>
    <w:p>
      <w:pPr>
        <w:pStyle w:val="23"/>
        <w:ind w:left="440" w:hanging="440"/>
        <w:rPr>
          <w:rFonts w:hint="eastAsia" w:ascii="新宋体" w:hAnsi="新宋体" w:eastAsia="新宋体" w:cs="新宋体"/>
          <w:color w:val="auto"/>
          <w:kern w:val="0"/>
          <w:sz w:val="22"/>
          <w:szCs w:val="22"/>
          <w:highlight w:val="none"/>
        </w:rPr>
      </w:pPr>
    </w:p>
    <w:p>
      <w:pPr>
        <w:pStyle w:val="23"/>
        <w:ind w:left="440" w:hanging="440"/>
        <w:rPr>
          <w:rFonts w:hint="eastAsia" w:ascii="新宋体" w:hAnsi="新宋体" w:eastAsia="新宋体" w:cs="新宋体"/>
          <w:color w:val="auto"/>
          <w:kern w:val="0"/>
          <w:sz w:val="22"/>
          <w:szCs w:val="22"/>
          <w:highlight w:val="none"/>
        </w:rPr>
      </w:pPr>
    </w:p>
    <w:p>
      <w:pPr>
        <w:pStyle w:val="23"/>
        <w:ind w:left="440" w:hanging="440"/>
        <w:rPr>
          <w:rFonts w:hint="eastAsia" w:ascii="新宋体" w:hAnsi="新宋体" w:eastAsia="新宋体" w:cs="新宋体"/>
          <w:color w:val="auto"/>
          <w:kern w:val="0"/>
          <w:sz w:val="22"/>
          <w:szCs w:val="22"/>
          <w:highlight w:val="none"/>
        </w:rPr>
      </w:pPr>
    </w:p>
    <w:p>
      <w:pPr>
        <w:pStyle w:val="23"/>
        <w:spacing w:line="460" w:lineRule="exact"/>
        <w:ind w:left="433" w:hanging="433" w:hangingChars="196"/>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附件二</w:t>
      </w:r>
    </w:p>
    <w:p>
      <w:pPr>
        <w:spacing w:line="460" w:lineRule="exact"/>
        <w:jc w:val="center"/>
        <w:outlineLvl w:val="2"/>
        <w:rPr>
          <w:rFonts w:hint="eastAsia" w:ascii="新宋体" w:hAnsi="新宋体" w:eastAsia="新宋体" w:cs="新宋体"/>
          <w:color w:val="auto"/>
          <w:sz w:val="28"/>
          <w:szCs w:val="28"/>
          <w:highlight w:val="none"/>
        </w:rPr>
      </w:pPr>
      <w:r>
        <w:rPr>
          <w:rFonts w:hint="eastAsia" w:ascii="新宋体" w:hAnsi="新宋体" w:eastAsia="新宋体" w:cs="新宋体"/>
          <w:b/>
          <w:bCs/>
          <w:color w:val="auto"/>
          <w:sz w:val="28"/>
          <w:szCs w:val="28"/>
          <w:highlight w:val="none"/>
        </w:rPr>
        <w:t>资格证明文件</w:t>
      </w:r>
      <w:r>
        <w:rPr>
          <w:rFonts w:hint="eastAsia" w:ascii="新宋体" w:hAnsi="新宋体" w:eastAsia="新宋体" w:cs="新宋体"/>
          <w:color w:val="auto"/>
          <w:sz w:val="28"/>
          <w:szCs w:val="28"/>
          <w:highlight w:val="none"/>
        </w:rPr>
        <w:t xml:space="preserve"> </w:t>
      </w:r>
    </w:p>
    <w:p>
      <w:pPr>
        <w:spacing w:line="400" w:lineRule="exact"/>
        <w:outlineLvl w:val="3"/>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1、有效营业执照（复印件盖单位公章）</w:t>
      </w:r>
    </w:p>
    <w:p>
      <w:pPr>
        <w:spacing w:line="400" w:lineRule="exact"/>
        <w:outlineLvl w:val="3"/>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2、最近一年财务报表(复印件，新成立的公司提供情况说明)；</w:t>
      </w:r>
    </w:p>
    <w:p>
      <w:pPr>
        <w:spacing w:line="460" w:lineRule="exact"/>
        <w:ind w:left="514" w:leftChars="245"/>
        <w:jc w:val="left"/>
        <w:rPr>
          <w:rFonts w:hint="eastAsia" w:ascii="新宋体" w:hAnsi="新宋体" w:eastAsia="新宋体" w:cs="新宋体"/>
          <w:b/>
          <w:bCs/>
          <w:color w:val="auto"/>
          <w:szCs w:val="21"/>
          <w:highlight w:val="none"/>
        </w:rPr>
      </w:pPr>
    </w:p>
    <w:p>
      <w:pPr>
        <w:spacing w:line="460" w:lineRule="exact"/>
        <w:jc w:val="left"/>
        <w:outlineLvl w:val="3"/>
        <w:rPr>
          <w:rFonts w:hint="eastAsia" w:ascii="新宋体" w:hAnsi="新宋体" w:eastAsia="新宋体" w:cs="新宋体"/>
          <w:color w:val="auto"/>
          <w:szCs w:val="21"/>
          <w:highlight w:val="none"/>
        </w:rPr>
      </w:pPr>
      <w:r>
        <w:rPr>
          <w:rFonts w:hint="eastAsia" w:ascii="新宋体" w:hAnsi="新宋体" w:eastAsia="新宋体" w:cs="新宋体"/>
          <w:b/>
          <w:bCs/>
          <w:color w:val="auto"/>
          <w:sz w:val="24"/>
          <w:highlight w:val="none"/>
        </w:rPr>
        <w:t>3、具有履行合同所必需的场地、设备和专业技术能力的承诺函；</w:t>
      </w:r>
    </w:p>
    <w:p>
      <w:pPr>
        <w:shd w:val="clear" w:color="auto" w:fill="FFFFFF"/>
        <w:snapToGrid w:val="0"/>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温州市公安局瓯江口分局、温州历程招标有限公司</w:t>
      </w:r>
      <w:r>
        <w:rPr>
          <w:rFonts w:hint="eastAsia" w:ascii="新宋体" w:hAnsi="新宋体" w:eastAsia="新宋体" w:cs="新宋体"/>
          <w:color w:val="auto"/>
          <w:kern w:val="0"/>
          <w:sz w:val="22"/>
          <w:szCs w:val="22"/>
          <w:highlight w:val="none"/>
        </w:rPr>
        <w:t>：</w:t>
      </w:r>
    </w:p>
    <w:p>
      <w:pPr>
        <w:widowControl/>
        <w:snapToGrid w:val="0"/>
        <w:spacing w:line="460" w:lineRule="exact"/>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我方</w:t>
      </w:r>
      <w:r>
        <w:rPr>
          <w:rFonts w:hint="eastAsia" w:ascii="新宋体" w:hAnsi="新宋体" w:eastAsia="新宋体" w:cs="新宋体"/>
          <w:color w:val="auto"/>
          <w:kern w:val="0"/>
          <w:sz w:val="22"/>
          <w:szCs w:val="22"/>
          <w:highlight w:val="none"/>
          <w:u w:val="single"/>
        </w:rPr>
        <w:t xml:space="preserve"> （供应商）</w:t>
      </w:r>
      <w:r>
        <w:rPr>
          <w:rFonts w:hint="eastAsia" w:ascii="新宋体" w:hAnsi="新宋体" w:eastAsia="新宋体" w:cs="新宋体"/>
          <w:color w:val="auto"/>
          <w:kern w:val="0"/>
          <w:sz w:val="22"/>
          <w:szCs w:val="22"/>
          <w:highlight w:val="none"/>
        </w:rPr>
        <w:t>承诺具有履行合同所必需的场地、设备和专业技术能力。如有虚假，招标人可取消我方任何资格（投标/中标/签订合同），我方对此无任何异议。</w:t>
      </w:r>
    </w:p>
    <w:p>
      <w:pPr>
        <w:widowControl/>
        <w:snapToGrid w:val="0"/>
        <w:spacing w:line="460" w:lineRule="exact"/>
        <w:ind w:firstLine="440" w:firstLineChars="200"/>
        <w:jc w:val="left"/>
        <w:rPr>
          <w:rFonts w:hint="eastAsia" w:ascii="新宋体" w:hAnsi="新宋体" w:eastAsia="新宋体" w:cs="新宋体"/>
          <w:color w:val="auto"/>
          <w:kern w:val="0"/>
          <w:sz w:val="22"/>
          <w:szCs w:val="22"/>
          <w:highlight w:val="none"/>
        </w:rPr>
      </w:pPr>
    </w:p>
    <w:p>
      <w:pPr>
        <w:widowControl/>
        <w:snapToGrid w:val="0"/>
        <w:spacing w:line="460" w:lineRule="exact"/>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特此承诺！</w:t>
      </w:r>
    </w:p>
    <w:p>
      <w:pPr>
        <w:widowControl/>
        <w:snapToGrid w:val="0"/>
        <w:spacing w:line="460" w:lineRule="exact"/>
        <w:ind w:firstLine="440" w:firstLineChars="200"/>
        <w:jc w:val="left"/>
        <w:rPr>
          <w:rFonts w:hint="eastAsia" w:ascii="新宋体" w:hAnsi="新宋体" w:eastAsia="新宋体" w:cs="新宋体"/>
          <w:color w:val="auto"/>
          <w:kern w:val="0"/>
          <w:sz w:val="22"/>
          <w:szCs w:val="22"/>
          <w:highlight w:val="none"/>
        </w:rPr>
      </w:pPr>
    </w:p>
    <w:p>
      <w:pPr>
        <w:widowControl/>
        <w:snapToGrid w:val="0"/>
        <w:spacing w:line="460" w:lineRule="exact"/>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供应商名称（盖章） ：</w:t>
      </w:r>
    </w:p>
    <w:p>
      <w:pPr>
        <w:widowControl/>
        <w:snapToGrid w:val="0"/>
        <w:spacing w:line="460" w:lineRule="exact"/>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法定代表人或其授权代表（签字或盖章）：</w:t>
      </w:r>
    </w:p>
    <w:p>
      <w:pPr>
        <w:widowControl/>
        <w:snapToGrid w:val="0"/>
        <w:spacing w:line="460" w:lineRule="exact"/>
        <w:ind w:firstLine="440" w:firstLineChars="200"/>
        <w:jc w:val="left"/>
        <w:rPr>
          <w:rFonts w:hint="eastAsia" w:ascii="新宋体" w:hAnsi="新宋体" w:eastAsia="新宋体" w:cs="新宋体"/>
          <w:color w:val="auto"/>
          <w:kern w:val="0"/>
          <w:sz w:val="22"/>
          <w:szCs w:val="22"/>
          <w:highlight w:val="none"/>
        </w:rPr>
      </w:pPr>
    </w:p>
    <w:p>
      <w:pPr>
        <w:pStyle w:val="23"/>
        <w:spacing w:line="460" w:lineRule="exact"/>
        <w:ind w:left="479" w:leftChars="228" w:firstLine="5280" w:firstLineChars="24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日期：     年  月  日</w:t>
      </w:r>
    </w:p>
    <w:p>
      <w:pPr>
        <w:pStyle w:val="23"/>
        <w:spacing w:line="460" w:lineRule="exact"/>
        <w:ind w:left="0" w:firstLine="0" w:firstLineChars="0"/>
        <w:rPr>
          <w:rFonts w:hint="eastAsia" w:ascii="宋体" w:hAnsi="宋体" w:cs="宋体"/>
          <w:color w:val="auto"/>
          <w:kern w:val="0"/>
          <w:highlight w:val="none"/>
        </w:rPr>
      </w:pPr>
    </w:p>
    <w:p>
      <w:pPr>
        <w:spacing w:line="460" w:lineRule="exact"/>
        <w:jc w:val="left"/>
        <w:outlineLvl w:val="3"/>
        <w:rPr>
          <w:rFonts w:hint="eastAsia"/>
          <w:color w:val="auto"/>
          <w:sz w:val="20"/>
          <w:szCs w:val="22"/>
          <w:highlight w:val="none"/>
        </w:rPr>
      </w:pPr>
      <w:r>
        <w:rPr>
          <w:rFonts w:hint="eastAsia" w:ascii="新宋体" w:hAnsi="新宋体" w:eastAsia="新宋体" w:cs="新宋体"/>
          <w:b/>
          <w:bCs/>
          <w:color w:val="auto"/>
          <w:sz w:val="24"/>
          <w:highlight w:val="none"/>
        </w:rPr>
        <w:t>4、依法缴纳税收和社会保障资金的承诺函；</w:t>
      </w:r>
    </w:p>
    <w:p>
      <w:pPr>
        <w:shd w:val="clear" w:color="auto" w:fill="FFFFFF"/>
        <w:snapToGrid w:val="0"/>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温州市公安局瓯江口分局、温州历程招标有限公司</w:t>
      </w:r>
      <w:r>
        <w:rPr>
          <w:rFonts w:hint="eastAsia" w:ascii="新宋体" w:hAnsi="新宋体" w:eastAsia="新宋体" w:cs="新宋体"/>
          <w:color w:val="auto"/>
          <w:kern w:val="0"/>
          <w:sz w:val="22"/>
          <w:szCs w:val="22"/>
          <w:highlight w:val="none"/>
        </w:rPr>
        <w:t>：</w:t>
      </w:r>
    </w:p>
    <w:p>
      <w:pPr>
        <w:spacing w:line="460" w:lineRule="exact"/>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我公司郑重声明，我公司严格依法缴纳税收和社会保障资金，本文件中所提供的相关材料均真实有效，不存在虚假、造假行为。如有违反，愿承担一切责任。</w:t>
      </w:r>
    </w:p>
    <w:p>
      <w:pPr>
        <w:spacing w:line="460" w:lineRule="exact"/>
        <w:ind w:firstLine="440" w:firstLineChars="200"/>
        <w:rPr>
          <w:rFonts w:hint="eastAsia" w:ascii="新宋体" w:hAnsi="新宋体" w:eastAsia="新宋体" w:cs="新宋体"/>
          <w:color w:val="auto"/>
          <w:kern w:val="0"/>
          <w:sz w:val="22"/>
          <w:szCs w:val="22"/>
          <w:highlight w:val="none"/>
        </w:rPr>
      </w:pPr>
    </w:p>
    <w:p>
      <w:pPr>
        <w:spacing w:line="460" w:lineRule="exact"/>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特此承诺！</w:t>
      </w:r>
    </w:p>
    <w:p>
      <w:pPr>
        <w:widowControl/>
        <w:snapToGrid w:val="0"/>
        <w:spacing w:line="460" w:lineRule="exact"/>
        <w:ind w:firstLine="440" w:firstLineChars="200"/>
        <w:jc w:val="left"/>
        <w:rPr>
          <w:rFonts w:hint="eastAsia" w:ascii="新宋体" w:hAnsi="新宋体" w:eastAsia="新宋体" w:cs="新宋体"/>
          <w:color w:val="auto"/>
          <w:kern w:val="0"/>
          <w:sz w:val="22"/>
          <w:szCs w:val="22"/>
          <w:highlight w:val="none"/>
        </w:rPr>
      </w:pPr>
    </w:p>
    <w:p>
      <w:pPr>
        <w:widowControl/>
        <w:snapToGrid w:val="0"/>
        <w:spacing w:line="460" w:lineRule="exact"/>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供应商名称（盖章） ：</w:t>
      </w:r>
    </w:p>
    <w:p>
      <w:pPr>
        <w:widowControl/>
        <w:snapToGrid w:val="0"/>
        <w:spacing w:line="460" w:lineRule="exact"/>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法定代表人或其授权代表（签字或盖章）：</w:t>
      </w:r>
    </w:p>
    <w:p>
      <w:pPr>
        <w:widowControl/>
        <w:snapToGrid w:val="0"/>
        <w:spacing w:line="460" w:lineRule="exact"/>
        <w:ind w:firstLine="440" w:firstLineChars="200"/>
        <w:jc w:val="left"/>
        <w:rPr>
          <w:rFonts w:hint="eastAsia" w:ascii="新宋体" w:hAnsi="新宋体" w:eastAsia="新宋体" w:cs="新宋体"/>
          <w:color w:val="auto"/>
          <w:kern w:val="0"/>
          <w:sz w:val="22"/>
          <w:szCs w:val="22"/>
          <w:highlight w:val="none"/>
        </w:rPr>
      </w:pPr>
    </w:p>
    <w:p>
      <w:pPr>
        <w:pStyle w:val="23"/>
        <w:spacing w:line="460" w:lineRule="exact"/>
        <w:ind w:left="-420" w:leftChars="-200" w:firstLine="6160" w:firstLineChars="28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日期：     年  月  日</w:t>
      </w:r>
    </w:p>
    <w:p>
      <w:pPr>
        <w:pStyle w:val="23"/>
        <w:spacing w:line="460" w:lineRule="exact"/>
        <w:ind w:left="0" w:firstLine="0" w:firstLineChars="0"/>
        <w:rPr>
          <w:rFonts w:hint="eastAsia" w:ascii="宋体" w:hAnsi="宋体" w:cs="宋体"/>
          <w:color w:val="auto"/>
          <w:kern w:val="0"/>
          <w:highlight w:val="none"/>
        </w:rPr>
      </w:pPr>
    </w:p>
    <w:p>
      <w:pPr>
        <w:pStyle w:val="23"/>
        <w:spacing w:line="460" w:lineRule="exact"/>
        <w:ind w:left="0" w:firstLine="0" w:firstLineChars="0"/>
        <w:rPr>
          <w:rFonts w:hint="eastAsia" w:ascii="宋体" w:hAnsi="宋体" w:cs="宋体"/>
          <w:color w:val="auto"/>
          <w:kern w:val="0"/>
          <w:highlight w:val="none"/>
        </w:rPr>
      </w:pPr>
    </w:p>
    <w:p>
      <w:pPr>
        <w:pStyle w:val="23"/>
        <w:spacing w:line="460" w:lineRule="exact"/>
        <w:ind w:left="0" w:firstLine="0" w:firstLineChars="0"/>
        <w:rPr>
          <w:rFonts w:hint="eastAsia" w:ascii="宋体" w:hAnsi="宋体" w:cs="宋体"/>
          <w:color w:val="auto"/>
          <w:kern w:val="0"/>
          <w:highlight w:val="none"/>
        </w:rPr>
      </w:pPr>
    </w:p>
    <w:p>
      <w:pPr>
        <w:pStyle w:val="23"/>
        <w:spacing w:line="460" w:lineRule="exact"/>
        <w:ind w:left="0" w:firstLine="0" w:firstLineChars="0"/>
        <w:rPr>
          <w:rFonts w:hint="eastAsia" w:ascii="宋体" w:hAnsi="宋体" w:cs="宋体"/>
          <w:color w:val="auto"/>
          <w:kern w:val="0"/>
          <w:highlight w:val="none"/>
        </w:rPr>
      </w:pPr>
    </w:p>
    <w:p>
      <w:pPr>
        <w:spacing w:line="460" w:lineRule="exact"/>
        <w:outlineLvl w:val="3"/>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4"/>
          <w:highlight w:val="none"/>
        </w:rPr>
        <w:t>5、参加政府采购活动前3年内在经营活动中没有重大违法记录的声明函</w:t>
      </w:r>
      <w:r>
        <w:rPr>
          <w:rFonts w:hint="eastAsia" w:ascii="新宋体" w:hAnsi="新宋体" w:eastAsia="新宋体" w:cs="新宋体"/>
          <w:b/>
          <w:bCs/>
          <w:color w:val="auto"/>
          <w:sz w:val="22"/>
          <w:szCs w:val="22"/>
          <w:highlight w:val="none"/>
        </w:rPr>
        <w:t>；</w:t>
      </w:r>
    </w:p>
    <w:p>
      <w:pPr>
        <w:shd w:val="clear" w:color="auto" w:fill="FFFFFF"/>
        <w:snapToGrid w:val="0"/>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温州市公安局瓯江口分局、温州历程招标有限公司</w:t>
      </w:r>
      <w:r>
        <w:rPr>
          <w:rFonts w:hint="eastAsia" w:ascii="新宋体" w:hAnsi="新宋体" w:eastAsia="新宋体" w:cs="新宋体"/>
          <w:color w:val="auto"/>
          <w:kern w:val="0"/>
          <w:sz w:val="22"/>
          <w:szCs w:val="22"/>
          <w:highlight w:val="none"/>
        </w:rPr>
        <w:t>：</w:t>
      </w:r>
    </w:p>
    <w:p>
      <w:pPr>
        <w:widowControl/>
        <w:snapToGrid w:val="0"/>
        <w:spacing w:line="460" w:lineRule="exact"/>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我方</w:t>
      </w:r>
      <w:r>
        <w:rPr>
          <w:rFonts w:hint="eastAsia" w:ascii="新宋体" w:hAnsi="新宋体" w:eastAsia="新宋体" w:cs="新宋体"/>
          <w:color w:val="auto"/>
          <w:kern w:val="0"/>
          <w:sz w:val="22"/>
          <w:szCs w:val="22"/>
          <w:highlight w:val="none"/>
          <w:u w:val="single"/>
        </w:rPr>
        <w:t xml:space="preserve"> （供应商）</w:t>
      </w:r>
      <w:r>
        <w:rPr>
          <w:rFonts w:hint="eastAsia" w:ascii="新宋体" w:hAnsi="新宋体" w:eastAsia="新宋体" w:cs="新宋体"/>
          <w:color w:val="auto"/>
          <w:kern w:val="0"/>
          <w:sz w:val="22"/>
          <w:szCs w:val="22"/>
          <w:highlight w:val="none"/>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招标人可取消我方任何资格（投标/中标/签订合同），我方对此无任何异议。</w:t>
      </w:r>
    </w:p>
    <w:p>
      <w:pPr>
        <w:widowControl/>
        <w:snapToGrid w:val="0"/>
        <w:spacing w:line="460" w:lineRule="exact"/>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特此承诺！</w:t>
      </w:r>
    </w:p>
    <w:p>
      <w:pPr>
        <w:widowControl/>
        <w:snapToGrid w:val="0"/>
        <w:spacing w:line="460" w:lineRule="exact"/>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供应商名称（盖章） ：</w:t>
      </w:r>
    </w:p>
    <w:p>
      <w:pPr>
        <w:widowControl/>
        <w:snapToGrid w:val="0"/>
        <w:spacing w:line="460" w:lineRule="exact"/>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法定代表人或其授权代表（签字或盖章）：</w:t>
      </w:r>
    </w:p>
    <w:p>
      <w:pPr>
        <w:widowControl/>
        <w:snapToGrid w:val="0"/>
        <w:spacing w:line="460" w:lineRule="exact"/>
        <w:ind w:firstLine="440" w:firstLineChars="200"/>
        <w:jc w:val="left"/>
        <w:rPr>
          <w:rFonts w:hint="eastAsia" w:ascii="新宋体" w:hAnsi="新宋体" w:eastAsia="新宋体" w:cs="新宋体"/>
          <w:color w:val="auto"/>
          <w:kern w:val="0"/>
          <w:sz w:val="22"/>
          <w:szCs w:val="22"/>
          <w:highlight w:val="none"/>
        </w:rPr>
      </w:pPr>
    </w:p>
    <w:p>
      <w:pPr>
        <w:pStyle w:val="23"/>
        <w:spacing w:line="460" w:lineRule="exact"/>
        <w:ind w:left="514" w:leftChars="245" w:firstLine="5720" w:firstLineChars="2600"/>
        <w:rPr>
          <w:rFonts w:hint="eastAsia"/>
          <w:color w:val="auto"/>
          <w:highlight w:val="none"/>
        </w:rPr>
      </w:pPr>
      <w:r>
        <w:rPr>
          <w:rFonts w:hint="eastAsia" w:ascii="新宋体" w:hAnsi="新宋体" w:eastAsia="新宋体" w:cs="新宋体"/>
          <w:color w:val="auto"/>
          <w:kern w:val="0"/>
          <w:sz w:val="22"/>
          <w:szCs w:val="22"/>
          <w:highlight w:val="none"/>
        </w:rPr>
        <w:t>日期：     年  月  日</w:t>
      </w:r>
    </w:p>
    <w:p>
      <w:pPr>
        <w:spacing w:line="460" w:lineRule="exact"/>
        <w:ind w:left="514" w:leftChars="245"/>
        <w:rPr>
          <w:rFonts w:hint="eastAsia" w:ascii="新宋体" w:hAnsi="新宋体" w:eastAsia="新宋体" w:cs="新宋体"/>
          <w:b/>
          <w:bCs/>
          <w:color w:val="auto"/>
          <w:sz w:val="22"/>
          <w:szCs w:val="22"/>
          <w:highlight w:val="none"/>
        </w:rPr>
      </w:pPr>
    </w:p>
    <w:p>
      <w:pPr>
        <w:spacing w:line="460" w:lineRule="exact"/>
        <w:ind w:left="514" w:leftChars="245"/>
        <w:rPr>
          <w:rFonts w:hint="eastAsia" w:ascii="新宋体" w:hAnsi="新宋体" w:eastAsia="新宋体" w:cs="新宋体"/>
          <w:b/>
          <w:bCs/>
          <w:color w:val="auto"/>
          <w:sz w:val="22"/>
          <w:szCs w:val="22"/>
          <w:highlight w:val="none"/>
        </w:rPr>
      </w:pPr>
    </w:p>
    <w:p>
      <w:pPr>
        <w:pStyle w:val="23"/>
        <w:ind w:left="0" w:firstLine="0" w:firstLineChars="0"/>
        <w:rPr>
          <w:rFonts w:hint="eastAsia"/>
          <w:color w:val="auto"/>
          <w:highlight w:val="none"/>
        </w:rPr>
      </w:pPr>
    </w:p>
    <w:p>
      <w:pPr>
        <w:spacing w:line="460" w:lineRule="exact"/>
        <w:outlineLvl w:val="3"/>
        <w:rPr>
          <w:rFonts w:hint="eastAsia" w:ascii="新宋体" w:hAnsi="新宋体" w:eastAsia="新宋体" w:cs="新宋体"/>
          <w:b/>
          <w:bCs/>
          <w:color w:val="auto"/>
          <w:szCs w:val="21"/>
          <w:highlight w:val="none"/>
        </w:rPr>
      </w:pPr>
      <w:r>
        <w:rPr>
          <w:rFonts w:hint="eastAsia" w:ascii="新宋体" w:hAnsi="新宋体" w:eastAsia="新宋体" w:cs="新宋体"/>
          <w:b/>
          <w:bCs/>
          <w:color w:val="auto"/>
          <w:sz w:val="24"/>
          <w:highlight w:val="none"/>
        </w:rPr>
        <w:t>6、单位负责人为同一人或者存在直接控股、管理关系的不同供应商，不得参加同一合同项下的政府采购活动承诺函；</w:t>
      </w:r>
    </w:p>
    <w:p>
      <w:pPr>
        <w:shd w:val="clear" w:color="auto" w:fill="FFFFFF"/>
        <w:snapToGrid w:val="0"/>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温州市公安局瓯江口分局、温州历程招标有限公司</w:t>
      </w:r>
      <w:r>
        <w:rPr>
          <w:rFonts w:hint="eastAsia" w:ascii="新宋体" w:hAnsi="新宋体" w:eastAsia="新宋体" w:cs="新宋体"/>
          <w:color w:val="auto"/>
          <w:kern w:val="0"/>
          <w:sz w:val="22"/>
          <w:szCs w:val="22"/>
          <w:highlight w:val="none"/>
        </w:rPr>
        <w:t>：</w:t>
      </w:r>
    </w:p>
    <w:p>
      <w:pPr>
        <w:spacing w:line="460" w:lineRule="exact"/>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我方郑重承诺，我方此次参加参加标段</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项目名称）</w:t>
      </w:r>
      <w:r>
        <w:rPr>
          <w:rFonts w:hint="eastAsia" w:ascii="新宋体" w:hAnsi="新宋体" w:eastAsia="新宋体" w:cs="新宋体"/>
          <w:color w:val="auto"/>
          <w:kern w:val="0"/>
          <w:sz w:val="22"/>
          <w:szCs w:val="22"/>
          <w:highlight w:val="none"/>
          <w:u w:val="single"/>
        </w:rPr>
        <w:t xml:space="preserve">         的</w:t>
      </w:r>
      <w:r>
        <w:rPr>
          <w:rFonts w:hint="eastAsia" w:ascii="新宋体" w:hAnsi="新宋体" w:eastAsia="新宋体" w:cs="新宋体"/>
          <w:color w:val="auto"/>
          <w:kern w:val="0"/>
          <w:sz w:val="22"/>
          <w:szCs w:val="22"/>
          <w:highlight w:val="none"/>
        </w:rPr>
        <w:t>投标，与参加本次项目同一合同项下政府采购活动的其他供应商不存在单位负责人为同一人或者直接控股、管理关系。如有虚假或隐瞒，愿意承担一切后果。</w:t>
      </w:r>
    </w:p>
    <w:p>
      <w:pPr>
        <w:shd w:val="clear" w:color="auto" w:fill="FFFFFF"/>
        <w:snapToGrid w:val="0"/>
        <w:spacing w:line="460" w:lineRule="exact"/>
        <w:jc w:val="center"/>
        <w:rPr>
          <w:rFonts w:hint="eastAsia" w:ascii="新宋体" w:hAnsi="新宋体" w:eastAsia="新宋体" w:cs="新宋体"/>
          <w:b/>
          <w:color w:val="auto"/>
          <w:kern w:val="36"/>
          <w:sz w:val="22"/>
          <w:szCs w:val="22"/>
          <w:highlight w:val="none"/>
        </w:rPr>
      </w:pPr>
    </w:p>
    <w:p>
      <w:pPr>
        <w:widowControl/>
        <w:snapToGrid w:val="0"/>
        <w:spacing w:line="460" w:lineRule="exact"/>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特此承诺！</w:t>
      </w:r>
    </w:p>
    <w:p>
      <w:pPr>
        <w:widowControl/>
        <w:snapToGrid w:val="0"/>
        <w:spacing w:line="460" w:lineRule="exact"/>
        <w:ind w:firstLine="440" w:firstLineChars="200"/>
        <w:jc w:val="left"/>
        <w:rPr>
          <w:rFonts w:hint="eastAsia" w:ascii="新宋体" w:hAnsi="新宋体" w:eastAsia="新宋体" w:cs="新宋体"/>
          <w:color w:val="auto"/>
          <w:kern w:val="0"/>
          <w:sz w:val="22"/>
          <w:szCs w:val="22"/>
          <w:highlight w:val="none"/>
        </w:rPr>
      </w:pPr>
    </w:p>
    <w:p>
      <w:pPr>
        <w:widowControl/>
        <w:snapToGrid w:val="0"/>
        <w:spacing w:line="460" w:lineRule="exact"/>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供应商名称（盖章） ：</w:t>
      </w:r>
    </w:p>
    <w:p>
      <w:pPr>
        <w:widowControl/>
        <w:snapToGrid w:val="0"/>
        <w:spacing w:line="460" w:lineRule="exact"/>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法定代表人或其授权代表（签字或盖章）：</w:t>
      </w:r>
    </w:p>
    <w:p>
      <w:pPr>
        <w:widowControl/>
        <w:adjustRightInd w:val="0"/>
        <w:snapToGrid w:val="0"/>
        <w:spacing w:line="460" w:lineRule="exact"/>
        <w:ind w:firstLine="440" w:firstLineChars="200"/>
        <w:jc w:val="left"/>
        <w:rPr>
          <w:rFonts w:hint="eastAsia" w:ascii="新宋体" w:hAnsi="新宋体" w:eastAsia="新宋体" w:cs="新宋体"/>
          <w:color w:val="auto"/>
          <w:kern w:val="0"/>
          <w:sz w:val="22"/>
          <w:szCs w:val="22"/>
          <w:highlight w:val="none"/>
        </w:rPr>
      </w:pPr>
    </w:p>
    <w:p>
      <w:pPr>
        <w:pStyle w:val="23"/>
        <w:spacing w:line="460" w:lineRule="exact"/>
        <w:ind w:left="514" w:leftChars="245" w:firstLine="5720" w:firstLineChars="2600"/>
        <w:rPr>
          <w:rFonts w:hint="eastAsia" w:ascii="宋体" w:hAnsi="宋体" w:cs="宋体"/>
          <w:color w:val="auto"/>
          <w:kern w:val="0"/>
          <w:highlight w:val="none"/>
        </w:rPr>
      </w:pPr>
      <w:r>
        <w:rPr>
          <w:rFonts w:hint="eastAsia" w:ascii="新宋体" w:hAnsi="新宋体" w:eastAsia="新宋体" w:cs="新宋体"/>
          <w:color w:val="auto"/>
          <w:kern w:val="0"/>
          <w:sz w:val="22"/>
          <w:szCs w:val="22"/>
          <w:highlight w:val="none"/>
        </w:rPr>
        <w:t>日期：     年  月  日</w:t>
      </w:r>
    </w:p>
    <w:p>
      <w:pPr>
        <w:pStyle w:val="23"/>
        <w:spacing w:line="460" w:lineRule="exact"/>
        <w:ind w:left="0" w:firstLine="0" w:firstLineChars="0"/>
        <w:rPr>
          <w:rFonts w:hint="eastAsia" w:ascii="宋体" w:hAnsi="宋体" w:cs="宋体"/>
          <w:color w:val="auto"/>
          <w:kern w:val="0"/>
          <w:highlight w:val="none"/>
        </w:rPr>
      </w:pPr>
    </w:p>
    <w:p>
      <w:pPr>
        <w:pStyle w:val="23"/>
        <w:spacing w:line="460" w:lineRule="exact"/>
        <w:ind w:left="0" w:firstLine="0" w:firstLineChars="0"/>
        <w:rPr>
          <w:rFonts w:hint="eastAsia" w:ascii="宋体" w:hAnsi="宋体" w:cs="宋体"/>
          <w:color w:val="auto"/>
          <w:kern w:val="0"/>
          <w:highlight w:val="none"/>
        </w:rPr>
      </w:pPr>
    </w:p>
    <w:p>
      <w:pPr>
        <w:spacing w:line="400" w:lineRule="exact"/>
        <w:outlineLvl w:val="3"/>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7、投标供应商不属于公益一类事业单位承诺函；</w:t>
      </w:r>
    </w:p>
    <w:p>
      <w:pPr>
        <w:shd w:val="clear" w:color="auto" w:fill="FFFFFF"/>
        <w:snapToGrid w:val="0"/>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温州市公安局瓯江口分局、温州历程招标有限公司</w:t>
      </w:r>
      <w:r>
        <w:rPr>
          <w:rFonts w:hint="eastAsia" w:ascii="新宋体" w:hAnsi="新宋体" w:eastAsia="新宋体" w:cs="新宋体"/>
          <w:color w:val="auto"/>
          <w:kern w:val="0"/>
          <w:sz w:val="22"/>
          <w:szCs w:val="22"/>
          <w:highlight w:val="none"/>
        </w:rPr>
        <w:t>：</w:t>
      </w:r>
    </w:p>
    <w:p>
      <w:pPr>
        <w:spacing w:line="460" w:lineRule="exact"/>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我方郑重承诺，我单位不属于公益一类事业单位，</w:t>
      </w:r>
      <w:r>
        <w:rPr>
          <w:rFonts w:hint="eastAsia" w:ascii="新宋体" w:hAnsi="新宋体" w:eastAsia="新宋体" w:cs="新宋体"/>
          <w:color w:val="auto"/>
          <w:spacing w:val="-6"/>
          <w:kern w:val="0"/>
          <w:sz w:val="22"/>
          <w:szCs w:val="22"/>
          <w:highlight w:val="none"/>
        </w:rPr>
        <w:t>可承接</w:t>
      </w:r>
      <w:r>
        <w:rPr>
          <w:rFonts w:hint="eastAsia" w:ascii="新宋体" w:hAnsi="新宋体" w:eastAsia="新宋体" w:cs="新宋体"/>
          <w:color w:val="auto"/>
          <w:kern w:val="0"/>
          <w:sz w:val="22"/>
          <w:szCs w:val="22"/>
          <w:highlight w:val="none"/>
        </w:rPr>
        <w:t>标段</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项目名称）</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项目的相关服务内容。如有虚假或隐瞒，愿意承担一切后果。</w:t>
      </w:r>
    </w:p>
    <w:p>
      <w:pPr>
        <w:spacing w:line="460" w:lineRule="exact"/>
        <w:ind w:firstLine="440" w:firstLineChars="200"/>
        <w:rPr>
          <w:rFonts w:hint="eastAsia" w:ascii="新宋体" w:hAnsi="新宋体" w:eastAsia="新宋体" w:cs="新宋体"/>
          <w:color w:val="auto"/>
          <w:kern w:val="0"/>
          <w:sz w:val="22"/>
          <w:szCs w:val="22"/>
          <w:highlight w:val="none"/>
        </w:rPr>
      </w:pPr>
    </w:p>
    <w:p>
      <w:pPr>
        <w:shd w:val="clear" w:color="auto" w:fill="FFFFFF"/>
        <w:snapToGrid w:val="0"/>
        <w:spacing w:line="460" w:lineRule="exact"/>
        <w:jc w:val="center"/>
        <w:rPr>
          <w:rFonts w:hint="eastAsia" w:ascii="新宋体" w:hAnsi="新宋体" w:eastAsia="新宋体" w:cs="新宋体"/>
          <w:b/>
          <w:color w:val="auto"/>
          <w:kern w:val="36"/>
          <w:sz w:val="22"/>
          <w:szCs w:val="22"/>
          <w:highlight w:val="none"/>
        </w:rPr>
      </w:pPr>
    </w:p>
    <w:p>
      <w:pPr>
        <w:widowControl/>
        <w:snapToGrid w:val="0"/>
        <w:spacing w:line="460" w:lineRule="exact"/>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特此承诺！</w:t>
      </w:r>
    </w:p>
    <w:p>
      <w:pPr>
        <w:widowControl/>
        <w:snapToGrid w:val="0"/>
        <w:spacing w:line="460" w:lineRule="exact"/>
        <w:ind w:firstLine="440" w:firstLineChars="200"/>
        <w:jc w:val="left"/>
        <w:rPr>
          <w:rFonts w:hint="eastAsia" w:ascii="新宋体" w:hAnsi="新宋体" w:eastAsia="新宋体" w:cs="新宋体"/>
          <w:color w:val="auto"/>
          <w:kern w:val="0"/>
          <w:sz w:val="22"/>
          <w:szCs w:val="22"/>
          <w:highlight w:val="none"/>
        </w:rPr>
      </w:pPr>
    </w:p>
    <w:p>
      <w:pPr>
        <w:widowControl/>
        <w:snapToGrid w:val="0"/>
        <w:spacing w:line="460" w:lineRule="exact"/>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供应商名称（盖章） ：</w:t>
      </w:r>
    </w:p>
    <w:p>
      <w:pPr>
        <w:widowControl/>
        <w:snapToGrid w:val="0"/>
        <w:spacing w:line="460" w:lineRule="exact"/>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法定代表人或其授权代表（签字或盖章）：</w:t>
      </w:r>
    </w:p>
    <w:p>
      <w:pPr>
        <w:widowControl/>
        <w:adjustRightInd w:val="0"/>
        <w:snapToGrid w:val="0"/>
        <w:spacing w:line="460" w:lineRule="exact"/>
        <w:ind w:firstLine="440" w:firstLineChars="200"/>
        <w:jc w:val="left"/>
        <w:rPr>
          <w:rFonts w:hint="eastAsia" w:ascii="新宋体" w:hAnsi="新宋体" w:eastAsia="新宋体" w:cs="新宋体"/>
          <w:color w:val="auto"/>
          <w:kern w:val="0"/>
          <w:sz w:val="22"/>
          <w:szCs w:val="22"/>
          <w:highlight w:val="none"/>
        </w:rPr>
      </w:pPr>
    </w:p>
    <w:p>
      <w:pPr>
        <w:widowControl/>
        <w:adjustRightInd w:val="0"/>
        <w:snapToGrid w:val="0"/>
        <w:spacing w:line="460" w:lineRule="exact"/>
        <w:ind w:firstLine="6160" w:firstLineChars="2800"/>
        <w:jc w:val="left"/>
        <w:rPr>
          <w:rFonts w:hint="eastAsia" w:ascii="宋体" w:hAnsi="宋体" w:cs="宋体"/>
          <w:color w:val="auto"/>
          <w:kern w:val="0"/>
          <w:sz w:val="24"/>
          <w:highlight w:val="none"/>
        </w:rPr>
      </w:pPr>
      <w:r>
        <w:rPr>
          <w:rFonts w:hint="eastAsia" w:ascii="新宋体" w:hAnsi="新宋体" w:eastAsia="新宋体" w:cs="新宋体"/>
          <w:color w:val="auto"/>
          <w:kern w:val="0"/>
          <w:sz w:val="22"/>
          <w:szCs w:val="22"/>
          <w:highlight w:val="none"/>
        </w:rPr>
        <w:t>日期：     年  月  日</w:t>
      </w:r>
    </w:p>
    <w:p>
      <w:pPr>
        <w:pStyle w:val="23"/>
        <w:spacing w:line="460" w:lineRule="exact"/>
        <w:ind w:left="514" w:leftChars="245" w:firstLine="0" w:firstLineChars="0"/>
        <w:rPr>
          <w:rFonts w:hint="eastAsia"/>
          <w:color w:val="auto"/>
          <w:highlight w:val="none"/>
        </w:rPr>
      </w:pPr>
    </w:p>
    <w:p>
      <w:pPr>
        <w:pStyle w:val="23"/>
        <w:spacing w:line="460" w:lineRule="exact"/>
        <w:ind w:left="514" w:leftChars="245" w:firstLine="0" w:firstLineChars="0"/>
        <w:rPr>
          <w:rFonts w:hint="eastAsia"/>
          <w:color w:val="auto"/>
          <w:highlight w:val="none"/>
        </w:rPr>
      </w:pPr>
    </w:p>
    <w:p>
      <w:pPr>
        <w:pStyle w:val="23"/>
        <w:spacing w:line="460" w:lineRule="exact"/>
        <w:ind w:left="514" w:leftChars="245" w:firstLine="0" w:firstLineChars="0"/>
        <w:rPr>
          <w:rFonts w:hint="eastAsia"/>
          <w:color w:val="auto"/>
          <w:highlight w:val="none"/>
        </w:rPr>
      </w:pPr>
    </w:p>
    <w:p>
      <w:pPr>
        <w:pStyle w:val="23"/>
        <w:spacing w:line="460" w:lineRule="exact"/>
        <w:ind w:left="514" w:leftChars="245" w:firstLine="0" w:firstLineChars="0"/>
        <w:rPr>
          <w:rFonts w:hint="eastAsia"/>
          <w:color w:val="auto"/>
          <w:highlight w:val="none"/>
        </w:rPr>
      </w:pPr>
    </w:p>
    <w:p>
      <w:pPr>
        <w:spacing w:line="400" w:lineRule="exact"/>
        <w:outlineLvl w:val="3"/>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8、投标人信用查询：</w:t>
      </w:r>
    </w:p>
    <w:p>
      <w:pPr>
        <w:tabs>
          <w:tab w:val="left" w:pos="360"/>
        </w:tabs>
        <w:spacing w:line="460" w:lineRule="exact"/>
        <w:ind w:firstLine="550" w:firstLineChars="250"/>
        <w:rPr>
          <w:rFonts w:hint="eastAsia" w:ascii="新宋体" w:hAnsi="新宋体" w:eastAsia="新宋体"/>
          <w:color w:val="auto"/>
          <w:sz w:val="22"/>
          <w:highlight w:val="none"/>
        </w:rPr>
      </w:pPr>
      <w:r>
        <w:rPr>
          <w:rFonts w:hint="eastAsia" w:ascii="新宋体" w:hAnsi="新宋体" w:eastAsia="新宋体"/>
          <w:color w:val="auto"/>
          <w:sz w:val="22"/>
          <w:highlight w:val="none"/>
        </w:rPr>
        <w:t>1、投标人信用信息查询的查询渠道：“信用中国”(www.creditchina.gov.cn)；“中国政府采购网”（http://www.ccgp.gov.cn/）；</w:t>
      </w:r>
    </w:p>
    <w:p>
      <w:pPr>
        <w:tabs>
          <w:tab w:val="left" w:pos="360"/>
        </w:tabs>
        <w:spacing w:line="460" w:lineRule="exact"/>
        <w:ind w:firstLine="550" w:firstLineChars="250"/>
        <w:rPr>
          <w:rFonts w:hint="eastAsia" w:ascii="新宋体" w:hAnsi="新宋体" w:eastAsia="新宋体"/>
          <w:color w:val="auto"/>
          <w:sz w:val="22"/>
          <w:highlight w:val="none"/>
        </w:rPr>
      </w:pPr>
      <w:r>
        <w:rPr>
          <w:rFonts w:hint="eastAsia" w:ascii="新宋体" w:hAnsi="新宋体" w:eastAsia="新宋体"/>
          <w:color w:val="auto"/>
          <w:sz w:val="22"/>
          <w:highlight w:val="none"/>
        </w:rPr>
        <w:t>2、投标人信用信息查询截止时点：招标公告发布之日至投标截止时间前。</w:t>
      </w:r>
    </w:p>
    <w:p>
      <w:pPr>
        <w:tabs>
          <w:tab w:val="left" w:pos="360"/>
        </w:tabs>
        <w:spacing w:line="460" w:lineRule="exact"/>
        <w:ind w:firstLine="550" w:firstLineChars="250"/>
        <w:rPr>
          <w:rFonts w:hint="eastAsia" w:ascii="新宋体" w:hAnsi="新宋体" w:eastAsia="新宋体"/>
          <w:color w:val="auto"/>
          <w:sz w:val="22"/>
          <w:highlight w:val="none"/>
        </w:rPr>
      </w:pPr>
      <w:r>
        <w:rPr>
          <w:rFonts w:hint="eastAsia" w:ascii="新宋体" w:hAnsi="新宋体" w:eastAsia="新宋体"/>
          <w:color w:val="auto"/>
          <w:sz w:val="22"/>
          <w:highlight w:val="none"/>
        </w:rPr>
        <w:t>3、投标人信用信息查询记录和证据留存的具体方式：网页截图；</w:t>
      </w:r>
    </w:p>
    <w:p>
      <w:pPr>
        <w:tabs>
          <w:tab w:val="left" w:pos="360"/>
        </w:tabs>
        <w:spacing w:line="460" w:lineRule="exact"/>
        <w:ind w:firstLine="552" w:firstLineChars="250"/>
        <w:rPr>
          <w:rFonts w:hint="eastAsia" w:ascii="新宋体" w:hAnsi="新宋体" w:eastAsia="新宋体"/>
          <w:b/>
          <w:bCs/>
          <w:color w:val="auto"/>
          <w:sz w:val="22"/>
          <w:szCs w:val="22"/>
          <w:highlight w:val="none"/>
          <w:u w:val="single"/>
        </w:rPr>
      </w:pPr>
      <w:r>
        <w:rPr>
          <w:rFonts w:hint="eastAsia" w:ascii="新宋体" w:hAnsi="新宋体" w:eastAsia="新宋体"/>
          <w:b/>
          <w:bCs/>
          <w:color w:val="auto"/>
          <w:sz w:val="22"/>
          <w:highlight w:val="none"/>
          <w:u w:val="single"/>
        </w:rPr>
        <w:t>4、信用信息的使用规则：对列入失信被执行人、重大税收违法案件当事人名单、政府采购严重违法失信行为记录名单及其他不符合《中华人民共和国政府采购法》第二十二条规定条件的供应商，其投标做无效投标处理。</w:t>
      </w:r>
    </w:p>
    <w:p>
      <w:pPr>
        <w:spacing w:line="460" w:lineRule="exact"/>
        <w:rPr>
          <w:rFonts w:ascii="新宋体" w:hAnsi="新宋体" w:eastAsia="新宋体" w:cs="新宋体"/>
          <w:b/>
          <w:bCs/>
          <w:color w:val="auto"/>
          <w:sz w:val="22"/>
          <w:szCs w:val="22"/>
          <w:highlight w:val="none"/>
        </w:rPr>
      </w:pPr>
    </w:p>
    <w:p>
      <w:pPr>
        <w:spacing w:line="460" w:lineRule="exact"/>
        <w:rPr>
          <w:rFonts w:ascii="新宋体" w:hAnsi="新宋体" w:eastAsia="新宋体" w:cs="新宋体"/>
          <w:b/>
          <w:bCs/>
          <w:color w:val="auto"/>
          <w:sz w:val="22"/>
          <w:szCs w:val="22"/>
          <w:highlight w:val="none"/>
        </w:rPr>
      </w:pPr>
    </w:p>
    <w:p>
      <w:pPr>
        <w:spacing w:line="460" w:lineRule="exact"/>
        <w:rPr>
          <w:rFonts w:ascii="新宋体" w:hAnsi="新宋体" w:eastAsia="新宋体" w:cs="新宋体"/>
          <w:b/>
          <w:bCs/>
          <w:color w:val="auto"/>
          <w:sz w:val="22"/>
          <w:szCs w:val="22"/>
          <w:highlight w:val="none"/>
        </w:rPr>
      </w:pPr>
    </w:p>
    <w:p>
      <w:pPr>
        <w:spacing w:line="460" w:lineRule="exact"/>
        <w:rPr>
          <w:rFonts w:ascii="新宋体" w:hAnsi="新宋体" w:eastAsia="新宋体" w:cs="新宋体"/>
          <w:b/>
          <w:bCs/>
          <w:color w:val="auto"/>
          <w:sz w:val="22"/>
          <w:szCs w:val="22"/>
          <w:highlight w:val="none"/>
        </w:rPr>
      </w:pPr>
    </w:p>
    <w:p>
      <w:pPr>
        <w:spacing w:line="460" w:lineRule="exact"/>
        <w:rPr>
          <w:rFonts w:ascii="新宋体" w:hAnsi="新宋体" w:eastAsia="新宋体" w:cs="新宋体"/>
          <w:b/>
          <w:bCs/>
          <w:color w:val="auto"/>
          <w:sz w:val="22"/>
          <w:szCs w:val="22"/>
          <w:highlight w:val="none"/>
        </w:rPr>
      </w:pPr>
    </w:p>
    <w:p>
      <w:pPr>
        <w:spacing w:line="460" w:lineRule="exact"/>
        <w:rPr>
          <w:rFonts w:ascii="新宋体" w:hAnsi="新宋体" w:eastAsia="新宋体" w:cs="新宋体"/>
          <w:b/>
          <w:bCs/>
          <w:color w:val="auto"/>
          <w:sz w:val="22"/>
          <w:szCs w:val="22"/>
          <w:highlight w:val="none"/>
        </w:rPr>
      </w:pPr>
    </w:p>
    <w:p>
      <w:pPr>
        <w:spacing w:line="460" w:lineRule="exact"/>
        <w:jc w:val="center"/>
        <w:outlineLvl w:val="3"/>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8"/>
          <w:szCs w:val="28"/>
          <w:highlight w:val="none"/>
        </w:rPr>
        <w:t>9、采购活动现场确认声明书</w:t>
      </w:r>
    </w:p>
    <w:p>
      <w:pPr>
        <w:spacing w:line="460" w:lineRule="exact"/>
        <w:rPr>
          <w:rFonts w:ascii="新宋体" w:hAnsi="新宋体" w:eastAsia="新宋体" w:cs="新宋体"/>
          <w:b/>
          <w:bCs/>
          <w:color w:val="auto"/>
          <w:sz w:val="22"/>
          <w:szCs w:val="22"/>
          <w:highlight w:val="none"/>
        </w:rPr>
      </w:pPr>
    </w:p>
    <w:p>
      <w:pPr>
        <w:spacing w:line="46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color w:val="auto"/>
          <w:kern w:val="0"/>
          <w:sz w:val="22"/>
          <w:szCs w:val="22"/>
          <w:highlight w:val="none"/>
          <w:lang w:bidi="ar"/>
        </w:rPr>
        <w:t>温州历程招标有限公司：</w:t>
      </w:r>
    </w:p>
    <w:p>
      <w:pPr>
        <w:spacing w:line="460" w:lineRule="exact"/>
        <w:ind w:firstLine="440" w:firstLineChars="200"/>
        <w:rPr>
          <w:rFonts w:hint="eastAsia"/>
          <w:color w:val="auto"/>
          <w:highlight w:val="none"/>
        </w:rPr>
      </w:pPr>
      <w:r>
        <w:rPr>
          <w:rFonts w:hint="eastAsia" w:ascii="新宋体" w:hAnsi="新宋体" w:eastAsia="新宋体" w:cs="新宋体"/>
          <w:color w:val="auto"/>
          <w:kern w:val="0"/>
          <w:sz w:val="22"/>
          <w:szCs w:val="22"/>
          <w:highlight w:val="none"/>
          <w:lang w:bidi="ar"/>
        </w:rPr>
        <w:t>本人经由</w:t>
      </w:r>
      <w:r>
        <w:rPr>
          <w:rFonts w:hint="eastAsia" w:ascii="新宋体" w:hAnsi="新宋体" w:eastAsia="新宋体" w:cs="新宋体"/>
          <w:color w:val="auto"/>
          <w:kern w:val="0"/>
          <w:sz w:val="22"/>
          <w:szCs w:val="22"/>
          <w:highlight w:val="none"/>
          <w:u w:val="single"/>
          <w:lang w:bidi="ar"/>
        </w:rPr>
        <w:t xml:space="preserve">            </w:t>
      </w:r>
      <w:r>
        <w:rPr>
          <w:rFonts w:hint="eastAsia" w:ascii="新宋体" w:hAnsi="新宋体" w:eastAsia="新宋体" w:cs="新宋体"/>
          <w:color w:val="auto"/>
          <w:kern w:val="0"/>
          <w:sz w:val="22"/>
          <w:szCs w:val="22"/>
          <w:highlight w:val="none"/>
          <w:lang w:bidi="ar"/>
        </w:rPr>
        <w:t>（供应商名称）负责人</w:t>
      </w:r>
      <w:r>
        <w:rPr>
          <w:rFonts w:hint="eastAsia" w:ascii="新宋体" w:hAnsi="新宋体" w:eastAsia="新宋体" w:cs="新宋体"/>
          <w:color w:val="auto"/>
          <w:kern w:val="0"/>
          <w:sz w:val="22"/>
          <w:szCs w:val="22"/>
          <w:highlight w:val="none"/>
          <w:u w:val="single"/>
          <w:lang w:bidi="ar"/>
        </w:rPr>
        <w:t xml:space="preserve">        </w:t>
      </w:r>
      <w:r>
        <w:rPr>
          <w:rFonts w:hint="eastAsia" w:ascii="新宋体" w:hAnsi="新宋体" w:eastAsia="新宋体" w:cs="新宋体"/>
          <w:color w:val="auto"/>
          <w:kern w:val="0"/>
          <w:sz w:val="22"/>
          <w:szCs w:val="22"/>
          <w:highlight w:val="none"/>
          <w:lang w:bidi="ar"/>
        </w:rPr>
        <w:t>（姓名）合法授权</w:t>
      </w:r>
      <w:r>
        <w:rPr>
          <w:rFonts w:hint="eastAsia" w:ascii="新宋体" w:hAnsi="新宋体" w:eastAsia="新宋体" w:cs="新宋体"/>
          <w:color w:val="auto"/>
          <w:kern w:val="0"/>
          <w:sz w:val="22"/>
          <w:szCs w:val="22"/>
          <w:highlight w:val="none"/>
        </w:rPr>
        <w:t>标段</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项目名称）</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 xml:space="preserve"> </w:t>
      </w:r>
      <w:r>
        <w:rPr>
          <w:rFonts w:hint="eastAsia" w:ascii="新宋体" w:hAnsi="新宋体" w:eastAsia="新宋体" w:cs="新宋体"/>
          <w:color w:val="auto"/>
          <w:kern w:val="0"/>
          <w:sz w:val="22"/>
          <w:szCs w:val="22"/>
          <w:highlight w:val="none"/>
          <w:u w:val="single"/>
          <w:lang w:bidi="ar"/>
        </w:rPr>
        <w:t xml:space="preserve"> </w:t>
      </w:r>
      <w:r>
        <w:rPr>
          <w:rFonts w:hint="eastAsia" w:ascii="新宋体" w:hAnsi="新宋体" w:eastAsia="新宋体" w:cs="新宋体"/>
          <w:color w:val="auto"/>
          <w:kern w:val="0"/>
          <w:sz w:val="22"/>
          <w:szCs w:val="22"/>
          <w:highlight w:val="none"/>
          <w:lang w:bidi="ar"/>
        </w:rPr>
        <w:t>（编号：</w:t>
      </w:r>
      <w:r>
        <w:rPr>
          <w:rFonts w:hint="eastAsia" w:ascii="新宋体" w:hAnsi="新宋体" w:eastAsia="新宋体" w:cs="新宋体"/>
          <w:color w:val="auto"/>
          <w:kern w:val="0"/>
          <w:sz w:val="22"/>
          <w:szCs w:val="22"/>
          <w:highlight w:val="none"/>
          <w:u w:val="single"/>
          <w:lang w:bidi="ar"/>
        </w:rPr>
        <w:t xml:space="preserve">                  </w:t>
      </w:r>
      <w:r>
        <w:rPr>
          <w:rFonts w:hint="eastAsia" w:ascii="新宋体" w:hAnsi="新宋体" w:eastAsia="新宋体" w:cs="新宋体"/>
          <w:color w:val="auto"/>
          <w:kern w:val="0"/>
          <w:sz w:val="22"/>
          <w:szCs w:val="22"/>
          <w:highlight w:val="none"/>
          <w:lang w:bidi="ar"/>
        </w:rPr>
        <w:t>、标段</w:t>
      </w:r>
      <w:r>
        <w:rPr>
          <w:rFonts w:hint="eastAsia" w:ascii="新宋体" w:hAnsi="新宋体" w:eastAsia="新宋体" w:cs="新宋体"/>
          <w:color w:val="auto"/>
          <w:kern w:val="0"/>
          <w:sz w:val="22"/>
          <w:szCs w:val="22"/>
          <w:highlight w:val="none"/>
          <w:u w:val="single"/>
          <w:lang w:bidi="ar"/>
        </w:rPr>
        <w:t xml:space="preserve">       </w:t>
      </w:r>
      <w:r>
        <w:rPr>
          <w:rFonts w:hint="eastAsia" w:ascii="新宋体" w:hAnsi="新宋体" w:eastAsia="新宋体" w:cs="新宋体"/>
          <w:color w:val="auto"/>
          <w:kern w:val="0"/>
          <w:sz w:val="22"/>
          <w:szCs w:val="22"/>
          <w:highlight w:val="none"/>
          <w:lang w:bidi="ar"/>
        </w:rPr>
        <w:t>）政府采购活动，经与本单位法人代表（负责人）联系确认，现就有关公平竞争事项郑重声明如下：</w:t>
      </w:r>
    </w:p>
    <w:p>
      <w:pPr>
        <w:numPr>
          <w:ilvl w:val="0"/>
          <w:numId w:val="4"/>
        </w:numPr>
        <w:spacing w:line="460" w:lineRule="exact"/>
        <w:rPr>
          <w:rFonts w:hint="eastAsia" w:ascii="新宋体" w:hAnsi="新宋体" w:eastAsia="新宋体" w:cs="新宋体"/>
          <w:color w:val="auto"/>
          <w:kern w:val="0"/>
          <w:sz w:val="22"/>
          <w:szCs w:val="22"/>
          <w:highlight w:val="none"/>
          <w:lang w:bidi="ar"/>
        </w:rPr>
      </w:pPr>
      <w:r>
        <w:rPr>
          <w:rFonts w:hint="eastAsia" w:ascii="新宋体" w:hAnsi="新宋体" w:eastAsia="新宋体" w:cs="新宋体"/>
          <w:color w:val="auto"/>
          <w:kern w:val="0"/>
          <w:sz w:val="22"/>
          <w:szCs w:val="22"/>
          <w:highlight w:val="none"/>
          <w:lang w:bidi="ar"/>
        </w:rPr>
        <w:t>本单位与招标人之间 □不存在利害关系 □存在下列利害关系：</w:t>
      </w:r>
      <w:r>
        <w:rPr>
          <w:rFonts w:hint="eastAsia" w:ascii="新宋体" w:hAnsi="新宋体" w:eastAsia="新宋体" w:cs="新宋体"/>
          <w:color w:val="auto"/>
          <w:kern w:val="0"/>
          <w:sz w:val="22"/>
          <w:szCs w:val="22"/>
          <w:highlight w:val="none"/>
          <w:lang w:bidi="ar"/>
        </w:rPr>
        <w:br w:type="textWrapping"/>
      </w:r>
      <w:r>
        <w:rPr>
          <w:rFonts w:hint="eastAsia" w:ascii="新宋体" w:hAnsi="新宋体" w:eastAsia="新宋体" w:cs="新宋体"/>
          <w:color w:val="auto"/>
          <w:kern w:val="0"/>
          <w:sz w:val="22"/>
          <w:szCs w:val="22"/>
          <w:highlight w:val="none"/>
          <w:lang w:bidi="ar"/>
        </w:rPr>
        <w:t xml:space="preserve">      A.投资关系    </w:t>
      </w:r>
    </w:p>
    <w:p>
      <w:pPr>
        <w:spacing w:line="460" w:lineRule="exact"/>
        <w:ind w:firstLine="660" w:firstLineChars="300"/>
        <w:rPr>
          <w:rFonts w:hint="eastAsia" w:ascii="新宋体" w:hAnsi="新宋体" w:eastAsia="新宋体" w:cs="新宋体"/>
          <w:color w:val="auto"/>
          <w:kern w:val="0"/>
          <w:sz w:val="22"/>
          <w:szCs w:val="22"/>
          <w:highlight w:val="none"/>
          <w:lang w:bidi="ar"/>
        </w:rPr>
      </w:pPr>
      <w:r>
        <w:rPr>
          <w:rFonts w:hint="eastAsia" w:ascii="新宋体" w:hAnsi="新宋体" w:eastAsia="新宋体" w:cs="新宋体"/>
          <w:color w:val="auto"/>
          <w:kern w:val="0"/>
          <w:sz w:val="22"/>
          <w:szCs w:val="22"/>
          <w:highlight w:val="none"/>
          <w:lang w:bidi="ar"/>
        </w:rPr>
        <w:t xml:space="preserve">B.行政隶属关系    </w:t>
      </w:r>
    </w:p>
    <w:p>
      <w:pPr>
        <w:spacing w:line="460" w:lineRule="exact"/>
        <w:ind w:firstLine="660" w:firstLineChars="300"/>
        <w:rPr>
          <w:rFonts w:hint="eastAsia" w:ascii="新宋体" w:hAnsi="新宋体" w:eastAsia="新宋体" w:cs="新宋体"/>
          <w:color w:val="auto"/>
          <w:kern w:val="0"/>
          <w:sz w:val="22"/>
          <w:szCs w:val="22"/>
          <w:highlight w:val="none"/>
          <w:lang w:bidi="ar"/>
        </w:rPr>
      </w:pPr>
      <w:r>
        <w:rPr>
          <w:rFonts w:hint="eastAsia" w:ascii="新宋体" w:hAnsi="新宋体" w:eastAsia="新宋体" w:cs="新宋体"/>
          <w:color w:val="auto"/>
          <w:kern w:val="0"/>
          <w:sz w:val="22"/>
          <w:szCs w:val="22"/>
          <w:highlight w:val="none"/>
          <w:lang w:bidi="ar"/>
        </w:rPr>
        <w:t xml:space="preserve">C.业务指导关系  </w:t>
      </w:r>
    </w:p>
    <w:p>
      <w:pPr>
        <w:spacing w:line="460" w:lineRule="exact"/>
        <w:ind w:firstLine="660" w:firstLineChars="300"/>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lang w:bidi="ar"/>
        </w:rPr>
        <w:t>D.其他可能影响采购公正的利害关系</w:t>
      </w:r>
      <w:r>
        <w:rPr>
          <w:rStyle w:val="182"/>
          <w:rFonts w:hint="default" w:ascii="新宋体" w:hAnsi="新宋体" w:eastAsia="新宋体" w:cs="新宋体"/>
          <w:color w:val="auto"/>
          <w:sz w:val="22"/>
          <w:szCs w:val="22"/>
          <w:highlight w:val="none"/>
          <w:lang w:bidi="ar"/>
        </w:rPr>
        <w:t xml:space="preserve">（如有，请如实说明）                 </w:t>
      </w:r>
      <w:r>
        <w:rPr>
          <w:rFonts w:hint="eastAsia" w:ascii="新宋体" w:hAnsi="新宋体" w:eastAsia="新宋体" w:cs="新宋体"/>
          <w:color w:val="auto"/>
          <w:kern w:val="0"/>
          <w:sz w:val="22"/>
          <w:szCs w:val="22"/>
          <w:highlight w:val="none"/>
          <w:lang w:bidi="ar"/>
        </w:rPr>
        <w:t>。</w:t>
      </w:r>
    </w:p>
    <w:p>
      <w:pPr>
        <w:numPr>
          <w:ilvl w:val="0"/>
          <w:numId w:val="4"/>
        </w:numPr>
        <w:spacing w:line="460" w:lineRule="exact"/>
        <w:rPr>
          <w:rFonts w:hint="eastAsia" w:ascii="新宋体" w:hAnsi="新宋体" w:eastAsia="新宋体" w:cs="新宋体"/>
          <w:color w:val="auto"/>
          <w:kern w:val="0"/>
          <w:sz w:val="22"/>
          <w:szCs w:val="22"/>
          <w:highlight w:val="none"/>
          <w:lang w:bidi="ar"/>
        </w:rPr>
      </w:pPr>
      <w:r>
        <w:rPr>
          <w:rFonts w:hint="eastAsia" w:ascii="新宋体" w:hAnsi="新宋体" w:eastAsia="新宋体" w:cs="新宋体"/>
          <w:color w:val="auto"/>
          <w:kern w:val="0"/>
          <w:sz w:val="22"/>
          <w:szCs w:val="22"/>
          <w:highlight w:val="none"/>
          <w:lang w:bidi="ar"/>
        </w:rPr>
        <w:t xml:space="preserve">现已清楚知道参加本项目采购活动的其他所有供应商名称，本单位 </w:t>
      </w:r>
      <w:r>
        <w:rPr>
          <w:rFonts w:hint="eastAsia" w:ascii="新宋体" w:hAnsi="新宋体" w:eastAsia="新宋体" w:cs="新宋体"/>
          <w:color w:val="auto"/>
          <w:kern w:val="0"/>
          <w:sz w:val="22"/>
          <w:szCs w:val="22"/>
          <w:highlight w:val="none"/>
          <w:lang w:bidi="ar"/>
        </w:rPr>
        <w:br w:type="textWrapping"/>
      </w:r>
      <w:r>
        <w:rPr>
          <w:rFonts w:hint="eastAsia" w:ascii="新宋体" w:hAnsi="新宋体" w:eastAsia="新宋体" w:cs="新宋体"/>
          <w:color w:val="auto"/>
          <w:kern w:val="0"/>
          <w:sz w:val="22"/>
          <w:szCs w:val="22"/>
          <w:highlight w:val="none"/>
          <w:lang w:bidi="ar"/>
        </w:rPr>
        <w:t xml:space="preserve">      □与其他所有供应商之间均不存在利害关系 </w:t>
      </w:r>
      <w:r>
        <w:rPr>
          <w:rFonts w:hint="eastAsia" w:ascii="新宋体" w:hAnsi="新宋体" w:eastAsia="新宋体" w:cs="新宋体"/>
          <w:color w:val="auto"/>
          <w:kern w:val="0"/>
          <w:sz w:val="22"/>
          <w:szCs w:val="22"/>
          <w:highlight w:val="none"/>
          <w:lang w:bidi="ar"/>
        </w:rPr>
        <w:br w:type="textWrapping"/>
      </w:r>
      <w:r>
        <w:rPr>
          <w:rFonts w:hint="eastAsia" w:ascii="新宋体" w:hAnsi="新宋体" w:eastAsia="新宋体" w:cs="新宋体"/>
          <w:color w:val="auto"/>
          <w:kern w:val="0"/>
          <w:sz w:val="22"/>
          <w:szCs w:val="22"/>
          <w:highlight w:val="none"/>
          <w:lang w:bidi="ar"/>
        </w:rPr>
        <w:t xml:space="preserve">      □与</w:t>
      </w:r>
      <w:r>
        <w:rPr>
          <w:rFonts w:hint="eastAsia" w:ascii="新宋体" w:hAnsi="新宋体" w:eastAsia="新宋体" w:cs="新宋体"/>
          <w:color w:val="auto"/>
          <w:kern w:val="0"/>
          <w:sz w:val="22"/>
          <w:szCs w:val="22"/>
          <w:highlight w:val="none"/>
          <w:u w:val="single"/>
          <w:lang w:bidi="ar"/>
        </w:rPr>
        <w:t xml:space="preserve">           （</w:t>
      </w:r>
      <w:r>
        <w:rPr>
          <w:rFonts w:hint="eastAsia" w:ascii="新宋体" w:hAnsi="新宋体" w:eastAsia="新宋体" w:cs="新宋体"/>
          <w:color w:val="auto"/>
          <w:kern w:val="0"/>
          <w:sz w:val="22"/>
          <w:szCs w:val="22"/>
          <w:highlight w:val="none"/>
          <w:lang w:bidi="ar"/>
        </w:rPr>
        <w:t>供应商名称）之间存在下列利害关系</w:t>
      </w:r>
      <w:r>
        <w:rPr>
          <w:rFonts w:hint="eastAsia" w:ascii="新宋体" w:hAnsi="新宋体" w:eastAsia="新宋体" w:cs="新宋体"/>
          <w:color w:val="auto"/>
          <w:kern w:val="0"/>
          <w:sz w:val="22"/>
          <w:szCs w:val="22"/>
          <w:highlight w:val="none"/>
          <w:u w:val="single"/>
          <w:lang w:bidi="ar"/>
        </w:rPr>
        <w:t xml:space="preserve">          </w:t>
      </w:r>
      <w:r>
        <w:rPr>
          <w:rFonts w:hint="eastAsia" w:ascii="新宋体" w:hAnsi="新宋体" w:eastAsia="新宋体" w:cs="新宋体"/>
          <w:color w:val="auto"/>
          <w:kern w:val="0"/>
          <w:sz w:val="22"/>
          <w:szCs w:val="22"/>
          <w:highlight w:val="none"/>
          <w:lang w:bidi="ar"/>
        </w:rPr>
        <w:t>：</w:t>
      </w:r>
      <w:r>
        <w:rPr>
          <w:rFonts w:hint="eastAsia" w:ascii="新宋体" w:hAnsi="新宋体" w:eastAsia="新宋体" w:cs="新宋体"/>
          <w:color w:val="auto"/>
          <w:kern w:val="0"/>
          <w:sz w:val="22"/>
          <w:szCs w:val="22"/>
          <w:highlight w:val="none"/>
          <w:lang w:bidi="ar"/>
        </w:rPr>
        <w:br w:type="textWrapping"/>
      </w:r>
      <w:r>
        <w:rPr>
          <w:rFonts w:hint="eastAsia" w:ascii="新宋体" w:hAnsi="新宋体" w:eastAsia="新宋体" w:cs="新宋体"/>
          <w:color w:val="auto"/>
          <w:kern w:val="0"/>
          <w:sz w:val="22"/>
          <w:szCs w:val="22"/>
          <w:highlight w:val="none"/>
          <w:lang w:bidi="ar"/>
        </w:rPr>
        <w:t xml:space="preserve">      A.法定代表人或负责人或实际控制人是同一人</w:t>
      </w:r>
      <w:r>
        <w:rPr>
          <w:rFonts w:hint="eastAsia" w:ascii="新宋体" w:hAnsi="新宋体" w:eastAsia="新宋体" w:cs="新宋体"/>
          <w:color w:val="auto"/>
          <w:kern w:val="0"/>
          <w:sz w:val="22"/>
          <w:szCs w:val="22"/>
          <w:highlight w:val="none"/>
          <w:lang w:bidi="ar"/>
        </w:rPr>
        <w:br w:type="textWrapping"/>
      </w:r>
      <w:r>
        <w:rPr>
          <w:rFonts w:hint="eastAsia" w:ascii="新宋体" w:hAnsi="新宋体" w:eastAsia="新宋体" w:cs="新宋体"/>
          <w:color w:val="auto"/>
          <w:kern w:val="0"/>
          <w:sz w:val="22"/>
          <w:szCs w:val="22"/>
          <w:highlight w:val="none"/>
          <w:lang w:bidi="ar"/>
        </w:rPr>
        <w:t xml:space="preserve">      B.法定代表人或负责人或实际控制人是夫妻关系</w:t>
      </w:r>
      <w:r>
        <w:rPr>
          <w:rFonts w:hint="eastAsia" w:ascii="新宋体" w:hAnsi="新宋体" w:eastAsia="新宋体" w:cs="新宋体"/>
          <w:color w:val="auto"/>
          <w:kern w:val="0"/>
          <w:sz w:val="22"/>
          <w:szCs w:val="22"/>
          <w:highlight w:val="none"/>
          <w:lang w:bidi="ar"/>
        </w:rPr>
        <w:br w:type="textWrapping"/>
      </w:r>
      <w:r>
        <w:rPr>
          <w:rFonts w:hint="eastAsia" w:ascii="新宋体" w:hAnsi="新宋体" w:eastAsia="新宋体" w:cs="新宋体"/>
          <w:color w:val="auto"/>
          <w:kern w:val="0"/>
          <w:sz w:val="22"/>
          <w:szCs w:val="22"/>
          <w:highlight w:val="none"/>
          <w:lang w:bidi="ar"/>
        </w:rPr>
        <w:t xml:space="preserve">      C.法定代表人或负责人或实际控制人是直系血亲关系</w:t>
      </w:r>
      <w:r>
        <w:rPr>
          <w:rFonts w:hint="eastAsia" w:ascii="新宋体" w:hAnsi="新宋体" w:eastAsia="新宋体" w:cs="新宋体"/>
          <w:color w:val="auto"/>
          <w:kern w:val="0"/>
          <w:sz w:val="22"/>
          <w:szCs w:val="22"/>
          <w:highlight w:val="none"/>
          <w:lang w:bidi="ar"/>
        </w:rPr>
        <w:br w:type="textWrapping"/>
      </w:r>
      <w:r>
        <w:rPr>
          <w:rFonts w:hint="eastAsia" w:ascii="新宋体" w:hAnsi="新宋体" w:eastAsia="新宋体" w:cs="新宋体"/>
          <w:color w:val="auto"/>
          <w:kern w:val="0"/>
          <w:sz w:val="22"/>
          <w:szCs w:val="22"/>
          <w:highlight w:val="none"/>
          <w:lang w:bidi="ar"/>
        </w:rPr>
        <w:t xml:space="preserve">      D.法定代表人或负责人或实际控制人存在三代以内旁系血亲关系</w:t>
      </w:r>
      <w:r>
        <w:rPr>
          <w:rFonts w:hint="eastAsia" w:ascii="新宋体" w:hAnsi="新宋体" w:eastAsia="新宋体" w:cs="新宋体"/>
          <w:color w:val="auto"/>
          <w:kern w:val="0"/>
          <w:sz w:val="22"/>
          <w:szCs w:val="22"/>
          <w:highlight w:val="none"/>
          <w:lang w:bidi="ar"/>
        </w:rPr>
        <w:br w:type="textWrapping"/>
      </w:r>
      <w:r>
        <w:rPr>
          <w:rFonts w:hint="eastAsia" w:ascii="新宋体" w:hAnsi="新宋体" w:eastAsia="新宋体" w:cs="新宋体"/>
          <w:color w:val="auto"/>
          <w:kern w:val="0"/>
          <w:sz w:val="22"/>
          <w:szCs w:val="22"/>
          <w:highlight w:val="none"/>
          <w:lang w:bidi="ar"/>
        </w:rPr>
        <w:t xml:space="preserve">      E.法定代表人或负责人或实际控制人存在近姻亲关系</w:t>
      </w:r>
      <w:r>
        <w:rPr>
          <w:rFonts w:hint="eastAsia" w:ascii="新宋体" w:hAnsi="新宋体" w:eastAsia="新宋体" w:cs="新宋体"/>
          <w:color w:val="auto"/>
          <w:kern w:val="0"/>
          <w:sz w:val="22"/>
          <w:szCs w:val="22"/>
          <w:highlight w:val="none"/>
          <w:lang w:bidi="ar"/>
        </w:rPr>
        <w:br w:type="textWrapping"/>
      </w:r>
      <w:r>
        <w:rPr>
          <w:rFonts w:hint="eastAsia" w:ascii="新宋体" w:hAnsi="新宋体" w:eastAsia="新宋体" w:cs="新宋体"/>
          <w:color w:val="auto"/>
          <w:kern w:val="0"/>
          <w:sz w:val="22"/>
          <w:szCs w:val="22"/>
          <w:highlight w:val="none"/>
          <w:lang w:bidi="ar"/>
        </w:rPr>
        <w:t xml:space="preserve">      F.法定代表人或负责人或实际控制人存在股份控制或实际控制关系</w:t>
      </w:r>
      <w:r>
        <w:rPr>
          <w:rFonts w:hint="eastAsia" w:ascii="新宋体" w:hAnsi="新宋体" w:eastAsia="新宋体" w:cs="新宋体"/>
          <w:color w:val="auto"/>
          <w:kern w:val="0"/>
          <w:sz w:val="22"/>
          <w:szCs w:val="22"/>
          <w:highlight w:val="none"/>
          <w:lang w:bidi="ar"/>
        </w:rPr>
        <w:br w:type="textWrapping"/>
      </w:r>
      <w:r>
        <w:rPr>
          <w:rFonts w:hint="eastAsia" w:ascii="新宋体" w:hAnsi="新宋体" w:eastAsia="新宋体" w:cs="新宋体"/>
          <w:color w:val="auto"/>
          <w:kern w:val="0"/>
          <w:sz w:val="22"/>
          <w:szCs w:val="22"/>
          <w:highlight w:val="none"/>
          <w:lang w:bidi="ar"/>
        </w:rPr>
        <w:t xml:space="preserve">      G.存在共同直接或间接投资设立子公司、联营企业和合营企业情况</w:t>
      </w:r>
      <w:r>
        <w:rPr>
          <w:rFonts w:hint="eastAsia" w:ascii="新宋体" w:hAnsi="新宋体" w:eastAsia="新宋体" w:cs="新宋体"/>
          <w:color w:val="auto"/>
          <w:kern w:val="0"/>
          <w:sz w:val="22"/>
          <w:szCs w:val="22"/>
          <w:highlight w:val="none"/>
          <w:lang w:bidi="ar"/>
        </w:rPr>
        <w:br w:type="textWrapping"/>
      </w:r>
      <w:r>
        <w:rPr>
          <w:rFonts w:hint="eastAsia" w:ascii="新宋体" w:hAnsi="新宋体" w:eastAsia="新宋体" w:cs="新宋体"/>
          <w:color w:val="auto"/>
          <w:kern w:val="0"/>
          <w:sz w:val="22"/>
          <w:szCs w:val="22"/>
          <w:highlight w:val="none"/>
          <w:lang w:bidi="ar"/>
        </w:rPr>
        <w:t xml:space="preserve">      H.存在分级代理或代销关系、同一生产制造商关系、管理关系、重要业务（占主营业务收入50%以上）或重要财务往来关系（如融资）等其他实质性控制关系</w:t>
      </w:r>
      <w:r>
        <w:rPr>
          <w:rFonts w:hint="eastAsia" w:ascii="新宋体" w:hAnsi="新宋体" w:eastAsia="新宋体" w:cs="新宋体"/>
          <w:color w:val="auto"/>
          <w:kern w:val="0"/>
          <w:sz w:val="22"/>
          <w:szCs w:val="22"/>
          <w:highlight w:val="none"/>
          <w:lang w:bidi="ar"/>
        </w:rPr>
        <w:br w:type="textWrapping"/>
      </w:r>
      <w:r>
        <w:rPr>
          <w:rFonts w:hint="eastAsia" w:ascii="新宋体" w:hAnsi="新宋体" w:eastAsia="新宋体" w:cs="新宋体"/>
          <w:color w:val="auto"/>
          <w:kern w:val="0"/>
          <w:sz w:val="22"/>
          <w:szCs w:val="22"/>
          <w:highlight w:val="none"/>
          <w:lang w:bidi="ar"/>
        </w:rPr>
        <w:t xml:space="preserve">      I.其他利害关系情况</w:t>
      </w:r>
      <w:r>
        <w:rPr>
          <w:rFonts w:hint="eastAsia" w:ascii="新宋体" w:hAnsi="新宋体" w:eastAsia="新宋体" w:cs="新宋体"/>
          <w:color w:val="auto"/>
          <w:kern w:val="0"/>
          <w:sz w:val="22"/>
          <w:szCs w:val="22"/>
          <w:highlight w:val="none"/>
          <w:u w:val="single"/>
          <w:lang w:bidi="ar"/>
        </w:rPr>
        <w:t xml:space="preserve">                              。</w:t>
      </w:r>
    </w:p>
    <w:p>
      <w:pPr>
        <w:pStyle w:val="23"/>
        <w:spacing w:line="460" w:lineRule="exact"/>
        <w:ind w:left="0" w:firstLine="0" w:firstLineChars="0"/>
        <w:rPr>
          <w:rFonts w:hint="eastAsia" w:ascii="新宋体" w:hAnsi="新宋体" w:eastAsia="新宋体" w:cs="新宋体"/>
          <w:color w:val="auto"/>
          <w:kern w:val="0"/>
          <w:sz w:val="22"/>
          <w:szCs w:val="22"/>
          <w:highlight w:val="none"/>
          <w:lang w:bidi="ar"/>
        </w:rPr>
      </w:pPr>
      <w:r>
        <w:rPr>
          <w:rFonts w:hint="eastAsia" w:ascii="新宋体" w:hAnsi="新宋体" w:eastAsia="新宋体" w:cs="新宋体"/>
          <w:color w:val="auto"/>
          <w:kern w:val="0"/>
          <w:sz w:val="22"/>
          <w:szCs w:val="22"/>
          <w:highlight w:val="none"/>
          <w:lang w:bidi="ar"/>
        </w:rPr>
        <w:t>（三）现已清楚知道并严格遵守政府采购法律法规和现场纪律</w:t>
      </w:r>
    </w:p>
    <w:p>
      <w:pPr>
        <w:pStyle w:val="23"/>
        <w:spacing w:line="460" w:lineRule="exact"/>
        <w:ind w:left="0" w:firstLine="0" w:firstLineChars="0"/>
        <w:rPr>
          <w:rFonts w:hint="eastAsia" w:ascii="新宋体" w:hAnsi="新宋体" w:eastAsia="新宋体" w:cs="新宋体"/>
          <w:color w:val="auto"/>
          <w:kern w:val="0"/>
          <w:sz w:val="22"/>
          <w:szCs w:val="22"/>
          <w:highlight w:val="none"/>
          <w:lang w:bidi="ar"/>
        </w:rPr>
      </w:pPr>
      <w:r>
        <w:rPr>
          <w:rFonts w:hint="eastAsia" w:ascii="新宋体" w:hAnsi="新宋体" w:eastAsia="新宋体" w:cs="新宋体"/>
          <w:color w:val="auto"/>
          <w:kern w:val="0"/>
          <w:sz w:val="22"/>
          <w:szCs w:val="22"/>
          <w:highlight w:val="none"/>
          <w:lang w:bidi="ar"/>
        </w:rPr>
        <w:t>（四）我发现</w:t>
      </w:r>
      <w:r>
        <w:rPr>
          <w:rStyle w:val="182"/>
          <w:rFonts w:hint="default" w:ascii="新宋体" w:hAnsi="新宋体" w:eastAsia="新宋体" w:cs="新宋体"/>
          <w:color w:val="auto"/>
          <w:sz w:val="22"/>
          <w:szCs w:val="22"/>
          <w:highlight w:val="none"/>
          <w:lang w:bidi="ar"/>
        </w:rPr>
        <w:t xml:space="preserve">                  与                  （供应商名称）</w:t>
      </w:r>
      <w:r>
        <w:rPr>
          <w:rFonts w:hint="eastAsia" w:ascii="新宋体" w:hAnsi="新宋体" w:eastAsia="新宋体" w:cs="新宋体"/>
          <w:color w:val="auto"/>
          <w:kern w:val="0"/>
          <w:sz w:val="22"/>
          <w:szCs w:val="22"/>
          <w:highlight w:val="none"/>
          <w:lang w:bidi="ar"/>
        </w:rPr>
        <w:t>之间存在或可能存在上述第二条第</w:t>
      </w:r>
      <w:r>
        <w:rPr>
          <w:rStyle w:val="182"/>
          <w:rFonts w:hint="default" w:ascii="新宋体" w:hAnsi="新宋体" w:eastAsia="新宋体" w:cs="新宋体"/>
          <w:color w:val="auto"/>
          <w:sz w:val="22"/>
          <w:szCs w:val="22"/>
          <w:highlight w:val="none"/>
          <w:lang w:bidi="ar"/>
        </w:rPr>
        <w:t xml:space="preserve">        </w:t>
      </w:r>
      <w:r>
        <w:rPr>
          <w:rFonts w:hint="eastAsia" w:ascii="新宋体" w:hAnsi="新宋体" w:eastAsia="新宋体" w:cs="新宋体"/>
          <w:color w:val="auto"/>
          <w:kern w:val="0"/>
          <w:sz w:val="22"/>
          <w:szCs w:val="22"/>
          <w:highlight w:val="none"/>
          <w:lang w:bidi="ar"/>
        </w:rPr>
        <w:t>项利害关系。</w:t>
      </w:r>
    </w:p>
    <w:p>
      <w:pPr>
        <w:pStyle w:val="23"/>
        <w:spacing w:line="460" w:lineRule="exact"/>
        <w:ind w:left="0" w:firstLine="0" w:firstLineChars="0"/>
        <w:rPr>
          <w:rFonts w:ascii="新宋体" w:hAnsi="新宋体" w:eastAsia="新宋体" w:cs="新宋体"/>
          <w:b/>
          <w:color w:val="auto"/>
          <w:kern w:val="0"/>
          <w:sz w:val="22"/>
          <w:szCs w:val="22"/>
          <w:highlight w:val="none"/>
          <w:lang w:bidi="ar"/>
        </w:rPr>
      </w:pPr>
      <w:r>
        <w:rPr>
          <w:rFonts w:hint="eastAsia" w:ascii="新宋体" w:hAnsi="新宋体" w:eastAsia="新宋体" w:cs="新宋体"/>
          <w:b/>
          <w:color w:val="auto"/>
          <w:kern w:val="0"/>
          <w:sz w:val="22"/>
          <w:szCs w:val="22"/>
          <w:highlight w:val="none"/>
          <w:lang w:bidi="ar"/>
        </w:rPr>
        <w:t>供应商代表签名:</w:t>
      </w:r>
    </w:p>
    <w:p>
      <w:pPr>
        <w:pStyle w:val="23"/>
        <w:spacing w:line="460" w:lineRule="exact"/>
        <w:ind w:left="0" w:firstLine="0" w:firstLineChars="0"/>
        <w:jc w:val="right"/>
        <w:rPr>
          <w:rFonts w:hint="eastAsia" w:ascii="新宋体" w:hAnsi="新宋体" w:eastAsia="新宋体" w:cs="新宋体"/>
          <w:b/>
          <w:color w:val="auto"/>
          <w:kern w:val="0"/>
          <w:sz w:val="22"/>
          <w:szCs w:val="22"/>
          <w:highlight w:val="none"/>
          <w:lang w:bidi="ar"/>
        </w:rPr>
      </w:pPr>
    </w:p>
    <w:p>
      <w:pPr>
        <w:pStyle w:val="23"/>
        <w:spacing w:line="460" w:lineRule="exact"/>
        <w:ind w:left="0" w:firstLine="0" w:firstLineChars="0"/>
        <w:jc w:val="right"/>
        <w:rPr>
          <w:rFonts w:hint="eastAsia" w:ascii="新宋体" w:hAnsi="新宋体" w:eastAsia="新宋体" w:cs="新宋体"/>
          <w:b/>
          <w:color w:val="auto"/>
          <w:kern w:val="0"/>
          <w:sz w:val="22"/>
          <w:szCs w:val="22"/>
          <w:highlight w:val="none"/>
          <w:lang w:bidi="ar"/>
        </w:rPr>
      </w:pPr>
    </w:p>
    <w:p>
      <w:pPr>
        <w:spacing w:line="380" w:lineRule="exact"/>
        <w:jc w:val="right"/>
        <w:rPr>
          <w:rFonts w:hint="eastAsia" w:ascii="新宋体" w:hAnsi="新宋体" w:eastAsia="新宋体" w:cs="新宋体"/>
          <w:b/>
          <w:color w:val="auto"/>
          <w:kern w:val="0"/>
          <w:sz w:val="22"/>
          <w:szCs w:val="22"/>
          <w:highlight w:val="none"/>
          <w:lang w:bidi="ar"/>
        </w:rPr>
      </w:pPr>
      <w:r>
        <w:rPr>
          <w:rFonts w:hint="eastAsia" w:ascii="新宋体" w:hAnsi="新宋体" w:eastAsia="新宋体" w:cs="新宋体"/>
          <w:b/>
          <w:color w:val="auto"/>
          <w:kern w:val="0"/>
          <w:sz w:val="22"/>
          <w:szCs w:val="22"/>
          <w:highlight w:val="none"/>
          <w:lang w:bidi="ar"/>
        </w:rPr>
        <w:t>日期:2020年    月    日</w:t>
      </w:r>
    </w:p>
    <w:p>
      <w:pPr>
        <w:pStyle w:val="9"/>
        <w:rPr>
          <w:rFonts w:hint="eastAsia"/>
          <w:color w:val="auto"/>
          <w:highlight w:val="none"/>
        </w:rPr>
      </w:pPr>
    </w:p>
    <w:p>
      <w:pPr>
        <w:outlineLvl w:val="1"/>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附件三</w:t>
      </w:r>
    </w:p>
    <w:p>
      <w:pPr>
        <w:spacing w:line="380" w:lineRule="exact"/>
        <w:jc w:val="center"/>
        <w:outlineLvl w:val="2"/>
        <w:rPr>
          <w:rFonts w:ascii="新宋体" w:hAnsi="新宋体" w:eastAsia="新宋体" w:cs="新宋体"/>
          <w:b/>
          <w:color w:val="auto"/>
          <w:sz w:val="22"/>
          <w:szCs w:val="22"/>
          <w:highlight w:val="none"/>
        </w:rPr>
      </w:pPr>
      <w:r>
        <w:rPr>
          <w:rFonts w:hint="eastAsia" w:ascii="新宋体" w:hAnsi="新宋体" w:eastAsia="新宋体" w:cs="新宋体"/>
          <w:b/>
          <w:bCs/>
          <w:color w:val="auto"/>
          <w:sz w:val="28"/>
          <w:szCs w:val="28"/>
          <w:highlight w:val="none"/>
        </w:rPr>
        <w:t>商务技术文件</w:t>
      </w:r>
    </w:p>
    <w:p>
      <w:pPr>
        <w:spacing w:line="380" w:lineRule="exact"/>
        <w:jc w:val="center"/>
        <w:outlineLvl w:val="3"/>
        <w:rPr>
          <w:rFonts w:hint="eastAsia" w:ascii="新宋体" w:hAnsi="新宋体" w:eastAsia="新宋体" w:cs="新宋体"/>
          <w:b/>
          <w:color w:val="auto"/>
          <w:sz w:val="22"/>
          <w:szCs w:val="22"/>
          <w:highlight w:val="none"/>
        </w:rPr>
      </w:pPr>
      <w:r>
        <w:rPr>
          <w:rFonts w:hint="eastAsia" w:ascii="新宋体" w:hAnsi="新宋体" w:eastAsia="新宋体" w:cs="新宋体"/>
          <w:b/>
          <w:bCs/>
          <w:color w:val="auto"/>
          <w:sz w:val="28"/>
          <w:szCs w:val="28"/>
          <w:highlight w:val="none"/>
        </w:rPr>
        <w:t>1、法定代表人授权书</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olor w:val="auto"/>
          <w:sz w:val="22"/>
          <w:szCs w:val="22"/>
          <w:highlight w:val="none"/>
        </w:rPr>
        <w:t>温州市公安局瓯江口分局</w:t>
      </w:r>
      <w:r>
        <w:rPr>
          <w:rFonts w:hint="eastAsia" w:ascii="新宋体" w:hAnsi="新宋体" w:eastAsia="新宋体" w:cs="新宋体"/>
          <w:color w:val="auto"/>
          <w:sz w:val="22"/>
          <w:szCs w:val="22"/>
          <w:highlight w:val="none"/>
        </w:rPr>
        <w:t>：</w:t>
      </w:r>
    </w:p>
    <w:p>
      <w:pPr>
        <w:spacing w:line="460" w:lineRule="exact"/>
        <w:rPr>
          <w:rFonts w:hint="eastAsia" w:ascii="新宋体" w:hAnsi="新宋体" w:eastAsia="新宋体" w:cs="新宋体"/>
          <w:color w:val="auto"/>
          <w:sz w:val="22"/>
          <w:szCs w:val="22"/>
          <w:highlight w:val="none"/>
          <w:u w:val="single"/>
        </w:rPr>
      </w:pPr>
    </w:p>
    <w:p>
      <w:pPr>
        <w:spacing w:line="460" w:lineRule="exact"/>
        <w:ind w:firstLine="550" w:firstLine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（投标人全称）法定代表人</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授权</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（全权代表姓名）为全权代表，参加贵处组织的（（项目名称：</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、编号：</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、标段：</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）的招标活动，全权代表我方处理招标活动中的一切事宜。</w:t>
      </w:r>
    </w:p>
    <w:p>
      <w:pPr>
        <w:spacing w:line="460" w:lineRule="exact"/>
        <w:ind w:firstLine="2955"/>
        <w:rPr>
          <w:rFonts w:hint="eastAsia" w:ascii="新宋体" w:hAnsi="新宋体" w:eastAsia="新宋体" w:cs="新宋体"/>
          <w:color w:val="auto"/>
          <w:sz w:val="22"/>
          <w:szCs w:val="22"/>
          <w:highlight w:val="none"/>
        </w:rPr>
      </w:pPr>
    </w:p>
    <w:p>
      <w:pPr>
        <w:spacing w:line="460" w:lineRule="exact"/>
        <w:ind w:firstLine="295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w:t>
      </w:r>
    </w:p>
    <w:p>
      <w:pPr>
        <w:spacing w:line="460" w:lineRule="exact"/>
        <w:ind w:firstLine="4081" w:firstLineChars="185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法定代表人  (签字或盖章)：</w:t>
      </w:r>
    </w:p>
    <w:p>
      <w:pPr>
        <w:spacing w:line="460" w:lineRule="exact"/>
        <w:ind w:firstLine="295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投标人全称（公章）：</w:t>
      </w:r>
    </w:p>
    <w:p>
      <w:pPr>
        <w:spacing w:line="460" w:lineRule="exact"/>
        <w:ind w:firstLine="295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日   期：  </w:t>
      </w:r>
    </w:p>
    <w:p>
      <w:pPr>
        <w:spacing w:line="380" w:lineRule="exact"/>
        <w:rPr>
          <w:rFonts w:hint="eastAsia" w:ascii="新宋体" w:hAnsi="新宋体" w:eastAsia="新宋体" w:cs="新宋体"/>
          <w:color w:val="auto"/>
          <w:sz w:val="22"/>
          <w:szCs w:val="22"/>
          <w:highlight w:val="none"/>
        </w:rPr>
      </w:pPr>
    </w:p>
    <w:p>
      <w:pPr>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附：</w:t>
      </w:r>
    </w:p>
    <w:p>
      <w:pPr>
        <w:spacing w:line="460" w:lineRule="exact"/>
        <w:ind w:firstLine="539"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color w:val="auto"/>
          <w:sz w:val="22"/>
          <w:szCs w:val="22"/>
          <w:highlight w:val="none"/>
        </w:rPr>
        <w:t xml:space="preserve">授权代表姓名：                               </w:t>
      </w:r>
    </w:p>
    <w:p>
      <w:pPr>
        <w:spacing w:line="460" w:lineRule="exact"/>
        <w:ind w:firstLine="539"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color w:val="auto"/>
          <w:sz w:val="22"/>
          <w:szCs w:val="22"/>
          <w:highlight w:val="none"/>
        </w:rPr>
        <w:t>职务：</w:t>
      </w:r>
    </w:p>
    <w:p>
      <w:pPr>
        <w:spacing w:line="460" w:lineRule="exact"/>
        <w:ind w:firstLine="539"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color w:val="auto"/>
          <w:sz w:val="22"/>
          <w:szCs w:val="22"/>
          <w:highlight w:val="none"/>
        </w:rPr>
        <w:t>详细通讯地址：</w:t>
      </w:r>
    </w:p>
    <w:p>
      <w:pPr>
        <w:spacing w:line="460" w:lineRule="exact"/>
        <w:ind w:firstLine="539"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color w:val="auto"/>
          <w:sz w:val="22"/>
          <w:szCs w:val="22"/>
          <w:highlight w:val="none"/>
        </w:rPr>
        <w:t>电话：</w:t>
      </w:r>
    </w:p>
    <w:p>
      <w:pPr>
        <w:spacing w:line="460" w:lineRule="exact"/>
        <w:ind w:firstLine="539"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color w:val="auto"/>
          <w:sz w:val="22"/>
          <w:szCs w:val="22"/>
          <w:highlight w:val="none"/>
        </w:rPr>
        <w:t>传真：</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邮政编码:</w:t>
      </w:r>
    </w:p>
    <w:p>
      <w:pPr>
        <w:pStyle w:val="9"/>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pStyle w:val="9"/>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pStyle w:val="9"/>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pStyle w:val="9"/>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highlight w:val="none"/>
        </w:rPr>
      </w:pPr>
    </w:p>
    <w:p>
      <w:pPr>
        <w:pStyle w:val="9"/>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pStyle w:val="23"/>
        <w:ind w:left="440" w:hanging="440"/>
        <w:rPr>
          <w:rFonts w:hint="eastAsia" w:ascii="新宋体" w:hAnsi="新宋体" w:eastAsia="新宋体" w:cs="新宋体"/>
          <w:color w:val="auto"/>
          <w:sz w:val="22"/>
          <w:szCs w:val="22"/>
          <w:highlight w:val="none"/>
        </w:rPr>
      </w:pPr>
    </w:p>
    <w:p>
      <w:pPr>
        <w:pStyle w:val="23"/>
        <w:ind w:left="440" w:hanging="440"/>
        <w:rPr>
          <w:rFonts w:hint="eastAsia" w:ascii="新宋体" w:hAnsi="新宋体" w:eastAsia="新宋体" w:cs="新宋体"/>
          <w:color w:val="auto"/>
          <w:sz w:val="22"/>
          <w:szCs w:val="22"/>
          <w:highlight w:val="none"/>
        </w:rPr>
      </w:pPr>
    </w:p>
    <w:p>
      <w:pPr>
        <w:pStyle w:val="23"/>
        <w:ind w:left="440" w:hanging="440"/>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pStyle w:val="9"/>
        <w:rPr>
          <w:rFonts w:hint="eastAsia" w:ascii="新宋体" w:hAnsi="新宋体" w:eastAsia="新宋体" w:cs="新宋体"/>
          <w:color w:val="auto"/>
          <w:sz w:val="22"/>
          <w:szCs w:val="22"/>
          <w:highlight w:val="none"/>
        </w:rPr>
      </w:pPr>
    </w:p>
    <w:p>
      <w:pPr>
        <w:rPr>
          <w:rFonts w:hint="eastAsia" w:ascii="新宋体" w:hAnsi="新宋体" w:eastAsia="新宋体" w:cs="新宋体"/>
          <w:color w:val="auto"/>
          <w:sz w:val="22"/>
          <w:szCs w:val="22"/>
          <w:highlight w:val="none"/>
        </w:rPr>
      </w:pPr>
    </w:p>
    <w:p>
      <w:pPr>
        <w:pStyle w:val="9"/>
        <w:ind w:firstLine="0"/>
        <w:rPr>
          <w:rFonts w:hint="eastAsia" w:ascii="新宋体" w:hAnsi="新宋体" w:eastAsia="新宋体" w:cs="新宋体"/>
          <w:color w:val="auto"/>
          <w:highlight w:val="none"/>
        </w:rPr>
      </w:pPr>
    </w:p>
    <w:p>
      <w:pPr>
        <w:spacing w:line="460" w:lineRule="exact"/>
        <w:jc w:val="center"/>
        <w:rPr>
          <w:rFonts w:hint="eastAsia" w:ascii="新宋体" w:hAnsi="新宋体" w:eastAsia="新宋体" w:cs="新宋体"/>
          <w:b/>
          <w:bCs/>
          <w:color w:val="auto"/>
          <w:sz w:val="28"/>
          <w:szCs w:val="28"/>
          <w:highlight w:val="none"/>
        </w:rPr>
      </w:pPr>
      <w:r>
        <w:rPr>
          <w:rFonts w:hint="eastAsia" w:ascii="新宋体" w:hAnsi="新宋体" w:eastAsia="新宋体" w:cs="新宋体"/>
          <w:color w:val="auto"/>
          <w:sz w:val="22"/>
          <w:szCs w:val="22"/>
          <w:highlight w:val="none"/>
          <w:lang w:val="zh-CN"/>
        </w:rPr>
        <mc:AlternateContent>
          <mc:Choice Requires="wps">
            <w:drawing>
              <wp:anchor distT="0" distB="0" distL="114300" distR="114300" simplePos="0" relativeHeight="251659264" behindDoc="0" locked="0" layoutInCell="1" allowOverlap="1">
                <wp:simplePos x="0" y="0"/>
                <wp:positionH relativeFrom="column">
                  <wp:posOffset>113665</wp:posOffset>
                </wp:positionH>
                <wp:positionV relativeFrom="paragraph">
                  <wp:posOffset>320675</wp:posOffset>
                </wp:positionV>
                <wp:extent cx="6254115" cy="3004185"/>
                <wp:effectExtent l="5080" t="4445" r="8255" b="20320"/>
                <wp:wrapNone/>
                <wp:docPr id="1" name="Text Box 2"/>
                <wp:cNvGraphicFramePr/>
                <a:graphic xmlns:a="http://schemas.openxmlformats.org/drawingml/2006/main">
                  <a:graphicData uri="http://schemas.microsoft.com/office/word/2010/wordprocessingShape">
                    <wps:wsp>
                      <wps:cNvSpPr txBox="1"/>
                      <wps:spPr>
                        <a:xfrm>
                          <a:off x="0" y="0"/>
                          <a:ext cx="6254115" cy="300418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新宋体" w:hAnsi="新宋体" w:eastAsia="新宋体"/>
                                <w:sz w:val="22"/>
                                <w:szCs w:val="22"/>
                              </w:rPr>
                              <w:t xml:space="preserve">  法定代表人身份证（正反面）：</w:t>
                            </w:r>
                          </w:p>
                        </w:txbxContent>
                      </wps:txbx>
                      <wps:bodyPr wrap="square" upright="1"/>
                    </wps:wsp>
                  </a:graphicData>
                </a:graphic>
              </wp:anchor>
            </w:drawing>
          </mc:Choice>
          <mc:Fallback>
            <w:pict>
              <v:shape id="Text Box 2" o:spid="_x0000_s1026" o:spt="202" type="#_x0000_t202" style="position:absolute;left:0pt;margin-left:8.95pt;margin-top:25.25pt;height:236.55pt;width:492.45pt;z-index:251659264;mso-width-relative:page;mso-height-relative:page;" fillcolor="#FFFFFF" filled="t" stroked="t" coordsize="21600,21600" o:gfxdata="UEsDBAoAAAAAAIdO4kAAAAAAAAAAAAAAAAAEAAAAZHJzL1BLAwQUAAAACACHTuJAl9wjaNgAAAAK AQAADwAAAGRycy9kb3ducmV2LnhtbE2PwU7DMBBE70j8g7VIXBC1m9K0DXF6QALBrRQEVzfeJhH2 OsRuWv6e7QmOszOafVOuT96JEYfYBdIwnSgQSHWwHTUa3t8eb5cgYjJkjQuEGn4wwrq6vChNYcOR XnHcpkZwCcXCaGhT6gspY92iN3ESeiT29mHwJrEcGmkHc+Ry72SmVC696Yg/tKbHhxbrr+3Ba1je PY+f8WW2+ajzvVulm8X49D1ofX01VfcgEp7SXxjO+IwOFTPtwoFsFI71YsVJDXM1B3H2lcp4y44v 2SwHWZXy/4TqF1BLAwQUAAAACACHTuJAvu7ACQQCAABEBAAADgAAAGRycy9lMm9Eb2MueG1srVNN j9MwEL0j8R8s32nSsF0tUdOVoJQLAqRdfsDUcRJL/sLjNum/Z+yU7gcceiAHZzx+fjPzZry+n4xm RxlQOdvw5aLkTFrhWmX7hv983L274wwj2Ba0s7LhJ4n8fvP2zXr0tazc4HQrAyMSi/XoGz7E6Oui QDFIA7hwXlo67FwwEGkb+qINMBK70UVVlrfF6ELrgxMSkbzb+ZCfGcM1hK7rlJBbJw5G2jizBqkh Ukk4KI98k7PtOini965DGZluOFUa80pByN6ntdisoe4D+EGJcwpwTQqvajKgLAW9UG0hAjsE9ReV USI4dF1cCGeKuZCsCFWxLF9p8zCAl7kWkhr9RXT8f7Ti2/FHYKqlSeDMgqGGP8opso9uYlVSZ/RY E+jBEyxO5E7Isx/JmYqeumDSn8phdE7ani7aJjJBzttqdbNcrjgTdPa+LG+Wd6vEUzxd9wHjF+kM S0bDAzUvawrHrxhn6B9IioZOq3antM6b0O8/6cCOQI3e5e/M/gKmLRsb/mFVpUSAprejqSHTeFIA bZ/jvbiBz4nL/P2LOCW2BRzmBDJDgkFtVJQhW4OE9rNtWTx5UtnS4+IpGSNbzrSkt5isjIyg9DVI 0k5bkjD1aO5FsuK0n4gmmXvXnqhvI803lffrAIFiHnxQ/UAC5z7myzRcuRPnh5Cm9/k+h3h6/Jvf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AAAAAGRycy9QSwECFAAUAAAACACHTuJAl9wjaNgAAAAKAQAADwAAAAAAAAABACAAAAAiAAAAZHJz L2Rvd25yZXYueG1sUEsBAhQAFAAAAAgAh07iQL7uwAkEAgAARAQAAA4AAAAAAAAAAQAgAAAAJwEA AGRycy9lMm9Eb2MueG1sUEsFBgAAAAAGAAYAWQEAAJ0FAAAAAA== ">
                <v:fill on="t" focussize="0,0"/>
                <v:stroke color="#000000" joinstyle="miter"/>
                <v:imagedata o:title=""/>
                <o:lock v:ext="edit" aspectratio="f"/>
                <v:textbox>
                  <w:txbxContent>
                    <w:p>
                      <w:r>
                        <w:rPr>
                          <w:rFonts w:hint="eastAsia" w:ascii="新宋体" w:hAnsi="新宋体" w:eastAsia="新宋体"/>
                          <w:sz w:val="22"/>
                          <w:szCs w:val="22"/>
                        </w:rPr>
                        <w:t xml:space="preserve">  法定代表人身份证（正反面）：</w:t>
                      </w:r>
                    </w:p>
                  </w:txbxContent>
                </v:textbox>
              </v:shape>
            </w:pict>
          </mc:Fallback>
        </mc:AlternateContent>
      </w: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r>
        <w:rPr>
          <w:rFonts w:hint="eastAsia" w:ascii="新宋体" w:hAnsi="新宋体" w:eastAsia="新宋体" w:cs="新宋体"/>
          <w:color w:val="auto"/>
          <w:sz w:val="22"/>
          <w:szCs w:val="22"/>
          <w:highlight w:val="none"/>
          <w:lang w:val="zh-CN"/>
        </w:rPr>
        <mc:AlternateContent>
          <mc:Choice Requires="wps">
            <w:drawing>
              <wp:anchor distT="0" distB="0" distL="114300" distR="114300" simplePos="0" relativeHeight="251660288" behindDoc="0" locked="0" layoutInCell="1" allowOverlap="1">
                <wp:simplePos x="0" y="0"/>
                <wp:positionH relativeFrom="column">
                  <wp:posOffset>88265</wp:posOffset>
                </wp:positionH>
                <wp:positionV relativeFrom="paragraph">
                  <wp:posOffset>-53975</wp:posOffset>
                </wp:positionV>
                <wp:extent cx="6303645" cy="3875405"/>
                <wp:effectExtent l="4445" t="5080" r="16510" b="5715"/>
                <wp:wrapNone/>
                <wp:docPr id="2" name="文本框 25"/>
                <wp:cNvGraphicFramePr/>
                <a:graphic xmlns:a="http://schemas.openxmlformats.org/drawingml/2006/main">
                  <a:graphicData uri="http://schemas.microsoft.com/office/word/2010/wordprocessingShape">
                    <wps:wsp>
                      <wps:cNvSpPr txBox="1"/>
                      <wps:spPr>
                        <a:xfrm>
                          <a:off x="0" y="0"/>
                          <a:ext cx="6303645" cy="387540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新宋体" w:hAnsi="新宋体" w:eastAsia="新宋体"/>
                                <w:sz w:val="22"/>
                                <w:szCs w:val="22"/>
                              </w:rPr>
                              <w:t xml:space="preserve">  授权代表身份证（正反面）：</w:t>
                            </w:r>
                          </w:p>
                        </w:txbxContent>
                      </wps:txbx>
                      <wps:bodyPr wrap="square" upright="1"/>
                    </wps:wsp>
                  </a:graphicData>
                </a:graphic>
              </wp:anchor>
            </w:drawing>
          </mc:Choice>
          <mc:Fallback>
            <w:pict>
              <v:shape id="文本框 25" o:spid="_x0000_s1026" o:spt="202" type="#_x0000_t202" style="position:absolute;left:0pt;margin-left:6.95pt;margin-top:-4.25pt;height:305.15pt;width:496.35pt;z-index:251660288;mso-width-relative:page;mso-height-relative:page;" fillcolor="#FFFFFF" filled="t" stroked="t" coordsize="21600,21600" o:gfxdata="UEsDBAoAAAAAAIdO4kAAAAAAAAAAAAAAAAAEAAAAZHJzL1BLAwQUAAAACACHTuJAmGqLXdgAAAAK AQAADwAAAGRycy9kb3ducmV2LnhtbE2PwU7DMBBE70j8g7VIXFBrh0JIQ5wekEBwKwXB1Y23SYS9 DrGblr9ne4LjaEYzb6rV0Tsx4Rj7QBqyuQKB1ATbU6vh/e1xVoCIyZA1LhBq+MEIq/r8rDKlDQd6 xWmTWsElFEujoUtpKKWMTYfexHkYkNjbhdGbxHJspR3Ngcu9k9dK5dKbnnihMwM+dNh8bfZeQ3Hz PH3Gl8X6o8l3bpmu7qan71Hry4tM3YNIeEx/YTjhMzrUzLQNe7JRONaLJSc1zIpbECef13IQWw25 ygqQdSX/X6h/AVBLAwQUAAAACACHTuJA+HsyPBgCAABGBAAADgAAAGRycy9lMm9Eb2MueG1srVNL jhMxEN0jcQfLe9I9ySQMrXRGghA2CJAGDuDY7m5L/uFy0p0LwA1YsWHPuXIOyk4m811kQS/cZbv8 qt6rqvn1YDTZygDK2ZpejEpKpOVOKNvW9NvX1asrSiAyK5h2VtZ0J4FeL16+mPe+kmPXOS1kIAhi oep9TbsYfVUUwDtpGIyclxYvGxcMi7gNbSEC6xHd6GJclrOid0H44LgEwNPl4ZIeEcM5gK5pFJdL xzdG2nhADVKziJSgUx7oImfbNJLHz00DMhJdU2Qa84pB0F6ntVjMWdUG5jvFjymwc1J4xMkwZTHo CWrJIiOboJ5AGcWDA9fEEXemOBDJiiCLi/KRNjcd8zJzQanBn0SH/wfLP22/BKJETceUWGaw4Ptf P/e//+7//CDjadKn91Ch241Hxzi8dQN2ze054GGiPTTBpD8SIniP6u5O6sohEo6Hs0k5mV1OKeF4 N7l6Pb0sM35x99wHiB+kMyQZNQ1Yvqwq236EiKmg661LigZOK7FSWudNaNfvdCBbhqVe5S9liU8e uGlL+pq+mSI3whn2b4N9g6bxqAHYNsd78ALuA5f5ew44JbZk0B0SyAjJjVVGRRmy1Ukm3ltB4s6j zhbHi6ZkjBSUaInTmKzsGZnS53giO22RZKrRoRbJisN6QJhkrp3YYd167HCk933DAsbc+KDaDgXO dcyPsb2yVsdRSP17f59D3I3/4h9QSwMECgAAAAAAh07iQAAAAAAAAAAAAAAAAAYAAABfcmVscy9Q SwMEFAAAAAgAh07iQIoUZjzRAAAAlAEAAAsAAABfcmVscy8ucmVsc6WQwWrDMAyG74O9g9F9cZrD GKNOL6PQa+kewNiKYxpbRjLZ+vbzDoNl9LajfqHvE//+8JkWtSJLpGxg1/WgMDvyMQcD75fj0wso qTZ7u1BGAzcUOIyPD/szLra2I5ljEdUoWQzMtZZXrcXNmKx0VDC3zUScbG0jB12su9qAeuj7Z82/ GTBumOrkDfDJD6Aut9LMf9gpOiahqXaOkqZpiu4eVQe2ZY7uyDbhG7lGsxywGvAsGgdqWdd+BH1f v/un3tNHPuO61X6HjOuPV2+6HL8AUEsDBBQAAAAIAIdO4kB+5uUg9wAAAOEBAAATAAAAW0NvbnRl bnRfVHlwZXNdLnhtbJWRQU7DMBBF90jcwfIWJU67QAgl6YK0S0CoHGBkTxKLZGx5TGhvj5O2G0SR WNoz/78nu9wcxkFMGNg6quQqL6RA0s5Y6ir5vt9lD1JwBDIwOMJKHpHlpr69KfdHjyxSmriSfYz+ USnWPY7AufNIadK6MEJMx9ApD/oDOlTrorhX2lFEilmcO2RdNtjC5xDF9pCuTyYBB5bi6bQ4syoJ 3g9WQ0ymaiLzg5KdCXlKLjvcW893SUOqXwnz5DrgnHtJTxOsQfEKIT7DmDSUCayM+6KAU/53yWw5 cuba1mrMm8BNir3hdLG61o5r1zj93/Ltkrp0q+WD6m9QSwECFAAUAAAACACHTuJAfublIPcAAADh AQAAEwAAAAAAAAABACAAAACJBAAAW0NvbnRlbnRfVHlwZXNdLnhtbFBLAQIUAAoAAAAAAIdO4kAA AAAAAAAAAAAAAAAGAAAAAAAAAAAAEAAAAGsDAABfcmVscy9QSwECFAAUAAAACACHTuJAihRmPNEA AACUAQAACwAAAAAAAAABACAAAACPAwAAX3JlbHMvLnJlbHNQSwECFAAKAAAAAACHTuJAAAAAAAAA AAAAAAAABAAAAAAAAAAAABAAAAAAAAAAZHJzL1BLAQIUABQAAAAIAIdO4kCYaotd2AAAAAoBAAAP AAAAAAAAAAEAIAAAACIAAABkcnMvZG93bnJldi54bWxQSwECFAAUAAAACACHTuJA+HsyPBgCAABG BAAADgAAAAAAAAABACAAAAAnAQAAZHJzL2Uyb0RvYy54bWxQSwUGAAAAAAYABgBZAQAAsQUAAAAA ">
                <v:fill on="t" focussize="0,0"/>
                <v:stroke color="#000000" joinstyle="miter"/>
                <v:imagedata o:title=""/>
                <o:lock v:ext="edit" aspectratio="f"/>
                <v:textbox>
                  <w:txbxContent>
                    <w:p>
                      <w:r>
                        <w:rPr>
                          <w:rFonts w:hint="eastAsia" w:ascii="新宋体" w:hAnsi="新宋体" w:eastAsia="新宋体"/>
                          <w:sz w:val="22"/>
                          <w:szCs w:val="22"/>
                        </w:rPr>
                        <w:t xml:space="preserve">  授权代表身份证（正反面）：</w:t>
                      </w:r>
                    </w:p>
                  </w:txbxContent>
                </v:textbox>
              </v:shape>
            </w:pict>
          </mc:Fallback>
        </mc:AlternateContent>
      </w: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pPr>
    </w:p>
    <w:p>
      <w:pPr>
        <w:spacing w:line="460" w:lineRule="exact"/>
        <w:jc w:val="center"/>
        <w:rPr>
          <w:rFonts w:hint="eastAsia" w:ascii="新宋体" w:hAnsi="新宋体" w:eastAsia="新宋体" w:cs="新宋体"/>
          <w:b/>
          <w:bCs/>
          <w:color w:val="auto"/>
          <w:sz w:val="28"/>
          <w:szCs w:val="28"/>
          <w:highlight w:val="none"/>
        </w:rPr>
        <w:sectPr>
          <w:headerReference r:id="rId3" w:type="default"/>
          <w:footerReference r:id="rId4" w:type="default"/>
          <w:pgSz w:w="11907" w:h="16840"/>
          <w:pgMar w:top="1134" w:right="1134" w:bottom="1134" w:left="1134" w:header="851" w:footer="992" w:gutter="0"/>
          <w:cols w:space="720" w:num="1"/>
          <w:titlePg/>
          <w:docGrid w:linePitch="312" w:charSpace="0"/>
        </w:sectPr>
      </w:pPr>
    </w:p>
    <w:p>
      <w:pPr>
        <w:pStyle w:val="23"/>
        <w:rPr>
          <w:rFonts w:hint="eastAsia"/>
          <w:color w:val="auto"/>
          <w:highlight w:val="none"/>
        </w:rPr>
      </w:pPr>
    </w:p>
    <w:p>
      <w:pPr>
        <w:spacing w:line="460" w:lineRule="exact"/>
        <w:jc w:val="center"/>
        <w:outlineLvl w:val="3"/>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8"/>
          <w:szCs w:val="28"/>
          <w:highlight w:val="none"/>
        </w:rPr>
        <w:t>2、投标人情况表</w:t>
      </w:r>
    </w:p>
    <w:p>
      <w:pPr>
        <w:spacing w:line="4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项目名称：                                             项目编号：</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15"/>
        <w:gridCol w:w="1689"/>
        <w:gridCol w:w="728"/>
        <w:gridCol w:w="387"/>
        <w:gridCol w:w="1100"/>
        <w:gridCol w:w="1488"/>
        <w:gridCol w:w="1488"/>
        <w:gridCol w:w="1502"/>
        <w:gridCol w:w="1488"/>
        <w:gridCol w:w="1115"/>
        <w:gridCol w:w="355"/>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7" w:type="dxa"/>
            <w:noWrap w:val="0"/>
            <w:vAlign w:val="top"/>
          </w:tcPr>
          <w:p>
            <w:pPr>
              <w:spacing w:line="4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单位名称（盖章）</w:t>
            </w:r>
          </w:p>
        </w:tc>
        <w:tc>
          <w:tcPr>
            <w:tcW w:w="2804" w:type="dxa"/>
            <w:gridSpan w:val="2"/>
            <w:noWrap w:val="0"/>
            <w:vAlign w:val="top"/>
          </w:tcPr>
          <w:p>
            <w:pPr>
              <w:spacing w:line="480" w:lineRule="exact"/>
              <w:rPr>
                <w:rFonts w:hint="eastAsia" w:ascii="新宋体" w:hAnsi="新宋体" w:eastAsia="新宋体" w:cs="新宋体"/>
                <w:color w:val="auto"/>
                <w:sz w:val="22"/>
                <w:szCs w:val="22"/>
                <w:highlight w:val="none"/>
              </w:rPr>
            </w:pPr>
          </w:p>
        </w:tc>
        <w:tc>
          <w:tcPr>
            <w:tcW w:w="1115" w:type="dxa"/>
            <w:gridSpan w:val="2"/>
            <w:noWrap w:val="0"/>
            <w:vAlign w:val="top"/>
          </w:tcPr>
          <w:p>
            <w:pPr>
              <w:spacing w:line="4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电 话</w:t>
            </w:r>
          </w:p>
        </w:tc>
        <w:tc>
          <w:tcPr>
            <w:tcW w:w="2588" w:type="dxa"/>
            <w:gridSpan w:val="2"/>
            <w:noWrap w:val="0"/>
            <w:vAlign w:val="top"/>
          </w:tcPr>
          <w:p>
            <w:pPr>
              <w:spacing w:line="480" w:lineRule="exact"/>
              <w:rPr>
                <w:rFonts w:hint="eastAsia" w:ascii="新宋体" w:hAnsi="新宋体" w:eastAsia="新宋体" w:cs="新宋体"/>
                <w:color w:val="auto"/>
                <w:sz w:val="22"/>
                <w:szCs w:val="22"/>
                <w:highlight w:val="none"/>
              </w:rPr>
            </w:pPr>
          </w:p>
        </w:tc>
        <w:tc>
          <w:tcPr>
            <w:tcW w:w="1488" w:type="dxa"/>
            <w:noWrap w:val="0"/>
            <w:vAlign w:val="top"/>
          </w:tcPr>
          <w:p>
            <w:pPr>
              <w:spacing w:line="4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主管部门</w:t>
            </w:r>
          </w:p>
        </w:tc>
        <w:tc>
          <w:tcPr>
            <w:tcW w:w="1502" w:type="dxa"/>
            <w:noWrap w:val="0"/>
            <w:vAlign w:val="top"/>
          </w:tcPr>
          <w:p>
            <w:pPr>
              <w:spacing w:line="480" w:lineRule="exact"/>
              <w:rPr>
                <w:rFonts w:hint="eastAsia" w:ascii="新宋体" w:hAnsi="新宋体" w:eastAsia="新宋体" w:cs="新宋体"/>
                <w:color w:val="auto"/>
                <w:sz w:val="22"/>
                <w:szCs w:val="22"/>
                <w:highlight w:val="none"/>
              </w:rPr>
            </w:pPr>
          </w:p>
        </w:tc>
        <w:tc>
          <w:tcPr>
            <w:tcW w:w="1488" w:type="dxa"/>
            <w:noWrap w:val="0"/>
            <w:vAlign w:val="top"/>
          </w:tcPr>
          <w:p>
            <w:pPr>
              <w:spacing w:line="4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企业负责人</w:t>
            </w:r>
          </w:p>
        </w:tc>
        <w:tc>
          <w:tcPr>
            <w:tcW w:w="1115" w:type="dxa"/>
            <w:noWrap w:val="0"/>
            <w:vAlign w:val="top"/>
          </w:tcPr>
          <w:p>
            <w:pPr>
              <w:spacing w:line="480" w:lineRule="exact"/>
              <w:rPr>
                <w:rFonts w:hint="eastAsia" w:ascii="新宋体" w:hAnsi="新宋体" w:eastAsia="新宋体" w:cs="新宋体"/>
                <w:color w:val="auto"/>
                <w:sz w:val="22"/>
                <w:szCs w:val="22"/>
                <w:highlight w:val="none"/>
              </w:rPr>
            </w:pPr>
          </w:p>
        </w:tc>
        <w:tc>
          <w:tcPr>
            <w:tcW w:w="1461" w:type="dxa"/>
            <w:gridSpan w:val="2"/>
            <w:noWrap w:val="0"/>
            <w:vAlign w:val="top"/>
          </w:tcPr>
          <w:p>
            <w:pPr>
              <w:spacing w:line="4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7" w:type="dxa"/>
            <w:noWrap w:val="0"/>
            <w:vAlign w:val="top"/>
          </w:tcPr>
          <w:p>
            <w:pPr>
              <w:spacing w:line="4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地    址</w:t>
            </w:r>
          </w:p>
        </w:tc>
        <w:tc>
          <w:tcPr>
            <w:tcW w:w="2804" w:type="dxa"/>
            <w:gridSpan w:val="2"/>
            <w:noWrap w:val="0"/>
            <w:vAlign w:val="top"/>
          </w:tcPr>
          <w:p>
            <w:pPr>
              <w:spacing w:line="480" w:lineRule="exact"/>
              <w:rPr>
                <w:rFonts w:hint="eastAsia" w:ascii="新宋体" w:hAnsi="新宋体" w:eastAsia="新宋体" w:cs="新宋体"/>
                <w:color w:val="auto"/>
                <w:sz w:val="22"/>
                <w:szCs w:val="22"/>
                <w:highlight w:val="none"/>
              </w:rPr>
            </w:pPr>
          </w:p>
        </w:tc>
        <w:tc>
          <w:tcPr>
            <w:tcW w:w="1115" w:type="dxa"/>
            <w:gridSpan w:val="2"/>
            <w:noWrap w:val="0"/>
            <w:vAlign w:val="top"/>
          </w:tcPr>
          <w:p>
            <w:pPr>
              <w:spacing w:line="4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传 真</w:t>
            </w:r>
          </w:p>
        </w:tc>
        <w:tc>
          <w:tcPr>
            <w:tcW w:w="2588" w:type="dxa"/>
            <w:gridSpan w:val="2"/>
            <w:noWrap w:val="0"/>
            <w:vAlign w:val="top"/>
          </w:tcPr>
          <w:p>
            <w:pPr>
              <w:spacing w:line="480" w:lineRule="exact"/>
              <w:rPr>
                <w:rFonts w:hint="eastAsia" w:ascii="新宋体" w:hAnsi="新宋体" w:eastAsia="新宋体" w:cs="新宋体"/>
                <w:color w:val="auto"/>
                <w:sz w:val="22"/>
                <w:szCs w:val="22"/>
                <w:highlight w:val="none"/>
              </w:rPr>
            </w:pPr>
          </w:p>
        </w:tc>
        <w:tc>
          <w:tcPr>
            <w:tcW w:w="1488" w:type="dxa"/>
            <w:noWrap w:val="0"/>
            <w:vAlign w:val="top"/>
          </w:tcPr>
          <w:p>
            <w:pPr>
              <w:spacing w:line="4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企业性质</w:t>
            </w:r>
          </w:p>
        </w:tc>
        <w:tc>
          <w:tcPr>
            <w:tcW w:w="1502" w:type="dxa"/>
            <w:noWrap w:val="0"/>
            <w:vAlign w:val="top"/>
          </w:tcPr>
          <w:p>
            <w:pPr>
              <w:spacing w:line="480" w:lineRule="exact"/>
              <w:rPr>
                <w:rFonts w:hint="eastAsia" w:ascii="新宋体" w:hAnsi="新宋体" w:eastAsia="新宋体" w:cs="新宋体"/>
                <w:color w:val="auto"/>
                <w:sz w:val="22"/>
                <w:szCs w:val="22"/>
                <w:highlight w:val="none"/>
              </w:rPr>
            </w:pPr>
          </w:p>
        </w:tc>
        <w:tc>
          <w:tcPr>
            <w:tcW w:w="1488" w:type="dxa"/>
            <w:noWrap w:val="0"/>
            <w:vAlign w:val="top"/>
          </w:tcPr>
          <w:p>
            <w:pPr>
              <w:spacing w:line="4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授权代表</w:t>
            </w:r>
          </w:p>
        </w:tc>
        <w:tc>
          <w:tcPr>
            <w:tcW w:w="1115" w:type="dxa"/>
            <w:noWrap w:val="0"/>
            <w:vAlign w:val="top"/>
          </w:tcPr>
          <w:p>
            <w:pPr>
              <w:spacing w:line="480" w:lineRule="exact"/>
              <w:rPr>
                <w:rFonts w:hint="eastAsia" w:ascii="新宋体" w:hAnsi="新宋体" w:eastAsia="新宋体" w:cs="新宋体"/>
                <w:color w:val="auto"/>
                <w:sz w:val="22"/>
                <w:szCs w:val="22"/>
                <w:highlight w:val="none"/>
              </w:rPr>
            </w:pPr>
          </w:p>
        </w:tc>
        <w:tc>
          <w:tcPr>
            <w:tcW w:w="1461" w:type="dxa"/>
            <w:gridSpan w:val="2"/>
            <w:noWrap w:val="0"/>
            <w:vAlign w:val="top"/>
          </w:tcPr>
          <w:p>
            <w:pPr>
              <w:spacing w:line="4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trPr>
        <w:tc>
          <w:tcPr>
            <w:tcW w:w="1227" w:type="dxa"/>
            <w:noWrap w:val="0"/>
            <w:vAlign w:val="center"/>
          </w:tcPr>
          <w:p>
            <w:pPr>
              <w:spacing w:line="4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单位简介</w:t>
            </w:r>
          </w:p>
          <w:p>
            <w:pPr>
              <w:spacing w:line="4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及机构</w:t>
            </w:r>
          </w:p>
        </w:tc>
        <w:tc>
          <w:tcPr>
            <w:tcW w:w="6507" w:type="dxa"/>
            <w:gridSpan w:val="6"/>
            <w:noWrap w:val="0"/>
            <w:vAlign w:val="center"/>
          </w:tcPr>
          <w:p>
            <w:pPr>
              <w:spacing w:line="480" w:lineRule="exact"/>
              <w:jc w:val="center"/>
              <w:rPr>
                <w:rFonts w:hint="eastAsia" w:ascii="新宋体" w:hAnsi="新宋体" w:eastAsia="新宋体" w:cs="新宋体"/>
                <w:color w:val="auto"/>
                <w:sz w:val="22"/>
                <w:szCs w:val="22"/>
                <w:highlight w:val="none"/>
              </w:rPr>
            </w:pPr>
          </w:p>
        </w:tc>
        <w:tc>
          <w:tcPr>
            <w:tcW w:w="1488" w:type="dxa"/>
            <w:noWrap w:val="0"/>
            <w:vAlign w:val="center"/>
          </w:tcPr>
          <w:p>
            <w:pPr>
              <w:spacing w:line="4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单位优势</w:t>
            </w:r>
          </w:p>
          <w:p>
            <w:pPr>
              <w:spacing w:line="4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及特长</w:t>
            </w:r>
          </w:p>
        </w:tc>
        <w:tc>
          <w:tcPr>
            <w:tcW w:w="5566" w:type="dxa"/>
            <w:gridSpan w:val="5"/>
            <w:noWrap w:val="0"/>
            <w:vAlign w:val="top"/>
          </w:tcPr>
          <w:p>
            <w:pPr>
              <w:spacing w:line="480" w:lineRule="exact"/>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227" w:type="dxa"/>
            <w:vMerge w:val="restart"/>
            <w:noWrap w:val="0"/>
            <w:vAlign w:val="center"/>
          </w:tcPr>
          <w:p>
            <w:pPr>
              <w:spacing w:line="4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单位概况</w:t>
            </w:r>
          </w:p>
        </w:tc>
        <w:tc>
          <w:tcPr>
            <w:tcW w:w="1115" w:type="dxa"/>
            <w:vMerge w:val="restart"/>
            <w:noWrap w:val="0"/>
            <w:vAlign w:val="top"/>
          </w:tcPr>
          <w:p>
            <w:pPr>
              <w:spacing w:line="4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职工总数</w:t>
            </w:r>
          </w:p>
        </w:tc>
        <w:tc>
          <w:tcPr>
            <w:tcW w:w="1689" w:type="dxa"/>
            <w:vMerge w:val="restart"/>
            <w:noWrap w:val="0"/>
            <w:vAlign w:val="top"/>
          </w:tcPr>
          <w:p>
            <w:pPr>
              <w:spacing w:line="480" w:lineRule="exact"/>
              <w:ind w:firstLine="1540" w:firstLineChars="700"/>
              <w:rPr>
                <w:rFonts w:hint="eastAsia" w:ascii="新宋体" w:hAnsi="新宋体" w:eastAsia="新宋体" w:cs="新宋体"/>
                <w:color w:val="auto"/>
                <w:sz w:val="22"/>
                <w:szCs w:val="22"/>
                <w:highlight w:val="none"/>
              </w:rPr>
            </w:pPr>
          </w:p>
        </w:tc>
        <w:tc>
          <w:tcPr>
            <w:tcW w:w="3703" w:type="dxa"/>
            <w:gridSpan w:val="4"/>
            <w:vMerge w:val="restart"/>
            <w:noWrap w:val="0"/>
            <w:vAlign w:val="top"/>
          </w:tcPr>
          <w:p>
            <w:pPr>
              <w:spacing w:line="4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各人员构成情况</w:t>
            </w:r>
          </w:p>
        </w:tc>
        <w:tc>
          <w:tcPr>
            <w:tcW w:w="1488" w:type="dxa"/>
            <w:vMerge w:val="restart"/>
            <w:noWrap w:val="0"/>
            <w:vAlign w:val="center"/>
          </w:tcPr>
          <w:p>
            <w:pPr>
              <w:spacing w:line="4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上一年主要  经济指标</w:t>
            </w:r>
          </w:p>
        </w:tc>
        <w:tc>
          <w:tcPr>
            <w:tcW w:w="1502" w:type="dxa"/>
            <w:noWrap w:val="0"/>
            <w:vAlign w:val="center"/>
          </w:tcPr>
          <w:p>
            <w:pPr>
              <w:spacing w:line="4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指标名称</w:t>
            </w:r>
          </w:p>
        </w:tc>
        <w:tc>
          <w:tcPr>
            <w:tcW w:w="1488" w:type="dxa"/>
            <w:tcBorders>
              <w:tr2bl w:val="single" w:color="auto" w:sz="4" w:space="0"/>
            </w:tcBorders>
            <w:noWrap w:val="0"/>
            <w:vAlign w:val="center"/>
          </w:tcPr>
          <w:p>
            <w:pPr>
              <w:spacing w:line="480" w:lineRule="exact"/>
              <w:jc w:val="center"/>
              <w:rPr>
                <w:rFonts w:hint="eastAsia" w:ascii="新宋体" w:hAnsi="新宋体" w:eastAsia="新宋体" w:cs="新宋体"/>
                <w:color w:val="auto"/>
                <w:sz w:val="22"/>
                <w:szCs w:val="22"/>
                <w:highlight w:val="none"/>
              </w:rPr>
            </w:pPr>
          </w:p>
        </w:tc>
        <w:tc>
          <w:tcPr>
            <w:tcW w:w="1470" w:type="dxa"/>
            <w:gridSpan w:val="2"/>
            <w:noWrap w:val="0"/>
            <w:vAlign w:val="center"/>
          </w:tcPr>
          <w:p>
            <w:pPr>
              <w:spacing w:line="4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实际完成</w:t>
            </w:r>
          </w:p>
        </w:tc>
        <w:tc>
          <w:tcPr>
            <w:tcW w:w="1106" w:type="dxa"/>
            <w:tcBorders>
              <w:tr2bl w:val="single" w:color="auto" w:sz="4" w:space="0"/>
            </w:tcBorders>
            <w:noWrap w:val="0"/>
            <w:vAlign w:val="center"/>
          </w:tcPr>
          <w:p>
            <w:pPr>
              <w:spacing w:line="480" w:lineRule="exact"/>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27" w:type="dxa"/>
            <w:vMerge w:val="continue"/>
            <w:noWrap w:val="0"/>
            <w:vAlign w:val="top"/>
          </w:tcPr>
          <w:p>
            <w:pPr>
              <w:spacing w:line="480" w:lineRule="exact"/>
              <w:rPr>
                <w:rFonts w:hint="eastAsia" w:ascii="新宋体" w:hAnsi="新宋体" w:eastAsia="新宋体" w:cs="新宋体"/>
                <w:color w:val="auto"/>
                <w:sz w:val="22"/>
                <w:szCs w:val="22"/>
                <w:highlight w:val="none"/>
              </w:rPr>
            </w:pPr>
          </w:p>
        </w:tc>
        <w:tc>
          <w:tcPr>
            <w:tcW w:w="1115" w:type="dxa"/>
            <w:vMerge w:val="continue"/>
            <w:noWrap w:val="0"/>
            <w:vAlign w:val="top"/>
          </w:tcPr>
          <w:p>
            <w:pPr>
              <w:spacing w:line="480" w:lineRule="exact"/>
              <w:rPr>
                <w:rFonts w:hint="eastAsia" w:ascii="新宋体" w:hAnsi="新宋体" w:eastAsia="新宋体" w:cs="新宋体"/>
                <w:color w:val="auto"/>
                <w:sz w:val="22"/>
                <w:szCs w:val="22"/>
                <w:highlight w:val="none"/>
              </w:rPr>
            </w:pPr>
          </w:p>
        </w:tc>
        <w:tc>
          <w:tcPr>
            <w:tcW w:w="1689" w:type="dxa"/>
            <w:vMerge w:val="continue"/>
            <w:noWrap w:val="0"/>
            <w:vAlign w:val="top"/>
          </w:tcPr>
          <w:p>
            <w:pPr>
              <w:spacing w:line="480" w:lineRule="exact"/>
              <w:rPr>
                <w:rFonts w:hint="eastAsia" w:ascii="新宋体" w:hAnsi="新宋体" w:eastAsia="新宋体" w:cs="新宋体"/>
                <w:color w:val="auto"/>
                <w:sz w:val="22"/>
                <w:szCs w:val="22"/>
                <w:highlight w:val="none"/>
              </w:rPr>
            </w:pPr>
          </w:p>
        </w:tc>
        <w:tc>
          <w:tcPr>
            <w:tcW w:w="3703" w:type="dxa"/>
            <w:gridSpan w:val="4"/>
            <w:vMerge w:val="continue"/>
            <w:noWrap w:val="0"/>
            <w:vAlign w:val="top"/>
          </w:tcPr>
          <w:p>
            <w:pPr>
              <w:spacing w:line="480" w:lineRule="exact"/>
              <w:rPr>
                <w:rFonts w:hint="eastAsia" w:ascii="新宋体" w:hAnsi="新宋体" w:eastAsia="新宋体" w:cs="新宋体"/>
                <w:color w:val="auto"/>
                <w:sz w:val="22"/>
                <w:szCs w:val="22"/>
                <w:highlight w:val="none"/>
              </w:rPr>
            </w:pPr>
          </w:p>
        </w:tc>
        <w:tc>
          <w:tcPr>
            <w:tcW w:w="1488" w:type="dxa"/>
            <w:vMerge w:val="continue"/>
            <w:noWrap w:val="0"/>
            <w:vAlign w:val="top"/>
          </w:tcPr>
          <w:p>
            <w:pPr>
              <w:spacing w:line="480" w:lineRule="exact"/>
              <w:rPr>
                <w:rFonts w:hint="eastAsia" w:ascii="新宋体" w:hAnsi="新宋体" w:eastAsia="新宋体" w:cs="新宋体"/>
                <w:color w:val="auto"/>
                <w:sz w:val="22"/>
                <w:szCs w:val="22"/>
                <w:highlight w:val="none"/>
              </w:rPr>
            </w:pPr>
          </w:p>
        </w:tc>
        <w:tc>
          <w:tcPr>
            <w:tcW w:w="1502" w:type="dxa"/>
            <w:noWrap w:val="0"/>
            <w:vAlign w:val="center"/>
          </w:tcPr>
          <w:p>
            <w:pPr>
              <w:spacing w:line="4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总产值</w:t>
            </w:r>
          </w:p>
        </w:tc>
        <w:tc>
          <w:tcPr>
            <w:tcW w:w="1488" w:type="dxa"/>
            <w:noWrap w:val="0"/>
            <w:vAlign w:val="center"/>
          </w:tcPr>
          <w:p>
            <w:pPr>
              <w:spacing w:line="480" w:lineRule="exact"/>
              <w:ind w:firstLine="660" w:firstLineChars="300"/>
              <w:jc w:val="righ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万元</w:t>
            </w:r>
          </w:p>
        </w:tc>
        <w:tc>
          <w:tcPr>
            <w:tcW w:w="1470" w:type="dxa"/>
            <w:gridSpan w:val="2"/>
            <w:noWrap w:val="0"/>
            <w:vAlign w:val="center"/>
          </w:tcPr>
          <w:p>
            <w:pPr>
              <w:spacing w:line="4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总产值</w:t>
            </w:r>
          </w:p>
        </w:tc>
        <w:tc>
          <w:tcPr>
            <w:tcW w:w="1106" w:type="dxa"/>
            <w:noWrap w:val="0"/>
            <w:vAlign w:val="center"/>
          </w:tcPr>
          <w:p>
            <w:pPr>
              <w:spacing w:line="4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227" w:type="dxa"/>
            <w:vMerge w:val="continue"/>
            <w:noWrap w:val="0"/>
            <w:vAlign w:val="top"/>
          </w:tcPr>
          <w:p>
            <w:pPr>
              <w:spacing w:line="480" w:lineRule="exact"/>
              <w:rPr>
                <w:rFonts w:hint="eastAsia" w:ascii="新宋体" w:hAnsi="新宋体" w:eastAsia="新宋体" w:cs="新宋体"/>
                <w:color w:val="auto"/>
                <w:sz w:val="22"/>
                <w:szCs w:val="22"/>
                <w:highlight w:val="none"/>
              </w:rPr>
            </w:pPr>
          </w:p>
        </w:tc>
        <w:tc>
          <w:tcPr>
            <w:tcW w:w="1115" w:type="dxa"/>
            <w:vMerge w:val="restart"/>
            <w:noWrap w:val="0"/>
            <w:vAlign w:val="top"/>
          </w:tcPr>
          <w:p>
            <w:pPr>
              <w:spacing w:line="4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流动资金</w:t>
            </w:r>
          </w:p>
        </w:tc>
        <w:tc>
          <w:tcPr>
            <w:tcW w:w="1689" w:type="dxa"/>
            <w:vMerge w:val="restart"/>
            <w:noWrap w:val="0"/>
            <w:vAlign w:val="top"/>
          </w:tcPr>
          <w:p>
            <w:pPr>
              <w:spacing w:line="480" w:lineRule="exact"/>
              <w:jc w:val="righ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w:t>
            </w:r>
          </w:p>
          <w:p>
            <w:pPr>
              <w:spacing w:line="480" w:lineRule="exact"/>
              <w:ind w:firstLine="660" w:firstLineChars="300"/>
              <w:jc w:val="righ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万元 </w:t>
            </w:r>
          </w:p>
        </w:tc>
        <w:tc>
          <w:tcPr>
            <w:tcW w:w="728" w:type="dxa"/>
            <w:vMerge w:val="restart"/>
            <w:noWrap w:val="0"/>
            <w:vAlign w:val="top"/>
          </w:tcPr>
          <w:p>
            <w:pPr>
              <w:spacing w:line="4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资金来源</w:t>
            </w:r>
          </w:p>
        </w:tc>
        <w:tc>
          <w:tcPr>
            <w:tcW w:w="1487" w:type="dxa"/>
            <w:gridSpan w:val="2"/>
            <w:noWrap w:val="0"/>
            <w:vAlign w:val="center"/>
          </w:tcPr>
          <w:p>
            <w:pPr>
              <w:spacing w:line="4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自有资金</w:t>
            </w:r>
          </w:p>
        </w:tc>
        <w:tc>
          <w:tcPr>
            <w:tcW w:w="1488" w:type="dxa"/>
            <w:noWrap w:val="0"/>
            <w:vAlign w:val="center"/>
          </w:tcPr>
          <w:p>
            <w:pPr>
              <w:spacing w:line="4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万元</w:t>
            </w:r>
          </w:p>
        </w:tc>
        <w:tc>
          <w:tcPr>
            <w:tcW w:w="1488" w:type="dxa"/>
            <w:vMerge w:val="continue"/>
            <w:noWrap w:val="0"/>
            <w:vAlign w:val="top"/>
          </w:tcPr>
          <w:p>
            <w:pPr>
              <w:spacing w:line="480" w:lineRule="exact"/>
              <w:rPr>
                <w:rFonts w:hint="eastAsia" w:ascii="新宋体" w:hAnsi="新宋体" w:eastAsia="新宋体" w:cs="新宋体"/>
                <w:color w:val="auto"/>
                <w:sz w:val="22"/>
                <w:szCs w:val="22"/>
                <w:highlight w:val="none"/>
              </w:rPr>
            </w:pPr>
          </w:p>
        </w:tc>
        <w:tc>
          <w:tcPr>
            <w:tcW w:w="1502" w:type="dxa"/>
            <w:noWrap w:val="0"/>
            <w:vAlign w:val="center"/>
          </w:tcPr>
          <w:p>
            <w:pPr>
              <w:spacing w:line="4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实现利润</w:t>
            </w:r>
          </w:p>
        </w:tc>
        <w:tc>
          <w:tcPr>
            <w:tcW w:w="1488" w:type="dxa"/>
            <w:noWrap w:val="0"/>
            <w:vAlign w:val="center"/>
          </w:tcPr>
          <w:p>
            <w:pPr>
              <w:spacing w:line="480" w:lineRule="exact"/>
              <w:ind w:firstLine="660" w:firstLineChars="300"/>
              <w:jc w:val="righ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万元</w:t>
            </w:r>
          </w:p>
        </w:tc>
        <w:tc>
          <w:tcPr>
            <w:tcW w:w="1470" w:type="dxa"/>
            <w:gridSpan w:val="2"/>
            <w:noWrap w:val="0"/>
            <w:vAlign w:val="center"/>
          </w:tcPr>
          <w:p>
            <w:pPr>
              <w:spacing w:line="4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实现利润</w:t>
            </w:r>
          </w:p>
        </w:tc>
        <w:tc>
          <w:tcPr>
            <w:tcW w:w="1106" w:type="dxa"/>
            <w:noWrap w:val="0"/>
            <w:vAlign w:val="center"/>
          </w:tcPr>
          <w:p>
            <w:pPr>
              <w:spacing w:line="4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227" w:type="dxa"/>
            <w:vMerge w:val="continue"/>
            <w:tcBorders>
              <w:bottom w:val="single" w:color="auto" w:sz="4" w:space="0"/>
            </w:tcBorders>
            <w:noWrap w:val="0"/>
            <w:vAlign w:val="top"/>
          </w:tcPr>
          <w:p>
            <w:pPr>
              <w:spacing w:line="480" w:lineRule="exact"/>
              <w:rPr>
                <w:rFonts w:hint="eastAsia" w:ascii="新宋体" w:hAnsi="新宋体" w:eastAsia="新宋体" w:cs="新宋体"/>
                <w:color w:val="auto"/>
                <w:sz w:val="22"/>
                <w:szCs w:val="22"/>
                <w:highlight w:val="none"/>
              </w:rPr>
            </w:pPr>
          </w:p>
        </w:tc>
        <w:tc>
          <w:tcPr>
            <w:tcW w:w="1115" w:type="dxa"/>
            <w:vMerge w:val="continue"/>
            <w:tcBorders>
              <w:bottom w:val="single" w:color="auto" w:sz="4" w:space="0"/>
            </w:tcBorders>
            <w:noWrap w:val="0"/>
            <w:vAlign w:val="top"/>
          </w:tcPr>
          <w:p>
            <w:pPr>
              <w:spacing w:line="480" w:lineRule="exact"/>
              <w:rPr>
                <w:rFonts w:hint="eastAsia" w:ascii="新宋体" w:hAnsi="新宋体" w:eastAsia="新宋体" w:cs="新宋体"/>
                <w:color w:val="auto"/>
                <w:sz w:val="22"/>
                <w:szCs w:val="22"/>
                <w:highlight w:val="none"/>
              </w:rPr>
            </w:pPr>
          </w:p>
        </w:tc>
        <w:tc>
          <w:tcPr>
            <w:tcW w:w="1689" w:type="dxa"/>
            <w:vMerge w:val="continue"/>
            <w:tcBorders>
              <w:bottom w:val="single" w:color="auto" w:sz="4" w:space="0"/>
            </w:tcBorders>
            <w:noWrap w:val="0"/>
            <w:vAlign w:val="top"/>
          </w:tcPr>
          <w:p>
            <w:pPr>
              <w:spacing w:line="480" w:lineRule="exact"/>
              <w:rPr>
                <w:rFonts w:hint="eastAsia" w:ascii="新宋体" w:hAnsi="新宋体" w:eastAsia="新宋体" w:cs="新宋体"/>
                <w:color w:val="auto"/>
                <w:sz w:val="22"/>
                <w:szCs w:val="22"/>
                <w:highlight w:val="none"/>
              </w:rPr>
            </w:pPr>
          </w:p>
        </w:tc>
        <w:tc>
          <w:tcPr>
            <w:tcW w:w="728" w:type="dxa"/>
            <w:vMerge w:val="continue"/>
            <w:tcBorders>
              <w:bottom w:val="single" w:color="auto" w:sz="4" w:space="0"/>
            </w:tcBorders>
            <w:noWrap w:val="0"/>
            <w:vAlign w:val="top"/>
          </w:tcPr>
          <w:p>
            <w:pPr>
              <w:spacing w:line="480" w:lineRule="exact"/>
              <w:rPr>
                <w:rFonts w:hint="eastAsia" w:ascii="新宋体" w:hAnsi="新宋体" w:eastAsia="新宋体" w:cs="新宋体"/>
                <w:color w:val="auto"/>
                <w:sz w:val="22"/>
                <w:szCs w:val="22"/>
                <w:highlight w:val="none"/>
              </w:rPr>
            </w:pPr>
          </w:p>
        </w:tc>
        <w:tc>
          <w:tcPr>
            <w:tcW w:w="1487" w:type="dxa"/>
            <w:gridSpan w:val="2"/>
            <w:tcBorders>
              <w:bottom w:val="single" w:color="auto" w:sz="4" w:space="0"/>
            </w:tcBorders>
            <w:noWrap w:val="0"/>
            <w:vAlign w:val="top"/>
          </w:tcPr>
          <w:p>
            <w:pPr>
              <w:spacing w:line="4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银行贷款</w:t>
            </w:r>
          </w:p>
        </w:tc>
        <w:tc>
          <w:tcPr>
            <w:tcW w:w="1488" w:type="dxa"/>
            <w:tcBorders>
              <w:bottom w:val="single" w:color="auto" w:sz="4" w:space="0"/>
            </w:tcBorders>
            <w:noWrap w:val="0"/>
            <w:vAlign w:val="top"/>
          </w:tcPr>
          <w:p>
            <w:pPr>
              <w:spacing w:line="480" w:lineRule="exact"/>
              <w:ind w:firstLine="220" w:firstLineChars="1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万元</w:t>
            </w:r>
          </w:p>
        </w:tc>
        <w:tc>
          <w:tcPr>
            <w:tcW w:w="1488" w:type="dxa"/>
            <w:vMerge w:val="continue"/>
            <w:tcBorders>
              <w:bottom w:val="single" w:color="auto" w:sz="4" w:space="0"/>
            </w:tcBorders>
            <w:noWrap w:val="0"/>
            <w:vAlign w:val="top"/>
          </w:tcPr>
          <w:p>
            <w:pPr>
              <w:spacing w:line="480" w:lineRule="exact"/>
              <w:rPr>
                <w:rFonts w:hint="eastAsia" w:ascii="新宋体" w:hAnsi="新宋体" w:eastAsia="新宋体" w:cs="新宋体"/>
                <w:color w:val="auto"/>
                <w:sz w:val="22"/>
                <w:szCs w:val="22"/>
                <w:highlight w:val="none"/>
              </w:rPr>
            </w:pPr>
          </w:p>
        </w:tc>
        <w:tc>
          <w:tcPr>
            <w:tcW w:w="1502" w:type="dxa"/>
            <w:vMerge w:val="restart"/>
            <w:tcBorders>
              <w:bottom w:val="single" w:color="auto" w:sz="4" w:space="0"/>
            </w:tcBorders>
            <w:noWrap w:val="0"/>
            <w:vAlign w:val="center"/>
          </w:tcPr>
          <w:p>
            <w:pPr>
              <w:spacing w:line="48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主要业绩</w:t>
            </w:r>
          </w:p>
        </w:tc>
        <w:tc>
          <w:tcPr>
            <w:tcW w:w="4064" w:type="dxa"/>
            <w:gridSpan w:val="4"/>
            <w:vMerge w:val="restart"/>
            <w:tcBorders>
              <w:bottom w:val="single" w:color="auto" w:sz="4" w:space="0"/>
            </w:tcBorders>
            <w:noWrap w:val="0"/>
            <w:vAlign w:val="center"/>
          </w:tcPr>
          <w:p>
            <w:pPr>
              <w:spacing w:line="480" w:lineRule="exact"/>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227" w:type="dxa"/>
            <w:vMerge w:val="continue"/>
            <w:noWrap w:val="0"/>
            <w:vAlign w:val="top"/>
          </w:tcPr>
          <w:p>
            <w:pPr>
              <w:spacing w:line="480" w:lineRule="exact"/>
              <w:rPr>
                <w:rFonts w:hint="eastAsia" w:ascii="新宋体" w:hAnsi="新宋体" w:eastAsia="新宋体" w:cs="新宋体"/>
                <w:color w:val="auto"/>
                <w:sz w:val="22"/>
                <w:szCs w:val="22"/>
                <w:highlight w:val="none"/>
              </w:rPr>
            </w:pPr>
          </w:p>
        </w:tc>
        <w:tc>
          <w:tcPr>
            <w:tcW w:w="1115" w:type="dxa"/>
            <w:vMerge w:val="restart"/>
            <w:noWrap w:val="0"/>
            <w:vAlign w:val="top"/>
          </w:tcPr>
          <w:p>
            <w:pPr>
              <w:spacing w:line="4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固定资产</w:t>
            </w:r>
          </w:p>
        </w:tc>
        <w:tc>
          <w:tcPr>
            <w:tcW w:w="1689" w:type="dxa"/>
            <w:vMerge w:val="restart"/>
            <w:noWrap w:val="0"/>
            <w:vAlign w:val="top"/>
          </w:tcPr>
          <w:p>
            <w:pPr>
              <w:spacing w:line="480" w:lineRule="exact"/>
              <w:jc w:val="righ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原值   万元</w:t>
            </w:r>
          </w:p>
          <w:p>
            <w:pPr>
              <w:spacing w:line="480" w:lineRule="exact"/>
              <w:jc w:val="righ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净值   万元</w:t>
            </w:r>
          </w:p>
        </w:tc>
        <w:tc>
          <w:tcPr>
            <w:tcW w:w="728" w:type="dxa"/>
            <w:vMerge w:val="restart"/>
            <w:noWrap w:val="0"/>
            <w:vAlign w:val="top"/>
          </w:tcPr>
          <w:p>
            <w:pPr>
              <w:spacing w:line="4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资金性质</w:t>
            </w:r>
          </w:p>
        </w:tc>
        <w:tc>
          <w:tcPr>
            <w:tcW w:w="1487" w:type="dxa"/>
            <w:gridSpan w:val="2"/>
            <w:noWrap w:val="0"/>
            <w:vAlign w:val="top"/>
          </w:tcPr>
          <w:p>
            <w:pPr>
              <w:spacing w:line="4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生产性</w:t>
            </w:r>
          </w:p>
        </w:tc>
        <w:tc>
          <w:tcPr>
            <w:tcW w:w="1488" w:type="dxa"/>
            <w:noWrap w:val="0"/>
            <w:vAlign w:val="top"/>
          </w:tcPr>
          <w:p>
            <w:pPr>
              <w:spacing w:line="480" w:lineRule="exact"/>
              <w:ind w:left="220" w:hanging="220" w:hangingChars="1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万元</w:t>
            </w:r>
          </w:p>
        </w:tc>
        <w:tc>
          <w:tcPr>
            <w:tcW w:w="1488" w:type="dxa"/>
            <w:vMerge w:val="continue"/>
            <w:noWrap w:val="0"/>
            <w:vAlign w:val="top"/>
          </w:tcPr>
          <w:p>
            <w:pPr>
              <w:spacing w:line="480" w:lineRule="exact"/>
              <w:rPr>
                <w:rFonts w:hint="eastAsia" w:ascii="新宋体" w:hAnsi="新宋体" w:eastAsia="新宋体" w:cs="新宋体"/>
                <w:color w:val="auto"/>
                <w:sz w:val="22"/>
                <w:szCs w:val="22"/>
                <w:highlight w:val="none"/>
              </w:rPr>
            </w:pPr>
          </w:p>
        </w:tc>
        <w:tc>
          <w:tcPr>
            <w:tcW w:w="1502" w:type="dxa"/>
            <w:vMerge w:val="continue"/>
            <w:noWrap w:val="0"/>
            <w:vAlign w:val="top"/>
          </w:tcPr>
          <w:p>
            <w:pPr>
              <w:spacing w:line="480" w:lineRule="exact"/>
              <w:rPr>
                <w:rFonts w:hint="eastAsia" w:ascii="新宋体" w:hAnsi="新宋体" w:eastAsia="新宋体" w:cs="新宋体"/>
                <w:color w:val="auto"/>
                <w:sz w:val="22"/>
                <w:szCs w:val="22"/>
                <w:highlight w:val="none"/>
              </w:rPr>
            </w:pPr>
          </w:p>
        </w:tc>
        <w:tc>
          <w:tcPr>
            <w:tcW w:w="4064" w:type="dxa"/>
            <w:gridSpan w:val="4"/>
            <w:vMerge w:val="continue"/>
            <w:noWrap w:val="0"/>
            <w:vAlign w:val="top"/>
          </w:tcPr>
          <w:p>
            <w:pPr>
              <w:spacing w:line="480" w:lineRule="exact"/>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1227" w:type="dxa"/>
            <w:vMerge w:val="continue"/>
            <w:noWrap w:val="0"/>
            <w:vAlign w:val="top"/>
          </w:tcPr>
          <w:p>
            <w:pPr>
              <w:spacing w:line="480" w:lineRule="exact"/>
              <w:rPr>
                <w:rFonts w:hint="eastAsia" w:ascii="新宋体" w:hAnsi="新宋体" w:eastAsia="新宋体" w:cs="新宋体"/>
                <w:color w:val="auto"/>
                <w:sz w:val="22"/>
                <w:szCs w:val="22"/>
                <w:highlight w:val="none"/>
              </w:rPr>
            </w:pPr>
          </w:p>
        </w:tc>
        <w:tc>
          <w:tcPr>
            <w:tcW w:w="1115" w:type="dxa"/>
            <w:vMerge w:val="continue"/>
            <w:noWrap w:val="0"/>
            <w:vAlign w:val="top"/>
          </w:tcPr>
          <w:p>
            <w:pPr>
              <w:spacing w:line="480" w:lineRule="exact"/>
              <w:rPr>
                <w:rFonts w:hint="eastAsia" w:ascii="新宋体" w:hAnsi="新宋体" w:eastAsia="新宋体" w:cs="新宋体"/>
                <w:color w:val="auto"/>
                <w:sz w:val="22"/>
                <w:szCs w:val="22"/>
                <w:highlight w:val="none"/>
              </w:rPr>
            </w:pPr>
          </w:p>
        </w:tc>
        <w:tc>
          <w:tcPr>
            <w:tcW w:w="1689" w:type="dxa"/>
            <w:vMerge w:val="continue"/>
            <w:noWrap w:val="0"/>
            <w:vAlign w:val="top"/>
          </w:tcPr>
          <w:p>
            <w:pPr>
              <w:spacing w:line="480" w:lineRule="exact"/>
              <w:rPr>
                <w:rFonts w:hint="eastAsia" w:ascii="新宋体" w:hAnsi="新宋体" w:eastAsia="新宋体" w:cs="新宋体"/>
                <w:color w:val="auto"/>
                <w:sz w:val="22"/>
                <w:szCs w:val="22"/>
                <w:highlight w:val="none"/>
              </w:rPr>
            </w:pPr>
          </w:p>
        </w:tc>
        <w:tc>
          <w:tcPr>
            <w:tcW w:w="728" w:type="dxa"/>
            <w:vMerge w:val="continue"/>
            <w:noWrap w:val="0"/>
            <w:vAlign w:val="top"/>
          </w:tcPr>
          <w:p>
            <w:pPr>
              <w:spacing w:line="480" w:lineRule="exact"/>
              <w:rPr>
                <w:rFonts w:hint="eastAsia" w:ascii="新宋体" w:hAnsi="新宋体" w:eastAsia="新宋体" w:cs="新宋体"/>
                <w:color w:val="auto"/>
                <w:sz w:val="22"/>
                <w:szCs w:val="22"/>
                <w:highlight w:val="none"/>
              </w:rPr>
            </w:pPr>
          </w:p>
        </w:tc>
        <w:tc>
          <w:tcPr>
            <w:tcW w:w="1487" w:type="dxa"/>
            <w:gridSpan w:val="2"/>
            <w:noWrap w:val="0"/>
            <w:vAlign w:val="top"/>
          </w:tcPr>
          <w:p>
            <w:pPr>
              <w:spacing w:line="4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非生产性</w:t>
            </w:r>
          </w:p>
        </w:tc>
        <w:tc>
          <w:tcPr>
            <w:tcW w:w="1488" w:type="dxa"/>
            <w:noWrap w:val="0"/>
            <w:vAlign w:val="top"/>
          </w:tcPr>
          <w:p>
            <w:pPr>
              <w:spacing w:line="480" w:lineRule="exact"/>
              <w:ind w:left="220" w:hanging="220" w:hangingChars="1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万元</w:t>
            </w:r>
          </w:p>
        </w:tc>
        <w:tc>
          <w:tcPr>
            <w:tcW w:w="1488" w:type="dxa"/>
            <w:vMerge w:val="continue"/>
            <w:noWrap w:val="0"/>
            <w:vAlign w:val="top"/>
          </w:tcPr>
          <w:p>
            <w:pPr>
              <w:spacing w:line="480" w:lineRule="exact"/>
              <w:rPr>
                <w:rFonts w:hint="eastAsia" w:ascii="新宋体" w:hAnsi="新宋体" w:eastAsia="新宋体" w:cs="新宋体"/>
                <w:color w:val="auto"/>
                <w:sz w:val="22"/>
                <w:szCs w:val="22"/>
                <w:highlight w:val="none"/>
              </w:rPr>
            </w:pPr>
          </w:p>
        </w:tc>
        <w:tc>
          <w:tcPr>
            <w:tcW w:w="1502" w:type="dxa"/>
            <w:vMerge w:val="continue"/>
            <w:noWrap w:val="0"/>
            <w:vAlign w:val="top"/>
          </w:tcPr>
          <w:p>
            <w:pPr>
              <w:spacing w:line="480" w:lineRule="exact"/>
              <w:rPr>
                <w:rFonts w:hint="eastAsia" w:ascii="新宋体" w:hAnsi="新宋体" w:eastAsia="新宋体" w:cs="新宋体"/>
                <w:color w:val="auto"/>
                <w:sz w:val="22"/>
                <w:szCs w:val="22"/>
                <w:highlight w:val="none"/>
              </w:rPr>
            </w:pPr>
          </w:p>
        </w:tc>
        <w:tc>
          <w:tcPr>
            <w:tcW w:w="4064" w:type="dxa"/>
            <w:gridSpan w:val="4"/>
            <w:vMerge w:val="continue"/>
            <w:noWrap w:val="0"/>
            <w:vAlign w:val="top"/>
          </w:tcPr>
          <w:p>
            <w:pPr>
              <w:spacing w:line="480" w:lineRule="exact"/>
              <w:rPr>
                <w:rFonts w:hint="eastAsia" w:ascii="新宋体" w:hAnsi="新宋体" w:eastAsia="新宋体" w:cs="新宋体"/>
                <w:color w:val="auto"/>
                <w:sz w:val="22"/>
                <w:szCs w:val="22"/>
                <w:highlight w:val="none"/>
              </w:rPr>
            </w:pPr>
          </w:p>
        </w:tc>
      </w:tr>
    </w:tbl>
    <w:p>
      <w:pPr>
        <w:spacing w:line="460" w:lineRule="exact"/>
        <w:rPr>
          <w:rFonts w:hint="eastAsia" w:ascii="新宋体" w:hAnsi="新宋体" w:eastAsia="新宋体" w:cs="新宋体"/>
          <w:color w:val="auto"/>
          <w:sz w:val="22"/>
          <w:szCs w:val="22"/>
          <w:highlight w:val="none"/>
        </w:rPr>
        <w:sectPr>
          <w:pgSz w:w="16840" w:h="11907" w:orient="landscape"/>
          <w:pgMar w:top="1134" w:right="1134" w:bottom="1134" w:left="1134" w:header="851" w:footer="992" w:gutter="0"/>
          <w:cols w:space="720" w:num="1"/>
          <w:titlePg/>
          <w:docGrid w:linePitch="312" w:charSpace="0"/>
        </w:sectPr>
      </w:pPr>
    </w:p>
    <w:p>
      <w:pPr>
        <w:spacing w:line="460" w:lineRule="exact"/>
        <w:jc w:val="center"/>
        <w:outlineLvl w:val="3"/>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8"/>
          <w:szCs w:val="28"/>
          <w:highlight w:val="none"/>
        </w:rPr>
        <w:t>3、偏离表</w:t>
      </w:r>
    </w:p>
    <w:p>
      <w:pPr>
        <w:autoSpaceDE w:val="0"/>
        <w:autoSpaceDN w:val="0"/>
        <w:ind w:right="893" w:firstLine="418"/>
        <w:jc w:val="center"/>
        <w:textAlignment w:val="bottom"/>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highlight w:val="none"/>
        </w:rPr>
        <w:t>（标段：</w:t>
      </w:r>
      <w:r>
        <w:rPr>
          <w:rFonts w:hint="eastAsia" w:ascii="新宋体" w:hAnsi="新宋体" w:eastAsia="新宋体" w:cs="新宋体"/>
          <w:b/>
          <w:color w:val="auto"/>
          <w:sz w:val="22"/>
          <w:highlight w:val="none"/>
          <w:u w:val="single"/>
        </w:rPr>
        <w:t xml:space="preserve">      </w:t>
      </w:r>
      <w:r>
        <w:rPr>
          <w:rFonts w:hint="eastAsia" w:ascii="新宋体" w:hAnsi="新宋体" w:eastAsia="新宋体" w:cs="新宋体"/>
          <w:b/>
          <w:color w:val="auto"/>
          <w:sz w:val="22"/>
          <w:highlight w:val="none"/>
        </w:rPr>
        <w:t>）</w:t>
      </w:r>
    </w:p>
    <w:p>
      <w:pPr>
        <w:spacing w:line="560" w:lineRule="exact"/>
        <w:ind w:firstLine="433" w:firstLineChars="196"/>
        <w:rPr>
          <w:rFonts w:hint="eastAsia" w:ascii="新宋体" w:hAnsi="新宋体" w:eastAsia="新宋体" w:cs="新宋体"/>
          <w:b/>
          <w:bCs/>
          <w:color w:val="auto"/>
          <w:sz w:val="22"/>
          <w:szCs w:val="22"/>
          <w:highlight w:val="none"/>
        </w:rPr>
      </w:pPr>
      <w:r>
        <w:rPr>
          <w:rFonts w:hint="eastAsia" w:ascii="新宋体" w:hAnsi="新宋体" w:eastAsia="新宋体" w:cs="新宋体"/>
          <w:b/>
          <w:color w:val="auto"/>
          <w:sz w:val="22"/>
          <w:szCs w:val="22"/>
          <w:highlight w:val="none"/>
        </w:rPr>
        <w:t>项目名称：                                          项目编号：</w:t>
      </w:r>
    </w:p>
    <w:tbl>
      <w:tblPr>
        <w:tblStyle w:val="52"/>
        <w:tblW w:w="0" w:type="auto"/>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4"/>
        <w:gridCol w:w="1754"/>
        <w:gridCol w:w="1754"/>
        <w:gridCol w:w="175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2" w:hRule="atLeast"/>
        </w:trPr>
        <w:tc>
          <w:tcPr>
            <w:tcW w:w="1754" w:type="dxa"/>
            <w:shd w:val="clear" w:color="auto" w:fill="FFFFFF"/>
            <w:noWrap w:val="0"/>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序号</w:t>
            </w:r>
          </w:p>
        </w:tc>
        <w:tc>
          <w:tcPr>
            <w:tcW w:w="1754" w:type="dxa"/>
            <w:shd w:val="clear" w:color="auto" w:fill="FFFFFF"/>
            <w:noWrap w:val="0"/>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招标文件</w:t>
            </w:r>
          </w:p>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条目</w:t>
            </w:r>
          </w:p>
        </w:tc>
        <w:tc>
          <w:tcPr>
            <w:tcW w:w="1754" w:type="dxa"/>
            <w:shd w:val="clear" w:color="auto" w:fill="FFFFFF"/>
            <w:noWrap w:val="0"/>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招标文件</w:t>
            </w:r>
          </w:p>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规格要求</w:t>
            </w:r>
          </w:p>
        </w:tc>
        <w:tc>
          <w:tcPr>
            <w:tcW w:w="1755" w:type="dxa"/>
            <w:shd w:val="clear" w:color="auto" w:fill="FFFFFF"/>
            <w:noWrap w:val="0"/>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投标文件</w:t>
            </w:r>
          </w:p>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对应规格</w:t>
            </w:r>
          </w:p>
        </w:tc>
        <w:tc>
          <w:tcPr>
            <w:tcW w:w="1755" w:type="dxa"/>
            <w:shd w:val="clear" w:color="auto" w:fill="FFFFFF"/>
            <w:noWrap w:val="0"/>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40" w:hRule="atLeast"/>
        </w:trPr>
        <w:tc>
          <w:tcPr>
            <w:tcW w:w="1754" w:type="dxa"/>
            <w:noWrap w:val="0"/>
            <w:vAlign w:val="center"/>
          </w:tcPr>
          <w:p>
            <w:pPr>
              <w:ind w:firstLine="220" w:firstLineChars="100"/>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71" w:hRule="atLeast"/>
        </w:trPr>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71" w:hRule="atLeast"/>
        </w:trPr>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71" w:hRule="atLeast"/>
        </w:trPr>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71" w:hRule="atLeast"/>
        </w:trPr>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71" w:hRule="atLeast"/>
        </w:trPr>
        <w:tc>
          <w:tcPr>
            <w:tcW w:w="1754" w:type="dxa"/>
            <w:noWrap w:val="0"/>
            <w:vAlign w:val="center"/>
          </w:tcPr>
          <w:p>
            <w:pPr>
              <w:ind w:firstLine="220" w:firstLineChars="100"/>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71" w:hRule="atLeast"/>
        </w:trPr>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71" w:hRule="atLeast"/>
        </w:trPr>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71" w:hRule="atLeast"/>
        </w:trPr>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71" w:hRule="atLeast"/>
        </w:trPr>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71" w:hRule="atLeast"/>
        </w:trPr>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4"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c>
          <w:tcPr>
            <w:tcW w:w="1755" w:type="dxa"/>
            <w:noWrap w:val="0"/>
            <w:vAlign w:val="center"/>
          </w:tcPr>
          <w:p>
            <w:pPr>
              <w:jc w:val="center"/>
              <w:rPr>
                <w:rFonts w:hint="eastAsia" w:ascii="新宋体" w:hAnsi="新宋体" w:eastAsia="新宋体" w:cs="新宋体"/>
                <w:color w:val="auto"/>
                <w:sz w:val="22"/>
                <w:szCs w:val="22"/>
                <w:highlight w:val="none"/>
              </w:rPr>
            </w:pPr>
          </w:p>
        </w:tc>
      </w:tr>
    </w:tbl>
    <w:p>
      <w:pPr>
        <w:pStyle w:val="29"/>
        <w:spacing w:line="400" w:lineRule="atLeast"/>
        <w:ind w:left="537" w:hanging="537" w:hangingChars="243"/>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注： 如有偏离，必须在偏离表中进行详细对比说明并注明正偏离（负偏离），如不说明偏离情况，视为完全响应招标文件要求无偏离。</w:t>
      </w:r>
    </w:p>
    <w:p>
      <w:pPr>
        <w:rPr>
          <w:rFonts w:hint="eastAsia" w:ascii="新宋体" w:hAnsi="新宋体" w:eastAsia="新宋体" w:cs="新宋体"/>
          <w:color w:val="auto"/>
          <w:sz w:val="22"/>
          <w:szCs w:val="22"/>
          <w:highlight w:val="none"/>
        </w:rPr>
      </w:pPr>
    </w:p>
    <w:p>
      <w:pPr>
        <w:pStyle w:val="29"/>
        <w:spacing w:line="400" w:lineRule="atLeast"/>
        <w:ind w:left="5355" w:leftChars="2500" w:hanging="105" w:hangingChars="50"/>
        <w:rPr>
          <w:rFonts w:hint="eastAsia" w:ascii="新宋体" w:hAnsi="新宋体" w:eastAsia="新宋体" w:cs="新宋体"/>
          <w:b w:val="0"/>
          <w:bCs/>
          <w:color w:val="auto"/>
          <w:szCs w:val="22"/>
          <w:highlight w:val="none"/>
        </w:rPr>
      </w:pPr>
      <w:r>
        <w:rPr>
          <w:rFonts w:hint="eastAsia" w:ascii="新宋体" w:hAnsi="新宋体" w:eastAsia="新宋体" w:cs="新宋体"/>
          <w:b w:val="0"/>
          <w:bCs/>
          <w:color w:val="auto"/>
          <w:szCs w:val="22"/>
          <w:highlight w:val="none"/>
        </w:rPr>
        <w:t>投标人全称（盖章）：</w:t>
      </w:r>
    </w:p>
    <w:p>
      <w:pPr>
        <w:spacing w:line="40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                                                投标人代表（签字）：</w:t>
      </w:r>
    </w:p>
    <w:p>
      <w:pPr>
        <w:spacing w:line="40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                                                日    期：</w:t>
      </w:r>
    </w:p>
    <w:p>
      <w:pPr>
        <w:spacing w:line="460" w:lineRule="exact"/>
        <w:jc w:val="center"/>
        <w:outlineLvl w:val="3"/>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4、标段一、标段二其他相关技术资料</w:t>
      </w:r>
    </w:p>
    <w:p>
      <w:pPr>
        <w:spacing w:line="460" w:lineRule="exact"/>
        <w:jc w:val="center"/>
        <w:outlineLvl w:val="4"/>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（1）详细的供货清单一览表</w:t>
      </w:r>
    </w:p>
    <w:p>
      <w:pPr>
        <w:rPr>
          <w:rFonts w:ascii="新宋体" w:hAnsi="新宋体" w:eastAsia="新宋体"/>
          <w:b/>
          <w:bCs/>
          <w:color w:val="auto"/>
          <w:sz w:val="22"/>
          <w:szCs w:val="22"/>
          <w:highlight w:val="none"/>
        </w:rPr>
      </w:pPr>
      <w:r>
        <w:rPr>
          <w:rFonts w:hint="eastAsia" w:ascii="新宋体" w:hAnsi="新宋体" w:eastAsia="新宋体"/>
          <w:b/>
          <w:color w:val="auto"/>
          <w:sz w:val="22"/>
          <w:szCs w:val="22"/>
          <w:highlight w:val="none"/>
        </w:rPr>
        <w:t>项目名称：                                                       项目编号：</w:t>
      </w:r>
    </w:p>
    <w:tbl>
      <w:tblPr>
        <w:tblStyle w:val="52"/>
        <w:tblpPr w:leftFromText="180" w:rightFromText="180" w:vertAnchor="text" w:horzAnchor="margin" w:tblpY="161"/>
        <w:tblW w:w="9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2"/>
        <w:gridCol w:w="2566"/>
        <w:gridCol w:w="2117"/>
        <w:gridCol w:w="1260"/>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828" w:type="dxa"/>
            <w:shd w:val="clear" w:color="auto" w:fill="FFFFFF"/>
            <w:noWrap w:val="0"/>
            <w:vAlign w:val="center"/>
          </w:tcPr>
          <w:p>
            <w:pPr>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序号</w:t>
            </w:r>
          </w:p>
        </w:tc>
        <w:tc>
          <w:tcPr>
            <w:tcW w:w="1692" w:type="dxa"/>
            <w:shd w:val="clear" w:color="auto" w:fill="FFFFFF"/>
            <w:noWrap w:val="0"/>
            <w:vAlign w:val="center"/>
          </w:tcPr>
          <w:p>
            <w:pPr>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设备名称/型号</w:t>
            </w:r>
          </w:p>
        </w:tc>
        <w:tc>
          <w:tcPr>
            <w:tcW w:w="2566" w:type="dxa"/>
            <w:shd w:val="clear" w:color="auto" w:fill="FFFFFF"/>
            <w:noWrap w:val="0"/>
            <w:vAlign w:val="center"/>
          </w:tcPr>
          <w:p>
            <w:pPr>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规格及技术参数</w:t>
            </w:r>
          </w:p>
        </w:tc>
        <w:tc>
          <w:tcPr>
            <w:tcW w:w="2117" w:type="dxa"/>
            <w:shd w:val="clear" w:color="auto" w:fill="FFFFFF"/>
            <w:noWrap w:val="0"/>
            <w:vAlign w:val="center"/>
          </w:tcPr>
          <w:p>
            <w:pPr>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原产地</w:t>
            </w:r>
          </w:p>
          <w:p>
            <w:pPr>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（生产厂家）/品牌</w:t>
            </w:r>
          </w:p>
        </w:tc>
        <w:tc>
          <w:tcPr>
            <w:tcW w:w="1260" w:type="dxa"/>
            <w:shd w:val="clear" w:color="auto" w:fill="FFFFFF"/>
            <w:noWrap w:val="0"/>
            <w:vAlign w:val="center"/>
          </w:tcPr>
          <w:p>
            <w:pPr>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数量</w:t>
            </w:r>
          </w:p>
        </w:tc>
        <w:tc>
          <w:tcPr>
            <w:tcW w:w="1219" w:type="dxa"/>
            <w:shd w:val="clear" w:color="auto" w:fill="FFFFFF"/>
            <w:noWrap w:val="0"/>
            <w:vAlign w:val="center"/>
          </w:tcPr>
          <w:p>
            <w:pPr>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color w:val="auto"/>
                <w:sz w:val="22"/>
                <w:szCs w:val="22"/>
                <w:highlight w:val="none"/>
              </w:rPr>
            </w:pPr>
          </w:p>
        </w:tc>
        <w:tc>
          <w:tcPr>
            <w:tcW w:w="1692" w:type="dxa"/>
            <w:noWrap w:val="0"/>
            <w:vAlign w:val="center"/>
          </w:tcPr>
          <w:p>
            <w:pPr>
              <w:spacing w:line="360" w:lineRule="auto"/>
              <w:jc w:val="center"/>
              <w:rPr>
                <w:rFonts w:ascii="新宋体" w:hAnsi="新宋体" w:eastAsia="新宋体"/>
                <w:b/>
                <w:bCs/>
                <w:color w:val="auto"/>
                <w:sz w:val="22"/>
                <w:szCs w:val="22"/>
                <w:highlight w:val="none"/>
              </w:rPr>
            </w:pPr>
          </w:p>
        </w:tc>
        <w:tc>
          <w:tcPr>
            <w:tcW w:w="2566" w:type="dxa"/>
            <w:noWrap w:val="0"/>
            <w:vAlign w:val="center"/>
          </w:tcPr>
          <w:p>
            <w:pPr>
              <w:spacing w:line="360" w:lineRule="auto"/>
              <w:jc w:val="center"/>
              <w:rPr>
                <w:rFonts w:ascii="新宋体" w:hAnsi="新宋体" w:eastAsia="新宋体"/>
                <w:b/>
                <w:bCs/>
                <w:color w:val="auto"/>
                <w:sz w:val="22"/>
                <w:szCs w:val="22"/>
                <w:highlight w:val="none"/>
              </w:rPr>
            </w:pPr>
          </w:p>
        </w:tc>
        <w:tc>
          <w:tcPr>
            <w:tcW w:w="2117" w:type="dxa"/>
            <w:noWrap w:val="0"/>
            <w:vAlign w:val="center"/>
          </w:tcPr>
          <w:p>
            <w:pPr>
              <w:spacing w:line="360" w:lineRule="auto"/>
              <w:jc w:val="center"/>
              <w:rPr>
                <w:rFonts w:ascii="新宋体" w:hAnsi="新宋体" w:eastAsia="新宋体"/>
                <w:b/>
                <w:bCs/>
                <w:color w:val="auto"/>
                <w:sz w:val="22"/>
                <w:szCs w:val="22"/>
                <w:highlight w:val="none"/>
              </w:rPr>
            </w:pPr>
          </w:p>
        </w:tc>
        <w:tc>
          <w:tcPr>
            <w:tcW w:w="1260" w:type="dxa"/>
            <w:noWrap w:val="0"/>
            <w:vAlign w:val="center"/>
          </w:tcPr>
          <w:p>
            <w:pPr>
              <w:spacing w:line="360" w:lineRule="auto"/>
              <w:jc w:val="center"/>
              <w:rPr>
                <w:rFonts w:ascii="新宋体" w:hAnsi="新宋体" w:eastAsia="新宋体"/>
                <w:b/>
                <w:bCs/>
                <w:color w:val="auto"/>
                <w:sz w:val="22"/>
                <w:szCs w:val="22"/>
                <w:highlight w:val="none"/>
              </w:rPr>
            </w:pPr>
          </w:p>
        </w:tc>
        <w:tc>
          <w:tcPr>
            <w:tcW w:w="1219" w:type="dxa"/>
            <w:noWrap w:val="0"/>
            <w:vAlign w:val="top"/>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color w:val="auto"/>
                <w:sz w:val="22"/>
                <w:szCs w:val="22"/>
                <w:highlight w:val="none"/>
              </w:rPr>
            </w:pPr>
          </w:p>
        </w:tc>
        <w:tc>
          <w:tcPr>
            <w:tcW w:w="1692" w:type="dxa"/>
            <w:noWrap w:val="0"/>
            <w:vAlign w:val="center"/>
          </w:tcPr>
          <w:p>
            <w:pPr>
              <w:spacing w:line="360" w:lineRule="auto"/>
              <w:jc w:val="center"/>
              <w:rPr>
                <w:rFonts w:ascii="新宋体" w:hAnsi="新宋体" w:eastAsia="新宋体"/>
                <w:b/>
                <w:bCs/>
                <w:color w:val="auto"/>
                <w:sz w:val="22"/>
                <w:szCs w:val="22"/>
                <w:highlight w:val="none"/>
              </w:rPr>
            </w:pPr>
          </w:p>
        </w:tc>
        <w:tc>
          <w:tcPr>
            <w:tcW w:w="2566" w:type="dxa"/>
            <w:noWrap w:val="0"/>
            <w:vAlign w:val="center"/>
          </w:tcPr>
          <w:p>
            <w:pPr>
              <w:spacing w:line="360" w:lineRule="auto"/>
              <w:jc w:val="center"/>
              <w:rPr>
                <w:rFonts w:ascii="新宋体" w:hAnsi="新宋体" w:eastAsia="新宋体"/>
                <w:b/>
                <w:bCs/>
                <w:color w:val="auto"/>
                <w:sz w:val="22"/>
                <w:szCs w:val="22"/>
                <w:highlight w:val="none"/>
              </w:rPr>
            </w:pPr>
          </w:p>
        </w:tc>
        <w:tc>
          <w:tcPr>
            <w:tcW w:w="2117" w:type="dxa"/>
            <w:noWrap w:val="0"/>
            <w:vAlign w:val="center"/>
          </w:tcPr>
          <w:p>
            <w:pPr>
              <w:spacing w:line="360" w:lineRule="auto"/>
              <w:jc w:val="center"/>
              <w:rPr>
                <w:rFonts w:ascii="新宋体" w:hAnsi="新宋体" w:eastAsia="新宋体"/>
                <w:b/>
                <w:bCs/>
                <w:color w:val="auto"/>
                <w:sz w:val="22"/>
                <w:szCs w:val="22"/>
                <w:highlight w:val="none"/>
              </w:rPr>
            </w:pPr>
          </w:p>
        </w:tc>
        <w:tc>
          <w:tcPr>
            <w:tcW w:w="1260" w:type="dxa"/>
            <w:noWrap w:val="0"/>
            <w:vAlign w:val="center"/>
          </w:tcPr>
          <w:p>
            <w:pPr>
              <w:spacing w:line="360" w:lineRule="auto"/>
              <w:jc w:val="center"/>
              <w:rPr>
                <w:rFonts w:ascii="新宋体" w:hAnsi="新宋体" w:eastAsia="新宋体"/>
                <w:b/>
                <w:bCs/>
                <w:color w:val="auto"/>
                <w:sz w:val="22"/>
                <w:szCs w:val="22"/>
                <w:highlight w:val="none"/>
              </w:rPr>
            </w:pPr>
          </w:p>
        </w:tc>
        <w:tc>
          <w:tcPr>
            <w:tcW w:w="1219" w:type="dxa"/>
            <w:noWrap w:val="0"/>
            <w:vAlign w:val="top"/>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color w:val="auto"/>
                <w:sz w:val="22"/>
                <w:szCs w:val="22"/>
                <w:highlight w:val="none"/>
              </w:rPr>
            </w:pPr>
          </w:p>
        </w:tc>
        <w:tc>
          <w:tcPr>
            <w:tcW w:w="1692" w:type="dxa"/>
            <w:noWrap w:val="0"/>
            <w:vAlign w:val="center"/>
          </w:tcPr>
          <w:p>
            <w:pPr>
              <w:spacing w:line="360" w:lineRule="auto"/>
              <w:jc w:val="center"/>
              <w:rPr>
                <w:rFonts w:ascii="新宋体" w:hAnsi="新宋体" w:eastAsia="新宋体"/>
                <w:b/>
                <w:bCs/>
                <w:color w:val="auto"/>
                <w:sz w:val="22"/>
                <w:szCs w:val="22"/>
                <w:highlight w:val="none"/>
              </w:rPr>
            </w:pPr>
          </w:p>
        </w:tc>
        <w:tc>
          <w:tcPr>
            <w:tcW w:w="2566" w:type="dxa"/>
            <w:noWrap w:val="0"/>
            <w:vAlign w:val="center"/>
          </w:tcPr>
          <w:p>
            <w:pPr>
              <w:spacing w:line="360" w:lineRule="auto"/>
              <w:jc w:val="center"/>
              <w:rPr>
                <w:rFonts w:ascii="新宋体" w:hAnsi="新宋体" w:eastAsia="新宋体"/>
                <w:b/>
                <w:bCs/>
                <w:color w:val="auto"/>
                <w:sz w:val="22"/>
                <w:szCs w:val="22"/>
                <w:highlight w:val="none"/>
              </w:rPr>
            </w:pPr>
          </w:p>
        </w:tc>
        <w:tc>
          <w:tcPr>
            <w:tcW w:w="2117" w:type="dxa"/>
            <w:noWrap w:val="0"/>
            <w:vAlign w:val="center"/>
          </w:tcPr>
          <w:p>
            <w:pPr>
              <w:spacing w:line="360" w:lineRule="auto"/>
              <w:jc w:val="center"/>
              <w:rPr>
                <w:rFonts w:ascii="新宋体" w:hAnsi="新宋体" w:eastAsia="新宋体"/>
                <w:b/>
                <w:bCs/>
                <w:color w:val="auto"/>
                <w:sz w:val="22"/>
                <w:szCs w:val="22"/>
                <w:highlight w:val="none"/>
              </w:rPr>
            </w:pPr>
          </w:p>
        </w:tc>
        <w:tc>
          <w:tcPr>
            <w:tcW w:w="1260" w:type="dxa"/>
            <w:noWrap w:val="0"/>
            <w:vAlign w:val="center"/>
          </w:tcPr>
          <w:p>
            <w:pPr>
              <w:spacing w:line="360" w:lineRule="auto"/>
              <w:jc w:val="center"/>
              <w:rPr>
                <w:rFonts w:ascii="新宋体" w:hAnsi="新宋体" w:eastAsia="新宋体"/>
                <w:b/>
                <w:bCs/>
                <w:color w:val="auto"/>
                <w:sz w:val="22"/>
                <w:szCs w:val="22"/>
                <w:highlight w:val="none"/>
              </w:rPr>
            </w:pPr>
          </w:p>
        </w:tc>
        <w:tc>
          <w:tcPr>
            <w:tcW w:w="1219" w:type="dxa"/>
            <w:noWrap w:val="0"/>
            <w:vAlign w:val="top"/>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color w:val="auto"/>
                <w:sz w:val="22"/>
                <w:szCs w:val="22"/>
                <w:highlight w:val="none"/>
              </w:rPr>
            </w:pPr>
          </w:p>
        </w:tc>
        <w:tc>
          <w:tcPr>
            <w:tcW w:w="1692" w:type="dxa"/>
            <w:noWrap w:val="0"/>
            <w:vAlign w:val="center"/>
          </w:tcPr>
          <w:p>
            <w:pPr>
              <w:spacing w:line="360" w:lineRule="auto"/>
              <w:jc w:val="center"/>
              <w:rPr>
                <w:rFonts w:ascii="新宋体" w:hAnsi="新宋体" w:eastAsia="新宋体"/>
                <w:b/>
                <w:bCs/>
                <w:color w:val="auto"/>
                <w:sz w:val="22"/>
                <w:szCs w:val="22"/>
                <w:highlight w:val="none"/>
              </w:rPr>
            </w:pPr>
          </w:p>
        </w:tc>
        <w:tc>
          <w:tcPr>
            <w:tcW w:w="2566" w:type="dxa"/>
            <w:noWrap w:val="0"/>
            <w:vAlign w:val="center"/>
          </w:tcPr>
          <w:p>
            <w:pPr>
              <w:spacing w:line="360" w:lineRule="auto"/>
              <w:jc w:val="center"/>
              <w:rPr>
                <w:rFonts w:ascii="新宋体" w:hAnsi="新宋体" w:eastAsia="新宋体"/>
                <w:b/>
                <w:bCs/>
                <w:color w:val="auto"/>
                <w:sz w:val="22"/>
                <w:szCs w:val="22"/>
                <w:highlight w:val="none"/>
              </w:rPr>
            </w:pPr>
          </w:p>
        </w:tc>
        <w:tc>
          <w:tcPr>
            <w:tcW w:w="2117" w:type="dxa"/>
            <w:noWrap w:val="0"/>
            <w:vAlign w:val="center"/>
          </w:tcPr>
          <w:p>
            <w:pPr>
              <w:spacing w:line="360" w:lineRule="auto"/>
              <w:jc w:val="center"/>
              <w:rPr>
                <w:rFonts w:ascii="新宋体" w:hAnsi="新宋体" w:eastAsia="新宋体"/>
                <w:b/>
                <w:bCs/>
                <w:color w:val="auto"/>
                <w:sz w:val="22"/>
                <w:szCs w:val="22"/>
                <w:highlight w:val="none"/>
              </w:rPr>
            </w:pPr>
          </w:p>
        </w:tc>
        <w:tc>
          <w:tcPr>
            <w:tcW w:w="1260" w:type="dxa"/>
            <w:noWrap w:val="0"/>
            <w:vAlign w:val="center"/>
          </w:tcPr>
          <w:p>
            <w:pPr>
              <w:spacing w:line="360" w:lineRule="auto"/>
              <w:jc w:val="center"/>
              <w:rPr>
                <w:rFonts w:ascii="新宋体" w:hAnsi="新宋体" w:eastAsia="新宋体"/>
                <w:b/>
                <w:bCs/>
                <w:color w:val="auto"/>
                <w:sz w:val="22"/>
                <w:szCs w:val="22"/>
                <w:highlight w:val="none"/>
              </w:rPr>
            </w:pPr>
          </w:p>
        </w:tc>
        <w:tc>
          <w:tcPr>
            <w:tcW w:w="1219" w:type="dxa"/>
            <w:noWrap w:val="0"/>
            <w:vAlign w:val="top"/>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color w:val="auto"/>
                <w:sz w:val="22"/>
                <w:szCs w:val="22"/>
                <w:highlight w:val="none"/>
              </w:rPr>
            </w:pPr>
          </w:p>
        </w:tc>
        <w:tc>
          <w:tcPr>
            <w:tcW w:w="1692" w:type="dxa"/>
            <w:noWrap w:val="0"/>
            <w:vAlign w:val="center"/>
          </w:tcPr>
          <w:p>
            <w:pPr>
              <w:spacing w:line="360" w:lineRule="auto"/>
              <w:jc w:val="center"/>
              <w:rPr>
                <w:rFonts w:ascii="新宋体" w:hAnsi="新宋体" w:eastAsia="新宋体"/>
                <w:b/>
                <w:bCs/>
                <w:color w:val="auto"/>
                <w:sz w:val="22"/>
                <w:szCs w:val="22"/>
                <w:highlight w:val="none"/>
              </w:rPr>
            </w:pPr>
          </w:p>
        </w:tc>
        <w:tc>
          <w:tcPr>
            <w:tcW w:w="2566" w:type="dxa"/>
            <w:noWrap w:val="0"/>
            <w:vAlign w:val="center"/>
          </w:tcPr>
          <w:p>
            <w:pPr>
              <w:spacing w:line="360" w:lineRule="auto"/>
              <w:jc w:val="center"/>
              <w:rPr>
                <w:rFonts w:ascii="新宋体" w:hAnsi="新宋体" w:eastAsia="新宋体"/>
                <w:b/>
                <w:bCs/>
                <w:color w:val="auto"/>
                <w:sz w:val="22"/>
                <w:szCs w:val="22"/>
                <w:highlight w:val="none"/>
              </w:rPr>
            </w:pPr>
          </w:p>
        </w:tc>
        <w:tc>
          <w:tcPr>
            <w:tcW w:w="2117" w:type="dxa"/>
            <w:noWrap w:val="0"/>
            <w:vAlign w:val="center"/>
          </w:tcPr>
          <w:p>
            <w:pPr>
              <w:spacing w:line="360" w:lineRule="auto"/>
              <w:jc w:val="center"/>
              <w:rPr>
                <w:rFonts w:ascii="新宋体" w:hAnsi="新宋体" w:eastAsia="新宋体"/>
                <w:b/>
                <w:bCs/>
                <w:color w:val="auto"/>
                <w:sz w:val="22"/>
                <w:szCs w:val="22"/>
                <w:highlight w:val="none"/>
              </w:rPr>
            </w:pPr>
          </w:p>
        </w:tc>
        <w:tc>
          <w:tcPr>
            <w:tcW w:w="1260" w:type="dxa"/>
            <w:noWrap w:val="0"/>
            <w:vAlign w:val="center"/>
          </w:tcPr>
          <w:p>
            <w:pPr>
              <w:spacing w:line="360" w:lineRule="auto"/>
              <w:jc w:val="center"/>
              <w:rPr>
                <w:rFonts w:ascii="新宋体" w:hAnsi="新宋体" w:eastAsia="新宋体"/>
                <w:b/>
                <w:bCs/>
                <w:color w:val="auto"/>
                <w:sz w:val="22"/>
                <w:szCs w:val="22"/>
                <w:highlight w:val="none"/>
              </w:rPr>
            </w:pPr>
          </w:p>
        </w:tc>
        <w:tc>
          <w:tcPr>
            <w:tcW w:w="1219" w:type="dxa"/>
            <w:noWrap w:val="0"/>
            <w:vAlign w:val="top"/>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color w:val="auto"/>
                <w:sz w:val="22"/>
                <w:szCs w:val="22"/>
                <w:highlight w:val="none"/>
              </w:rPr>
            </w:pPr>
          </w:p>
        </w:tc>
        <w:tc>
          <w:tcPr>
            <w:tcW w:w="1692" w:type="dxa"/>
            <w:noWrap w:val="0"/>
            <w:vAlign w:val="center"/>
          </w:tcPr>
          <w:p>
            <w:pPr>
              <w:spacing w:line="360" w:lineRule="auto"/>
              <w:jc w:val="center"/>
              <w:rPr>
                <w:rFonts w:ascii="新宋体" w:hAnsi="新宋体" w:eastAsia="新宋体"/>
                <w:b/>
                <w:bCs/>
                <w:color w:val="auto"/>
                <w:sz w:val="22"/>
                <w:szCs w:val="22"/>
                <w:highlight w:val="none"/>
              </w:rPr>
            </w:pPr>
          </w:p>
        </w:tc>
        <w:tc>
          <w:tcPr>
            <w:tcW w:w="2566" w:type="dxa"/>
            <w:noWrap w:val="0"/>
            <w:vAlign w:val="center"/>
          </w:tcPr>
          <w:p>
            <w:pPr>
              <w:spacing w:line="360" w:lineRule="auto"/>
              <w:jc w:val="center"/>
              <w:rPr>
                <w:rFonts w:ascii="新宋体" w:hAnsi="新宋体" w:eastAsia="新宋体"/>
                <w:b/>
                <w:bCs/>
                <w:color w:val="auto"/>
                <w:sz w:val="22"/>
                <w:szCs w:val="22"/>
                <w:highlight w:val="none"/>
              </w:rPr>
            </w:pPr>
          </w:p>
        </w:tc>
        <w:tc>
          <w:tcPr>
            <w:tcW w:w="2117" w:type="dxa"/>
            <w:noWrap w:val="0"/>
            <w:vAlign w:val="center"/>
          </w:tcPr>
          <w:p>
            <w:pPr>
              <w:spacing w:line="360" w:lineRule="auto"/>
              <w:jc w:val="center"/>
              <w:rPr>
                <w:rFonts w:ascii="新宋体" w:hAnsi="新宋体" w:eastAsia="新宋体"/>
                <w:b/>
                <w:bCs/>
                <w:color w:val="auto"/>
                <w:sz w:val="22"/>
                <w:szCs w:val="22"/>
                <w:highlight w:val="none"/>
              </w:rPr>
            </w:pPr>
          </w:p>
        </w:tc>
        <w:tc>
          <w:tcPr>
            <w:tcW w:w="1260" w:type="dxa"/>
            <w:noWrap w:val="0"/>
            <w:vAlign w:val="center"/>
          </w:tcPr>
          <w:p>
            <w:pPr>
              <w:spacing w:line="360" w:lineRule="auto"/>
              <w:jc w:val="center"/>
              <w:rPr>
                <w:rFonts w:ascii="新宋体" w:hAnsi="新宋体" w:eastAsia="新宋体"/>
                <w:b/>
                <w:bCs/>
                <w:color w:val="auto"/>
                <w:sz w:val="22"/>
                <w:szCs w:val="22"/>
                <w:highlight w:val="none"/>
              </w:rPr>
            </w:pPr>
          </w:p>
        </w:tc>
        <w:tc>
          <w:tcPr>
            <w:tcW w:w="1219" w:type="dxa"/>
            <w:noWrap w:val="0"/>
            <w:vAlign w:val="top"/>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color w:val="auto"/>
                <w:sz w:val="22"/>
                <w:szCs w:val="22"/>
                <w:highlight w:val="none"/>
              </w:rPr>
            </w:pPr>
          </w:p>
        </w:tc>
        <w:tc>
          <w:tcPr>
            <w:tcW w:w="1692" w:type="dxa"/>
            <w:noWrap w:val="0"/>
            <w:vAlign w:val="center"/>
          </w:tcPr>
          <w:p>
            <w:pPr>
              <w:spacing w:line="360" w:lineRule="auto"/>
              <w:jc w:val="center"/>
              <w:rPr>
                <w:rFonts w:ascii="新宋体" w:hAnsi="新宋体" w:eastAsia="新宋体"/>
                <w:color w:val="auto"/>
                <w:sz w:val="22"/>
                <w:szCs w:val="22"/>
                <w:highlight w:val="none"/>
              </w:rPr>
            </w:pPr>
          </w:p>
        </w:tc>
        <w:tc>
          <w:tcPr>
            <w:tcW w:w="2566" w:type="dxa"/>
            <w:noWrap w:val="0"/>
            <w:vAlign w:val="center"/>
          </w:tcPr>
          <w:p>
            <w:pPr>
              <w:spacing w:line="360" w:lineRule="auto"/>
              <w:jc w:val="center"/>
              <w:rPr>
                <w:rFonts w:ascii="新宋体" w:hAnsi="新宋体" w:eastAsia="新宋体"/>
                <w:b/>
                <w:bCs/>
                <w:color w:val="auto"/>
                <w:sz w:val="22"/>
                <w:szCs w:val="22"/>
                <w:highlight w:val="none"/>
              </w:rPr>
            </w:pPr>
          </w:p>
        </w:tc>
        <w:tc>
          <w:tcPr>
            <w:tcW w:w="2117" w:type="dxa"/>
            <w:noWrap w:val="0"/>
            <w:vAlign w:val="center"/>
          </w:tcPr>
          <w:p>
            <w:pPr>
              <w:spacing w:line="360" w:lineRule="auto"/>
              <w:jc w:val="center"/>
              <w:rPr>
                <w:rFonts w:ascii="新宋体" w:hAnsi="新宋体" w:eastAsia="新宋体"/>
                <w:b/>
                <w:bCs/>
                <w:color w:val="auto"/>
                <w:sz w:val="22"/>
                <w:szCs w:val="22"/>
                <w:highlight w:val="none"/>
              </w:rPr>
            </w:pPr>
          </w:p>
        </w:tc>
        <w:tc>
          <w:tcPr>
            <w:tcW w:w="1260" w:type="dxa"/>
            <w:noWrap w:val="0"/>
            <w:vAlign w:val="center"/>
          </w:tcPr>
          <w:p>
            <w:pPr>
              <w:spacing w:line="360" w:lineRule="auto"/>
              <w:jc w:val="center"/>
              <w:rPr>
                <w:rFonts w:ascii="新宋体" w:hAnsi="新宋体" w:eastAsia="新宋体"/>
                <w:b/>
                <w:bCs/>
                <w:color w:val="auto"/>
                <w:sz w:val="22"/>
                <w:szCs w:val="22"/>
                <w:highlight w:val="none"/>
              </w:rPr>
            </w:pPr>
          </w:p>
        </w:tc>
        <w:tc>
          <w:tcPr>
            <w:tcW w:w="1219" w:type="dxa"/>
            <w:noWrap w:val="0"/>
            <w:vAlign w:val="top"/>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color w:val="auto"/>
                <w:sz w:val="22"/>
                <w:szCs w:val="22"/>
                <w:highlight w:val="none"/>
              </w:rPr>
            </w:pPr>
          </w:p>
        </w:tc>
        <w:tc>
          <w:tcPr>
            <w:tcW w:w="1692" w:type="dxa"/>
            <w:noWrap w:val="0"/>
            <w:vAlign w:val="center"/>
          </w:tcPr>
          <w:p>
            <w:pPr>
              <w:spacing w:line="360" w:lineRule="auto"/>
              <w:jc w:val="center"/>
              <w:rPr>
                <w:rFonts w:ascii="新宋体" w:hAnsi="新宋体" w:eastAsia="新宋体"/>
                <w:b/>
                <w:bCs/>
                <w:color w:val="auto"/>
                <w:sz w:val="22"/>
                <w:szCs w:val="22"/>
                <w:highlight w:val="none"/>
              </w:rPr>
            </w:pPr>
          </w:p>
        </w:tc>
        <w:tc>
          <w:tcPr>
            <w:tcW w:w="2566" w:type="dxa"/>
            <w:noWrap w:val="0"/>
            <w:vAlign w:val="center"/>
          </w:tcPr>
          <w:p>
            <w:pPr>
              <w:spacing w:line="360" w:lineRule="auto"/>
              <w:jc w:val="center"/>
              <w:rPr>
                <w:rFonts w:ascii="新宋体" w:hAnsi="新宋体" w:eastAsia="新宋体"/>
                <w:color w:val="auto"/>
                <w:sz w:val="22"/>
                <w:szCs w:val="22"/>
                <w:highlight w:val="none"/>
              </w:rPr>
            </w:pPr>
          </w:p>
        </w:tc>
        <w:tc>
          <w:tcPr>
            <w:tcW w:w="2117" w:type="dxa"/>
            <w:noWrap w:val="0"/>
            <w:vAlign w:val="center"/>
          </w:tcPr>
          <w:p>
            <w:pPr>
              <w:spacing w:line="360" w:lineRule="auto"/>
              <w:jc w:val="center"/>
              <w:rPr>
                <w:rFonts w:ascii="新宋体" w:hAnsi="新宋体" w:eastAsia="新宋体"/>
                <w:b/>
                <w:bCs/>
                <w:color w:val="auto"/>
                <w:sz w:val="22"/>
                <w:szCs w:val="22"/>
                <w:highlight w:val="none"/>
              </w:rPr>
            </w:pPr>
          </w:p>
        </w:tc>
        <w:tc>
          <w:tcPr>
            <w:tcW w:w="1260" w:type="dxa"/>
            <w:noWrap w:val="0"/>
            <w:vAlign w:val="center"/>
          </w:tcPr>
          <w:p>
            <w:pPr>
              <w:spacing w:line="360" w:lineRule="auto"/>
              <w:jc w:val="center"/>
              <w:rPr>
                <w:rFonts w:ascii="新宋体" w:hAnsi="新宋体" w:eastAsia="新宋体"/>
                <w:b/>
                <w:bCs/>
                <w:color w:val="auto"/>
                <w:sz w:val="22"/>
                <w:szCs w:val="22"/>
                <w:highlight w:val="none"/>
              </w:rPr>
            </w:pPr>
          </w:p>
        </w:tc>
        <w:tc>
          <w:tcPr>
            <w:tcW w:w="1219" w:type="dxa"/>
            <w:noWrap w:val="0"/>
            <w:vAlign w:val="top"/>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color w:val="auto"/>
                <w:sz w:val="22"/>
                <w:szCs w:val="22"/>
                <w:highlight w:val="none"/>
              </w:rPr>
            </w:pPr>
          </w:p>
        </w:tc>
        <w:tc>
          <w:tcPr>
            <w:tcW w:w="1692" w:type="dxa"/>
            <w:noWrap w:val="0"/>
            <w:vAlign w:val="center"/>
          </w:tcPr>
          <w:p>
            <w:pPr>
              <w:spacing w:line="360" w:lineRule="auto"/>
              <w:jc w:val="center"/>
              <w:rPr>
                <w:rFonts w:ascii="新宋体" w:hAnsi="新宋体" w:eastAsia="新宋体"/>
                <w:color w:val="auto"/>
                <w:sz w:val="22"/>
                <w:szCs w:val="22"/>
                <w:highlight w:val="none"/>
              </w:rPr>
            </w:pPr>
          </w:p>
        </w:tc>
        <w:tc>
          <w:tcPr>
            <w:tcW w:w="2566" w:type="dxa"/>
            <w:noWrap w:val="0"/>
            <w:vAlign w:val="top"/>
          </w:tcPr>
          <w:p>
            <w:pPr>
              <w:spacing w:line="360" w:lineRule="auto"/>
              <w:rPr>
                <w:rFonts w:ascii="新宋体" w:hAnsi="新宋体" w:eastAsia="新宋体"/>
                <w:b/>
                <w:bCs/>
                <w:color w:val="auto"/>
                <w:sz w:val="22"/>
                <w:szCs w:val="22"/>
                <w:highlight w:val="none"/>
              </w:rPr>
            </w:pPr>
          </w:p>
        </w:tc>
        <w:tc>
          <w:tcPr>
            <w:tcW w:w="2117" w:type="dxa"/>
            <w:noWrap w:val="0"/>
            <w:vAlign w:val="center"/>
          </w:tcPr>
          <w:p>
            <w:pPr>
              <w:spacing w:line="360" w:lineRule="auto"/>
              <w:jc w:val="center"/>
              <w:rPr>
                <w:rFonts w:ascii="新宋体" w:hAnsi="新宋体" w:eastAsia="新宋体"/>
                <w:b/>
                <w:bCs/>
                <w:color w:val="auto"/>
                <w:sz w:val="22"/>
                <w:szCs w:val="22"/>
                <w:highlight w:val="none"/>
              </w:rPr>
            </w:pPr>
          </w:p>
        </w:tc>
        <w:tc>
          <w:tcPr>
            <w:tcW w:w="1260" w:type="dxa"/>
            <w:noWrap w:val="0"/>
            <w:vAlign w:val="center"/>
          </w:tcPr>
          <w:p>
            <w:pPr>
              <w:spacing w:line="360" w:lineRule="auto"/>
              <w:jc w:val="center"/>
              <w:rPr>
                <w:rFonts w:ascii="新宋体" w:hAnsi="新宋体" w:eastAsia="新宋体"/>
                <w:b/>
                <w:bCs/>
                <w:color w:val="auto"/>
                <w:sz w:val="22"/>
                <w:szCs w:val="22"/>
                <w:highlight w:val="none"/>
              </w:rPr>
            </w:pPr>
          </w:p>
        </w:tc>
        <w:tc>
          <w:tcPr>
            <w:tcW w:w="1219" w:type="dxa"/>
            <w:noWrap w:val="0"/>
            <w:vAlign w:val="top"/>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color w:val="auto"/>
                <w:sz w:val="22"/>
                <w:szCs w:val="22"/>
                <w:highlight w:val="none"/>
              </w:rPr>
            </w:pPr>
          </w:p>
        </w:tc>
        <w:tc>
          <w:tcPr>
            <w:tcW w:w="1692" w:type="dxa"/>
            <w:noWrap w:val="0"/>
            <w:vAlign w:val="center"/>
          </w:tcPr>
          <w:p>
            <w:pPr>
              <w:spacing w:line="360" w:lineRule="auto"/>
              <w:jc w:val="center"/>
              <w:rPr>
                <w:rFonts w:ascii="新宋体" w:hAnsi="新宋体" w:eastAsia="新宋体"/>
                <w:b/>
                <w:bCs/>
                <w:color w:val="auto"/>
                <w:sz w:val="22"/>
                <w:szCs w:val="22"/>
                <w:highlight w:val="none"/>
              </w:rPr>
            </w:pPr>
          </w:p>
        </w:tc>
        <w:tc>
          <w:tcPr>
            <w:tcW w:w="2566" w:type="dxa"/>
            <w:noWrap w:val="0"/>
            <w:vAlign w:val="top"/>
          </w:tcPr>
          <w:p>
            <w:pPr>
              <w:spacing w:line="360" w:lineRule="auto"/>
              <w:rPr>
                <w:rFonts w:ascii="新宋体" w:hAnsi="新宋体" w:eastAsia="新宋体"/>
                <w:color w:val="auto"/>
                <w:sz w:val="22"/>
                <w:szCs w:val="22"/>
                <w:highlight w:val="none"/>
              </w:rPr>
            </w:pPr>
          </w:p>
        </w:tc>
        <w:tc>
          <w:tcPr>
            <w:tcW w:w="2117" w:type="dxa"/>
            <w:noWrap w:val="0"/>
            <w:vAlign w:val="center"/>
          </w:tcPr>
          <w:p>
            <w:pPr>
              <w:spacing w:line="360" w:lineRule="auto"/>
              <w:jc w:val="center"/>
              <w:rPr>
                <w:rFonts w:ascii="新宋体" w:hAnsi="新宋体" w:eastAsia="新宋体"/>
                <w:b/>
                <w:bCs/>
                <w:color w:val="auto"/>
                <w:sz w:val="22"/>
                <w:szCs w:val="22"/>
                <w:highlight w:val="none"/>
              </w:rPr>
            </w:pPr>
          </w:p>
        </w:tc>
        <w:tc>
          <w:tcPr>
            <w:tcW w:w="1260" w:type="dxa"/>
            <w:noWrap w:val="0"/>
            <w:vAlign w:val="center"/>
          </w:tcPr>
          <w:p>
            <w:pPr>
              <w:spacing w:line="360" w:lineRule="auto"/>
              <w:jc w:val="center"/>
              <w:rPr>
                <w:rFonts w:ascii="新宋体" w:hAnsi="新宋体" w:eastAsia="新宋体"/>
                <w:b/>
                <w:bCs/>
                <w:color w:val="auto"/>
                <w:sz w:val="22"/>
                <w:szCs w:val="22"/>
                <w:highlight w:val="none"/>
              </w:rPr>
            </w:pPr>
          </w:p>
        </w:tc>
        <w:tc>
          <w:tcPr>
            <w:tcW w:w="1219" w:type="dxa"/>
            <w:noWrap w:val="0"/>
            <w:vAlign w:val="top"/>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color w:val="auto"/>
                <w:sz w:val="22"/>
                <w:szCs w:val="22"/>
                <w:highlight w:val="none"/>
              </w:rPr>
            </w:pPr>
          </w:p>
        </w:tc>
        <w:tc>
          <w:tcPr>
            <w:tcW w:w="1692" w:type="dxa"/>
            <w:noWrap w:val="0"/>
            <w:vAlign w:val="center"/>
          </w:tcPr>
          <w:p>
            <w:pPr>
              <w:spacing w:line="360" w:lineRule="auto"/>
              <w:jc w:val="center"/>
              <w:rPr>
                <w:rFonts w:ascii="新宋体" w:hAnsi="新宋体" w:eastAsia="新宋体"/>
                <w:color w:val="auto"/>
                <w:sz w:val="22"/>
                <w:szCs w:val="22"/>
                <w:highlight w:val="none"/>
              </w:rPr>
            </w:pPr>
          </w:p>
        </w:tc>
        <w:tc>
          <w:tcPr>
            <w:tcW w:w="2566" w:type="dxa"/>
            <w:noWrap w:val="0"/>
            <w:vAlign w:val="top"/>
          </w:tcPr>
          <w:p>
            <w:pPr>
              <w:spacing w:line="360" w:lineRule="auto"/>
              <w:rPr>
                <w:rFonts w:ascii="新宋体" w:hAnsi="新宋体" w:eastAsia="新宋体"/>
                <w:color w:val="auto"/>
                <w:sz w:val="22"/>
                <w:szCs w:val="22"/>
                <w:highlight w:val="none"/>
              </w:rPr>
            </w:pPr>
          </w:p>
        </w:tc>
        <w:tc>
          <w:tcPr>
            <w:tcW w:w="2117" w:type="dxa"/>
            <w:noWrap w:val="0"/>
            <w:vAlign w:val="center"/>
          </w:tcPr>
          <w:p>
            <w:pPr>
              <w:spacing w:line="360" w:lineRule="auto"/>
              <w:jc w:val="center"/>
              <w:rPr>
                <w:rFonts w:ascii="新宋体" w:hAnsi="新宋体" w:eastAsia="新宋体"/>
                <w:b/>
                <w:bCs/>
                <w:color w:val="auto"/>
                <w:sz w:val="22"/>
                <w:szCs w:val="22"/>
                <w:highlight w:val="none"/>
              </w:rPr>
            </w:pPr>
          </w:p>
        </w:tc>
        <w:tc>
          <w:tcPr>
            <w:tcW w:w="1260" w:type="dxa"/>
            <w:noWrap w:val="0"/>
            <w:vAlign w:val="center"/>
          </w:tcPr>
          <w:p>
            <w:pPr>
              <w:spacing w:line="360" w:lineRule="auto"/>
              <w:jc w:val="center"/>
              <w:rPr>
                <w:rFonts w:ascii="新宋体" w:hAnsi="新宋体" w:eastAsia="新宋体"/>
                <w:b/>
                <w:bCs/>
                <w:color w:val="auto"/>
                <w:sz w:val="22"/>
                <w:szCs w:val="22"/>
                <w:highlight w:val="none"/>
              </w:rPr>
            </w:pPr>
          </w:p>
        </w:tc>
        <w:tc>
          <w:tcPr>
            <w:tcW w:w="1219" w:type="dxa"/>
            <w:noWrap w:val="0"/>
            <w:vAlign w:val="top"/>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color w:val="auto"/>
                <w:sz w:val="22"/>
                <w:szCs w:val="22"/>
                <w:highlight w:val="none"/>
              </w:rPr>
            </w:pPr>
          </w:p>
        </w:tc>
        <w:tc>
          <w:tcPr>
            <w:tcW w:w="1692" w:type="dxa"/>
            <w:noWrap w:val="0"/>
            <w:vAlign w:val="center"/>
          </w:tcPr>
          <w:p>
            <w:pPr>
              <w:spacing w:line="360" w:lineRule="auto"/>
              <w:jc w:val="center"/>
              <w:rPr>
                <w:rFonts w:ascii="新宋体" w:hAnsi="新宋体" w:eastAsia="新宋体"/>
                <w:color w:val="auto"/>
                <w:sz w:val="22"/>
                <w:szCs w:val="22"/>
                <w:highlight w:val="none"/>
              </w:rPr>
            </w:pPr>
          </w:p>
        </w:tc>
        <w:tc>
          <w:tcPr>
            <w:tcW w:w="2566" w:type="dxa"/>
            <w:noWrap w:val="0"/>
            <w:vAlign w:val="top"/>
          </w:tcPr>
          <w:p>
            <w:pPr>
              <w:spacing w:line="360" w:lineRule="auto"/>
              <w:rPr>
                <w:rFonts w:ascii="新宋体" w:hAnsi="新宋体" w:eastAsia="新宋体"/>
                <w:color w:val="auto"/>
                <w:sz w:val="22"/>
                <w:szCs w:val="22"/>
                <w:highlight w:val="none"/>
              </w:rPr>
            </w:pPr>
          </w:p>
        </w:tc>
        <w:tc>
          <w:tcPr>
            <w:tcW w:w="2117" w:type="dxa"/>
            <w:noWrap w:val="0"/>
            <w:vAlign w:val="center"/>
          </w:tcPr>
          <w:p>
            <w:pPr>
              <w:spacing w:line="360" w:lineRule="auto"/>
              <w:jc w:val="center"/>
              <w:rPr>
                <w:rFonts w:ascii="新宋体" w:hAnsi="新宋体" w:eastAsia="新宋体"/>
                <w:b/>
                <w:bCs/>
                <w:color w:val="auto"/>
                <w:sz w:val="22"/>
                <w:szCs w:val="22"/>
                <w:highlight w:val="none"/>
              </w:rPr>
            </w:pPr>
          </w:p>
        </w:tc>
        <w:tc>
          <w:tcPr>
            <w:tcW w:w="1260" w:type="dxa"/>
            <w:noWrap w:val="0"/>
            <w:vAlign w:val="center"/>
          </w:tcPr>
          <w:p>
            <w:pPr>
              <w:spacing w:line="360" w:lineRule="auto"/>
              <w:jc w:val="center"/>
              <w:rPr>
                <w:rFonts w:ascii="新宋体" w:hAnsi="新宋体" w:eastAsia="新宋体"/>
                <w:b/>
                <w:bCs/>
                <w:color w:val="auto"/>
                <w:sz w:val="22"/>
                <w:szCs w:val="22"/>
                <w:highlight w:val="none"/>
              </w:rPr>
            </w:pPr>
          </w:p>
        </w:tc>
        <w:tc>
          <w:tcPr>
            <w:tcW w:w="1219" w:type="dxa"/>
            <w:noWrap w:val="0"/>
            <w:vAlign w:val="top"/>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color w:val="auto"/>
                <w:sz w:val="22"/>
                <w:szCs w:val="22"/>
                <w:highlight w:val="none"/>
              </w:rPr>
            </w:pPr>
          </w:p>
        </w:tc>
        <w:tc>
          <w:tcPr>
            <w:tcW w:w="1692" w:type="dxa"/>
            <w:noWrap w:val="0"/>
            <w:vAlign w:val="center"/>
          </w:tcPr>
          <w:p>
            <w:pPr>
              <w:spacing w:line="360" w:lineRule="auto"/>
              <w:jc w:val="center"/>
              <w:rPr>
                <w:rFonts w:ascii="新宋体" w:hAnsi="新宋体" w:eastAsia="新宋体"/>
                <w:b/>
                <w:bCs/>
                <w:color w:val="auto"/>
                <w:sz w:val="22"/>
                <w:szCs w:val="22"/>
                <w:highlight w:val="none"/>
              </w:rPr>
            </w:pPr>
          </w:p>
        </w:tc>
        <w:tc>
          <w:tcPr>
            <w:tcW w:w="2566" w:type="dxa"/>
            <w:noWrap w:val="0"/>
            <w:vAlign w:val="center"/>
          </w:tcPr>
          <w:p>
            <w:pPr>
              <w:spacing w:line="360" w:lineRule="auto"/>
              <w:jc w:val="center"/>
              <w:rPr>
                <w:rFonts w:ascii="新宋体" w:hAnsi="新宋体" w:eastAsia="新宋体"/>
                <w:b/>
                <w:bCs/>
                <w:color w:val="auto"/>
                <w:sz w:val="22"/>
                <w:szCs w:val="22"/>
                <w:highlight w:val="none"/>
              </w:rPr>
            </w:pPr>
          </w:p>
        </w:tc>
        <w:tc>
          <w:tcPr>
            <w:tcW w:w="2117" w:type="dxa"/>
            <w:noWrap w:val="0"/>
            <w:vAlign w:val="center"/>
          </w:tcPr>
          <w:p>
            <w:pPr>
              <w:spacing w:line="360" w:lineRule="auto"/>
              <w:jc w:val="center"/>
              <w:rPr>
                <w:rFonts w:ascii="新宋体" w:hAnsi="新宋体" w:eastAsia="新宋体"/>
                <w:b/>
                <w:bCs/>
                <w:color w:val="auto"/>
                <w:sz w:val="22"/>
                <w:szCs w:val="22"/>
                <w:highlight w:val="none"/>
              </w:rPr>
            </w:pPr>
          </w:p>
        </w:tc>
        <w:tc>
          <w:tcPr>
            <w:tcW w:w="1260" w:type="dxa"/>
            <w:noWrap w:val="0"/>
            <w:vAlign w:val="center"/>
          </w:tcPr>
          <w:p>
            <w:pPr>
              <w:spacing w:line="360" w:lineRule="auto"/>
              <w:jc w:val="center"/>
              <w:rPr>
                <w:rFonts w:ascii="新宋体" w:hAnsi="新宋体" w:eastAsia="新宋体"/>
                <w:b/>
                <w:bCs/>
                <w:color w:val="auto"/>
                <w:sz w:val="22"/>
                <w:szCs w:val="22"/>
                <w:highlight w:val="none"/>
              </w:rPr>
            </w:pPr>
          </w:p>
        </w:tc>
        <w:tc>
          <w:tcPr>
            <w:tcW w:w="1219" w:type="dxa"/>
            <w:noWrap w:val="0"/>
            <w:vAlign w:val="top"/>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color w:val="auto"/>
                <w:sz w:val="22"/>
                <w:szCs w:val="22"/>
                <w:highlight w:val="none"/>
              </w:rPr>
            </w:pPr>
          </w:p>
        </w:tc>
        <w:tc>
          <w:tcPr>
            <w:tcW w:w="1692" w:type="dxa"/>
            <w:noWrap w:val="0"/>
            <w:vAlign w:val="center"/>
          </w:tcPr>
          <w:p>
            <w:pPr>
              <w:spacing w:line="360" w:lineRule="auto"/>
              <w:rPr>
                <w:rFonts w:ascii="新宋体" w:hAnsi="新宋体" w:eastAsia="新宋体"/>
                <w:b/>
                <w:bCs/>
                <w:color w:val="auto"/>
                <w:sz w:val="22"/>
                <w:szCs w:val="22"/>
                <w:highlight w:val="none"/>
              </w:rPr>
            </w:pPr>
          </w:p>
        </w:tc>
        <w:tc>
          <w:tcPr>
            <w:tcW w:w="2566" w:type="dxa"/>
            <w:noWrap w:val="0"/>
            <w:vAlign w:val="center"/>
          </w:tcPr>
          <w:p>
            <w:pPr>
              <w:spacing w:line="360" w:lineRule="auto"/>
              <w:jc w:val="center"/>
              <w:rPr>
                <w:rFonts w:ascii="新宋体" w:hAnsi="新宋体" w:eastAsia="新宋体"/>
                <w:b/>
                <w:bCs/>
                <w:color w:val="auto"/>
                <w:sz w:val="22"/>
                <w:szCs w:val="22"/>
                <w:highlight w:val="none"/>
              </w:rPr>
            </w:pPr>
          </w:p>
        </w:tc>
        <w:tc>
          <w:tcPr>
            <w:tcW w:w="2117" w:type="dxa"/>
            <w:noWrap w:val="0"/>
            <w:vAlign w:val="center"/>
          </w:tcPr>
          <w:p>
            <w:pPr>
              <w:spacing w:line="360" w:lineRule="auto"/>
              <w:jc w:val="center"/>
              <w:rPr>
                <w:rFonts w:ascii="新宋体" w:hAnsi="新宋体" w:eastAsia="新宋体"/>
                <w:b/>
                <w:bCs/>
                <w:color w:val="auto"/>
                <w:sz w:val="22"/>
                <w:szCs w:val="22"/>
                <w:highlight w:val="none"/>
              </w:rPr>
            </w:pPr>
          </w:p>
        </w:tc>
        <w:tc>
          <w:tcPr>
            <w:tcW w:w="1260" w:type="dxa"/>
            <w:noWrap w:val="0"/>
            <w:vAlign w:val="center"/>
          </w:tcPr>
          <w:p>
            <w:pPr>
              <w:spacing w:line="360" w:lineRule="auto"/>
              <w:jc w:val="center"/>
              <w:rPr>
                <w:rFonts w:ascii="新宋体" w:hAnsi="新宋体" w:eastAsia="新宋体"/>
                <w:b/>
                <w:bCs/>
                <w:color w:val="auto"/>
                <w:sz w:val="22"/>
                <w:szCs w:val="22"/>
                <w:highlight w:val="none"/>
              </w:rPr>
            </w:pPr>
          </w:p>
        </w:tc>
        <w:tc>
          <w:tcPr>
            <w:tcW w:w="1219" w:type="dxa"/>
            <w:noWrap w:val="0"/>
            <w:vAlign w:val="top"/>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b/>
                <w:bCs/>
                <w:color w:val="auto"/>
                <w:sz w:val="22"/>
                <w:szCs w:val="22"/>
                <w:highlight w:val="none"/>
              </w:rPr>
            </w:pPr>
          </w:p>
        </w:tc>
        <w:tc>
          <w:tcPr>
            <w:tcW w:w="1692" w:type="dxa"/>
            <w:noWrap w:val="0"/>
            <w:vAlign w:val="center"/>
          </w:tcPr>
          <w:p>
            <w:pPr>
              <w:spacing w:line="360" w:lineRule="auto"/>
              <w:rPr>
                <w:rFonts w:ascii="新宋体" w:hAnsi="新宋体" w:eastAsia="新宋体"/>
                <w:b/>
                <w:bCs/>
                <w:color w:val="auto"/>
                <w:sz w:val="22"/>
                <w:szCs w:val="22"/>
                <w:highlight w:val="none"/>
              </w:rPr>
            </w:pPr>
          </w:p>
        </w:tc>
        <w:tc>
          <w:tcPr>
            <w:tcW w:w="2566" w:type="dxa"/>
            <w:noWrap w:val="0"/>
            <w:vAlign w:val="center"/>
          </w:tcPr>
          <w:p>
            <w:pPr>
              <w:spacing w:line="360" w:lineRule="auto"/>
              <w:jc w:val="center"/>
              <w:rPr>
                <w:rFonts w:ascii="新宋体" w:hAnsi="新宋体" w:eastAsia="新宋体"/>
                <w:b/>
                <w:bCs/>
                <w:color w:val="auto"/>
                <w:sz w:val="22"/>
                <w:szCs w:val="22"/>
                <w:highlight w:val="none"/>
              </w:rPr>
            </w:pPr>
          </w:p>
        </w:tc>
        <w:tc>
          <w:tcPr>
            <w:tcW w:w="2117" w:type="dxa"/>
            <w:noWrap w:val="0"/>
            <w:vAlign w:val="center"/>
          </w:tcPr>
          <w:p>
            <w:pPr>
              <w:spacing w:line="360" w:lineRule="auto"/>
              <w:jc w:val="center"/>
              <w:rPr>
                <w:rFonts w:ascii="新宋体" w:hAnsi="新宋体" w:eastAsia="新宋体"/>
                <w:b/>
                <w:bCs/>
                <w:color w:val="auto"/>
                <w:sz w:val="22"/>
                <w:szCs w:val="22"/>
                <w:highlight w:val="none"/>
              </w:rPr>
            </w:pPr>
          </w:p>
        </w:tc>
        <w:tc>
          <w:tcPr>
            <w:tcW w:w="1260" w:type="dxa"/>
            <w:noWrap w:val="0"/>
            <w:vAlign w:val="center"/>
          </w:tcPr>
          <w:p>
            <w:pPr>
              <w:spacing w:line="360" w:lineRule="auto"/>
              <w:jc w:val="center"/>
              <w:rPr>
                <w:rFonts w:ascii="新宋体" w:hAnsi="新宋体" w:eastAsia="新宋体"/>
                <w:b/>
                <w:bCs/>
                <w:color w:val="auto"/>
                <w:sz w:val="22"/>
                <w:szCs w:val="22"/>
                <w:highlight w:val="none"/>
              </w:rPr>
            </w:pPr>
          </w:p>
        </w:tc>
        <w:tc>
          <w:tcPr>
            <w:tcW w:w="1219" w:type="dxa"/>
            <w:noWrap w:val="0"/>
            <w:vAlign w:val="top"/>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bCs/>
                <w:color w:val="auto"/>
                <w:sz w:val="22"/>
                <w:szCs w:val="22"/>
                <w:highlight w:val="none"/>
              </w:rPr>
            </w:pPr>
          </w:p>
        </w:tc>
        <w:tc>
          <w:tcPr>
            <w:tcW w:w="1692" w:type="dxa"/>
            <w:noWrap w:val="0"/>
            <w:vAlign w:val="center"/>
          </w:tcPr>
          <w:p>
            <w:pPr>
              <w:spacing w:line="360" w:lineRule="auto"/>
              <w:rPr>
                <w:rFonts w:ascii="新宋体" w:hAnsi="新宋体" w:eastAsia="新宋体"/>
                <w:color w:val="auto"/>
                <w:sz w:val="22"/>
                <w:szCs w:val="22"/>
                <w:highlight w:val="none"/>
              </w:rPr>
            </w:pPr>
          </w:p>
        </w:tc>
        <w:tc>
          <w:tcPr>
            <w:tcW w:w="2566" w:type="dxa"/>
            <w:noWrap w:val="0"/>
            <w:vAlign w:val="center"/>
          </w:tcPr>
          <w:p>
            <w:pPr>
              <w:spacing w:line="360" w:lineRule="auto"/>
              <w:jc w:val="center"/>
              <w:rPr>
                <w:rFonts w:ascii="新宋体" w:hAnsi="新宋体" w:eastAsia="新宋体"/>
                <w:b/>
                <w:bCs/>
                <w:color w:val="auto"/>
                <w:sz w:val="22"/>
                <w:szCs w:val="22"/>
                <w:highlight w:val="none"/>
              </w:rPr>
            </w:pPr>
          </w:p>
        </w:tc>
        <w:tc>
          <w:tcPr>
            <w:tcW w:w="2117" w:type="dxa"/>
            <w:noWrap w:val="0"/>
            <w:vAlign w:val="center"/>
          </w:tcPr>
          <w:p>
            <w:pPr>
              <w:spacing w:line="360" w:lineRule="auto"/>
              <w:jc w:val="center"/>
              <w:rPr>
                <w:rFonts w:ascii="新宋体" w:hAnsi="新宋体" w:eastAsia="新宋体"/>
                <w:b/>
                <w:bCs/>
                <w:color w:val="auto"/>
                <w:sz w:val="22"/>
                <w:szCs w:val="22"/>
                <w:highlight w:val="none"/>
              </w:rPr>
            </w:pPr>
          </w:p>
        </w:tc>
        <w:tc>
          <w:tcPr>
            <w:tcW w:w="1260" w:type="dxa"/>
            <w:noWrap w:val="0"/>
            <w:vAlign w:val="center"/>
          </w:tcPr>
          <w:p>
            <w:pPr>
              <w:spacing w:line="360" w:lineRule="auto"/>
              <w:jc w:val="center"/>
              <w:rPr>
                <w:rFonts w:ascii="新宋体" w:hAnsi="新宋体" w:eastAsia="新宋体"/>
                <w:b/>
                <w:bCs/>
                <w:color w:val="auto"/>
                <w:sz w:val="22"/>
                <w:szCs w:val="22"/>
                <w:highlight w:val="none"/>
              </w:rPr>
            </w:pPr>
          </w:p>
        </w:tc>
        <w:tc>
          <w:tcPr>
            <w:tcW w:w="1219" w:type="dxa"/>
            <w:noWrap w:val="0"/>
            <w:vAlign w:val="top"/>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b/>
                <w:bCs/>
                <w:color w:val="auto"/>
                <w:sz w:val="22"/>
                <w:szCs w:val="22"/>
                <w:highlight w:val="none"/>
              </w:rPr>
            </w:pPr>
          </w:p>
        </w:tc>
        <w:tc>
          <w:tcPr>
            <w:tcW w:w="1692" w:type="dxa"/>
            <w:noWrap w:val="0"/>
            <w:vAlign w:val="center"/>
          </w:tcPr>
          <w:p>
            <w:pPr>
              <w:spacing w:line="360" w:lineRule="auto"/>
              <w:rPr>
                <w:rFonts w:ascii="新宋体" w:hAnsi="新宋体" w:eastAsia="新宋体"/>
                <w:b/>
                <w:bCs/>
                <w:color w:val="auto"/>
                <w:sz w:val="22"/>
                <w:szCs w:val="22"/>
                <w:highlight w:val="none"/>
              </w:rPr>
            </w:pPr>
          </w:p>
        </w:tc>
        <w:tc>
          <w:tcPr>
            <w:tcW w:w="2566" w:type="dxa"/>
            <w:noWrap w:val="0"/>
            <w:vAlign w:val="center"/>
          </w:tcPr>
          <w:p>
            <w:pPr>
              <w:spacing w:line="360" w:lineRule="auto"/>
              <w:jc w:val="center"/>
              <w:rPr>
                <w:rFonts w:ascii="新宋体" w:hAnsi="新宋体" w:eastAsia="新宋体"/>
                <w:b/>
                <w:bCs/>
                <w:color w:val="auto"/>
                <w:sz w:val="22"/>
                <w:szCs w:val="22"/>
                <w:highlight w:val="none"/>
              </w:rPr>
            </w:pPr>
          </w:p>
        </w:tc>
        <w:tc>
          <w:tcPr>
            <w:tcW w:w="2117" w:type="dxa"/>
            <w:noWrap w:val="0"/>
            <w:vAlign w:val="center"/>
          </w:tcPr>
          <w:p>
            <w:pPr>
              <w:spacing w:line="360" w:lineRule="auto"/>
              <w:jc w:val="center"/>
              <w:rPr>
                <w:rFonts w:ascii="新宋体" w:hAnsi="新宋体" w:eastAsia="新宋体"/>
                <w:b/>
                <w:bCs/>
                <w:color w:val="auto"/>
                <w:sz w:val="22"/>
                <w:szCs w:val="22"/>
                <w:highlight w:val="none"/>
              </w:rPr>
            </w:pPr>
          </w:p>
        </w:tc>
        <w:tc>
          <w:tcPr>
            <w:tcW w:w="1260" w:type="dxa"/>
            <w:noWrap w:val="0"/>
            <w:vAlign w:val="center"/>
          </w:tcPr>
          <w:p>
            <w:pPr>
              <w:spacing w:line="360" w:lineRule="auto"/>
              <w:jc w:val="center"/>
              <w:rPr>
                <w:rFonts w:ascii="新宋体" w:hAnsi="新宋体" w:eastAsia="新宋体"/>
                <w:b/>
                <w:bCs/>
                <w:color w:val="auto"/>
                <w:sz w:val="22"/>
                <w:szCs w:val="22"/>
                <w:highlight w:val="none"/>
              </w:rPr>
            </w:pPr>
          </w:p>
        </w:tc>
        <w:tc>
          <w:tcPr>
            <w:tcW w:w="1219" w:type="dxa"/>
            <w:noWrap w:val="0"/>
            <w:vAlign w:val="top"/>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b/>
                <w:bCs/>
                <w:color w:val="auto"/>
                <w:sz w:val="22"/>
                <w:szCs w:val="22"/>
                <w:highlight w:val="none"/>
              </w:rPr>
            </w:pPr>
          </w:p>
        </w:tc>
        <w:tc>
          <w:tcPr>
            <w:tcW w:w="1692" w:type="dxa"/>
            <w:noWrap w:val="0"/>
            <w:vAlign w:val="center"/>
          </w:tcPr>
          <w:p>
            <w:pPr>
              <w:spacing w:line="360" w:lineRule="auto"/>
              <w:rPr>
                <w:rFonts w:ascii="新宋体" w:hAnsi="新宋体" w:eastAsia="新宋体"/>
                <w:color w:val="auto"/>
                <w:sz w:val="22"/>
                <w:szCs w:val="22"/>
                <w:highlight w:val="none"/>
              </w:rPr>
            </w:pPr>
          </w:p>
        </w:tc>
        <w:tc>
          <w:tcPr>
            <w:tcW w:w="2566" w:type="dxa"/>
            <w:noWrap w:val="0"/>
            <w:vAlign w:val="center"/>
          </w:tcPr>
          <w:p>
            <w:pPr>
              <w:spacing w:line="360" w:lineRule="auto"/>
              <w:jc w:val="center"/>
              <w:rPr>
                <w:rFonts w:ascii="新宋体" w:hAnsi="新宋体" w:eastAsia="新宋体"/>
                <w:b/>
                <w:bCs/>
                <w:color w:val="auto"/>
                <w:sz w:val="22"/>
                <w:szCs w:val="22"/>
                <w:highlight w:val="none"/>
              </w:rPr>
            </w:pPr>
          </w:p>
        </w:tc>
        <w:tc>
          <w:tcPr>
            <w:tcW w:w="2117" w:type="dxa"/>
            <w:noWrap w:val="0"/>
            <w:vAlign w:val="center"/>
          </w:tcPr>
          <w:p>
            <w:pPr>
              <w:spacing w:line="360" w:lineRule="auto"/>
              <w:jc w:val="center"/>
              <w:rPr>
                <w:rFonts w:ascii="新宋体" w:hAnsi="新宋体" w:eastAsia="新宋体"/>
                <w:b/>
                <w:bCs/>
                <w:color w:val="auto"/>
                <w:sz w:val="22"/>
                <w:szCs w:val="22"/>
                <w:highlight w:val="none"/>
              </w:rPr>
            </w:pPr>
          </w:p>
        </w:tc>
        <w:tc>
          <w:tcPr>
            <w:tcW w:w="1260" w:type="dxa"/>
            <w:noWrap w:val="0"/>
            <w:vAlign w:val="center"/>
          </w:tcPr>
          <w:p>
            <w:pPr>
              <w:spacing w:line="360" w:lineRule="auto"/>
              <w:jc w:val="center"/>
              <w:rPr>
                <w:rFonts w:ascii="新宋体" w:hAnsi="新宋体" w:eastAsia="新宋体"/>
                <w:b/>
                <w:bCs/>
                <w:color w:val="auto"/>
                <w:sz w:val="22"/>
                <w:szCs w:val="22"/>
                <w:highlight w:val="none"/>
              </w:rPr>
            </w:pPr>
          </w:p>
        </w:tc>
        <w:tc>
          <w:tcPr>
            <w:tcW w:w="1219" w:type="dxa"/>
            <w:noWrap w:val="0"/>
            <w:vAlign w:val="top"/>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b/>
                <w:bCs/>
                <w:color w:val="auto"/>
                <w:sz w:val="22"/>
                <w:szCs w:val="22"/>
                <w:highlight w:val="none"/>
              </w:rPr>
            </w:pPr>
          </w:p>
        </w:tc>
        <w:tc>
          <w:tcPr>
            <w:tcW w:w="1692" w:type="dxa"/>
            <w:noWrap w:val="0"/>
            <w:vAlign w:val="center"/>
          </w:tcPr>
          <w:p>
            <w:pPr>
              <w:spacing w:line="360" w:lineRule="auto"/>
              <w:rPr>
                <w:rFonts w:ascii="新宋体" w:hAnsi="新宋体" w:eastAsia="新宋体"/>
                <w:b/>
                <w:bCs/>
                <w:color w:val="auto"/>
                <w:sz w:val="22"/>
                <w:szCs w:val="22"/>
                <w:highlight w:val="none"/>
              </w:rPr>
            </w:pPr>
          </w:p>
        </w:tc>
        <w:tc>
          <w:tcPr>
            <w:tcW w:w="2566" w:type="dxa"/>
            <w:noWrap w:val="0"/>
            <w:vAlign w:val="center"/>
          </w:tcPr>
          <w:p>
            <w:pPr>
              <w:spacing w:line="360" w:lineRule="auto"/>
              <w:jc w:val="center"/>
              <w:rPr>
                <w:rFonts w:ascii="新宋体" w:hAnsi="新宋体" w:eastAsia="新宋体"/>
                <w:b/>
                <w:bCs/>
                <w:color w:val="auto"/>
                <w:sz w:val="22"/>
                <w:szCs w:val="22"/>
                <w:highlight w:val="none"/>
              </w:rPr>
            </w:pPr>
          </w:p>
        </w:tc>
        <w:tc>
          <w:tcPr>
            <w:tcW w:w="2117" w:type="dxa"/>
            <w:noWrap w:val="0"/>
            <w:vAlign w:val="center"/>
          </w:tcPr>
          <w:p>
            <w:pPr>
              <w:spacing w:line="360" w:lineRule="auto"/>
              <w:jc w:val="center"/>
              <w:rPr>
                <w:rFonts w:ascii="新宋体" w:hAnsi="新宋体" w:eastAsia="新宋体"/>
                <w:b/>
                <w:bCs/>
                <w:color w:val="auto"/>
                <w:sz w:val="22"/>
                <w:szCs w:val="22"/>
                <w:highlight w:val="none"/>
              </w:rPr>
            </w:pPr>
          </w:p>
        </w:tc>
        <w:tc>
          <w:tcPr>
            <w:tcW w:w="1260" w:type="dxa"/>
            <w:noWrap w:val="0"/>
            <w:vAlign w:val="center"/>
          </w:tcPr>
          <w:p>
            <w:pPr>
              <w:spacing w:line="360" w:lineRule="auto"/>
              <w:jc w:val="center"/>
              <w:rPr>
                <w:rFonts w:ascii="新宋体" w:hAnsi="新宋体" w:eastAsia="新宋体"/>
                <w:b/>
                <w:bCs/>
                <w:color w:val="auto"/>
                <w:sz w:val="22"/>
                <w:szCs w:val="22"/>
                <w:highlight w:val="none"/>
              </w:rPr>
            </w:pPr>
          </w:p>
        </w:tc>
        <w:tc>
          <w:tcPr>
            <w:tcW w:w="1219" w:type="dxa"/>
            <w:noWrap w:val="0"/>
            <w:vAlign w:val="top"/>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b/>
                <w:bCs/>
                <w:color w:val="auto"/>
                <w:sz w:val="22"/>
                <w:szCs w:val="22"/>
                <w:highlight w:val="none"/>
              </w:rPr>
            </w:pPr>
          </w:p>
        </w:tc>
        <w:tc>
          <w:tcPr>
            <w:tcW w:w="1692" w:type="dxa"/>
            <w:noWrap w:val="0"/>
            <w:vAlign w:val="center"/>
          </w:tcPr>
          <w:p>
            <w:pPr>
              <w:spacing w:line="360" w:lineRule="auto"/>
              <w:rPr>
                <w:rFonts w:ascii="新宋体" w:hAnsi="新宋体" w:eastAsia="新宋体"/>
                <w:b/>
                <w:bCs/>
                <w:color w:val="auto"/>
                <w:sz w:val="22"/>
                <w:szCs w:val="22"/>
                <w:highlight w:val="none"/>
              </w:rPr>
            </w:pPr>
          </w:p>
        </w:tc>
        <w:tc>
          <w:tcPr>
            <w:tcW w:w="2566" w:type="dxa"/>
            <w:noWrap w:val="0"/>
            <w:vAlign w:val="center"/>
          </w:tcPr>
          <w:p>
            <w:pPr>
              <w:spacing w:line="360" w:lineRule="auto"/>
              <w:jc w:val="center"/>
              <w:rPr>
                <w:rFonts w:ascii="新宋体" w:hAnsi="新宋体" w:eastAsia="新宋体"/>
                <w:b/>
                <w:bCs/>
                <w:color w:val="auto"/>
                <w:sz w:val="22"/>
                <w:szCs w:val="22"/>
                <w:highlight w:val="none"/>
              </w:rPr>
            </w:pPr>
          </w:p>
        </w:tc>
        <w:tc>
          <w:tcPr>
            <w:tcW w:w="2117" w:type="dxa"/>
            <w:noWrap w:val="0"/>
            <w:vAlign w:val="center"/>
          </w:tcPr>
          <w:p>
            <w:pPr>
              <w:spacing w:line="360" w:lineRule="auto"/>
              <w:jc w:val="center"/>
              <w:rPr>
                <w:rFonts w:ascii="新宋体" w:hAnsi="新宋体" w:eastAsia="新宋体"/>
                <w:b/>
                <w:bCs/>
                <w:color w:val="auto"/>
                <w:sz w:val="22"/>
                <w:szCs w:val="22"/>
                <w:highlight w:val="none"/>
              </w:rPr>
            </w:pPr>
          </w:p>
        </w:tc>
        <w:tc>
          <w:tcPr>
            <w:tcW w:w="1260" w:type="dxa"/>
            <w:noWrap w:val="0"/>
            <w:vAlign w:val="center"/>
          </w:tcPr>
          <w:p>
            <w:pPr>
              <w:spacing w:line="360" w:lineRule="auto"/>
              <w:jc w:val="center"/>
              <w:rPr>
                <w:rFonts w:ascii="新宋体" w:hAnsi="新宋体" w:eastAsia="新宋体"/>
                <w:b/>
                <w:bCs/>
                <w:color w:val="auto"/>
                <w:sz w:val="22"/>
                <w:szCs w:val="22"/>
                <w:highlight w:val="none"/>
              </w:rPr>
            </w:pPr>
          </w:p>
        </w:tc>
        <w:tc>
          <w:tcPr>
            <w:tcW w:w="1219" w:type="dxa"/>
            <w:noWrap w:val="0"/>
            <w:vAlign w:val="top"/>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color w:val="auto"/>
                <w:sz w:val="22"/>
                <w:szCs w:val="22"/>
                <w:highlight w:val="none"/>
              </w:rPr>
            </w:pPr>
          </w:p>
        </w:tc>
        <w:tc>
          <w:tcPr>
            <w:tcW w:w="1692" w:type="dxa"/>
            <w:noWrap w:val="0"/>
            <w:vAlign w:val="center"/>
          </w:tcPr>
          <w:p>
            <w:pPr>
              <w:spacing w:line="360" w:lineRule="auto"/>
              <w:rPr>
                <w:rFonts w:ascii="新宋体" w:hAnsi="新宋体" w:eastAsia="新宋体"/>
                <w:color w:val="auto"/>
                <w:sz w:val="22"/>
                <w:szCs w:val="22"/>
                <w:highlight w:val="none"/>
              </w:rPr>
            </w:pPr>
          </w:p>
        </w:tc>
        <w:tc>
          <w:tcPr>
            <w:tcW w:w="2566" w:type="dxa"/>
            <w:noWrap w:val="0"/>
            <w:vAlign w:val="center"/>
          </w:tcPr>
          <w:p>
            <w:pPr>
              <w:spacing w:line="360" w:lineRule="auto"/>
              <w:jc w:val="center"/>
              <w:rPr>
                <w:rFonts w:ascii="新宋体" w:hAnsi="新宋体" w:eastAsia="新宋体"/>
                <w:b/>
                <w:bCs/>
                <w:color w:val="auto"/>
                <w:sz w:val="22"/>
                <w:szCs w:val="22"/>
                <w:highlight w:val="none"/>
              </w:rPr>
            </w:pPr>
          </w:p>
        </w:tc>
        <w:tc>
          <w:tcPr>
            <w:tcW w:w="2117" w:type="dxa"/>
            <w:noWrap w:val="0"/>
            <w:vAlign w:val="center"/>
          </w:tcPr>
          <w:p>
            <w:pPr>
              <w:spacing w:line="360" w:lineRule="auto"/>
              <w:jc w:val="center"/>
              <w:rPr>
                <w:rFonts w:ascii="新宋体" w:hAnsi="新宋体" w:eastAsia="新宋体"/>
                <w:b/>
                <w:bCs/>
                <w:color w:val="auto"/>
                <w:sz w:val="22"/>
                <w:szCs w:val="22"/>
                <w:highlight w:val="none"/>
              </w:rPr>
            </w:pPr>
          </w:p>
        </w:tc>
        <w:tc>
          <w:tcPr>
            <w:tcW w:w="1260" w:type="dxa"/>
            <w:noWrap w:val="0"/>
            <w:vAlign w:val="center"/>
          </w:tcPr>
          <w:p>
            <w:pPr>
              <w:spacing w:line="360" w:lineRule="auto"/>
              <w:jc w:val="center"/>
              <w:rPr>
                <w:rFonts w:ascii="新宋体" w:hAnsi="新宋体" w:eastAsia="新宋体"/>
                <w:b/>
                <w:bCs/>
                <w:color w:val="auto"/>
                <w:sz w:val="22"/>
                <w:szCs w:val="22"/>
                <w:highlight w:val="none"/>
              </w:rPr>
            </w:pPr>
          </w:p>
        </w:tc>
        <w:tc>
          <w:tcPr>
            <w:tcW w:w="1219" w:type="dxa"/>
            <w:noWrap w:val="0"/>
            <w:vAlign w:val="top"/>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rPr>
                <w:rFonts w:ascii="新宋体" w:hAnsi="新宋体" w:eastAsia="新宋体"/>
                <w:color w:val="auto"/>
                <w:sz w:val="22"/>
                <w:szCs w:val="22"/>
                <w:highlight w:val="none"/>
              </w:rPr>
            </w:pPr>
          </w:p>
        </w:tc>
        <w:tc>
          <w:tcPr>
            <w:tcW w:w="1692" w:type="dxa"/>
            <w:noWrap w:val="0"/>
            <w:vAlign w:val="center"/>
          </w:tcPr>
          <w:p>
            <w:pPr>
              <w:spacing w:line="360" w:lineRule="auto"/>
              <w:rPr>
                <w:rFonts w:ascii="新宋体" w:hAnsi="新宋体" w:eastAsia="新宋体"/>
                <w:color w:val="auto"/>
                <w:sz w:val="22"/>
                <w:szCs w:val="22"/>
                <w:highlight w:val="none"/>
              </w:rPr>
            </w:pPr>
          </w:p>
        </w:tc>
        <w:tc>
          <w:tcPr>
            <w:tcW w:w="2566" w:type="dxa"/>
            <w:noWrap w:val="0"/>
            <w:vAlign w:val="center"/>
          </w:tcPr>
          <w:p>
            <w:pPr>
              <w:spacing w:line="360" w:lineRule="auto"/>
              <w:jc w:val="center"/>
              <w:rPr>
                <w:rFonts w:ascii="新宋体" w:hAnsi="新宋体" w:eastAsia="新宋体"/>
                <w:b/>
                <w:bCs/>
                <w:color w:val="auto"/>
                <w:sz w:val="22"/>
                <w:szCs w:val="22"/>
                <w:highlight w:val="none"/>
              </w:rPr>
            </w:pPr>
          </w:p>
        </w:tc>
        <w:tc>
          <w:tcPr>
            <w:tcW w:w="2117" w:type="dxa"/>
            <w:noWrap w:val="0"/>
            <w:vAlign w:val="center"/>
          </w:tcPr>
          <w:p>
            <w:pPr>
              <w:spacing w:line="360" w:lineRule="auto"/>
              <w:jc w:val="center"/>
              <w:rPr>
                <w:rFonts w:ascii="新宋体" w:hAnsi="新宋体" w:eastAsia="新宋体"/>
                <w:b/>
                <w:bCs/>
                <w:color w:val="auto"/>
                <w:sz w:val="22"/>
                <w:szCs w:val="22"/>
                <w:highlight w:val="none"/>
              </w:rPr>
            </w:pPr>
          </w:p>
        </w:tc>
        <w:tc>
          <w:tcPr>
            <w:tcW w:w="1260" w:type="dxa"/>
            <w:noWrap w:val="0"/>
            <w:vAlign w:val="center"/>
          </w:tcPr>
          <w:p>
            <w:pPr>
              <w:spacing w:line="360" w:lineRule="auto"/>
              <w:jc w:val="center"/>
              <w:rPr>
                <w:rFonts w:ascii="新宋体" w:hAnsi="新宋体" w:eastAsia="新宋体"/>
                <w:b/>
                <w:bCs/>
                <w:color w:val="auto"/>
                <w:sz w:val="22"/>
                <w:szCs w:val="22"/>
                <w:highlight w:val="none"/>
              </w:rPr>
            </w:pPr>
          </w:p>
        </w:tc>
        <w:tc>
          <w:tcPr>
            <w:tcW w:w="1219" w:type="dxa"/>
            <w:noWrap w:val="0"/>
            <w:vAlign w:val="top"/>
          </w:tcPr>
          <w:p>
            <w:pPr>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noWrap w:val="0"/>
            <w:vAlign w:val="center"/>
          </w:tcPr>
          <w:p>
            <w:pPr>
              <w:spacing w:line="360" w:lineRule="auto"/>
              <w:jc w:val="center"/>
              <w:rPr>
                <w:rFonts w:ascii="新宋体" w:hAnsi="新宋体" w:eastAsia="新宋体"/>
                <w:b/>
                <w:bCs/>
                <w:color w:val="auto"/>
                <w:sz w:val="22"/>
                <w:szCs w:val="22"/>
                <w:highlight w:val="none"/>
              </w:rPr>
            </w:pPr>
          </w:p>
        </w:tc>
        <w:tc>
          <w:tcPr>
            <w:tcW w:w="1692" w:type="dxa"/>
            <w:noWrap w:val="0"/>
            <w:vAlign w:val="top"/>
          </w:tcPr>
          <w:p>
            <w:pPr>
              <w:spacing w:line="360" w:lineRule="auto"/>
              <w:rPr>
                <w:rFonts w:ascii="新宋体" w:hAnsi="新宋体" w:eastAsia="新宋体"/>
                <w:color w:val="auto"/>
                <w:sz w:val="22"/>
                <w:szCs w:val="22"/>
                <w:highlight w:val="none"/>
              </w:rPr>
            </w:pPr>
          </w:p>
        </w:tc>
        <w:tc>
          <w:tcPr>
            <w:tcW w:w="2566" w:type="dxa"/>
            <w:noWrap w:val="0"/>
            <w:vAlign w:val="center"/>
          </w:tcPr>
          <w:p>
            <w:pPr>
              <w:spacing w:line="360" w:lineRule="auto"/>
              <w:jc w:val="center"/>
              <w:rPr>
                <w:rFonts w:ascii="新宋体" w:hAnsi="新宋体" w:eastAsia="新宋体"/>
                <w:b/>
                <w:bCs/>
                <w:color w:val="auto"/>
                <w:sz w:val="22"/>
                <w:szCs w:val="22"/>
                <w:highlight w:val="none"/>
              </w:rPr>
            </w:pPr>
          </w:p>
        </w:tc>
        <w:tc>
          <w:tcPr>
            <w:tcW w:w="2117" w:type="dxa"/>
            <w:noWrap w:val="0"/>
            <w:vAlign w:val="center"/>
          </w:tcPr>
          <w:p>
            <w:pPr>
              <w:spacing w:line="360" w:lineRule="auto"/>
              <w:jc w:val="center"/>
              <w:rPr>
                <w:rFonts w:ascii="新宋体" w:hAnsi="新宋体" w:eastAsia="新宋体"/>
                <w:b/>
                <w:bCs/>
                <w:color w:val="auto"/>
                <w:sz w:val="22"/>
                <w:szCs w:val="22"/>
                <w:highlight w:val="none"/>
              </w:rPr>
            </w:pPr>
          </w:p>
        </w:tc>
        <w:tc>
          <w:tcPr>
            <w:tcW w:w="1260" w:type="dxa"/>
            <w:noWrap w:val="0"/>
            <w:vAlign w:val="center"/>
          </w:tcPr>
          <w:p>
            <w:pPr>
              <w:spacing w:line="360" w:lineRule="auto"/>
              <w:jc w:val="center"/>
              <w:rPr>
                <w:rFonts w:ascii="新宋体" w:hAnsi="新宋体" w:eastAsia="新宋体"/>
                <w:b/>
                <w:bCs/>
                <w:color w:val="auto"/>
                <w:sz w:val="22"/>
                <w:szCs w:val="22"/>
                <w:highlight w:val="none"/>
              </w:rPr>
            </w:pPr>
          </w:p>
        </w:tc>
        <w:tc>
          <w:tcPr>
            <w:tcW w:w="1219" w:type="dxa"/>
            <w:noWrap w:val="0"/>
            <w:vAlign w:val="top"/>
          </w:tcPr>
          <w:p>
            <w:pPr>
              <w:rPr>
                <w:rFonts w:ascii="新宋体" w:hAnsi="新宋体" w:eastAsia="新宋体"/>
                <w:color w:val="auto"/>
                <w:sz w:val="22"/>
                <w:szCs w:val="22"/>
                <w:highlight w:val="none"/>
              </w:rPr>
            </w:pPr>
          </w:p>
        </w:tc>
      </w:tr>
    </w:tbl>
    <w:p>
      <w:pPr>
        <w:spacing w:line="460" w:lineRule="exact"/>
        <w:ind w:firstLine="541" w:firstLineChars="245"/>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附注：本表必须根据第四部分“项目技术规范和服务要求”的内容详细填写及说明，除清单内容外的设备，投标人可增项。（</w:t>
      </w:r>
      <w:r>
        <w:rPr>
          <w:rFonts w:hint="eastAsia" w:ascii="新宋体" w:hAnsi="新宋体" w:eastAsia="新宋体"/>
          <w:b/>
          <w:bCs/>
          <w:color w:val="auto"/>
          <w:sz w:val="22"/>
          <w:szCs w:val="22"/>
          <w:highlight w:val="none"/>
          <w:u w:val="single"/>
        </w:rPr>
        <w:t>如果内容提供不全而导致对投标人不利评定的风险由投标人自行承担</w:t>
      </w:r>
      <w:r>
        <w:rPr>
          <w:rFonts w:hint="eastAsia" w:ascii="新宋体" w:hAnsi="新宋体" w:eastAsia="新宋体"/>
          <w:b/>
          <w:bCs/>
          <w:color w:val="auto"/>
          <w:sz w:val="22"/>
          <w:szCs w:val="22"/>
          <w:highlight w:val="none"/>
        </w:rPr>
        <w:t>）</w:t>
      </w:r>
    </w:p>
    <w:p>
      <w:pPr>
        <w:spacing w:line="460" w:lineRule="exact"/>
        <w:ind w:firstLine="5060" w:firstLineChars="2300"/>
        <w:rPr>
          <w:rFonts w:ascii="新宋体" w:hAnsi="新宋体" w:eastAsia="新宋体"/>
          <w:color w:val="auto"/>
          <w:sz w:val="22"/>
          <w:szCs w:val="22"/>
          <w:highlight w:val="none"/>
        </w:rPr>
      </w:pPr>
    </w:p>
    <w:p>
      <w:pPr>
        <w:spacing w:line="460" w:lineRule="exact"/>
        <w:ind w:firstLine="5060" w:firstLineChars="23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投标人全称（盖章）：</w:t>
      </w:r>
    </w:p>
    <w:p>
      <w:pPr>
        <w:spacing w:line="460" w:lineRule="exact"/>
        <w:ind w:firstLine="5060" w:firstLineChars="23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投标人代表（签字）：</w:t>
      </w:r>
    </w:p>
    <w:p>
      <w:pPr>
        <w:spacing w:line="380" w:lineRule="exact"/>
        <w:ind w:firstLine="5060" w:firstLineChars="23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日  期：     </w:t>
      </w:r>
    </w:p>
    <w:p>
      <w:pPr>
        <w:spacing w:line="380" w:lineRule="exact"/>
        <w:rPr>
          <w:rFonts w:ascii="新宋体" w:hAnsi="新宋体" w:eastAsia="新宋体"/>
          <w:color w:val="auto"/>
          <w:sz w:val="22"/>
          <w:szCs w:val="22"/>
          <w:highlight w:val="none"/>
        </w:rPr>
      </w:pPr>
    </w:p>
    <w:p>
      <w:pPr>
        <w:spacing w:line="460" w:lineRule="exact"/>
        <w:jc w:val="center"/>
        <w:outlineLvl w:val="4"/>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（2）备品、备件、专用工具清单</w:t>
      </w:r>
    </w:p>
    <w:p>
      <w:pPr>
        <w:spacing w:line="400" w:lineRule="exact"/>
        <w:ind w:left="-25" w:leftChars="-12"/>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 xml:space="preserve"> 项目名称：                                                  项目编号：</w:t>
      </w:r>
    </w:p>
    <w:tbl>
      <w:tblPr>
        <w:tblStyle w:val="52"/>
        <w:tblW w:w="9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240"/>
        <w:gridCol w:w="1404"/>
        <w:gridCol w:w="796"/>
        <w:gridCol w:w="3704"/>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56" w:type="dxa"/>
            <w:shd w:val="clear" w:color="auto" w:fill="FFFFFF"/>
            <w:noWrap w:val="0"/>
            <w:vAlign w:val="center"/>
          </w:tcPr>
          <w:p>
            <w:pPr>
              <w:spacing w:line="400" w:lineRule="exact"/>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序号</w:t>
            </w:r>
          </w:p>
        </w:tc>
        <w:tc>
          <w:tcPr>
            <w:tcW w:w="1240" w:type="dxa"/>
            <w:shd w:val="clear" w:color="auto" w:fill="FFFFFF"/>
            <w:noWrap w:val="0"/>
            <w:vAlign w:val="center"/>
          </w:tcPr>
          <w:p>
            <w:pPr>
              <w:spacing w:line="400" w:lineRule="exact"/>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名  称</w:t>
            </w:r>
          </w:p>
        </w:tc>
        <w:tc>
          <w:tcPr>
            <w:tcW w:w="1404" w:type="dxa"/>
            <w:shd w:val="clear" w:color="auto" w:fill="FFFFFF"/>
            <w:noWrap w:val="0"/>
            <w:vAlign w:val="center"/>
          </w:tcPr>
          <w:p>
            <w:pPr>
              <w:spacing w:line="400" w:lineRule="exact"/>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规格型号</w:t>
            </w:r>
          </w:p>
        </w:tc>
        <w:tc>
          <w:tcPr>
            <w:tcW w:w="796" w:type="dxa"/>
            <w:shd w:val="clear" w:color="auto" w:fill="FFFFFF"/>
            <w:noWrap w:val="0"/>
            <w:vAlign w:val="center"/>
          </w:tcPr>
          <w:p>
            <w:pPr>
              <w:spacing w:line="400" w:lineRule="exact"/>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数量</w:t>
            </w:r>
          </w:p>
        </w:tc>
        <w:tc>
          <w:tcPr>
            <w:tcW w:w="3704" w:type="dxa"/>
            <w:shd w:val="clear" w:color="auto" w:fill="FFFFFF"/>
            <w:noWrap w:val="0"/>
            <w:vAlign w:val="center"/>
          </w:tcPr>
          <w:p>
            <w:pPr>
              <w:spacing w:line="400" w:lineRule="exact"/>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原产地/制造商</w:t>
            </w:r>
          </w:p>
        </w:tc>
        <w:tc>
          <w:tcPr>
            <w:tcW w:w="1568" w:type="dxa"/>
            <w:shd w:val="clear" w:color="auto" w:fill="FFFFFF"/>
            <w:noWrap w:val="0"/>
            <w:vAlign w:val="center"/>
          </w:tcPr>
          <w:p>
            <w:pPr>
              <w:spacing w:line="400" w:lineRule="exact"/>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ascii="新宋体" w:hAnsi="新宋体" w:eastAsia="新宋体"/>
                <w:color w:val="auto"/>
                <w:sz w:val="22"/>
                <w:szCs w:val="22"/>
                <w:highlight w:val="none"/>
              </w:rPr>
            </w:pPr>
          </w:p>
        </w:tc>
        <w:tc>
          <w:tcPr>
            <w:tcW w:w="1240" w:type="dxa"/>
            <w:noWrap w:val="0"/>
            <w:vAlign w:val="top"/>
          </w:tcPr>
          <w:p>
            <w:pPr>
              <w:spacing w:line="400" w:lineRule="exact"/>
              <w:rPr>
                <w:rFonts w:ascii="新宋体" w:hAnsi="新宋体" w:eastAsia="新宋体"/>
                <w:color w:val="auto"/>
                <w:sz w:val="22"/>
                <w:szCs w:val="22"/>
                <w:highlight w:val="none"/>
              </w:rPr>
            </w:pPr>
          </w:p>
        </w:tc>
        <w:tc>
          <w:tcPr>
            <w:tcW w:w="1404" w:type="dxa"/>
            <w:noWrap w:val="0"/>
            <w:vAlign w:val="top"/>
          </w:tcPr>
          <w:p>
            <w:pPr>
              <w:spacing w:line="400" w:lineRule="exact"/>
              <w:rPr>
                <w:rFonts w:ascii="新宋体" w:hAnsi="新宋体" w:eastAsia="新宋体"/>
                <w:color w:val="auto"/>
                <w:sz w:val="22"/>
                <w:szCs w:val="22"/>
                <w:highlight w:val="none"/>
              </w:rPr>
            </w:pPr>
          </w:p>
        </w:tc>
        <w:tc>
          <w:tcPr>
            <w:tcW w:w="796" w:type="dxa"/>
            <w:noWrap w:val="0"/>
            <w:vAlign w:val="top"/>
          </w:tcPr>
          <w:p>
            <w:pPr>
              <w:spacing w:line="400" w:lineRule="exact"/>
              <w:rPr>
                <w:rFonts w:ascii="新宋体" w:hAnsi="新宋体" w:eastAsia="新宋体"/>
                <w:color w:val="auto"/>
                <w:sz w:val="22"/>
                <w:szCs w:val="22"/>
                <w:highlight w:val="none"/>
              </w:rPr>
            </w:pPr>
          </w:p>
        </w:tc>
        <w:tc>
          <w:tcPr>
            <w:tcW w:w="3704" w:type="dxa"/>
            <w:noWrap w:val="0"/>
            <w:vAlign w:val="top"/>
          </w:tcPr>
          <w:p>
            <w:pPr>
              <w:spacing w:line="400" w:lineRule="exact"/>
              <w:rPr>
                <w:rFonts w:ascii="新宋体" w:hAnsi="新宋体" w:eastAsia="新宋体"/>
                <w:color w:val="auto"/>
                <w:sz w:val="22"/>
                <w:szCs w:val="22"/>
                <w:highlight w:val="none"/>
              </w:rPr>
            </w:pPr>
          </w:p>
        </w:tc>
        <w:tc>
          <w:tcPr>
            <w:tcW w:w="1568" w:type="dxa"/>
            <w:noWrap w:val="0"/>
            <w:vAlign w:val="top"/>
          </w:tcPr>
          <w:p>
            <w:pPr>
              <w:spacing w:line="400" w:lineRule="exact"/>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ascii="新宋体" w:hAnsi="新宋体" w:eastAsia="新宋体"/>
                <w:color w:val="auto"/>
                <w:sz w:val="22"/>
                <w:szCs w:val="22"/>
                <w:highlight w:val="none"/>
              </w:rPr>
            </w:pPr>
          </w:p>
        </w:tc>
        <w:tc>
          <w:tcPr>
            <w:tcW w:w="1240" w:type="dxa"/>
            <w:noWrap w:val="0"/>
            <w:vAlign w:val="top"/>
          </w:tcPr>
          <w:p>
            <w:pPr>
              <w:spacing w:line="400" w:lineRule="exact"/>
              <w:rPr>
                <w:rFonts w:ascii="新宋体" w:hAnsi="新宋体" w:eastAsia="新宋体"/>
                <w:color w:val="auto"/>
                <w:sz w:val="22"/>
                <w:szCs w:val="22"/>
                <w:highlight w:val="none"/>
              </w:rPr>
            </w:pPr>
          </w:p>
        </w:tc>
        <w:tc>
          <w:tcPr>
            <w:tcW w:w="1404" w:type="dxa"/>
            <w:noWrap w:val="0"/>
            <w:vAlign w:val="top"/>
          </w:tcPr>
          <w:p>
            <w:pPr>
              <w:spacing w:line="400" w:lineRule="exact"/>
              <w:rPr>
                <w:rFonts w:ascii="新宋体" w:hAnsi="新宋体" w:eastAsia="新宋体"/>
                <w:color w:val="auto"/>
                <w:sz w:val="22"/>
                <w:szCs w:val="22"/>
                <w:highlight w:val="none"/>
              </w:rPr>
            </w:pPr>
          </w:p>
        </w:tc>
        <w:tc>
          <w:tcPr>
            <w:tcW w:w="796" w:type="dxa"/>
            <w:noWrap w:val="0"/>
            <w:vAlign w:val="top"/>
          </w:tcPr>
          <w:p>
            <w:pPr>
              <w:spacing w:line="400" w:lineRule="exact"/>
              <w:rPr>
                <w:rFonts w:ascii="新宋体" w:hAnsi="新宋体" w:eastAsia="新宋体"/>
                <w:color w:val="auto"/>
                <w:sz w:val="22"/>
                <w:szCs w:val="22"/>
                <w:highlight w:val="none"/>
              </w:rPr>
            </w:pPr>
          </w:p>
        </w:tc>
        <w:tc>
          <w:tcPr>
            <w:tcW w:w="3704" w:type="dxa"/>
            <w:noWrap w:val="0"/>
            <w:vAlign w:val="top"/>
          </w:tcPr>
          <w:p>
            <w:pPr>
              <w:spacing w:line="400" w:lineRule="exact"/>
              <w:rPr>
                <w:rFonts w:ascii="新宋体" w:hAnsi="新宋体" w:eastAsia="新宋体"/>
                <w:color w:val="auto"/>
                <w:sz w:val="22"/>
                <w:szCs w:val="22"/>
                <w:highlight w:val="none"/>
              </w:rPr>
            </w:pPr>
          </w:p>
        </w:tc>
        <w:tc>
          <w:tcPr>
            <w:tcW w:w="1568" w:type="dxa"/>
            <w:noWrap w:val="0"/>
            <w:vAlign w:val="top"/>
          </w:tcPr>
          <w:p>
            <w:pPr>
              <w:spacing w:line="400" w:lineRule="exact"/>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ascii="新宋体" w:hAnsi="新宋体" w:eastAsia="新宋体"/>
                <w:color w:val="auto"/>
                <w:sz w:val="22"/>
                <w:szCs w:val="22"/>
                <w:highlight w:val="none"/>
              </w:rPr>
            </w:pPr>
          </w:p>
        </w:tc>
        <w:tc>
          <w:tcPr>
            <w:tcW w:w="1240" w:type="dxa"/>
            <w:noWrap w:val="0"/>
            <w:vAlign w:val="top"/>
          </w:tcPr>
          <w:p>
            <w:pPr>
              <w:spacing w:line="400" w:lineRule="exact"/>
              <w:rPr>
                <w:rFonts w:ascii="新宋体" w:hAnsi="新宋体" w:eastAsia="新宋体"/>
                <w:color w:val="auto"/>
                <w:sz w:val="22"/>
                <w:szCs w:val="22"/>
                <w:highlight w:val="none"/>
              </w:rPr>
            </w:pPr>
          </w:p>
        </w:tc>
        <w:tc>
          <w:tcPr>
            <w:tcW w:w="1404" w:type="dxa"/>
            <w:noWrap w:val="0"/>
            <w:vAlign w:val="top"/>
          </w:tcPr>
          <w:p>
            <w:pPr>
              <w:spacing w:line="400" w:lineRule="exact"/>
              <w:rPr>
                <w:rFonts w:ascii="新宋体" w:hAnsi="新宋体" w:eastAsia="新宋体"/>
                <w:color w:val="auto"/>
                <w:sz w:val="22"/>
                <w:szCs w:val="22"/>
                <w:highlight w:val="none"/>
              </w:rPr>
            </w:pPr>
          </w:p>
        </w:tc>
        <w:tc>
          <w:tcPr>
            <w:tcW w:w="796" w:type="dxa"/>
            <w:noWrap w:val="0"/>
            <w:vAlign w:val="top"/>
          </w:tcPr>
          <w:p>
            <w:pPr>
              <w:spacing w:line="400" w:lineRule="exact"/>
              <w:rPr>
                <w:rFonts w:ascii="新宋体" w:hAnsi="新宋体" w:eastAsia="新宋体"/>
                <w:color w:val="auto"/>
                <w:sz w:val="22"/>
                <w:szCs w:val="22"/>
                <w:highlight w:val="none"/>
              </w:rPr>
            </w:pPr>
          </w:p>
        </w:tc>
        <w:tc>
          <w:tcPr>
            <w:tcW w:w="3704" w:type="dxa"/>
            <w:noWrap w:val="0"/>
            <w:vAlign w:val="top"/>
          </w:tcPr>
          <w:p>
            <w:pPr>
              <w:spacing w:line="400" w:lineRule="exact"/>
              <w:rPr>
                <w:rFonts w:ascii="新宋体" w:hAnsi="新宋体" w:eastAsia="新宋体"/>
                <w:color w:val="auto"/>
                <w:sz w:val="22"/>
                <w:szCs w:val="22"/>
                <w:highlight w:val="none"/>
              </w:rPr>
            </w:pPr>
          </w:p>
        </w:tc>
        <w:tc>
          <w:tcPr>
            <w:tcW w:w="1568" w:type="dxa"/>
            <w:noWrap w:val="0"/>
            <w:vAlign w:val="top"/>
          </w:tcPr>
          <w:p>
            <w:pPr>
              <w:spacing w:line="400" w:lineRule="exact"/>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ascii="新宋体" w:hAnsi="新宋体" w:eastAsia="新宋体"/>
                <w:color w:val="auto"/>
                <w:sz w:val="22"/>
                <w:szCs w:val="22"/>
                <w:highlight w:val="none"/>
              </w:rPr>
            </w:pPr>
          </w:p>
        </w:tc>
        <w:tc>
          <w:tcPr>
            <w:tcW w:w="1240" w:type="dxa"/>
            <w:noWrap w:val="0"/>
            <w:vAlign w:val="top"/>
          </w:tcPr>
          <w:p>
            <w:pPr>
              <w:spacing w:line="400" w:lineRule="exact"/>
              <w:rPr>
                <w:rFonts w:ascii="新宋体" w:hAnsi="新宋体" w:eastAsia="新宋体"/>
                <w:color w:val="auto"/>
                <w:sz w:val="22"/>
                <w:szCs w:val="22"/>
                <w:highlight w:val="none"/>
              </w:rPr>
            </w:pPr>
          </w:p>
        </w:tc>
        <w:tc>
          <w:tcPr>
            <w:tcW w:w="1404" w:type="dxa"/>
            <w:noWrap w:val="0"/>
            <w:vAlign w:val="top"/>
          </w:tcPr>
          <w:p>
            <w:pPr>
              <w:spacing w:line="400" w:lineRule="exact"/>
              <w:rPr>
                <w:rFonts w:ascii="新宋体" w:hAnsi="新宋体" w:eastAsia="新宋体"/>
                <w:color w:val="auto"/>
                <w:sz w:val="22"/>
                <w:szCs w:val="22"/>
                <w:highlight w:val="none"/>
              </w:rPr>
            </w:pPr>
          </w:p>
        </w:tc>
        <w:tc>
          <w:tcPr>
            <w:tcW w:w="796" w:type="dxa"/>
            <w:noWrap w:val="0"/>
            <w:vAlign w:val="top"/>
          </w:tcPr>
          <w:p>
            <w:pPr>
              <w:spacing w:line="400" w:lineRule="exact"/>
              <w:rPr>
                <w:rFonts w:ascii="新宋体" w:hAnsi="新宋体" w:eastAsia="新宋体"/>
                <w:color w:val="auto"/>
                <w:sz w:val="22"/>
                <w:szCs w:val="22"/>
                <w:highlight w:val="none"/>
              </w:rPr>
            </w:pPr>
          </w:p>
        </w:tc>
        <w:tc>
          <w:tcPr>
            <w:tcW w:w="3704" w:type="dxa"/>
            <w:noWrap w:val="0"/>
            <w:vAlign w:val="top"/>
          </w:tcPr>
          <w:p>
            <w:pPr>
              <w:spacing w:line="400" w:lineRule="exact"/>
              <w:rPr>
                <w:rFonts w:ascii="新宋体" w:hAnsi="新宋体" w:eastAsia="新宋体"/>
                <w:color w:val="auto"/>
                <w:sz w:val="22"/>
                <w:szCs w:val="22"/>
                <w:highlight w:val="none"/>
              </w:rPr>
            </w:pPr>
          </w:p>
        </w:tc>
        <w:tc>
          <w:tcPr>
            <w:tcW w:w="1568" w:type="dxa"/>
            <w:noWrap w:val="0"/>
            <w:vAlign w:val="top"/>
          </w:tcPr>
          <w:p>
            <w:pPr>
              <w:spacing w:line="400" w:lineRule="exact"/>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ascii="新宋体" w:hAnsi="新宋体" w:eastAsia="新宋体"/>
                <w:color w:val="auto"/>
                <w:sz w:val="22"/>
                <w:szCs w:val="22"/>
                <w:highlight w:val="none"/>
              </w:rPr>
            </w:pPr>
          </w:p>
        </w:tc>
        <w:tc>
          <w:tcPr>
            <w:tcW w:w="1240" w:type="dxa"/>
            <w:noWrap w:val="0"/>
            <w:vAlign w:val="top"/>
          </w:tcPr>
          <w:p>
            <w:pPr>
              <w:spacing w:line="400" w:lineRule="exact"/>
              <w:rPr>
                <w:rFonts w:ascii="新宋体" w:hAnsi="新宋体" w:eastAsia="新宋体"/>
                <w:color w:val="auto"/>
                <w:sz w:val="22"/>
                <w:szCs w:val="22"/>
                <w:highlight w:val="none"/>
              </w:rPr>
            </w:pPr>
          </w:p>
        </w:tc>
        <w:tc>
          <w:tcPr>
            <w:tcW w:w="1404" w:type="dxa"/>
            <w:noWrap w:val="0"/>
            <w:vAlign w:val="top"/>
          </w:tcPr>
          <w:p>
            <w:pPr>
              <w:spacing w:line="400" w:lineRule="exact"/>
              <w:rPr>
                <w:rFonts w:ascii="新宋体" w:hAnsi="新宋体" w:eastAsia="新宋体"/>
                <w:color w:val="auto"/>
                <w:sz w:val="22"/>
                <w:szCs w:val="22"/>
                <w:highlight w:val="none"/>
              </w:rPr>
            </w:pPr>
          </w:p>
        </w:tc>
        <w:tc>
          <w:tcPr>
            <w:tcW w:w="796" w:type="dxa"/>
            <w:noWrap w:val="0"/>
            <w:vAlign w:val="top"/>
          </w:tcPr>
          <w:p>
            <w:pPr>
              <w:spacing w:line="400" w:lineRule="exact"/>
              <w:rPr>
                <w:rFonts w:ascii="新宋体" w:hAnsi="新宋体" w:eastAsia="新宋体"/>
                <w:color w:val="auto"/>
                <w:sz w:val="22"/>
                <w:szCs w:val="22"/>
                <w:highlight w:val="none"/>
              </w:rPr>
            </w:pPr>
          </w:p>
        </w:tc>
        <w:tc>
          <w:tcPr>
            <w:tcW w:w="3704" w:type="dxa"/>
            <w:noWrap w:val="0"/>
            <w:vAlign w:val="top"/>
          </w:tcPr>
          <w:p>
            <w:pPr>
              <w:spacing w:line="400" w:lineRule="exact"/>
              <w:rPr>
                <w:rFonts w:ascii="新宋体" w:hAnsi="新宋体" w:eastAsia="新宋体"/>
                <w:color w:val="auto"/>
                <w:sz w:val="22"/>
                <w:szCs w:val="22"/>
                <w:highlight w:val="none"/>
              </w:rPr>
            </w:pPr>
          </w:p>
        </w:tc>
        <w:tc>
          <w:tcPr>
            <w:tcW w:w="1568" w:type="dxa"/>
            <w:noWrap w:val="0"/>
            <w:vAlign w:val="top"/>
          </w:tcPr>
          <w:p>
            <w:pPr>
              <w:spacing w:line="400" w:lineRule="exact"/>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ascii="新宋体" w:hAnsi="新宋体" w:eastAsia="新宋体"/>
                <w:color w:val="auto"/>
                <w:sz w:val="22"/>
                <w:szCs w:val="22"/>
                <w:highlight w:val="none"/>
              </w:rPr>
            </w:pPr>
          </w:p>
        </w:tc>
        <w:tc>
          <w:tcPr>
            <w:tcW w:w="1240" w:type="dxa"/>
            <w:noWrap w:val="0"/>
            <w:vAlign w:val="top"/>
          </w:tcPr>
          <w:p>
            <w:pPr>
              <w:spacing w:line="400" w:lineRule="exact"/>
              <w:rPr>
                <w:rFonts w:ascii="新宋体" w:hAnsi="新宋体" w:eastAsia="新宋体"/>
                <w:color w:val="auto"/>
                <w:sz w:val="22"/>
                <w:szCs w:val="22"/>
                <w:highlight w:val="none"/>
              </w:rPr>
            </w:pPr>
          </w:p>
        </w:tc>
        <w:tc>
          <w:tcPr>
            <w:tcW w:w="1404" w:type="dxa"/>
            <w:noWrap w:val="0"/>
            <w:vAlign w:val="top"/>
          </w:tcPr>
          <w:p>
            <w:pPr>
              <w:spacing w:line="400" w:lineRule="exact"/>
              <w:rPr>
                <w:rFonts w:ascii="新宋体" w:hAnsi="新宋体" w:eastAsia="新宋体"/>
                <w:color w:val="auto"/>
                <w:sz w:val="22"/>
                <w:szCs w:val="22"/>
                <w:highlight w:val="none"/>
              </w:rPr>
            </w:pPr>
          </w:p>
        </w:tc>
        <w:tc>
          <w:tcPr>
            <w:tcW w:w="796" w:type="dxa"/>
            <w:noWrap w:val="0"/>
            <w:vAlign w:val="top"/>
          </w:tcPr>
          <w:p>
            <w:pPr>
              <w:spacing w:line="400" w:lineRule="exact"/>
              <w:rPr>
                <w:rFonts w:ascii="新宋体" w:hAnsi="新宋体" w:eastAsia="新宋体"/>
                <w:color w:val="auto"/>
                <w:sz w:val="22"/>
                <w:szCs w:val="22"/>
                <w:highlight w:val="none"/>
              </w:rPr>
            </w:pPr>
          </w:p>
        </w:tc>
        <w:tc>
          <w:tcPr>
            <w:tcW w:w="3704" w:type="dxa"/>
            <w:noWrap w:val="0"/>
            <w:vAlign w:val="top"/>
          </w:tcPr>
          <w:p>
            <w:pPr>
              <w:spacing w:line="400" w:lineRule="exact"/>
              <w:rPr>
                <w:rFonts w:ascii="新宋体" w:hAnsi="新宋体" w:eastAsia="新宋体"/>
                <w:color w:val="auto"/>
                <w:sz w:val="22"/>
                <w:szCs w:val="22"/>
                <w:highlight w:val="none"/>
              </w:rPr>
            </w:pPr>
          </w:p>
        </w:tc>
        <w:tc>
          <w:tcPr>
            <w:tcW w:w="1568" w:type="dxa"/>
            <w:noWrap w:val="0"/>
            <w:vAlign w:val="top"/>
          </w:tcPr>
          <w:p>
            <w:pPr>
              <w:spacing w:line="400" w:lineRule="exact"/>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ascii="新宋体" w:hAnsi="新宋体" w:eastAsia="新宋体"/>
                <w:color w:val="auto"/>
                <w:sz w:val="22"/>
                <w:szCs w:val="22"/>
                <w:highlight w:val="none"/>
              </w:rPr>
            </w:pPr>
          </w:p>
        </w:tc>
        <w:tc>
          <w:tcPr>
            <w:tcW w:w="1240" w:type="dxa"/>
            <w:noWrap w:val="0"/>
            <w:vAlign w:val="top"/>
          </w:tcPr>
          <w:p>
            <w:pPr>
              <w:spacing w:line="400" w:lineRule="exact"/>
              <w:rPr>
                <w:rFonts w:ascii="新宋体" w:hAnsi="新宋体" w:eastAsia="新宋体"/>
                <w:color w:val="auto"/>
                <w:sz w:val="22"/>
                <w:szCs w:val="22"/>
                <w:highlight w:val="none"/>
              </w:rPr>
            </w:pPr>
          </w:p>
        </w:tc>
        <w:tc>
          <w:tcPr>
            <w:tcW w:w="1404" w:type="dxa"/>
            <w:noWrap w:val="0"/>
            <w:vAlign w:val="top"/>
          </w:tcPr>
          <w:p>
            <w:pPr>
              <w:spacing w:line="400" w:lineRule="exact"/>
              <w:rPr>
                <w:rFonts w:ascii="新宋体" w:hAnsi="新宋体" w:eastAsia="新宋体"/>
                <w:color w:val="auto"/>
                <w:sz w:val="22"/>
                <w:szCs w:val="22"/>
                <w:highlight w:val="none"/>
              </w:rPr>
            </w:pPr>
          </w:p>
        </w:tc>
        <w:tc>
          <w:tcPr>
            <w:tcW w:w="796" w:type="dxa"/>
            <w:noWrap w:val="0"/>
            <w:vAlign w:val="top"/>
          </w:tcPr>
          <w:p>
            <w:pPr>
              <w:spacing w:line="400" w:lineRule="exact"/>
              <w:rPr>
                <w:rFonts w:ascii="新宋体" w:hAnsi="新宋体" w:eastAsia="新宋体"/>
                <w:color w:val="auto"/>
                <w:sz w:val="22"/>
                <w:szCs w:val="22"/>
                <w:highlight w:val="none"/>
              </w:rPr>
            </w:pPr>
          </w:p>
        </w:tc>
        <w:tc>
          <w:tcPr>
            <w:tcW w:w="3704" w:type="dxa"/>
            <w:noWrap w:val="0"/>
            <w:vAlign w:val="top"/>
          </w:tcPr>
          <w:p>
            <w:pPr>
              <w:spacing w:line="400" w:lineRule="exact"/>
              <w:rPr>
                <w:rFonts w:ascii="新宋体" w:hAnsi="新宋体" w:eastAsia="新宋体"/>
                <w:color w:val="auto"/>
                <w:sz w:val="22"/>
                <w:szCs w:val="22"/>
                <w:highlight w:val="none"/>
              </w:rPr>
            </w:pPr>
          </w:p>
        </w:tc>
        <w:tc>
          <w:tcPr>
            <w:tcW w:w="1568" w:type="dxa"/>
            <w:noWrap w:val="0"/>
            <w:vAlign w:val="top"/>
          </w:tcPr>
          <w:p>
            <w:pPr>
              <w:spacing w:line="400" w:lineRule="exact"/>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ascii="新宋体" w:hAnsi="新宋体" w:eastAsia="新宋体"/>
                <w:color w:val="auto"/>
                <w:sz w:val="22"/>
                <w:szCs w:val="22"/>
                <w:highlight w:val="none"/>
              </w:rPr>
            </w:pPr>
          </w:p>
        </w:tc>
        <w:tc>
          <w:tcPr>
            <w:tcW w:w="1240" w:type="dxa"/>
            <w:noWrap w:val="0"/>
            <w:vAlign w:val="top"/>
          </w:tcPr>
          <w:p>
            <w:pPr>
              <w:spacing w:line="400" w:lineRule="exact"/>
              <w:rPr>
                <w:rFonts w:ascii="新宋体" w:hAnsi="新宋体" w:eastAsia="新宋体"/>
                <w:color w:val="auto"/>
                <w:sz w:val="22"/>
                <w:szCs w:val="22"/>
                <w:highlight w:val="none"/>
              </w:rPr>
            </w:pPr>
          </w:p>
        </w:tc>
        <w:tc>
          <w:tcPr>
            <w:tcW w:w="1404" w:type="dxa"/>
            <w:noWrap w:val="0"/>
            <w:vAlign w:val="top"/>
          </w:tcPr>
          <w:p>
            <w:pPr>
              <w:spacing w:line="400" w:lineRule="exact"/>
              <w:rPr>
                <w:rFonts w:ascii="新宋体" w:hAnsi="新宋体" w:eastAsia="新宋体"/>
                <w:color w:val="auto"/>
                <w:sz w:val="22"/>
                <w:szCs w:val="22"/>
                <w:highlight w:val="none"/>
              </w:rPr>
            </w:pPr>
          </w:p>
        </w:tc>
        <w:tc>
          <w:tcPr>
            <w:tcW w:w="796" w:type="dxa"/>
            <w:noWrap w:val="0"/>
            <w:vAlign w:val="top"/>
          </w:tcPr>
          <w:p>
            <w:pPr>
              <w:spacing w:line="400" w:lineRule="exact"/>
              <w:rPr>
                <w:rFonts w:ascii="新宋体" w:hAnsi="新宋体" w:eastAsia="新宋体"/>
                <w:color w:val="auto"/>
                <w:sz w:val="22"/>
                <w:szCs w:val="22"/>
                <w:highlight w:val="none"/>
              </w:rPr>
            </w:pPr>
          </w:p>
        </w:tc>
        <w:tc>
          <w:tcPr>
            <w:tcW w:w="3704" w:type="dxa"/>
            <w:noWrap w:val="0"/>
            <w:vAlign w:val="top"/>
          </w:tcPr>
          <w:p>
            <w:pPr>
              <w:spacing w:line="400" w:lineRule="exact"/>
              <w:rPr>
                <w:rFonts w:ascii="新宋体" w:hAnsi="新宋体" w:eastAsia="新宋体"/>
                <w:color w:val="auto"/>
                <w:sz w:val="22"/>
                <w:szCs w:val="22"/>
                <w:highlight w:val="none"/>
              </w:rPr>
            </w:pPr>
          </w:p>
        </w:tc>
        <w:tc>
          <w:tcPr>
            <w:tcW w:w="1568" w:type="dxa"/>
            <w:noWrap w:val="0"/>
            <w:vAlign w:val="top"/>
          </w:tcPr>
          <w:p>
            <w:pPr>
              <w:spacing w:line="400" w:lineRule="exact"/>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ascii="新宋体" w:hAnsi="新宋体" w:eastAsia="新宋体"/>
                <w:color w:val="auto"/>
                <w:sz w:val="22"/>
                <w:szCs w:val="22"/>
                <w:highlight w:val="none"/>
              </w:rPr>
            </w:pPr>
          </w:p>
        </w:tc>
        <w:tc>
          <w:tcPr>
            <w:tcW w:w="1240" w:type="dxa"/>
            <w:noWrap w:val="0"/>
            <w:vAlign w:val="top"/>
          </w:tcPr>
          <w:p>
            <w:pPr>
              <w:spacing w:line="400" w:lineRule="exact"/>
              <w:rPr>
                <w:rFonts w:ascii="新宋体" w:hAnsi="新宋体" w:eastAsia="新宋体"/>
                <w:color w:val="auto"/>
                <w:sz w:val="22"/>
                <w:szCs w:val="22"/>
                <w:highlight w:val="none"/>
              </w:rPr>
            </w:pPr>
          </w:p>
        </w:tc>
        <w:tc>
          <w:tcPr>
            <w:tcW w:w="1404" w:type="dxa"/>
            <w:noWrap w:val="0"/>
            <w:vAlign w:val="top"/>
          </w:tcPr>
          <w:p>
            <w:pPr>
              <w:spacing w:line="400" w:lineRule="exact"/>
              <w:rPr>
                <w:rFonts w:ascii="新宋体" w:hAnsi="新宋体" w:eastAsia="新宋体"/>
                <w:color w:val="auto"/>
                <w:sz w:val="22"/>
                <w:szCs w:val="22"/>
                <w:highlight w:val="none"/>
              </w:rPr>
            </w:pPr>
          </w:p>
        </w:tc>
        <w:tc>
          <w:tcPr>
            <w:tcW w:w="796" w:type="dxa"/>
            <w:noWrap w:val="0"/>
            <w:vAlign w:val="top"/>
          </w:tcPr>
          <w:p>
            <w:pPr>
              <w:spacing w:line="400" w:lineRule="exact"/>
              <w:rPr>
                <w:rFonts w:ascii="新宋体" w:hAnsi="新宋体" w:eastAsia="新宋体"/>
                <w:color w:val="auto"/>
                <w:sz w:val="22"/>
                <w:szCs w:val="22"/>
                <w:highlight w:val="none"/>
              </w:rPr>
            </w:pPr>
          </w:p>
        </w:tc>
        <w:tc>
          <w:tcPr>
            <w:tcW w:w="3704" w:type="dxa"/>
            <w:noWrap w:val="0"/>
            <w:vAlign w:val="top"/>
          </w:tcPr>
          <w:p>
            <w:pPr>
              <w:spacing w:line="400" w:lineRule="exact"/>
              <w:rPr>
                <w:rFonts w:ascii="新宋体" w:hAnsi="新宋体" w:eastAsia="新宋体"/>
                <w:color w:val="auto"/>
                <w:sz w:val="22"/>
                <w:szCs w:val="22"/>
                <w:highlight w:val="none"/>
              </w:rPr>
            </w:pPr>
          </w:p>
        </w:tc>
        <w:tc>
          <w:tcPr>
            <w:tcW w:w="1568" w:type="dxa"/>
            <w:noWrap w:val="0"/>
            <w:vAlign w:val="top"/>
          </w:tcPr>
          <w:p>
            <w:pPr>
              <w:spacing w:line="400" w:lineRule="exact"/>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ascii="新宋体" w:hAnsi="新宋体" w:eastAsia="新宋体"/>
                <w:color w:val="auto"/>
                <w:sz w:val="22"/>
                <w:szCs w:val="22"/>
                <w:highlight w:val="none"/>
              </w:rPr>
            </w:pPr>
          </w:p>
        </w:tc>
        <w:tc>
          <w:tcPr>
            <w:tcW w:w="1240" w:type="dxa"/>
            <w:noWrap w:val="0"/>
            <w:vAlign w:val="top"/>
          </w:tcPr>
          <w:p>
            <w:pPr>
              <w:spacing w:line="400" w:lineRule="exact"/>
              <w:rPr>
                <w:rFonts w:ascii="新宋体" w:hAnsi="新宋体" w:eastAsia="新宋体"/>
                <w:color w:val="auto"/>
                <w:sz w:val="22"/>
                <w:szCs w:val="22"/>
                <w:highlight w:val="none"/>
              </w:rPr>
            </w:pPr>
          </w:p>
        </w:tc>
        <w:tc>
          <w:tcPr>
            <w:tcW w:w="1404" w:type="dxa"/>
            <w:noWrap w:val="0"/>
            <w:vAlign w:val="top"/>
          </w:tcPr>
          <w:p>
            <w:pPr>
              <w:spacing w:line="400" w:lineRule="exact"/>
              <w:rPr>
                <w:rFonts w:ascii="新宋体" w:hAnsi="新宋体" w:eastAsia="新宋体"/>
                <w:color w:val="auto"/>
                <w:sz w:val="22"/>
                <w:szCs w:val="22"/>
                <w:highlight w:val="none"/>
              </w:rPr>
            </w:pPr>
          </w:p>
        </w:tc>
        <w:tc>
          <w:tcPr>
            <w:tcW w:w="796" w:type="dxa"/>
            <w:noWrap w:val="0"/>
            <w:vAlign w:val="top"/>
          </w:tcPr>
          <w:p>
            <w:pPr>
              <w:spacing w:line="400" w:lineRule="exact"/>
              <w:rPr>
                <w:rFonts w:ascii="新宋体" w:hAnsi="新宋体" w:eastAsia="新宋体"/>
                <w:color w:val="auto"/>
                <w:sz w:val="22"/>
                <w:szCs w:val="22"/>
                <w:highlight w:val="none"/>
              </w:rPr>
            </w:pPr>
          </w:p>
        </w:tc>
        <w:tc>
          <w:tcPr>
            <w:tcW w:w="3704" w:type="dxa"/>
            <w:noWrap w:val="0"/>
            <w:vAlign w:val="top"/>
          </w:tcPr>
          <w:p>
            <w:pPr>
              <w:spacing w:line="400" w:lineRule="exact"/>
              <w:rPr>
                <w:rFonts w:ascii="新宋体" w:hAnsi="新宋体" w:eastAsia="新宋体"/>
                <w:color w:val="auto"/>
                <w:sz w:val="22"/>
                <w:szCs w:val="22"/>
                <w:highlight w:val="none"/>
              </w:rPr>
            </w:pPr>
          </w:p>
        </w:tc>
        <w:tc>
          <w:tcPr>
            <w:tcW w:w="1568" w:type="dxa"/>
            <w:noWrap w:val="0"/>
            <w:vAlign w:val="top"/>
          </w:tcPr>
          <w:p>
            <w:pPr>
              <w:spacing w:line="400" w:lineRule="exact"/>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ascii="新宋体" w:hAnsi="新宋体" w:eastAsia="新宋体"/>
                <w:color w:val="auto"/>
                <w:sz w:val="22"/>
                <w:szCs w:val="22"/>
                <w:highlight w:val="none"/>
              </w:rPr>
            </w:pPr>
          </w:p>
        </w:tc>
        <w:tc>
          <w:tcPr>
            <w:tcW w:w="1240" w:type="dxa"/>
            <w:noWrap w:val="0"/>
            <w:vAlign w:val="top"/>
          </w:tcPr>
          <w:p>
            <w:pPr>
              <w:spacing w:line="400" w:lineRule="exact"/>
              <w:rPr>
                <w:rFonts w:ascii="新宋体" w:hAnsi="新宋体" w:eastAsia="新宋体"/>
                <w:color w:val="auto"/>
                <w:sz w:val="22"/>
                <w:szCs w:val="22"/>
                <w:highlight w:val="none"/>
              </w:rPr>
            </w:pPr>
          </w:p>
        </w:tc>
        <w:tc>
          <w:tcPr>
            <w:tcW w:w="1404" w:type="dxa"/>
            <w:noWrap w:val="0"/>
            <w:vAlign w:val="top"/>
          </w:tcPr>
          <w:p>
            <w:pPr>
              <w:spacing w:line="400" w:lineRule="exact"/>
              <w:rPr>
                <w:rFonts w:ascii="新宋体" w:hAnsi="新宋体" w:eastAsia="新宋体"/>
                <w:color w:val="auto"/>
                <w:sz w:val="22"/>
                <w:szCs w:val="22"/>
                <w:highlight w:val="none"/>
              </w:rPr>
            </w:pPr>
          </w:p>
        </w:tc>
        <w:tc>
          <w:tcPr>
            <w:tcW w:w="796" w:type="dxa"/>
            <w:noWrap w:val="0"/>
            <w:vAlign w:val="top"/>
          </w:tcPr>
          <w:p>
            <w:pPr>
              <w:spacing w:line="400" w:lineRule="exact"/>
              <w:rPr>
                <w:rFonts w:ascii="新宋体" w:hAnsi="新宋体" w:eastAsia="新宋体"/>
                <w:color w:val="auto"/>
                <w:sz w:val="22"/>
                <w:szCs w:val="22"/>
                <w:highlight w:val="none"/>
              </w:rPr>
            </w:pPr>
          </w:p>
        </w:tc>
        <w:tc>
          <w:tcPr>
            <w:tcW w:w="3704" w:type="dxa"/>
            <w:noWrap w:val="0"/>
            <w:vAlign w:val="top"/>
          </w:tcPr>
          <w:p>
            <w:pPr>
              <w:spacing w:line="400" w:lineRule="exact"/>
              <w:rPr>
                <w:rFonts w:ascii="新宋体" w:hAnsi="新宋体" w:eastAsia="新宋体"/>
                <w:color w:val="auto"/>
                <w:sz w:val="22"/>
                <w:szCs w:val="22"/>
                <w:highlight w:val="none"/>
              </w:rPr>
            </w:pPr>
          </w:p>
        </w:tc>
        <w:tc>
          <w:tcPr>
            <w:tcW w:w="1568" w:type="dxa"/>
            <w:noWrap w:val="0"/>
            <w:vAlign w:val="top"/>
          </w:tcPr>
          <w:p>
            <w:pPr>
              <w:spacing w:line="400" w:lineRule="exact"/>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ascii="新宋体" w:hAnsi="新宋体" w:eastAsia="新宋体"/>
                <w:color w:val="auto"/>
                <w:sz w:val="22"/>
                <w:szCs w:val="22"/>
                <w:highlight w:val="none"/>
              </w:rPr>
            </w:pPr>
          </w:p>
        </w:tc>
        <w:tc>
          <w:tcPr>
            <w:tcW w:w="1240" w:type="dxa"/>
            <w:noWrap w:val="0"/>
            <w:vAlign w:val="top"/>
          </w:tcPr>
          <w:p>
            <w:pPr>
              <w:spacing w:line="400" w:lineRule="exact"/>
              <w:rPr>
                <w:rFonts w:ascii="新宋体" w:hAnsi="新宋体" w:eastAsia="新宋体"/>
                <w:color w:val="auto"/>
                <w:sz w:val="22"/>
                <w:szCs w:val="22"/>
                <w:highlight w:val="none"/>
              </w:rPr>
            </w:pPr>
          </w:p>
        </w:tc>
        <w:tc>
          <w:tcPr>
            <w:tcW w:w="1404" w:type="dxa"/>
            <w:noWrap w:val="0"/>
            <w:vAlign w:val="top"/>
          </w:tcPr>
          <w:p>
            <w:pPr>
              <w:spacing w:line="400" w:lineRule="exact"/>
              <w:rPr>
                <w:rFonts w:ascii="新宋体" w:hAnsi="新宋体" w:eastAsia="新宋体"/>
                <w:color w:val="auto"/>
                <w:sz w:val="22"/>
                <w:szCs w:val="22"/>
                <w:highlight w:val="none"/>
              </w:rPr>
            </w:pPr>
          </w:p>
        </w:tc>
        <w:tc>
          <w:tcPr>
            <w:tcW w:w="796" w:type="dxa"/>
            <w:noWrap w:val="0"/>
            <w:vAlign w:val="top"/>
          </w:tcPr>
          <w:p>
            <w:pPr>
              <w:spacing w:line="400" w:lineRule="exact"/>
              <w:rPr>
                <w:rFonts w:ascii="新宋体" w:hAnsi="新宋体" w:eastAsia="新宋体"/>
                <w:color w:val="auto"/>
                <w:sz w:val="22"/>
                <w:szCs w:val="22"/>
                <w:highlight w:val="none"/>
              </w:rPr>
            </w:pPr>
          </w:p>
        </w:tc>
        <w:tc>
          <w:tcPr>
            <w:tcW w:w="3704" w:type="dxa"/>
            <w:noWrap w:val="0"/>
            <w:vAlign w:val="top"/>
          </w:tcPr>
          <w:p>
            <w:pPr>
              <w:spacing w:line="400" w:lineRule="exact"/>
              <w:rPr>
                <w:rFonts w:ascii="新宋体" w:hAnsi="新宋体" w:eastAsia="新宋体"/>
                <w:color w:val="auto"/>
                <w:sz w:val="22"/>
                <w:szCs w:val="22"/>
                <w:highlight w:val="none"/>
              </w:rPr>
            </w:pPr>
          </w:p>
        </w:tc>
        <w:tc>
          <w:tcPr>
            <w:tcW w:w="1568" w:type="dxa"/>
            <w:noWrap w:val="0"/>
            <w:vAlign w:val="top"/>
          </w:tcPr>
          <w:p>
            <w:pPr>
              <w:spacing w:line="400" w:lineRule="exact"/>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ascii="新宋体" w:hAnsi="新宋体" w:eastAsia="新宋体"/>
                <w:color w:val="auto"/>
                <w:sz w:val="22"/>
                <w:szCs w:val="22"/>
                <w:highlight w:val="none"/>
              </w:rPr>
            </w:pPr>
          </w:p>
        </w:tc>
        <w:tc>
          <w:tcPr>
            <w:tcW w:w="1240" w:type="dxa"/>
            <w:noWrap w:val="0"/>
            <w:vAlign w:val="top"/>
          </w:tcPr>
          <w:p>
            <w:pPr>
              <w:spacing w:line="400" w:lineRule="exact"/>
              <w:rPr>
                <w:rFonts w:ascii="新宋体" w:hAnsi="新宋体" w:eastAsia="新宋体"/>
                <w:color w:val="auto"/>
                <w:sz w:val="22"/>
                <w:szCs w:val="22"/>
                <w:highlight w:val="none"/>
              </w:rPr>
            </w:pPr>
          </w:p>
        </w:tc>
        <w:tc>
          <w:tcPr>
            <w:tcW w:w="1404" w:type="dxa"/>
            <w:noWrap w:val="0"/>
            <w:vAlign w:val="top"/>
          </w:tcPr>
          <w:p>
            <w:pPr>
              <w:spacing w:line="400" w:lineRule="exact"/>
              <w:rPr>
                <w:rFonts w:ascii="新宋体" w:hAnsi="新宋体" w:eastAsia="新宋体"/>
                <w:color w:val="auto"/>
                <w:sz w:val="22"/>
                <w:szCs w:val="22"/>
                <w:highlight w:val="none"/>
              </w:rPr>
            </w:pPr>
          </w:p>
        </w:tc>
        <w:tc>
          <w:tcPr>
            <w:tcW w:w="796" w:type="dxa"/>
            <w:noWrap w:val="0"/>
            <w:vAlign w:val="top"/>
          </w:tcPr>
          <w:p>
            <w:pPr>
              <w:spacing w:line="400" w:lineRule="exact"/>
              <w:rPr>
                <w:rFonts w:ascii="新宋体" w:hAnsi="新宋体" w:eastAsia="新宋体"/>
                <w:color w:val="auto"/>
                <w:sz w:val="22"/>
                <w:szCs w:val="22"/>
                <w:highlight w:val="none"/>
              </w:rPr>
            </w:pPr>
          </w:p>
        </w:tc>
        <w:tc>
          <w:tcPr>
            <w:tcW w:w="3704" w:type="dxa"/>
            <w:noWrap w:val="0"/>
            <w:vAlign w:val="top"/>
          </w:tcPr>
          <w:p>
            <w:pPr>
              <w:spacing w:line="400" w:lineRule="exact"/>
              <w:rPr>
                <w:rFonts w:ascii="新宋体" w:hAnsi="新宋体" w:eastAsia="新宋体"/>
                <w:color w:val="auto"/>
                <w:sz w:val="22"/>
                <w:szCs w:val="22"/>
                <w:highlight w:val="none"/>
              </w:rPr>
            </w:pPr>
          </w:p>
        </w:tc>
        <w:tc>
          <w:tcPr>
            <w:tcW w:w="1568" w:type="dxa"/>
            <w:noWrap w:val="0"/>
            <w:vAlign w:val="top"/>
          </w:tcPr>
          <w:p>
            <w:pPr>
              <w:spacing w:line="400" w:lineRule="exact"/>
              <w:rPr>
                <w:rFonts w:ascii="新宋体" w:hAnsi="新宋体"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noWrap w:val="0"/>
            <w:vAlign w:val="center"/>
          </w:tcPr>
          <w:p>
            <w:pPr>
              <w:spacing w:line="400" w:lineRule="exact"/>
              <w:jc w:val="center"/>
              <w:rPr>
                <w:rFonts w:ascii="新宋体" w:hAnsi="新宋体" w:eastAsia="新宋体"/>
                <w:color w:val="auto"/>
                <w:sz w:val="22"/>
                <w:szCs w:val="22"/>
                <w:highlight w:val="none"/>
              </w:rPr>
            </w:pPr>
          </w:p>
        </w:tc>
        <w:tc>
          <w:tcPr>
            <w:tcW w:w="1240" w:type="dxa"/>
            <w:noWrap w:val="0"/>
            <w:vAlign w:val="top"/>
          </w:tcPr>
          <w:p>
            <w:pPr>
              <w:spacing w:line="400" w:lineRule="exact"/>
              <w:rPr>
                <w:rFonts w:ascii="新宋体" w:hAnsi="新宋体" w:eastAsia="新宋体"/>
                <w:color w:val="auto"/>
                <w:sz w:val="22"/>
                <w:szCs w:val="22"/>
                <w:highlight w:val="none"/>
              </w:rPr>
            </w:pPr>
          </w:p>
        </w:tc>
        <w:tc>
          <w:tcPr>
            <w:tcW w:w="1404" w:type="dxa"/>
            <w:noWrap w:val="0"/>
            <w:vAlign w:val="top"/>
          </w:tcPr>
          <w:p>
            <w:pPr>
              <w:spacing w:line="400" w:lineRule="exact"/>
              <w:rPr>
                <w:rFonts w:ascii="新宋体" w:hAnsi="新宋体" w:eastAsia="新宋体"/>
                <w:color w:val="auto"/>
                <w:sz w:val="22"/>
                <w:szCs w:val="22"/>
                <w:highlight w:val="none"/>
              </w:rPr>
            </w:pPr>
          </w:p>
        </w:tc>
        <w:tc>
          <w:tcPr>
            <w:tcW w:w="796" w:type="dxa"/>
            <w:noWrap w:val="0"/>
            <w:vAlign w:val="top"/>
          </w:tcPr>
          <w:p>
            <w:pPr>
              <w:spacing w:line="400" w:lineRule="exact"/>
              <w:rPr>
                <w:rFonts w:ascii="新宋体" w:hAnsi="新宋体" w:eastAsia="新宋体"/>
                <w:color w:val="auto"/>
                <w:sz w:val="22"/>
                <w:szCs w:val="22"/>
                <w:highlight w:val="none"/>
              </w:rPr>
            </w:pPr>
          </w:p>
        </w:tc>
        <w:tc>
          <w:tcPr>
            <w:tcW w:w="3704" w:type="dxa"/>
            <w:noWrap w:val="0"/>
            <w:vAlign w:val="top"/>
          </w:tcPr>
          <w:p>
            <w:pPr>
              <w:spacing w:line="400" w:lineRule="exact"/>
              <w:rPr>
                <w:rFonts w:ascii="新宋体" w:hAnsi="新宋体" w:eastAsia="新宋体"/>
                <w:color w:val="auto"/>
                <w:sz w:val="22"/>
                <w:szCs w:val="22"/>
                <w:highlight w:val="none"/>
              </w:rPr>
            </w:pPr>
          </w:p>
        </w:tc>
        <w:tc>
          <w:tcPr>
            <w:tcW w:w="1568" w:type="dxa"/>
            <w:noWrap w:val="0"/>
            <w:vAlign w:val="top"/>
          </w:tcPr>
          <w:p>
            <w:pPr>
              <w:spacing w:line="400" w:lineRule="exact"/>
              <w:rPr>
                <w:rFonts w:ascii="新宋体" w:hAnsi="新宋体" w:eastAsia="新宋体"/>
                <w:color w:val="auto"/>
                <w:sz w:val="22"/>
                <w:szCs w:val="22"/>
                <w:highlight w:val="none"/>
              </w:rPr>
            </w:pPr>
          </w:p>
        </w:tc>
      </w:tr>
    </w:tbl>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说明：</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rPr>
        <w:t>1、此表仅提供了表格形式，投标人可按此表格复制。</w:t>
      </w:r>
    </w:p>
    <w:p>
      <w:pPr>
        <w:spacing w:line="460" w:lineRule="exact"/>
        <w:ind w:firstLine="541" w:firstLineChars="245"/>
        <w:rPr>
          <w:rFonts w:ascii="新宋体" w:hAnsi="新宋体" w:eastAsia="新宋体"/>
          <w:b/>
          <w:color w:val="auto"/>
          <w:sz w:val="22"/>
          <w:szCs w:val="22"/>
          <w:highlight w:val="none"/>
        </w:rPr>
      </w:pPr>
      <w:r>
        <w:rPr>
          <w:rFonts w:hint="eastAsia" w:ascii="新宋体" w:hAnsi="新宋体" w:eastAsia="新宋体"/>
          <w:b/>
          <w:bCs/>
          <w:color w:val="auto"/>
          <w:sz w:val="22"/>
          <w:szCs w:val="22"/>
          <w:highlight w:val="none"/>
        </w:rPr>
        <w:t>2、如果无此内容，报价时需说明。</w:t>
      </w:r>
    </w:p>
    <w:p>
      <w:pPr>
        <w:spacing w:line="400" w:lineRule="exact"/>
        <w:ind w:firstLine="4620" w:firstLineChars="2100"/>
        <w:rPr>
          <w:rFonts w:ascii="新宋体" w:hAnsi="新宋体" w:eastAsia="新宋体"/>
          <w:color w:val="auto"/>
          <w:sz w:val="22"/>
          <w:szCs w:val="22"/>
          <w:highlight w:val="none"/>
        </w:rPr>
      </w:pPr>
    </w:p>
    <w:p>
      <w:pPr>
        <w:spacing w:line="400" w:lineRule="exact"/>
        <w:ind w:firstLine="5280" w:firstLineChars="24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投标人全称（盖章）：</w:t>
      </w:r>
    </w:p>
    <w:p>
      <w:pPr>
        <w:spacing w:line="400" w:lineRule="exact"/>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                                                投标人代表（签字）：</w:t>
      </w:r>
    </w:p>
    <w:p>
      <w:pPr>
        <w:spacing w:line="380" w:lineRule="exact"/>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                                                日  期：</w:t>
      </w:r>
    </w:p>
    <w:p>
      <w:pPr>
        <w:spacing w:line="460" w:lineRule="exact"/>
        <w:ind w:firstLine="4400" w:firstLineChars="2000"/>
        <w:rPr>
          <w:rFonts w:ascii="新宋体" w:hAnsi="新宋体" w:eastAsia="新宋体"/>
          <w:color w:val="auto"/>
          <w:sz w:val="22"/>
          <w:szCs w:val="22"/>
          <w:highlight w:val="none"/>
        </w:rPr>
      </w:pPr>
    </w:p>
    <w:p>
      <w:pPr>
        <w:spacing w:line="460" w:lineRule="exact"/>
        <w:ind w:firstLine="4400" w:firstLineChars="2000"/>
        <w:rPr>
          <w:rFonts w:ascii="新宋体" w:hAnsi="新宋体" w:eastAsia="新宋体"/>
          <w:color w:val="auto"/>
          <w:sz w:val="22"/>
          <w:szCs w:val="22"/>
          <w:highlight w:val="none"/>
        </w:rPr>
      </w:pPr>
    </w:p>
    <w:p>
      <w:pPr>
        <w:spacing w:line="460" w:lineRule="exact"/>
        <w:ind w:firstLine="4400" w:firstLineChars="2000"/>
        <w:rPr>
          <w:rFonts w:ascii="新宋体" w:hAnsi="新宋体" w:eastAsia="新宋体"/>
          <w:color w:val="auto"/>
          <w:sz w:val="22"/>
          <w:szCs w:val="22"/>
          <w:highlight w:val="none"/>
        </w:rPr>
      </w:pPr>
    </w:p>
    <w:p>
      <w:pPr>
        <w:pStyle w:val="9"/>
        <w:rPr>
          <w:rFonts w:ascii="新宋体" w:hAnsi="新宋体" w:eastAsia="新宋体"/>
          <w:color w:val="auto"/>
          <w:sz w:val="22"/>
          <w:szCs w:val="22"/>
          <w:highlight w:val="none"/>
        </w:rPr>
      </w:pPr>
    </w:p>
    <w:p>
      <w:pPr>
        <w:rPr>
          <w:color w:val="auto"/>
          <w:highlight w:val="none"/>
        </w:rPr>
      </w:pPr>
    </w:p>
    <w:p>
      <w:pPr>
        <w:spacing w:line="380" w:lineRule="exact"/>
        <w:rPr>
          <w:rFonts w:ascii="新宋体" w:hAnsi="新宋体" w:eastAsia="新宋体"/>
          <w:color w:val="auto"/>
          <w:sz w:val="22"/>
          <w:szCs w:val="22"/>
          <w:highlight w:val="none"/>
        </w:rPr>
      </w:pPr>
    </w:p>
    <w:p>
      <w:pPr>
        <w:spacing w:line="460" w:lineRule="exact"/>
        <w:jc w:val="center"/>
        <w:outlineLvl w:val="4"/>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（3）供招标人选购的备品备件及维保期期满后</w:t>
      </w:r>
    </w:p>
    <w:p>
      <w:pPr>
        <w:spacing w:line="400" w:lineRule="exact"/>
        <w:jc w:val="center"/>
        <w:rPr>
          <w:rFonts w:ascii="新宋体" w:hAnsi="新宋体" w:eastAsia="新宋体"/>
          <w:b/>
          <w:bCs/>
          <w:color w:val="auto"/>
          <w:sz w:val="28"/>
          <w:szCs w:val="28"/>
          <w:highlight w:val="none"/>
        </w:rPr>
      </w:pPr>
      <w:r>
        <w:rPr>
          <w:rFonts w:hint="eastAsia" w:ascii="新宋体" w:hAnsi="新宋体" w:eastAsia="新宋体"/>
          <w:b/>
          <w:bCs/>
          <w:color w:val="auto"/>
          <w:sz w:val="28"/>
          <w:szCs w:val="28"/>
          <w:highlight w:val="none"/>
        </w:rPr>
        <w:t>相关维修配件清单一览表</w:t>
      </w:r>
    </w:p>
    <w:p>
      <w:pPr>
        <w:pStyle w:val="38"/>
        <w:tabs>
          <w:tab w:val="right" w:leader="dot" w:pos="9628"/>
        </w:tabs>
        <w:rPr>
          <w:rFonts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 xml:space="preserve"> 项目名称：                                                  项目编号：</w:t>
      </w:r>
      <w:r>
        <w:rPr>
          <w:rFonts w:hint="eastAsia" w:ascii="新宋体" w:hAnsi="新宋体" w:eastAsia="新宋体" w:cs="新宋体"/>
          <w:color w:val="auto"/>
          <w:sz w:val="22"/>
          <w:szCs w:val="22"/>
          <w:highlight w:val="none"/>
        </w:rPr>
        <w:t xml:space="preserve">                                                 </w:t>
      </w:r>
    </w:p>
    <w:tbl>
      <w:tblPr>
        <w:tblStyle w:val="52"/>
        <w:tblW w:w="100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1733"/>
        <w:gridCol w:w="1680"/>
        <w:gridCol w:w="780"/>
        <w:gridCol w:w="1181"/>
        <w:gridCol w:w="892"/>
        <w:gridCol w:w="892"/>
        <w:gridCol w:w="752"/>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trPr>
        <w:tc>
          <w:tcPr>
            <w:tcW w:w="1072" w:type="dxa"/>
            <w:noWrap w:val="0"/>
            <w:vAlign w:val="center"/>
          </w:tcPr>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序号</w:t>
            </w:r>
          </w:p>
        </w:tc>
        <w:tc>
          <w:tcPr>
            <w:tcW w:w="1733" w:type="dxa"/>
            <w:noWrap w:val="0"/>
            <w:vAlign w:val="center"/>
          </w:tcPr>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设备名称及编号</w:t>
            </w:r>
          </w:p>
        </w:tc>
        <w:tc>
          <w:tcPr>
            <w:tcW w:w="1680" w:type="dxa"/>
            <w:noWrap w:val="0"/>
            <w:vAlign w:val="center"/>
          </w:tcPr>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备件/配件</w:t>
            </w:r>
          </w:p>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名称</w:t>
            </w:r>
          </w:p>
        </w:tc>
        <w:tc>
          <w:tcPr>
            <w:tcW w:w="780" w:type="dxa"/>
            <w:noWrap w:val="0"/>
            <w:vAlign w:val="center"/>
          </w:tcPr>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数量</w:t>
            </w:r>
          </w:p>
        </w:tc>
        <w:tc>
          <w:tcPr>
            <w:tcW w:w="1181" w:type="dxa"/>
            <w:noWrap w:val="0"/>
            <w:vAlign w:val="center"/>
          </w:tcPr>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规格型号</w:t>
            </w:r>
          </w:p>
        </w:tc>
        <w:tc>
          <w:tcPr>
            <w:tcW w:w="892" w:type="dxa"/>
            <w:noWrap w:val="0"/>
            <w:vAlign w:val="center"/>
          </w:tcPr>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品牌/产地</w:t>
            </w:r>
          </w:p>
        </w:tc>
        <w:tc>
          <w:tcPr>
            <w:tcW w:w="892" w:type="dxa"/>
            <w:noWrap w:val="0"/>
            <w:vAlign w:val="center"/>
          </w:tcPr>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价格</w:t>
            </w:r>
            <w:r>
              <w:rPr>
                <w:rFonts w:hint="eastAsia" w:ascii="新宋体" w:hAnsi="新宋体" w:eastAsia="新宋体" w:cs="新宋体"/>
                <w:b/>
                <w:color w:val="auto"/>
                <w:sz w:val="22"/>
                <w:szCs w:val="22"/>
                <w:highlight w:val="none"/>
              </w:rPr>
              <w:t>（元）</w:t>
            </w:r>
          </w:p>
        </w:tc>
        <w:tc>
          <w:tcPr>
            <w:tcW w:w="752" w:type="dxa"/>
            <w:noWrap w:val="0"/>
            <w:vAlign w:val="center"/>
          </w:tcPr>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包装形式</w:t>
            </w:r>
          </w:p>
        </w:tc>
        <w:tc>
          <w:tcPr>
            <w:tcW w:w="1069" w:type="dxa"/>
            <w:noWrap w:val="0"/>
            <w:vAlign w:val="center"/>
          </w:tcPr>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072" w:type="dxa"/>
            <w:noWrap w:val="0"/>
            <w:vAlign w:val="center"/>
          </w:tcPr>
          <w:p>
            <w:pPr>
              <w:ind w:firstLine="592"/>
              <w:jc w:val="center"/>
              <w:rPr>
                <w:rFonts w:ascii="新宋体" w:hAnsi="新宋体" w:eastAsia="新宋体" w:cs="新宋体"/>
                <w:color w:val="auto"/>
                <w:sz w:val="22"/>
                <w:szCs w:val="22"/>
                <w:highlight w:val="none"/>
              </w:rPr>
            </w:pPr>
          </w:p>
        </w:tc>
        <w:tc>
          <w:tcPr>
            <w:tcW w:w="1733" w:type="dxa"/>
            <w:noWrap w:val="0"/>
            <w:vAlign w:val="center"/>
          </w:tcPr>
          <w:p>
            <w:pPr>
              <w:ind w:firstLine="592"/>
              <w:jc w:val="center"/>
              <w:rPr>
                <w:rFonts w:ascii="新宋体" w:hAnsi="新宋体" w:eastAsia="新宋体" w:cs="新宋体"/>
                <w:color w:val="auto"/>
                <w:sz w:val="22"/>
                <w:szCs w:val="22"/>
                <w:highlight w:val="none"/>
              </w:rPr>
            </w:pPr>
          </w:p>
        </w:tc>
        <w:tc>
          <w:tcPr>
            <w:tcW w:w="1680" w:type="dxa"/>
            <w:noWrap w:val="0"/>
            <w:vAlign w:val="center"/>
          </w:tcPr>
          <w:p>
            <w:pPr>
              <w:ind w:firstLine="592"/>
              <w:jc w:val="center"/>
              <w:rPr>
                <w:rFonts w:ascii="新宋体" w:hAnsi="新宋体" w:eastAsia="新宋体" w:cs="新宋体"/>
                <w:color w:val="auto"/>
                <w:sz w:val="22"/>
                <w:szCs w:val="22"/>
                <w:highlight w:val="none"/>
              </w:rPr>
            </w:pPr>
          </w:p>
        </w:tc>
        <w:tc>
          <w:tcPr>
            <w:tcW w:w="780" w:type="dxa"/>
            <w:noWrap w:val="0"/>
            <w:vAlign w:val="center"/>
          </w:tcPr>
          <w:p>
            <w:pPr>
              <w:ind w:firstLine="592"/>
              <w:jc w:val="center"/>
              <w:rPr>
                <w:rFonts w:ascii="新宋体" w:hAnsi="新宋体" w:eastAsia="新宋体" w:cs="新宋体"/>
                <w:color w:val="auto"/>
                <w:sz w:val="22"/>
                <w:szCs w:val="22"/>
                <w:highlight w:val="none"/>
              </w:rPr>
            </w:pPr>
          </w:p>
        </w:tc>
        <w:tc>
          <w:tcPr>
            <w:tcW w:w="1181" w:type="dxa"/>
            <w:noWrap w:val="0"/>
            <w:vAlign w:val="center"/>
          </w:tcPr>
          <w:p>
            <w:pPr>
              <w:ind w:firstLine="592"/>
              <w:jc w:val="center"/>
              <w:rPr>
                <w:rFonts w:ascii="新宋体" w:hAnsi="新宋体" w:eastAsia="新宋体" w:cs="新宋体"/>
                <w:color w:val="auto"/>
                <w:sz w:val="22"/>
                <w:szCs w:val="22"/>
                <w:highlight w:val="none"/>
              </w:rPr>
            </w:pPr>
          </w:p>
        </w:tc>
        <w:tc>
          <w:tcPr>
            <w:tcW w:w="892" w:type="dxa"/>
            <w:noWrap w:val="0"/>
            <w:vAlign w:val="center"/>
          </w:tcPr>
          <w:p>
            <w:pPr>
              <w:ind w:firstLine="592"/>
              <w:jc w:val="center"/>
              <w:rPr>
                <w:rFonts w:ascii="新宋体" w:hAnsi="新宋体" w:eastAsia="新宋体" w:cs="新宋体"/>
                <w:color w:val="auto"/>
                <w:sz w:val="22"/>
                <w:szCs w:val="22"/>
                <w:highlight w:val="none"/>
              </w:rPr>
            </w:pPr>
          </w:p>
        </w:tc>
        <w:tc>
          <w:tcPr>
            <w:tcW w:w="892" w:type="dxa"/>
            <w:noWrap w:val="0"/>
            <w:vAlign w:val="center"/>
          </w:tcPr>
          <w:p>
            <w:pPr>
              <w:ind w:firstLine="592"/>
              <w:jc w:val="center"/>
              <w:rPr>
                <w:rFonts w:ascii="新宋体" w:hAnsi="新宋体" w:eastAsia="新宋体" w:cs="新宋体"/>
                <w:color w:val="auto"/>
                <w:sz w:val="22"/>
                <w:szCs w:val="22"/>
                <w:highlight w:val="none"/>
              </w:rPr>
            </w:pPr>
          </w:p>
        </w:tc>
        <w:tc>
          <w:tcPr>
            <w:tcW w:w="752" w:type="dxa"/>
            <w:noWrap w:val="0"/>
            <w:vAlign w:val="center"/>
          </w:tcPr>
          <w:p>
            <w:pPr>
              <w:ind w:firstLine="592"/>
              <w:jc w:val="center"/>
              <w:rPr>
                <w:rFonts w:ascii="新宋体" w:hAnsi="新宋体" w:eastAsia="新宋体" w:cs="新宋体"/>
                <w:color w:val="auto"/>
                <w:sz w:val="22"/>
                <w:szCs w:val="22"/>
                <w:highlight w:val="none"/>
              </w:rPr>
            </w:pPr>
          </w:p>
        </w:tc>
        <w:tc>
          <w:tcPr>
            <w:tcW w:w="1069" w:type="dxa"/>
            <w:noWrap w:val="0"/>
            <w:vAlign w:val="center"/>
          </w:tcPr>
          <w:p>
            <w:pPr>
              <w:ind w:firstLine="592"/>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072" w:type="dxa"/>
            <w:noWrap w:val="0"/>
            <w:vAlign w:val="center"/>
          </w:tcPr>
          <w:p>
            <w:pPr>
              <w:ind w:firstLine="592"/>
              <w:jc w:val="center"/>
              <w:rPr>
                <w:rFonts w:ascii="新宋体" w:hAnsi="新宋体" w:eastAsia="新宋体" w:cs="新宋体"/>
                <w:color w:val="auto"/>
                <w:sz w:val="22"/>
                <w:szCs w:val="22"/>
                <w:highlight w:val="none"/>
              </w:rPr>
            </w:pPr>
          </w:p>
        </w:tc>
        <w:tc>
          <w:tcPr>
            <w:tcW w:w="1733" w:type="dxa"/>
            <w:noWrap w:val="0"/>
            <w:vAlign w:val="center"/>
          </w:tcPr>
          <w:p>
            <w:pPr>
              <w:ind w:firstLine="592"/>
              <w:jc w:val="center"/>
              <w:rPr>
                <w:rFonts w:ascii="新宋体" w:hAnsi="新宋体" w:eastAsia="新宋体" w:cs="新宋体"/>
                <w:color w:val="auto"/>
                <w:sz w:val="22"/>
                <w:szCs w:val="22"/>
                <w:highlight w:val="none"/>
              </w:rPr>
            </w:pPr>
          </w:p>
        </w:tc>
        <w:tc>
          <w:tcPr>
            <w:tcW w:w="1680" w:type="dxa"/>
            <w:noWrap w:val="0"/>
            <w:vAlign w:val="center"/>
          </w:tcPr>
          <w:p>
            <w:pPr>
              <w:ind w:firstLine="592"/>
              <w:jc w:val="center"/>
              <w:rPr>
                <w:rFonts w:ascii="新宋体" w:hAnsi="新宋体" w:eastAsia="新宋体" w:cs="新宋体"/>
                <w:color w:val="auto"/>
                <w:sz w:val="22"/>
                <w:szCs w:val="22"/>
                <w:highlight w:val="none"/>
              </w:rPr>
            </w:pPr>
          </w:p>
        </w:tc>
        <w:tc>
          <w:tcPr>
            <w:tcW w:w="780" w:type="dxa"/>
            <w:noWrap w:val="0"/>
            <w:vAlign w:val="center"/>
          </w:tcPr>
          <w:p>
            <w:pPr>
              <w:ind w:firstLine="592"/>
              <w:jc w:val="center"/>
              <w:rPr>
                <w:rFonts w:ascii="新宋体" w:hAnsi="新宋体" w:eastAsia="新宋体" w:cs="新宋体"/>
                <w:color w:val="auto"/>
                <w:sz w:val="22"/>
                <w:szCs w:val="22"/>
                <w:highlight w:val="none"/>
              </w:rPr>
            </w:pPr>
          </w:p>
        </w:tc>
        <w:tc>
          <w:tcPr>
            <w:tcW w:w="1181" w:type="dxa"/>
            <w:noWrap w:val="0"/>
            <w:vAlign w:val="center"/>
          </w:tcPr>
          <w:p>
            <w:pPr>
              <w:ind w:firstLine="592"/>
              <w:jc w:val="center"/>
              <w:rPr>
                <w:rFonts w:ascii="新宋体" w:hAnsi="新宋体" w:eastAsia="新宋体" w:cs="新宋体"/>
                <w:color w:val="auto"/>
                <w:sz w:val="22"/>
                <w:szCs w:val="22"/>
                <w:highlight w:val="none"/>
              </w:rPr>
            </w:pPr>
          </w:p>
        </w:tc>
        <w:tc>
          <w:tcPr>
            <w:tcW w:w="892" w:type="dxa"/>
            <w:noWrap w:val="0"/>
            <w:vAlign w:val="center"/>
          </w:tcPr>
          <w:p>
            <w:pPr>
              <w:ind w:firstLine="592"/>
              <w:jc w:val="center"/>
              <w:rPr>
                <w:rFonts w:ascii="新宋体" w:hAnsi="新宋体" w:eastAsia="新宋体" w:cs="新宋体"/>
                <w:color w:val="auto"/>
                <w:sz w:val="22"/>
                <w:szCs w:val="22"/>
                <w:highlight w:val="none"/>
              </w:rPr>
            </w:pPr>
          </w:p>
        </w:tc>
        <w:tc>
          <w:tcPr>
            <w:tcW w:w="892" w:type="dxa"/>
            <w:noWrap w:val="0"/>
            <w:vAlign w:val="center"/>
          </w:tcPr>
          <w:p>
            <w:pPr>
              <w:ind w:firstLine="592"/>
              <w:jc w:val="center"/>
              <w:rPr>
                <w:rFonts w:ascii="新宋体" w:hAnsi="新宋体" w:eastAsia="新宋体" w:cs="新宋体"/>
                <w:color w:val="auto"/>
                <w:sz w:val="22"/>
                <w:szCs w:val="22"/>
                <w:highlight w:val="none"/>
              </w:rPr>
            </w:pPr>
          </w:p>
        </w:tc>
        <w:tc>
          <w:tcPr>
            <w:tcW w:w="752" w:type="dxa"/>
            <w:noWrap w:val="0"/>
            <w:vAlign w:val="center"/>
          </w:tcPr>
          <w:p>
            <w:pPr>
              <w:ind w:firstLine="592"/>
              <w:jc w:val="center"/>
              <w:rPr>
                <w:rFonts w:ascii="新宋体" w:hAnsi="新宋体" w:eastAsia="新宋体" w:cs="新宋体"/>
                <w:color w:val="auto"/>
                <w:sz w:val="22"/>
                <w:szCs w:val="22"/>
                <w:highlight w:val="none"/>
              </w:rPr>
            </w:pPr>
          </w:p>
        </w:tc>
        <w:tc>
          <w:tcPr>
            <w:tcW w:w="1069" w:type="dxa"/>
            <w:noWrap w:val="0"/>
            <w:vAlign w:val="center"/>
          </w:tcPr>
          <w:p>
            <w:pPr>
              <w:ind w:firstLine="592"/>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072" w:type="dxa"/>
            <w:noWrap w:val="0"/>
            <w:vAlign w:val="center"/>
          </w:tcPr>
          <w:p>
            <w:pPr>
              <w:ind w:firstLine="592"/>
              <w:jc w:val="center"/>
              <w:rPr>
                <w:rFonts w:ascii="新宋体" w:hAnsi="新宋体" w:eastAsia="新宋体" w:cs="新宋体"/>
                <w:color w:val="auto"/>
                <w:sz w:val="22"/>
                <w:szCs w:val="22"/>
                <w:highlight w:val="none"/>
              </w:rPr>
            </w:pPr>
          </w:p>
        </w:tc>
        <w:tc>
          <w:tcPr>
            <w:tcW w:w="1733" w:type="dxa"/>
            <w:noWrap w:val="0"/>
            <w:vAlign w:val="center"/>
          </w:tcPr>
          <w:p>
            <w:pPr>
              <w:ind w:firstLine="592"/>
              <w:jc w:val="center"/>
              <w:rPr>
                <w:rFonts w:ascii="新宋体" w:hAnsi="新宋体" w:eastAsia="新宋体" w:cs="新宋体"/>
                <w:color w:val="auto"/>
                <w:sz w:val="22"/>
                <w:szCs w:val="22"/>
                <w:highlight w:val="none"/>
              </w:rPr>
            </w:pPr>
          </w:p>
        </w:tc>
        <w:tc>
          <w:tcPr>
            <w:tcW w:w="1680" w:type="dxa"/>
            <w:noWrap w:val="0"/>
            <w:vAlign w:val="center"/>
          </w:tcPr>
          <w:p>
            <w:pPr>
              <w:ind w:firstLine="592"/>
              <w:jc w:val="center"/>
              <w:rPr>
                <w:rFonts w:ascii="新宋体" w:hAnsi="新宋体" w:eastAsia="新宋体" w:cs="新宋体"/>
                <w:color w:val="auto"/>
                <w:sz w:val="22"/>
                <w:szCs w:val="22"/>
                <w:highlight w:val="none"/>
              </w:rPr>
            </w:pPr>
          </w:p>
        </w:tc>
        <w:tc>
          <w:tcPr>
            <w:tcW w:w="780" w:type="dxa"/>
            <w:noWrap w:val="0"/>
            <w:vAlign w:val="center"/>
          </w:tcPr>
          <w:p>
            <w:pPr>
              <w:ind w:firstLine="592"/>
              <w:jc w:val="center"/>
              <w:rPr>
                <w:rFonts w:ascii="新宋体" w:hAnsi="新宋体" w:eastAsia="新宋体" w:cs="新宋体"/>
                <w:color w:val="auto"/>
                <w:sz w:val="22"/>
                <w:szCs w:val="22"/>
                <w:highlight w:val="none"/>
              </w:rPr>
            </w:pPr>
          </w:p>
        </w:tc>
        <w:tc>
          <w:tcPr>
            <w:tcW w:w="1181" w:type="dxa"/>
            <w:noWrap w:val="0"/>
            <w:vAlign w:val="center"/>
          </w:tcPr>
          <w:p>
            <w:pPr>
              <w:ind w:firstLine="592"/>
              <w:jc w:val="center"/>
              <w:rPr>
                <w:rFonts w:ascii="新宋体" w:hAnsi="新宋体" w:eastAsia="新宋体" w:cs="新宋体"/>
                <w:color w:val="auto"/>
                <w:sz w:val="22"/>
                <w:szCs w:val="22"/>
                <w:highlight w:val="none"/>
              </w:rPr>
            </w:pPr>
          </w:p>
        </w:tc>
        <w:tc>
          <w:tcPr>
            <w:tcW w:w="892" w:type="dxa"/>
            <w:noWrap w:val="0"/>
            <w:vAlign w:val="center"/>
          </w:tcPr>
          <w:p>
            <w:pPr>
              <w:ind w:firstLine="592"/>
              <w:jc w:val="center"/>
              <w:rPr>
                <w:rFonts w:ascii="新宋体" w:hAnsi="新宋体" w:eastAsia="新宋体" w:cs="新宋体"/>
                <w:color w:val="auto"/>
                <w:sz w:val="22"/>
                <w:szCs w:val="22"/>
                <w:highlight w:val="none"/>
              </w:rPr>
            </w:pPr>
          </w:p>
        </w:tc>
        <w:tc>
          <w:tcPr>
            <w:tcW w:w="892" w:type="dxa"/>
            <w:noWrap w:val="0"/>
            <w:vAlign w:val="center"/>
          </w:tcPr>
          <w:p>
            <w:pPr>
              <w:ind w:firstLine="592"/>
              <w:jc w:val="center"/>
              <w:rPr>
                <w:rFonts w:ascii="新宋体" w:hAnsi="新宋体" w:eastAsia="新宋体" w:cs="新宋体"/>
                <w:color w:val="auto"/>
                <w:sz w:val="22"/>
                <w:szCs w:val="22"/>
                <w:highlight w:val="none"/>
              </w:rPr>
            </w:pPr>
          </w:p>
        </w:tc>
        <w:tc>
          <w:tcPr>
            <w:tcW w:w="752" w:type="dxa"/>
            <w:noWrap w:val="0"/>
            <w:vAlign w:val="center"/>
          </w:tcPr>
          <w:p>
            <w:pPr>
              <w:ind w:firstLine="592"/>
              <w:jc w:val="center"/>
              <w:rPr>
                <w:rFonts w:ascii="新宋体" w:hAnsi="新宋体" w:eastAsia="新宋体" w:cs="新宋体"/>
                <w:color w:val="auto"/>
                <w:sz w:val="22"/>
                <w:szCs w:val="22"/>
                <w:highlight w:val="none"/>
              </w:rPr>
            </w:pPr>
          </w:p>
        </w:tc>
        <w:tc>
          <w:tcPr>
            <w:tcW w:w="1069" w:type="dxa"/>
            <w:noWrap w:val="0"/>
            <w:vAlign w:val="center"/>
          </w:tcPr>
          <w:p>
            <w:pPr>
              <w:ind w:firstLine="592"/>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072" w:type="dxa"/>
            <w:noWrap w:val="0"/>
            <w:vAlign w:val="center"/>
          </w:tcPr>
          <w:p>
            <w:pPr>
              <w:ind w:firstLine="592"/>
              <w:jc w:val="center"/>
              <w:rPr>
                <w:rFonts w:ascii="新宋体" w:hAnsi="新宋体" w:eastAsia="新宋体" w:cs="新宋体"/>
                <w:color w:val="auto"/>
                <w:sz w:val="22"/>
                <w:szCs w:val="22"/>
                <w:highlight w:val="none"/>
              </w:rPr>
            </w:pPr>
          </w:p>
        </w:tc>
        <w:tc>
          <w:tcPr>
            <w:tcW w:w="1733" w:type="dxa"/>
            <w:noWrap w:val="0"/>
            <w:vAlign w:val="center"/>
          </w:tcPr>
          <w:p>
            <w:pPr>
              <w:ind w:firstLine="592"/>
              <w:jc w:val="center"/>
              <w:rPr>
                <w:rFonts w:ascii="新宋体" w:hAnsi="新宋体" w:eastAsia="新宋体" w:cs="新宋体"/>
                <w:color w:val="auto"/>
                <w:sz w:val="22"/>
                <w:szCs w:val="22"/>
                <w:highlight w:val="none"/>
              </w:rPr>
            </w:pPr>
          </w:p>
        </w:tc>
        <w:tc>
          <w:tcPr>
            <w:tcW w:w="1680" w:type="dxa"/>
            <w:noWrap w:val="0"/>
            <w:vAlign w:val="center"/>
          </w:tcPr>
          <w:p>
            <w:pPr>
              <w:ind w:firstLine="592"/>
              <w:jc w:val="center"/>
              <w:rPr>
                <w:rFonts w:ascii="新宋体" w:hAnsi="新宋体" w:eastAsia="新宋体" w:cs="新宋体"/>
                <w:color w:val="auto"/>
                <w:sz w:val="22"/>
                <w:szCs w:val="22"/>
                <w:highlight w:val="none"/>
              </w:rPr>
            </w:pPr>
          </w:p>
        </w:tc>
        <w:tc>
          <w:tcPr>
            <w:tcW w:w="780" w:type="dxa"/>
            <w:noWrap w:val="0"/>
            <w:vAlign w:val="center"/>
          </w:tcPr>
          <w:p>
            <w:pPr>
              <w:ind w:firstLine="592"/>
              <w:jc w:val="center"/>
              <w:rPr>
                <w:rFonts w:ascii="新宋体" w:hAnsi="新宋体" w:eastAsia="新宋体" w:cs="新宋体"/>
                <w:color w:val="auto"/>
                <w:sz w:val="22"/>
                <w:szCs w:val="22"/>
                <w:highlight w:val="none"/>
              </w:rPr>
            </w:pPr>
          </w:p>
        </w:tc>
        <w:tc>
          <w:tcPr>
            <w:tcW w:w="1181" w:type="dxa"/>
            <w:noWrap w:val="0"/>
            <w:vAlign w:val="center"/>
          </w:tcPr>
          <w:p>
            <w:pPr>
              <w:ind w:firstLine="592"/>
              <w:jc w:val="center"/>
              <w:rPr>
                <w:rFonts w:ascii="新宋体" w:hAnsi="新宋体" w:eastAsia="新宋体" w:cs="新宋体"/>
                <w:color w:val="auto"/>
                <w:sz w:val="22"/>
                <w:szCs w:val="22"/>
                <w:highlight w:val="none"/>
              </w:rPr>
            </w:pPr>
          </w:p>
        </w:tc>
        <w:tc>
          <w:tcPr>
            <w:tcW w:w="892" w:type="dxa"/>
            <w:noWrap w:val="0"/>
            <w:vAlign w:val="center"/>
          </w:tcPr>
          <w:p>
            <w:pPr>
              <w:ind w:firstLine="592"/>
              <w:jc w:val="center"/>
              <w:rPr>
                <w:rFonts w:ascii="新宋体" w:hAnsi="新宋体" w:eastAsia="新宋体" w:cs="新宋体"/>
                <w:color w:val="auto"/>
                <w:sz w:val="22"/>
                <w:szCs w:val="22"/>
                <w:highlight w:val="none"/>
              </w:rPr>
            </w:pPr>
          </w:p>
        </w:tc>
        <w:tc>
          <w:tcPr>
            <w:tcW w:w="892" w:type="dxa"/>
            <w:noWrap w:val="0"/>
            <w:vAlign w:val="center"/>
          </w:tcPr>
          <w:p>
            <w:pPr>
              <w:ind w:firstLine="592"/>
              <w:jc w:val="center"/>
              <w:rPr>
                <w:rFonts w:ascii="新宋体" w:hAnsi="新宋体" w:eastAsia="新宋体" w:cs="新宋体"/>
                <w:color w:val="auto"/>
                <w:sz w:val="22"/>
                <w:szCs w:val="22"/>
                <w:highlight w:val="none"/>
              </w:rPr>
            </w:pPr>
          </w:p>
        </w:tc>
        <w:tc>
          <w:tcPr>
            <w:tcW w:w="752" w:type="dxa"/>
            <w:noWrap w:val="0"/>
            <w:vAlign w:val="center"/>
          </w:tcPr>
          <w:p>
            <w:pPr>
              <w:ind w:firstLine="592"/>
              <w:jc w:val="center"/>
              <w:rPr>
                <w:rFonts w:ascii="新宋体" w:hAnsi="新宋体" w:eastAsia="新宋体" w:cs="新宋体"/>
                <w:color w:val="auto"/>
                <w:sz w:val="22"/>
                <w:szCs w:val="22"/>
                <w:highlight w:val="none"/>
              </w:rPr>
            </w:pPr>
          </w:p>
        </w:tc>
        <w:tc>
          <w:tcPr>
            <w:tcW w:w="1069" w:type="dxa"/>
            <w:noWrap w:val="0"/>
            <w:vAlign w:val="center"/>
          </w:tcPr>
          <w:p>
            <w:pPr>
              <w:ind w:firstLine="592"/>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072" w:type="dxa"/>
            <w:noWrap w:val="0"/>
            <w:vAlign w:val="center"/>
          </w:tcPr>
          <w:p>
            <w:pPr>
              <w:ind w:firstLine="592"/>
              <w:jc w:val="center"/>
              <w:rPr>
                <w:rFonts w:ascii="新宋体" w:hAnsi="新宋体" w:eastAsia="新宋体" w:cs="新宋体"/>
                <w:color w:val="auto"/>
                <w:sz w:val="22"/>
                <w:szCs w:val="22"/>
                <w:highlight w:val="none"/>
              </w:rPr>
            </w:pPr>
          </w:p>
        </w:tc>
        <w:tc>
          <w:tcPr>
            <w:tcW w:w="1733" w:type="dxa"/>
            <w:noWrap w:val="0"/>
            <w:vAlign w:val="center"/>
          </w:tcPr>
          <w:p>
            <w:pPr>
              <w:ind w:firstLine="592"/>
              <w:jc w:val="center"/>
              <w:rPr>
                <w:rFonts w:ascii="新宋体" w:hAnsi="新宋体" w:eastAsia="新宋体" w:cs="新宋体"/>
                <w:color w:val="auto"/>
                <w:sz w:val="22"/>
                <w:szCs w:val="22"/>
                <w:highlight w:val="none"/>
              </w:rPr>
            </w:pPr>
          </w:p>
        </w:tc>
        <w:tc>
          <w:tcPr>
            <w:tcW w:w="1680" w:type="dxa"/>
            <w:noWrap w:val="0"/>
            <w:vAlign w:val="center"/>
          </w:tcPr>
          <w:p>
            <w:pPr>
              <w:ind w:firstLine="592"/>
              <w:jc w:val="center"/>
              <w:rPr>
                <w:rFonts w:ascii="新宋体" w:hAnsi="新宋体" w:eastAsia="新宋体" w:cs="新宋体"/>
                <w:color w:val="auto"/>
                <w:sz w:val="22"/>
                <w:szCs w:val="22"/>
                <w:highlight w:val="none"/>
              </w:rPr>
            </w:pPr>
          </w:p>
        </w:tc>
        <w:tc>
          <w:tcPr>
            <w:tcW w:w="780" w:type="dxa"/>
            <w:noWrap w:val="0"/>
            <w:vAlign w:val="center"/>
          </w:tcPr>
          <w:p>
            <w:pPr>
              <w:ind w:firstLine="592"/>
              <w:jc w:val="center"/>
              <w:rPr>
                <w:rFonts w:ascii="新宋体" w:hAnsi="新宋体" w:eastAsia="新宋体" w:cs="新宋体"/>
                <w:color w:val="auto"/>
                <w:sz w:val="22"/>
                <w:szCs w:val="22"/>
                <w:highlight w:val="none"/>
              </w:rPr>
            </w:pPr>
          </w:p>
        </w:tc>
        <w:tc>
          <w:tcPr>
            <w:tcW w:w="1181" w:type="dxa"/>
            <w:noWrap w:val="0"/>
            <w:vAlign w:val="center"/>
          </w:tcPr>
          <w:p>
            <w:pPr>
              <w:ind w:firstLine="592"/>
              <w:jc w:val="center"/>
              <w:rPr>
                <w:rFonts w:ascii="新宋体" w:hAnsi="新宋体" w:eastAsia="新宋体" w:cs="新宋体"/>
                <w:color w:val="auto"/>
                <w:sz w:val="22"/>
                <w:szCs w:val="22"/>
                <w:highlight w:val="none"/>
              </w:rPr>
            </w:pPr>
          </w:p>
        </w:tc>
        <w:tc>
          <w:tcPr>
            <w:tcW w:w="892" w:type="dxa"/>
            <w:noWrap w:val="0"/>
            <w:vAlign w:val="center"/>
          </w:tcPr>
          <w:p>
            <w:pPr>
              <w:ind w:firstLine="592"/>
              <w:jc w:val="center"/>
              <w:rPr>
                <w:rFonts w:ascii="新宋体" w:hAnsi="新宋体" w:eastAsia="新宋体" w:cs="新宋体"/>
                <w:color w:val="auto"/>
                <w:sz w:val="22"/>
                <w:szCs w:val="22"/>
                <w:highlight w:val="none"/>
              </w:rPr>
            </w:pPr>
          </w:p>
        </w:tc>
        <w:tc>
          <w:tcPr>
            <w:tcW w:w="892" w:type="dxa"/>
            <w:noWrap w:val="0"/>
            <w:vAlign w:val="center"/>
          </w:tcPr>
          <w:p>
            <w:pPr>
              <w:ind w:firstLine="592"/>
              <w:jc w:val="center"/>
              <w:rPr>
                <w:rFonts w:ascii="新宋体" w:hAnsi="新宋体" w:eastAsia="新宋体" w:cs="新宋体"/>
                <w:color w:val="auto"/>
                <w:sz w:val="22"/>
                <w:szCs w:val="22"/>
                <w:highlight w:val="none"/>
              </w:rPr>
            </w:pPr>
          </w:p>
        </w:tc>
        <w:tc>
          <w:tcPr>
            <w:tcW w:w="752" w:type="dxa"/>
            <w:noWrap w:val="0"/>
            <w:vAlign w:val="center"/>
          </w:tcPr>
          <w:p>
            <w:pPr>
              <w:ind w:firstLine="592"/>
              <w:jc w:val="center"/>
              <w:rPr>
                <w:rFonts w:ascii="新宋体" w:hAnsi="新宋体" w:eastAsia="新宋体" w:cs="新宋体"/>
                <w:color w:val="auto"/>
                <w:sz w:val="22"/>
                <w:szCs w:val="22"/>
                <w:highlight w:val="none"/>
              </w:rPr>
            </w:pPr>
          </w:p>
        </w:tc>
        <w:tc>
          <w:tcPr>
            <w:tcW w:w="1069" w:type="dxa"/>
            <w:noWrap w:val="0"/>
            <w:vAlign w:val="center"/>
          </w:tcPr>
          <w:p>
            <w:pPr>
              <w:ind w:firstLine="592"/>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072" w:type="dxa"/>
            <w:noWrap w:val="0"/>
            <w:vAlign w:val="center"/>
          </w:tcPr>
          <w:p>
            <w:pPr>
              <w:ind w:firstLine="592"/>
              <w:jc w:val="center"/>
              <w:rPr>
                <w:rFonts w:ascii="新宋体" w:hAnsi="新宋体" w:eastAsia="新宋体" w:cs="新宋体"/>
                <w:color w:val="auto"/>
                <w:sz w:val="22"/>
                <w:szCs w:val="22"/>
                <w:highlight w:val="none"/>
              </w:rPr>
            </w:pPr>
          </w:p>
        </w:tc>
        <w:tc>
          <w:tcPr>
            <w:tcW w:w="1733" w:type="dxa"/>
            <w:noWrap w:val="0"/>
            <w:vAlign w:val="center"/>
          </w:tcPr>
          <w:p>
            <w:pPr>
              <w:ind w:firstLine="592"/>
              <w:jc w:val="center"/>
              <w:rPr>
                <w:rFonts w:ascii="新宋体" w:hAnsi="新宋体" w:eastAsia="新宋体" w:cs="新宋体"/>
                <w:color w:val="auto"/>
                <w:sz w:val="22"/>
                <w:szCs w:val="22"/>
                <w:highlight w:val="none"/>
              </w:rPr>
            </w:pPr>
          </w:p>
        </w:tc>
        <w:tc>
          <w:tcPr>
            <w:tcW w:w="1680" w:type="dxa"/>
            <w:noWrap w:val="0"/>
            <w:vAlign w:val="center"/>
          </w:tcPr>
          <w:p>
            <w:pPr>
              <w:ind w:firstLine="592"/>
              <w:jc w:val="center"/>
              <w:rPr>
                <w:rFonts w:ascii="新宋体" w:hAnsi="新宋体" w:eastAsia="新宋体" w:cs="新宋体"/>
                <w:color w:val="auto"/>
                <w:sz w:val="22"/>
                <w:szCs w:val="22"/>
                <w:highlight w:val="none"/>
              </w:rPr>
            </w:pPr>
          </w:p>
        </w:tc>
        <w:tc>
          <w:tcPr>
            <w:tcW w:w="780" w:type="dxa"/>
            <w:noWrap w:val="0"/>
            <w:vAlign w:val="center"/>
          </w:tcPr>
          <w:p>
            <w:pPr>
              <w:ind w:firstLine="592"/>
              <w:jc w:val="center"/>
              <w:rPr>
                <w:rFonts w:ascii="新宋体" w:hAnsi="新宋体" w:eastAsia="新宋体" w:cs="新宋体"/>
                <w:color w:val="auto"/>
                <w:sz w:val="22"/>
                <w:szCs w:val="22"/>
                <w:highlight w:val="none"/>
              </w:rPr>
            </w:pPr>
          </w:p>
        </w:tc>
        <w:tc>
          <w:tcPr>
            <w:tcW w:w="1181" w:type="dxa"/>
            <w:noWrap w:val="0"/>
            <w:vAlign w:val="center"/>
          </w:tcPr>
          <w:p>
            <w:pPr>
              <w:ind w:firstLine="592"/>
              <w:jc w:val="center"/>
              <w:rPr>
                <w:rFonts w:ascii="新宋体" w:hAnsi="新宋体" w:eastAsia="新宋体" w:cs="新宋体"/>
                <w:color w:val="auto"/>
                <w:sz w:val="22"/>
                <w:szCs w:val="22"/>
                <w:highlight w:val="none"/>
              </w:rPr>
            </w:pPr>
          </w:p>
        </w:tc>
        <w:tc>
          <w:tcPr>
            <w:tcW w:w="892" w:type="dxa"/>
            <w:noWrap w:val="0"/>
            <w:vAlign w:val="center"/>
          </w:tcPr>
          <w:p>
            <w:pPr>
              <w:ind w:firstLine="592"/>
              <w:jc w:val="center"/>
              <w:rPr>
                <w:rFonts w:ascii="新宋体" w:hAnsi="新宋体" w:eastAsia="新宋体" w:cs="新宋体"/>
                <w:color w:val="auto"/>
                <w:sz w:val="22"/>
                <w:szCs w:val="22"/>
                <w:highlight w:val="none"/>
              </w:rPr>
            </w:pPr>
          </w:p>
        </w:tc>
        <w:tc>
          <w:tcPr>
            <w:tcW w:w="892" w:type="dxa"/>
            <w:noWrap w:val="0"/>
            <w:vAlign w:val="center"/>
          </w:tcPr>
          <w:p>
            <w:pPr>
              <w:ind w:firstLine="592"/>
              <w:jc w:val="center"/>
              <w:rPr>
                <w:rFonts w:ascii="新宋体" w:hAnsi="新宋体" w:eastAsia="新宋体" w:cs="新宋体"/>
                <w:color w:val="auto"/>
                <w:sz w:val="22"/>
                <w:szCs w:val="22"/>
                <w:highlight w:val="none"/>
              </w:rPr>
            </w:pPr>
          </w:p>
        </w:tc>
        <w:tc>
          <w:tcPr>
            <w:tcW w:w="752" w:type="dxa"/>
            <w:noWrap w:val="0"/>
            <w:vAlign w:val="center"/>
          </w:tcPr>
          <w:p>
            <w:pPr>
              <w:ind w:firstLine="592"/>
              <w:jc w:val="center"/>
              <w:rPr>
                <w:rFonts w:ascii="新宋体" w:hAnsi="新宋体" w:eastAsia="新宋体" w:cs="新宋体"/>
                <w:color w:val="auto"/>
                <w:sz w:val="22"/>
                <w:szCs w:val="22"/>
                <w:highlight w:val="none"/>
              </w:rPr>
            </w:pPr>
          </w:p>
        </w:tc>
        <w:tc>
          <w:tcPr>
            <w:tcW w:w="1069" w:type="dxa"/>
            <w:noWrap w:val="0"/>
            <w:vAlign w:val="center"/>
          </w:tcPr>
          <w:p>
            <w:pPr>
              <w:ind w:firstLine="592"/>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072" w:type="dxa"/>
            <w:tcBorders>
              <w:bottom w:val="single" w:color="auto" w:sz="4" w:space="0"/>
            </w:tcBorders>
            <w:noWrap w:val="0"/>
            <w:vAlign w:val="center"/>
          </w:tcPr>
          <w:p>
            <w:pPr>
              <w:ind w:firstLine="592"/>
              <w:jc w:val="center"/>
              <w:rPr>
                <w:rFonts w:ascii="新宋体" w:hAnsi="新宋体" w:eastAsia="新宋体" w:cs="新宋体"/>
                <w:color w:val="auto"/>
                <w:sz w:val="22"/>
                <w:szCs w:val="22"/>
                <w:highlight w:val="none"/>
              </w:rPr>
            </w:pPr>
          </w:p>
        </w:tc>
        <w:tc>
          <w:tcPr>
            <w:tcW w:w="1733" w:type="dxa"/>
            <w:tcBorders>
              <w:bottom w:val="single" w:color="auto" w:sz="4" w:space="0"/>
            </w:tcBorders>
            <w:noWrap w:val="0"/>
            <w:vAlign w:val="center"/>
          </w:tcPr>
          <w:p>
            <w:pPr>
              <w:ind w:firstLine="592"/>
              <w:jc w:val="center"/>
              <w:rPr>
                <w:rFonts w:ascii="新宋体" w:hAnsi="新宋体" w:eastAsia="新宋体" w:cs="新宋体"/>
                <w:color w:val="auto"/>
                <w:sz w:val="22"/>
                <w:szCs w:val="22"/>
                <w:highlight w:val="none"/>
              </w:rPr>
            </w:pPr>
          </w:p>
        </w:tc>
        <w:tc>
          <w:tcPr>
            <w:tcW w:w="1680" w:type="dxa"/>
            <w:noWrap w:val="0"/>
            <w:vAlign w:val="center"/>
          </w:tcPr>
          <w:p>
            <w:pPr>
              <w:ind w:firstLine="592"/>
              <w:jc w:val="center"/>
              <w:rPr>
                <w:rFonts w:ascii="新宋体" w:hAnsi="新宋体" w:eastAsia="新宋体" w:cs="新宋体"/>
                <w:color w:val="auto"/>
                <w:sz w:val="22"/>
                <w:szCs w:val="22"/>
                <w:highlight w:val="none"/>
              </w:rPr>
            </w:pPr>
          </w:p>
        </w:tc>
        <w:tc>
          <w:tcPr>
            <w:tcW w:w="780" w:type="dxa"/>
            <w:noWrap w:val="0"/>
            <w:vAlign w:val="center"/>
          </w:tcPr>
          <w:p>
            <w:pPr>
              <w:ind w:firstLine="592"/>
              <w:jc w:val="center"/>
              <w:rPr>
                <w:rFonts w:ascii="新宋体" w:hAnsi="新宋体" w:eastAsia="新宋体" w:cs="新宋体"/>
                <w:color w:val="auto"/>
                <w:sz w:val="22"/>
                <w:szCs w:val="22"/>
                <w:highlight w:val="none"/>
              </w:rPr>
            </w:pPr>
          </w:p>
        </w:tc>
        <w:tc>
          <w:tcPr>
            <w:tcW w:w="1181" w:type="dxa"/>
            <w:noWrap w:val="0"/>
            <w:vAlign w:val="center"/>
          </w:tcPr>
          <w:p>
            <w:pPr>
              <w:ind w:firstLine="592"/>
              <w:jc w:val="center"/>
              <w:rPr>
                <w:rFonts w:ascii="新宋体" w:hAnsi="新宋体" w:eastAsia="新宋体" w:cs="新宋体"/>
                <w:color w:val="auto"/>
                <w:sz w:val="22"/>
                <w:szCs w:val="22"/>
                <w:highlight w:val="none"/>
              </w:rPr>
            </w:pPr>
          </w:p>
        </w:tc>
        <w:tc>
          <w:tcPr>
            <w:tcW w:w="892" w:type="dxa"/>
            <w:noWrap w:val="0"/>
            <w:vAlign w:val="center"/>
          </w:tcPr>
          <w:p>
            <w:pPr>
              <w:ind w:firstLine="592"/>
              <w:jc w:val="center"/>
              <w:rPr>
                <w:rFonts w:ascii="新宋体" w:hAnsi="新宋体" w:eastAsia="新宋体" w:cs="新宋体"/>
                <w:color w:val="auto"/>
                <w:sz w:val="22"/>
                <w:szCs w:val="22"/>
                <w:highlight w:val="none"/>
              </w:rPr>
            </w:pPr>
          </w:p>
        </w:tc>
        <w:tc>
          <w:tcPr>
            <w:tcW w:w="892" w:type="dxa"/>
            <w:noWrap w:val="0"/>
            <w:vAlign w:val="center"/>
          </w:tcPr>
          <w:p>
            <w:pPr>
              <w:ind w:firstLine="592"/>
              <w:jc w:val="center"/>
              <w:rPr>
                <w:rFonts w:ascii="新宋体" w:hAnsi="新宋体" w:eastAsia="新宋体" w:cs="新宋体"/>
                <w:color w:val="auto"/>
                <w:sz w:val="22"/>
                <w:szCs w:val="22"/>
                <w:highlight w:val="none"/>
              </w:rPr>
            </w:pPr>
          </w:p>
        </w:tc>
        <w:tc>
          <w:tcPr>
            <w:tcW w:w="752" w:type="dxa"/>
            <w:noWrap w:val="0"/>
            <w:vAlign w:val="center"/>
          </w:tcPr>
          <w:p>
            <w:pPr>
              <w:ind w:firstLine="592"/>
              <w:jc w:val="center"/>
              <w:rPr>
                <w:rFonts w:ascii="新宋体" w:hAnsi="新宋体" w:eastAsia="新宋体" w:cs="新宋体"/>
                <w:color w:val="auto"/>
                <w:sz w:val="22"/>
                <w:szCs w:val="22"/>
                <w:highlight w:val="none"/>
              </w:rPr>
            </w:pPr>
          </w:p>
        </w:tc>
        <w:tc>
          <w:tcPr>
            <w:tcW w:w="1069" w:type="dxa"/>
            <w:noWrap w:val="0"/>
            <w:vAlign w:val="center"/>
          </w:tcPr>
          <w:p>
            <w:pPr>
              <w:ind w:firstLine="592"/>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072" w:type="dxa"/>
            <w:tcBorders>
              <w:top w:val="single" w:color="auto" w:sz="4" w:space="0"/>
            </w:tcBorders>
            <w:noWrap w:val="0"/>
            <w:vAlign w:val="center"/>
          </w:tcPr>
          <w:p>
            <w:pPr>
              <w:ind w:firstLine="592"/>
              <w:jc w:val="center"/>
              <w:rPr>
                <w:rFonts w:ascii="新宋体" w:hAnsi="新宋体" w:eastAsia="新宋体" w:cs="新宋体"/>
                <w:color w:val="auto"/>
                <w:sz w:val="22"/>
                <w:szCs w:val="22"/>
                <w:highlight w:val="none"/>
              </w:rPr>
            </w:pPr>
          </w:p>
        </w:tc>
        <w:tc>
          <w:tcPr>
            <w:tcW w:w="1733" w:type="dxa"/>
            <w:tcBorders>
              <w:top w:val="single" w:color="auto" w:sz="4" w:space="0"/>
            </w:tcBorders>
            <w:noWrap w:val="0"/>
            <w:vAlign w:val="center"/>
          </w:tcPr>
          <w:p>
            <w:pPr>
              <w:ind w:firstLine="592"/>
              <w:jc w:val="center"/>
              <w:rPr>
                <w:rFonts w:ascii="新宋体" w:hAnsi="新宋体" w:eastAsia="新宋体" w:cs="新宋体"/>
                <w:color w:val="auto"/>
                <w:sz w:val="22"/>
                <w:szCs w:val="22"/>
                <w:highlight w:val="none"/>
              </w:rPr>
            </w:pPr>
          </w:p>
        </w:tc>
        <w:tc>
          <w:tcPr>
            <w:tcW w:w="1680" w:type="dxa"/>
            <w:noWrap w:val="0"/>
            <w:vAlign w:val="center"/>
          </w:tcPr>
          <w:p>
            <w:pPr>
              <w:ind w:firstLine="592"/>
              <w:jc w:val="center"/>
              <w:rPr>
                <w:rFonts w:ascii="新宋体" w:hAnsi="新宋体" w:eastAsia="新宋体" w:cs="新宋体"/>
                <w:color w:val="auto"/>
                <w:sz w:val="22"/>
                <w:szCs w:val="22"/>
                <w:highlight w:val="none"/>
              </w:rPr>
            </w:pPr>
          </w:p>
        </w:tc>
        <w:tc>
          <w:tcPr>
            <w:tcW w:w="780" w:type="dxa"/>
            <w:noWrap w:val="0"/>
            <w:vAlign w:val="center"/>
          </w:tcPr>
          <w:p>
            <w:pPr>
              <w:ind w:firstLine="592"/>
              <w:jc w:val="center"/>
              <w:rPr>
                <w:rFonts w:ascii="新宋体" w:hAnsi="新宋体" w:eastAsia="新宋体" w:cs="新宋体"/>
                <w:color w:val="auto"/>
                <w:sz w:val="22"/>
                <w:szCs w:val="22"/>
                <w:highlight w:val="none"/>
              </w:rPr>
            </w:pPr>
          </w:p>
        </w:tc>
        <w:tc>
          <w:tcPr>
            <w:tcW w:w="1181" w:type="dxa"/>
            <w:noWrap w:val="0"/>
            <w:vAlign w:val="center"/>
          </w:tcPr>
          <w:p>
            <w:pPr>
              <w:ind w:firstLine="592"/>
              <w:jc w:val="center"/>
              <w:rPr>
                <w:rFonts w:ascii="新宋体" w:hAnsi="新宋体" w:eastAsia="新宋体" w:cs="新宋体"/>
                <w:color w:val="auto"/>
                <w:sz w:val="22"/>
                <w:szCs w:val="22"/>
                <w:highlight w:val="none"/>
              </w:rPr>
            </w:pPr>
          </w:p>
        </w:tc>
        <w:tc>
          <w:tcPr>
            <w:tcW w:w="892" w:type="dxa"/>
            <w:noWrap w:val="0"/>
            <w:vAlign w:val="center"/>
          </w:tcPr>
          <w:p>
            <w:pPr>
              <w:ind w:firstLine="592"/>
              <w:jc w:val="center"/>
              <w:rPr>
                <w:rFonts w:ascii="新宋体" w:hAnsi="新宋体" w:eastAsia="新宋体" w:cs="新宋体"/>
                <w:color w:val="auto"/>
                <w:sz w:val="22"/>
                <w:szCs w:val="22"/>
                <w:highlight w:val="none"/>
              </w:rPr>
            </w:pPr>
          </w:p>
        </w:tc>
        <w:tc>
          <w:tcPr>
            <w:tcW w:w="892" w:type="dxa"/>
            <w:noWrap w:val="0"/>
            <w:vAlign w:val="center"/>
          </w:tcPr>
          <w:p>
            <w:pPr>
              <w:ind w:firstLine="592"/>
              <w:jc w:val="center"/>
              <w:rPr>
                <w:rFonts w:ascii="新宋体" w:hAnsi="新宋体" w:eastAsia="新宋体" w:cs="新宋体"/>
                <w:color w:val="auto"/>
                <w:sz w:val="22"/>
                <w:szCs w:val="22"/>
                <w:highlight w:val="none"/>
              </w:rPr>
            </w:pPr>
          </w:p>
        </w:tc>
        <w:tc>
          <w:tcPr>
            <w:tcW w:w="752" w:type="dxa"/>
            <w:noWrap w:val="0"/>
            <w:vAlign w:val="center"/>
          </w:tcPr>
          <w:p>
            <w:pPr>
              <w:ind w:firstLine="592"/>
              <w:jc w:val="center"/>
              <w:rPr>
                <w:rFonts w:ascii="新宋体" w:hAnsi="新宋体" w:eastAsia="新宋体" w:cs="新宋体"/>
                <w:color w:val="auto"/>
                <w:sz w:val="22"/>
                <w:szCs w:val="22"/>
                <w:highlight w:val="none"/>
              </w:rPr>
            </w:pPr>
          </w:p>
        </w:tc>
        <w:tc>
          <w:tcPr>
            <w:tcW w:w="1069" w:type="dxa"/>
            <w:noWrap w:val="0"/>
            <w:vAlign w:val="center"/>
          </w:tcPr>
          <w:p>
            <w:pPr>
              <w:ind w:firstLine="592"/>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072" w:type="dxa"/>
            <w:tcBorders>
              <w:bottom w:val="single" w:color="auto" w:sz="4" w:space="0"/>
            </w:tcBorders>
            <w:noWrap w:val="0"/>
            <w:vAlign w:val="center"/>
          </w:tcPr>
          <w:p>
            <w:pPr>
              <w:ind w:firstLine="592"/>
              <w:jc w:val="center"/>
              <w:rPr>
                <w:rFonts w:ascii="新宋体" w:hAnsi="新宋体" w:eastAsia="新宋体" w:cs="新宋体"/>
                <w:color w:val="auto"/>
                <w:sz w:val="22"/>
                <w:szCs w:val="22"/>
                <w:highlight w:val="none"/>
              </w:rPr>
            </w:pPr>
          </w:p>
        </w:tc>
        <w:tc>
          <w:tcPr>
            <w:tcW w:w="1733" w:type="dxa"/>
            <w:tcBorders>
              <w:bottom w:val="single" w:color="auto" w:sz="4" w:space="0"/>
            </w:tcBorders>
            <w:noWrap w:val="0"/>
            <w:vAlign w:val="center"/>
          </w:tcPr>
          <w:p>
            <w:pPr>
              <w:ind w:firstLine="592"/>
              <w:jc w:val="center"/>
              <w:rPr>
                <w:rFonts w:ascii="新宋体" w:hAnsi="新宋体" w:eastAsia="新宋体" w:cs="新宋体"/>
                <w:color w:val="auto"/>
                <w:sz w:val="22"/>
                <w:szCs w:val="22"/>
                <w:highlight w:val="none"/>
              </w:rPr>
            </w:pPr>
          </w:p>
        </w:tc>
        <w:tc>
          <w:tcPr>
            <w:tcW w:w="1680" w:type="dxa"/>
            <w:noWrap w:val="0"/>
            <w:vAlign w:val="center"/>
          </w:tcPr>
          <w:p>
            <w:pPr>
              <w:ind w:firstLine="592"/>
              <w:jc w:val="center"/>
              <w:rPr>
                <w:rFonts w:ascii="新宋体" w:hAnsi="新宋体" w:eastAsia="新宋体" w:cs="新宋体"/>
                <w:color w:val="auto"/>
                <w:sz w:val="22"/>
                <w:szCs w:val="22"/>
                <w:highlight w:val="none"/>
              </w:rPr>
            </w:pPr>
          </w:p>
        </w:tc>
        <w:tc>
          <w:tcPr>
            <w:tcW w:w="780" w:type="dxa"/>
            <w:noWrap w:val="0"/>
            <w:vAlign w:val="center"/>
          </w:tcPr>
          <w:p>
            <w:pPr>
              <w:ind w:firstLine="592"/>
              <w:jc w:val="center"/>
              <w:rPr>
                <w:rFonts w:ascii="新宋体" w:hAnsi="新宋体" w:eastAsia="新宋体" w:cs="新宋体"/>
                <w:color w:val="auto"/>
                <w:sz w:val="22"/>
                <w:szCs w:val="22"/>
                <w:highlight w:val="none"/>
              </w:rPr>
            </w:pPr>
          </w:p>
        </w:tc>
        <w:tc>
          <w:tcPr>
            <w:tcW w:w="1181" w:type="dxa"/>
            <w:noWrap w:val="0"/>
            <w:vAlign w:val="center"/>
          </w:tcPr>
          <w:p>
            <w:pPr>
              <w:ind w:firstLine="592"/>
              <w:jc w:val="center"/>
              <w:rPr>
                <w:rFonts w:ascii="新宋体" w:hAnsi="新宋体" w:eastAsia="新宋体" w:cs="新宋体"/>
                <w:color w:val="auto"/>
                <w:sz w:val="22"/>
                <w:szCs w:val="22"/>
                <w:highlight w:val="none"/>
              </w:rPr>
            </w:pPr>
          </w:p>
        </w:tc>
        <w:tc>
          <w:tcPr>
            <w:tcW w:w="892" w:type="dxa"/>
            <w:noWrap w:val="0"/>
            <w:vAlign w:val="center"/>
          </w:tcPr>
          <w:p>
            <w:pPr>
              <w:ind w:firstLine="592"/>
              <w:jc w:val="center"/>
              <w:rPr>
                <w:rFonts w:ascii="新宋体" w:hAnsi="新宋体" w:eastAsia="新宋体" w:cs="新宋体"/>
                <w:color w:val="auto"/>
                <w:sz w:val="22"/>
                <w:szCs w:val="22"/>
                <w:highlight w:val="none"/>
              </w:rPr>
            </w:pPr>
          </w:p>
        </w:tc>
        <w:tc>
          <w:tcPr>
            <w:tcW w:w="892" w:type="dxa"/>
            <w:noWrap w:val="0"/>
            <w:vAlign w:val="center"/>
          </w:tcPr>
          <w:p>
            <w:pPr>
              <w:ind w:firstLine="592"/>
              <w:jc w:val="center"/>
              <w:rPr>
                <w:rFonts w:ascii="新宋体" w:hAnsi="新宋体" w:eastAsia="新宋体" w:cs="新宋体"/>
                <w:color w:val="auto"/>
                <w:sz w:val="22"/>
                <w:szCs w:val="22"/>
                <w:highlight w:val="none"/>
              </w:rPr>
            </w:pPr>
          </w:p>
        </w:tc>
        <w:tc>
          <w:tcPr>
            <w:tcW w:w="752" w:type="dxa"/>
            <w:noWrap w:val="0"/>
            <w:vAlign w:val="center"/>
          </w:tcPr>
          <w:p>
            <w:pPr>
              <w:ind w:firstLine="592"/>
              <w:jc w:val="center"/>
              <w:rPr>
                <w:rFonts w:ascii="新宋体" w:hAnsi="新宋体" w:eastAsia="新宋体" w:cs="新宋体"/>
                <w:color w:val="auto"/>
                <w:sz w:val="22"/>
                <w:szCs w:val="22"/>
                <w:highlight w:val="none"/>
              </w:rPr>
            </w:pPr>
          </w:p>
        </w:tc>
        <w:tc>
          <w:tcPr>
            <w:tcW w:w="1069" w:type="dxa"/>
            <w:noWrap w:val="0"/>
            <w:vAlign w:val="center"/>
          </w:tcPr>
          <w:p>
            <w:pPr>
              <w:ind w:firstLine="592"/>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072" w:type="dxa"/>
            <w:tcBorders>
              <w:top w:val="single" w:color="auto" w:sz="4" w:space="0"/>
              <w:bottom w:val="single" w:color="auto" w:sz="4" w:space="0"/>
            </w:tcBorders>
            <w:noWrap w:val="0"/>
            <w:vAlign w:val="center"/>
          </w:tcPr>
          <w:p>
            <w:pPr>
              <w:ind w:firstLine="592"/>
              <w:jc w:val="center"/>
              <w:rPr>
                <w:rFonts w:ascii="新宋体" w:hAnsi="新宋体" w:eastAsia="新宋体" w:cs="新宋体"/>
                <w:color w:val="auto"/>
                <w:sz w:val="22"/>
                <w:szCs w:val="22"/>
                <w:highlight w:val="none"/>
              </w:rPr>
            </w:pPr>
          </w:p>
        </w:tc>
        <w:tc>
          <w:tcPr>
            <w:tcW w:w="1733" w:type="dxa"/>
            <w:tcBorders>
              <w:top w:val="single" w:color="auto" w:sz="4" w:space="0"/>
              <w:bottom w:val="single" w:color="auto" w:sz="4" w:space="0"/>
            </w:tcBorders>
            <w:noWrap w:val="0"/>
            <w:vAlign w:val="center"/>
          </w:tcPr>
          <w:p>
            <w:pPr>
              <w:ind w:firstLine="592"/>
              <w:jc w:val="center"/>
              <w:rPr>
                <w:rFonts w:ascii="新宋体" w:hAnsi="新宋体" w:eastAsia="新宋体" w:cs="新宋体"/>
                <w:color w:val="auto"/>
                <w:sz w:val="22"/>
                <w:szCs w:val="22"/>
                <w:highlight w:val="none"/>
              </w:rPr>
            </w:pPr>
          </w:p>
        </w:tc>
        <w:tc>
          <w:tcPr>
            <w:tcW w:w="1680" w:type="dxa"/>
            <w:noWrap w:val="0"/>
            <w:vAlign w:val="center"/>
          </w:tcPr>
          <w:p>
            <w:pPr>
              <w:ind w:firstLine="592"/>
              <w:jc w:val="center"/>
              <w:rPr>
                <w:rFonts w:ascii="新宋体" w:hAnsi="新宋体" w:eastAsia="新宋体" w:cs="新宋体"/>
                <w:color w:val="auto"/>
                <w:sz w:val="22"/>
                <w:szCs w:val="22"/>
                <w:highlight w:val="none"/>
              </w:rPr>
            </w:pPr>
          </w:p>
        </w:tc>
        <w:tc>
          <w:tcPr>
            <w:tcW w:w="780" w:type="dxa"/>
            <w:noWrap w:val="0"/>
            <w:vAlign w:val="center"/>
          </w:tcPr>
          <w:p>
            <w:pPr>
              <w:ind w:firstLine="592"/>
              <w:jc w:val="center"/>
              <w:rPr>
                <w:rFonts w:ascii="新宋体" w:hAnsi="新宋体" w:eastAsia="新宋体" w:cs="新宋体"/>
                <w:color w:val="auto"/>
                <w:sz w:val="22"/>
                <w:szCs w:val="22"/>
                <w:highlight w:val="none"/>
              </w:rPr>
            </w:pPr>
          </w:p>
        </w:tc>
        <w:tc>
          <w:tcPr>
            <w:tcW w:w="1181" w:type="dxa"/>
            <w:noWrap w:val="0"/>
            <w:vAlign w:val="center"/>
          </w:tcPr>
          <w:p>
            <w:pPr>
              <w:ind w:firstLine="592"/>
              <w:jc w:val="center"/>
              <w:rPr>
                <w:rFonts w:ascii="新宋体" w:hAnsi="新宋体" w:eastAsia="新宋体" w:cs="新宋体"/>
                <w:color w:val="auto"/>
                <w:sz w:val="22"/>
                <w:szCs w:val="22"/>
                <w:highlight w:val="none"/>
              </w:rPr>
            </w:pPr>
          </w:p>
        </w:tc>
        <w:tc>
          <w:tcPr>
            <w:tcW w:w="892" w:type="dxa"/>
            <w:noWrap w:val="0"/>
            <w:vAlign w:val="center"/>
          </w:tcPr>
          <w:p>
            <w:pPr>
              <w:ind w:firstLine="592"/>
              <w:jc w:val="center"/>
              <w:rPr>
                <w:rFonts w:ascii="新宋体" w:hAnsi="新宋体" w:eastAsia="新宋体" w:cs="新宋体"/>
                <w:color w:val="auto"/>
                <w:sz w:val="22"/>
                <w:szCs w:val="22"/>
                <w:highlight w:val="none"/>
              </w:rPr>
            </w:pPr>
          </w:p>
        </w:tc>
        <w:tc>
          <w:tcPr>
            <w:tcW w:w="892" w:type="dxa"/>
            <w:noWrap w:val="0"/>
            <w:vAlign w:val="center"/>
          </w:tcPr>
          <w:p>
            <w:pPr>
              <w:ind w:firstLine="592"/>
              <w:jc w:val="center"/>
              <w:rPr>
                <w:rFonts w:ascii="新宋体" w:hAnsi="新宋体" w:eastAsia="新宋体" w:cs="新宋体"/>
                <w:color w:val="auto"/>
                <w:sz w:val="22"/>
                <w:szCs w:val="22"/>
                <w:highlight w:val="none"/>
              </w:rPr>
            </w:pPr>
          </w:p>
        </w:tc>
        <w:tc>
          <w:tcPr>
            <w:tcW w:w="752" w:type="dxa"/>
            <w:noWrap w:val="0"/>
            <w:vAlign w:val="center"/>
          </w:tcPr>
          <w:p>
            <w:pPr>
              <w:ind w:firstLine="592"/>
              <w:jc w:val="center"/>
              <w:rPr>
                <w:rFonts w:ascii="新宋体" w:hAnsi="新宋体" w:eastAsia="新宋体" w:cs="新宋体"/>
                <w:color w:val="auto"/>
                <w:sz w:val="22"/>
                <w:szCs w:val="22"/>
                <w:highlight w:val="none"/>
              </w:rPr>
            </w:pPr>
          </w:p>
        </w:tc>
        <w:tc>
          <w:tcPr>
            <w:tcW w:w="1069" w:type="dxa"/>
            <w:noWrap w:val="0"/>
            <w:vAlign w:val="center"/>
          </w:tcPr>
          <w:p>
            <w:pPr>
              <w:ind w:firstLine="592"/>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072" w:type="dxa"/>
            <w:tcBorders>
              <w:top w:val="single" w:color="auto" w:sz="4" w:space="0"/>
              <w:bottom w:val="single" w:color="auto" w:sz="4" w:space="0"/>
            </w:tcBorders>
            <w:noWrap w:val="0"/>
            <w:vAlign w:val="center"/>
          </w:tcPr>
          <w:p>
            <w:pPr>
              <w:ind w:firstLine="592"/>
              <w:jc w:val="center"/>
              <w:rPr>
                <w:rFonts w:ascii="新宋体" w:hAnsi="新宋体" w:eastAsia="新宋体" w:cs="新宋体"/>
                <w:color w:val="auto"/>
                <w:sz w:val="22"/>
                <w:szCs w:val="22"/>
                <w:highlight w:val="none"/>
              </w:rPr>
            </w:pPr>
          </w:p>
        </w:tc>
        <w:tc>
          <w:tcPr>
            <w:tcW w:w="1733" w:type="dxa"/>
            <w:tcBorders>
              <w:top w:val="single" w:color="auto" w:sz="4" w:space="0"/>
              <w:bottom w:val="single" w:color="auto" w:sz="4" w:space="0"/>
            </w:tcBorders>
            <w:noWrap w:val="0"/>
            <w:vAlign w:val="center"/>
          </w:tcPr>
          <w:p>
            <w:pPr>
              <w:ind w:firstLine="592"/>
              <w:jc w:val="center"/>
              <w:rPr>
                <w:rFonts w:ascii="新宋体" w:hAnsi="新宋体" w:eastAsia="新宋体" w:cs="新宋体"/>
                <w:color w:val="auto"/>
                <w:sz w:val="22"/>
                <w:szCs w:val="22"/>
                <w:highlight w:val="none"/>
              </w:rPr>
            </w:pPr>
          </w:p>
        </w:tc>
        <w:tc>
          <w:tcPr>
            <w:tcW w:w="1680" w:type="dxa"/>
            <w:noWrap w:val="0"/>
            <w:vAlign w:val="center"/>
          </w:tcPr>
          <w:p>
            <w:pPr>
              <w:ind w:firstLine="592"/>
              <w:jc w:val="center"/>
              <w:rPr>
                <w:rFonts w:ascii="新宋体" w:hAnsi="新宋体" w:eastAsia="新宋体" w:cs="新宋体"/>
                <w:color w:val="auto"/>
                <w:sz w:val="22"/>
                <w:szCs w:val="22"/>
                <w:highlight w:val="none"/>
              </w:rPr>
            </w:pPr>
          </w:p>
        </w:tc>
        <w:tc>
          <w:tcPr>
            <w:tcW w:w="780" w:type="dxa"/>
            <w:noWrap w:val="0"/>
            <w:vAlign w:val="center"/>
          </w:tcPr>
          <w:p>
            <w:pPr>
              <w:ind w:firstLine="592"/>
              <w:jc w:val="center"/>
              <w:rPr>
                <w:rFonts w:ascii="新宋体" w:hAnsi="新宋体" w:eastAsia="新宋体" w:cs="新宋体"/>
                <w:color w:val="auto"/>
                <w:sz w:val="22"/>
                <w:szCs w:val="22"/>
                <w:highlight w:val="none"/>
              </w:rPr>
            </w:pPr>
          </w:p>
        </w:tc>
        <w:tc>
          <w:tcPr>
            <w:tcW w:w="1181" w:type="dxa"/>
            <w:noWrap w:val="0"/>
            <w:vAlign w:val="center"/>
          </w:tcPr>
          <w:p>
            <w:pPr>
              <w:ind w:firstLine="592"/>
              <w:jc w:val="center"/>
              <w:rPr>
                <w:rFonts w:ascii="新宋体" w:hAnsi="新宋体" w:eastAsia="新宋体" w:cs="新宋体"/>
                <w:color w:val="auto"/>
                <w:sz w:val="22"/>
                <w:szCs w:val="22"/>
                <w:highlight w:val="none"/>
              </w:rPr>
            </w:pPr>
          </w:p>
        </w:tc>
        <w:tc>
          <w:tcPr>
            <w:tcW w:w="892" w:type="dxa"/>
            <w:noWrap w:val="0"/>
            <w:vAlign w:val="center"/>
          </w:tcPr>
          <w:p>
            <w:pPr>
              <w:ind w:firstLine="592"/>
              <w:jc w:val="center"/>
              <w:rPr>
                <w:rFonts w:ascii="新宋体" w:hAnsi="新宋体" w:eastAsia="新宋体" w:cs="新宋体"/>
                <w:color w:val="auto"/>
                <w:sz w:val="22"/>
                <w:szCs w:val="22"/>
                <w:highlight w:val="none"/>
              </w:rPr>
            </w:pPr>
          </w:p>
        </w:tc>
        <w:tc>
          <w:tcPr>
            <w:tcW w:w="892" w:type="dxa"/>
            <w:noWrap w:val="0"/>
            <w:vAlign w:val="center"/>
          </w:tcPr>
          <w:p>
            <w:pPr>
              <w:ind w:firstLine="592"/>
              <w:jc w:val="center"/>
              <w:rPr>
                <w:rFonts w:ascii="新宋体" w:hAnsi="新宋体" w:eastAsia="新宋体" w:cs="新宋体"/>
                <w:color w:val="auto"/>
                <w:sz w:val="22"/>
                <w:szCs w:val="22"/>
                <w:highlight w:val="none"/>
              </w:rPr>
            </w:pPr>
          </w:p>
        </w:tc>
        <w:tc>
          <w:tcPr>
            <w:tcW w:w="752" w:type="dxa"/>
            <w:noWrap w:val="0"/>
            <w:vAlign w:val="center"/>
          </w:tcPr>
          <w:p>
            <w:pPr>
              <w:ind w:firstLine="592"/>
              <w:jc w:val="center"/>
              <w:rPr>
                <w:rFonts w:ascii="新宋体" w:hAnsi="新宋体" w:eastAsia="新宋体" w:cs="新宋体"/>
                <w:color w:val="auto"/>
                <w:sz w:val="22"/>
                <w:szCs w:val="22"/>
                <w:highlight w:val="none"/>
              </w:rPr>
            </w:pPr>
          </w:p>
        </w:tc>
        <w:tc>
          <w:tcPr>
            <w:tcW w:w="1069" w:type="dxa"/>
            <w:noWrap w:val="0"/>
            <w:vAlign w:val="center"/>
          </w:tcPr>
          <w:p>
            <w:pPr>
              <w:ind w:firstLine="592"/>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072" w:type="dxa"/>
            <w:tcBorders>
              <w:top w:val="single" w:color="auto" w:sz="4" w:space="0"/>
              <w:bottom w:val="single" w:color="auto" w:sz="4" w:space="0"/>
            </w:tcBorders>
            <w:noWrap w:val="0"/>
            <w:vAlign w:val="center"/>
          </w:tcPr>
          <w:p>
            <w:pPr>
              <w:ind w:firstLine="592"/>
              <w:jc w:val="center"/>
              <w:rPr>
                <w:rFonts w:ascii="新宋体" w:hAnsi="新宋体" w:eastAsia="新宋体" w:cs="新宋体"/>
                <w:color w:val="auto"/>
                <w:sz w:val="22"/>
                <w:szCs w:val="22"/>
                <w:highlight w:val="none"/>
              </w:rPr>
            </w:pPr>
          </w:p>
        </w:tc>
        <w:tc>
          <w:tcPr>
            <w:tcW w:w="1733" w:type="dxa"/>
            <w:tcBorders>
              <w:top w:val="single" w:color="auto" w:sz="4" w:space="0"/>
              <w:bottom w:val="single" w:color="auto" w:sz="4" w:space="0"/>
            </w:tcBorders>
            <w:noWrap w:val="0"/>
            <w:vAlign w:val="center"/>
          </w:tcPr>
          <w:p>
            <w:pPr>
              <w:ind w:firstLine="592"/>
              <w:jc w:val="center"/>
              <w:rPr>
                <w:rFonts w:ascii="新宋体" w:hAnsi="新宋体" w:eastAsia="新宋体" w:cs="新宋体"/>
                <w:color w:val="auto"/>
                <w:sz w:val="22"/>
                <w:szCs w:val="22"/>
                <w:highlight w:val="none"/>
              </w:rPr>
            </w:pPr>
          </w:p>
        </w:tc>
        <w:tc>
          <w:tcPr>
            <w:tcW w:w="1680" w:type="dxa"/>
            <w:noWrap w:val="0"/>
            <w:vAlign w:val="center"/>
          </w:tcPr>
          <w:p>
            <w:pPr>
              <w:ind w:firstLine="592"/>
              <w:jc w:val="center"/>
              <w:rPr>
                <w:rFonts w:ascii="新宋体" w:hAnsi="新宋体" w:eastAsia="新宋体" w:cs="新宋体"/>
                <w:color w:val="auto"/>
                <w:sz w:val="22"/>
                <w:szCs w:val="22"/>
                <w:highlight w:val="none"/>
              </w:rPr>
            </w:pPr>
          </w:p>
        </w:tc>
        <w:tc>
          <w:tcPr>
            <w:tcW w:w="780" w:type="dxa"/>
            <w:noWrap w:val="0"/>
            <w:vAlign w:val="center"/>
          </w:tcPr>
          <w:p>
            <w:pPr>
              <w:ind w:firstLine="592"/>
              <w:jc w:val="center"/>
              <w:rPr>
                <w:rFonts w:ascii="新宋体" w:hAnsi="新宋体" w:eastAsia="新宋体" w:cs="新宋体"/>
                <w:color w:val="auto"/>
                <w:sz w:val="22"/>
                <w:szCs w:val="22"/>
                <w:highlight w:val="none"/>
              </w:rPr>
            </w:pPr>
          </w:p>
        </w:tc>
        <w:tc>
          <w:tcPr>
            <w:tcW w:w="1181" w:type="dxa"/>
            <w:noWrap w:val="0"/>
            <w:vAlign w:val="center"/>
          </w:tcPr>
          <w:p>
            <w:pPr>
              <w:ind w:firstLine="592"/>
              <w:jc w:val="center"/>
              <w:rPr>
                <w:rFonts w:ascii="新宋体" w:hAnsi="新宋体" w:eastAsia="新宋体" w:cs="新宋体"/>
                <w:color w:val="auto"/>
                <w:sz w:val="22"/>
                <w:szCs w:val="22"/>
                <w:highlight w:val="none"/>
              </w:rPr>
            </w:pPr>
          </w:p>
        </w:tc>
        <w:tc>
          <w:tcPr>
            <w:tcW w:w="892" w:type="dxa"/>
            <w:noWrap w:val="0"/>
            <w:vAlign w:val="center"/>
          </w:tcPr>
          <w:p>
            <w:pPr>
              <w:ind w:firstLine="592"/>
              <w:jc w:val="center"/>
              <w:rPr>
                <w:rFonts w:ascii="新宋体" w:hAnsi="新宋体" w:eastAsia="新宋体" w:cs="新宋体"/>
                <w:color w:val="auto"/>
                <w:sz w:val="22"/>
                <w:szCs w:val="22"/>
                <w:highlight w:val="none"/>
              </w:rPr>
            </w:pPr>
          </w:p>
        </w:tc>
        <w:tc>
          <w:tcPr>
            <w:tcW w:w="892" w:type="dxa"/>
            <w:noWrap w:val="0"/>
            <w:vAlign w:val="center"/>
          </w:tcPr>
          <w:p>
            <w:pPr>
              <w:ind w:firstLine="592"/>
              <w:jc w:val="center"/>
              <w:rPr>
                <w:rFonts w:ascii="新宋体" w:hAnsi="新宋体" w:eastAsia="新宋体" w:cs="新宋体"/>
                <w:color w:val="auto"/>
                <w:sz w:val="22"/>
                <w:szCs w:val="22"/>
                <w:highlight w:val="none"/>
              </w:rPr>
            </w:pPr>
          </w:p>
        </w:tc>
        <w:tc>
          <w:tcPr>
            <w:tcW w:w="752" w:type="dxa"/>
            <w:noWrap w:val="0"/>
            <w:vAlign w:val="center"/>
          </w:tcPr>
          <w:p>
            <w:pPr>
              <w:ind w:firstLine="592"/>
              <w:jc w:val="center"/>
              <w:rPr>
                <w:rFonts w:ascii="新宋体" w:hAnsi="新宋体" w:eastAsia="新宋体" w:cs="新宋体"/>
                <w:color w:val="auto"/>
                <w:sz w:val="22"/>
                <w:szCs w:val="22"/>
                <w:highlight w:val="none"/>
              </w:rPr>
            </w:pPr>
          </w:p>
        </w:tc>
        <w:tc>
          <w:tcPr>
            <w:tcW w:w="1069" w:type="dxa"/>
            <w:noWrap w:val="0"/>
            <w:vAlign w:val="center"/>
          </w:tcPr>
          <w:p>
            <w:pPr>
              <w:ind w:firstLine="592"/>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072" w:type="dxa"/>
            <w:tcBorders>
              <w:top w:val="single" w:color="auto" w:sz="4" w:space="0"/>
              <w:bottom w:val="single" w:color="auto" w:sz="4" w:space="0"/>
            </w:tcBorders>
            <w:noWrap w:val="0"/>
            <w:vAlign w:val="center"/>
          </w:tcPr>
          <w:p>
            <w:pPr>
              <w:ind w:firstLine="592"/>
              <w:jc w:val="center"/>
              <w:rPr>
                <w:rFonts w:ascii="新宋体" w:hAnsi="新宋体" w:eastAsia="新宋体" w:cs="新宋体"/>
                <w:color w:val="auto"/>
                <w:sz w:val="22"/>
                <w:szCs w:val="22"/>
                <w:highlight w:val="none"/>
              </w:rPr>
            </w:pPr>
          </w:p>
        </w:tc>
        <w:tc>
          <w:tcPr>
            <w:tcW w:w="1733" w:type="dxa"/>
            <w:tcBorders>
              <w:top w:val="single" w:color="auto" w:sz="4" w:space="0"/>
              <w:bottom w:val="single" w:color="auto" w:sz="4" w:space="0"/>
            </w:tcBorders>
            <w:noWrap w:val="0"/>
            <w:vAlign w:val="center"/>
          </w:tcPr>
          <w:p>
            <w:pPr>
              <w:ind w:firstLine="592"/>
              <w:jc w:val="center"/>
              <w:rPr>
                <w:rFonts w:ascii="新宋体" w:hAnsi="新宋体" w:eastAsia="新宋体" w:cs="新宋体"/>
                <w:color w:val="auto"/>
                <w:sz w:val="22"/>
                <w:szCs w:val="22"/>
                <w:highlight w:val="none"/>
              </w:rPr>
            </w:pPr>
          </w:p>
        </w:tc>
        <w:tc>
          <w:tcPr>
            <w:tcW w:w="1680" w:type="dxa"/>
            <w:noWrap w:val="0"/>
            <w:vAlign w:val="center"/>
          </w:tcPr>
          <w:p>
            <w:pPr>
              <w:ind w:firstLine="592"/>
              <w:jc w:val="center"/>
              <w:rPr>
                <w:rFonts w:ascii="新宋体" w:hAnsi="新宋体" w:eastAsia="新宋体" w:cs="新宋体"/>
                <w:color w:val="auto"/>
                <w:sz w:val="22"/>
                <w:szCs w:val="22"/>
                <w:highlight w:val="none"/>
              </w:rPr>
            </w:pPr>
          </w:p>
        </w:tc>
        <w:tc>
          <w:tcPr>
            <w:tcW w:w="780" w:type="dxa"/>
            <w:noWrap w:val="0"/>
            <w:vAlign w:val="center"/>
          </w:tcPr>
          <w:p>
            <w:pPr>
              <w:ind w:firstLine="592"/>
              <w:jc w:val="center"/>
              <w:rPr>
                <w:rFonts w:ascii="新宋体" w:hAnsi="新宋体" w:eastAsia="新宋体" w:cs="新宋体"/>
                <w:color w:val="auto"/>
                <w:sz w:val="22"/>
                <w:szCs w:val="22"/>
                <w:highlight w:val="none"/>
              </w:rPr>
            </w:pPr>
          </w:p>
        </w:tc>
        <w:tc>
          <w:tcPr>
            <w:tcW w:w="1181" w:type="dxa"/>
            <w:noWrap w:val="0"/>
            <w:vAlign w:val="center"/>
          </w:tcPr>
          <w:p>
            <w:pPr>
              <w:ind w:firstLine="592"/>
              <w:jc w:val="center"/>
              <w:rPr>
                <w:rFonts w:ascii="新宋体" w:hAnsi="新宋体" w:eastAsia="新宋体" w:cs="新宋体"/>
                <w:color w:val="auto"/>
                <w:sz w:val="22"/>
                <w:szCs w:val="22"/>
                <w:highlight w:val="none"/>
              </w:rPr>
            </w:pPr>
          </w:p>
        </w:tc>
        <w:tc>
          <w:tcPr>
            <w:tcW w:w="892" w:type="dxa"/>
            <w:noWrap w:val="0"/>
            <w:vAlign w:val="center"/>
          </w:tcPr>
          <w:p>
            <w:pPr>
              <w:ind w:firstLine="592"/>
              <w:jc w:val="center"/>
              <w:rPr>
                <w:rFonts w:ascii="新宋体" w:hAnsi="新宋体" w:eastAsia="新宋体" w:cs="新宋体"/>
                <w:color w:val="auto"/>
                <w:sz w:val="22"/>
                <w:szCs w:val="22"/>
                <w:highlight w:val="none"/>
              </w:rPr>
            </w:pPr>
          </w:p>
        </w:tc>
        <w:tc>
          <w:tcPr>
            <w:tcW w:w="892" w:type="dxa"/>
            <w:noWrap w:val="0"/>
            <w:vAlign w:val="center"/>
          </w:tcPr>
          <w:p>
            <w:pPr>
              <w:ind w:firstLine="592"/>
              <w:jc w:val="center"/>
              <w:rPr>
                <w:rFonts w:ascii="新宋体" w:hAnsi="新宋体" w:eastAsia="新宋体" w:cs="新宋体"/>
                <w:color w:val="auto"/>
                <w:sz w:val="22"/>
                <w:szCs w:val="22"/>
                <w:highlight w:val="none"/>
              </w:rPr>
            </w:pPr>
          </w:p>
        </w:tc>
        <w:tc>
          <w:tcPr>
            <w:tcW w:w="752" w:type="dxa"/>
            <w:noWrap w:val="0"/>
            <w:vAlign w:val="center"/>
          </w:tcPr>
          <w:p>
            <w:pPr>
              <w:ind w:firstLine="592"/>
              <w:jc w:val="center"/>
              <w:rPr>
                <w:rFonts w:ascii="新宋体" w:hAnsi="新宋体" w:eastAsia="新宋体" w:cs="新宋体"/>
                <w:color w:val="auto"/>
                <w:sz w:val="22"/>
                <w:szCs w:val="22"/>
                <w:highlight w:val="none"/>
              </w:rPr>
            </w:pPr>
          </w:p>
        </w:tc>
        <w:tc>
          <w:tcPr>
            <w:tcW w:w="1069" w:type="dxa"/>
            <w:noWrap w:val="0"/>
            <w:vAlign w:val="center"/>
          </w:tcPr>
          <w:p>
            <w:pPr>
              <w:ind w:firstLine="592"/>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072" w:type="dxa"/>
            <w:tcBorders>
              <w:top w:val="single" w:color="auto" w:sz="4" w:space="0"/>
              <w:bottom w:val="single" w:color="auto" w:sz="4" w:space="0"/>
            </w:tcBorders>
            <w:noWrap w:val="0"/>
            <w:vAlign w:val="center"/>
          </w:tcPr>
          <w:p>
            <w:pPr>
              <w:ind w:firstLine="592"/>
              <w:jc w:val="center"/>
              <w:rPr>
                <w:rFonts w:ascii="新宋体" w:hAnsi="新宋体" w:eastAsia="新宋体" w:cs="新宋体"/>
                <w:color w:val="auto"/>
                <w:sz w:val="22"/>
                <w:szCs w:val="22"/>
                <w:highlight w:val="none"/>
              </w:rPr>
            </w:pPr>
          </w:p>
        </w:tc>
        <w:tc>
          <w:tcPr>
            <w:tcW w:w="1733" w:type="dxa"/>
            <w:tcBorders>
              <w:top w:val="single" w:color="auto" w:sz="4" w:space="0"/>
              <w:bottom w:val="single" w:color="auto" w:sz="4" w:space="0"/>
            </w:tcBorders>
            <w:noWrap w:val="0"/>
            <w:vAlign w:val="center"/>
          </w:tcPr>
          <w:p>
            <w:pPr>
              <w:ind w:firstLine="592"/>
              <w:jc w:val="center"/>
              <w:rPr>
                <w:rFonts w:ascii="新宋体" w:hAnsi="新宋体" w:eastAsia="新宋体" w:cs="新宋体"/>
                <w:color w:val="auto"/>
                <w:sz w:val="22"/>
                <w:szCs w:val="22"/>
                <w:highlight w:val="none"/>
              </w:rPr>
            </w:pPr>
          </w:p>
        </w:tc>
        <w:tc>
          <w:tcPr>
            <w:tcW w:w="1680" w:type="dxa"/>
            <w:noWrap w:val="0"/>
            <w:vAlign w:val="center"/>
          </w:tcPr>
          <w:p>
            <w:pPr>
              <w:ind w:firstLine="592"/>
              <w:jc w:val="center"/>
              <w:rPr>
                <w:rFonts w:ascii="新宋体" w:hAnsi="新宋体" w:eastAsia="新宋体" w:cs="新宋体"/>
                <w:color w:val="auto"/>
                <w:sz w:val="22"/>
                <w:szCs w:val="22"/>
                <w:highlight w:val="none"/>
              </w:rPr>
            </w:pPr>
          </w:p>
        </w:tc>
        <w:tc>
          <w:tcPr>
            <w:tcW w:w="780" w:type="dxa"/>
            <w:noWrap w:val="0"/>
            <w:vAlign w:val="center"/>
          </w:tcPr>
          <w:p>
            <w:pPr>
              <w:ind w:firstLine="592"/>
              <w:jc w:val="center"/>
              <w:rPr>
                <w:rFonts w:ascii="新宋体" w:hAnsi="新宋体" w:eastAsia="新宋体" w:cs="新宋体"/>
                <w:color w:val="auto"/>
                <w:sz w:val="22"/>
                <w:szCs w:val="22"/>
                <w:highlight w:val="none"/>
              </w:rPr>
            </w:pPr>
          </w:p>
        </w:tc>
        <w:tc>
          <w:tcPr>
            <w:tcW w:w="1181" w:type="dxa"/>
            <w:noWrap w:val="0"/>
            <w:vAlign w:val="center"/>
          </w:tcPr>
          <w:p>
            <w:pPr>
              <w:ind w:firstLine="592"/>
              <w:jc w:val="center"/>
              <w:rPr>
                <w:rFonts w:ascii="新宋体" w:hAnsi="新宋体" w:eastAsia="新宋体" w:cs="新宋体"/>
                <w:color w:val="auto"/>
                <w:sz w:val="22"/>
                <w:szCs w:val="22"/>
                <w:highlight w:val="none"/>
              </w:rPr>
            </w:pPr>
          </w:p>
        </w:tc>
        <w:tc>
          <w:tcPr>
            <w:tcW w:w="892" w:type="dxa"/>
            <w:noWrap w:val="0"/>
            <w:vAlign w:val="center"/>
          </w:tcPr>
          <w:p>
            <w:pPr>
              <w:ind w:firstLine="592"/>
              <w:jc w:val="center"/>
              <w:rPr>
                <w:rFonts w:ascii="新宋体" w:hAnsi="新宋体" w:eastAsia="新宋体" w:cs="新宋体"/>
                <w:color w:val="auto"/>
                <w:sz w:val="22"/>
                <w:szCs w:val="22"/>
                <w:highlight w:val="none"/>
              </w:rPr>
            </w:pPr>
          </w:p>
        </w:tc>
        <w:tc>
          <w:tcPr>
            <w:tcW w:w="892" w:type="dxa"/>
            <w:noWrap w:val="0"/>
            <w:vAlign w:val="center"/>
          </w:tcPr>
          <w:p>
            <w:pPr>
              <w:ind w:firstLine="592"/>
              <w:jc w:val="center"/>
              <w:rPr>
                <w:rFonts w:ascii="新宋体" w:hAnsi="新宋体" w:eastAsia="新宋体" w:cs="新宋体"/>
                <w:color w:val="auto"/>
                <w:sz w:val="22"/>
                <w:szCs w:val="22"/>
                <w:highlight w:val="none"/>
              </w:rPr>
            </w:pPr>
          </w:p>
        </w:tc>
        <w:tc>
          <w:tcPr>
            <w:tcW w:w="752" w:type="dxa"/>
            <w:noWrap w:val="0"/>
            <w:vAlign w:val="center"/>
          </w:tcPr>
          <w:p>
            <w:pPr>
              <w:ind w:firstLine="592"/>
              <w:jc w:val="center"/>
              <w:rPr>
                <w:rFonts w:ascii="新宋体" w:hAnsi="新宋体" w:eastAsia="新宋体" w:cs="新宋体"/>
                <w:color w:val="auto"/>
                <w:sz w:val="22"/>
                <w:szCs w:val="22"/>
                <w:highlight w:val="none"/>
              </w:rPr>
            </w:pPr>
          </w:p>
        </w:tc>
        <w:tc>
          <w:tcPr>
            <w:tcW w:w="1069" w:type="dxa"/>
            <w:noWrap w:val="0"/>
            <w:vAlign w:val="center"/>
          </w:tcPr>
          <w:p>
            <w:pPr>
              <w:ind w:firstLine="592"/>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072" w:type="dxa"/>
            <w:tcBorders>
              <w:top w:val="single" w:color="auto" w:sz="4" w:space="0"/>
            </w:tcBorders>
            <w:noWrap w:val="0"/>
            <w:vAlign w:val="center"/>
          </w:tcPr>
          <w:p>
            <w:pPr>
              <w:ind w:firstLine="592"/>
              <w:jc w:val="center"/>
              <w:rPr>
                <w:rFonts w:ascii="新宋体" w:hAnsi="新宋体" w:eastAsia="新宋体" w:cs="新宋体"/>
                <w:color w:val="auto"/>
                <w:sz w:val="22"/>
                <w:szCs w:val="22"/>
                <w:highlight w:val="none"/>
              </w:rPr>
            </w:pPr>
          </w:p>
        </w:tc>
        <w:tc>
          <w:tcPr>
            <w:tcW w:w="1733" w:type="dxa"/>
            <w:tcBorders>
              <w:top w:val="single" w:color="auto" w:sz="4" w:space="0"/>
            </w:tcBorders>
            <w:noWrap w:val="0"/>
            <w:vAlign w:val="center"/>
          </w:tcPr>
          <w:p>
            <w:pPr>
              <w:ind w:firstLine="592"/>
              <w:jc w:val="center"/>
              <w:rPr>
                <w:rFonts w:ascii="新宋体" w:hAnsi="新宋体" w:eastAsia="新宋体" w:cs="新宋体"/>
                <w:color w:val="auto"/>
                <w:sz w:val="22"/>
                <w:szCs w:val="22"/>
                <w:highlight w:val="none"/>
              </w:rPr>
            </w:pPr>
          </w:p>
        </w:tc>
        <w:tc>
          <w:tcPr>
            <w:tcW w:w="1680" w:type="dxa"/>
            <w:noWrap w:val="0"/>
            <w:vAlign w:val="center"/>
          </w:tcPr>
          <w:p>
            <w:pPr>
              <w:ind w:firstLine="592"/>
              <w:jc w:val="center"/>
              <w:rPr>
                <w:rFonts w:ascii="新宋体" w:hAnsi="新宋体" w:eastAsia="新宋体" w:cs="新宋体"/>
                <w:color w:val="auto"/>
                <w:sz w:val="22"/>
                <w:szCs w:val="22"/>
                <w:highlight w:val="none"/>
              </w:rPr>
            </w:pPr>
          </w:p>
        </w:tc>
        <w:tc>
          <w:tcPr>
            <w:tcW w:w="780" w:type="dxa"/>
            <w:noWrap w:val="0"/>
            <w:vAlign w:val="center"/>
          </w:tcPr>
          <w:p>
            <w:pPr>
              <w:ind w:firstLine="592"/>
              <w:jc w:val="center"/>
              <w:rPr>
                <w:rFonts w:ascii="新宋体" w:hAnsi="新宋体" w:eastAsia="新宋体" w:cs="新宋体"/>
                <w:color w:val="auto"/>
                <w:sz w:val="22"/>
                <w:szCs w:val="22"/>
                <w:highlight w:val="none"/>
              </w:rPr>
            </w:pPr>
          </w:p>
        </w:tc>
        <w:tc>
          <w:tcPr>
            <w:tcW w:w="1181" w:type="dxa"/>
            <w:noWrap w:val="0"/>
            <w:vAlign w:val="center"/>
          </w:tcPr>
          <w:p>
            <w:pPr>
              <w:ind w:firstLine="592"/>
              <w:jc w:val="center"/>
              <w:rPr>
                <w:rFonts w:ascii="新宋体" w:hAnsi="新宋体" w:eastAsia="新宋体" w:cs="新宋体"/>
                <w:color w:val="auto"/>
                <w:sz w:val="22"/>
                <w:szCs w:val="22"/>
                <w:highlight w:val="none"/>
              </w:rPr>
            </w:pPr>
          </w:p>
        </w:tc>
        <w:tc>
          <w:tcPr>
            <w:tcW w:w="892" w:type="dxa"/>
            <w:noWrap w:val="0"/>
            <w:vAlign w:val="center"/>
          </w:tcPr>
          <w:p>
            <w:pPr>
              <w:ind w:firstLine="592"/>
              <w:jc w:val="center"/>
              <w:rPr>
                <w:rFonts w:ascii="新宋体" w:hAnsi="新宋体" w:eastAsia="新宋体" w:cs="新宋体"/>
                <w:color w:val="auto"/>
                <w:sz w:val="22"/>
                <w:szCs w:val="22"/>
                <w:highlight w:val="none"/>
              </w:rPr>
            </w:pPr>
          </w:p>
        </w:tc>
        <w:tc>
          <w:tcPr>
            <w:tcW w:w="892" w:type="dxa"/>
            <w:noWrap w:val="0"/>
            <w:vAlign w:val="center"/>
          </w:tcPr>
          <w:p>
            <w:pPr>
              <w:ind w:firstLine="592"/>
              <w:jc w:val="center"/>
              <w:rPr>
                <w:rFonts w:ascii="新宋体" w:hAnsi="新宋体" w:eastAsia="新宋体" w:cs="新宋体"/>
                <w:color w:val="auto"/>
                <w:sz w:val="22"/>
                <w:szCs w:val="22"/>
                <w:highlight w:val="none"/>
              </w:rPr>
            </w:pPr>
          </w:p>
        </w:tc>
        <w:tc>
          <w:tcPr>
            <w:tcW w:w="752" w:type="dxa"/>
            <w:noWrap w:val="0"/>
            <w:vAlign w:val="center"/>
          </w:tcPr>
          <w:p>
            <w:pPr>
              <w:ind w:firstLine="592"/>
              <w:jc w:val="center"/>
              <w:rPr>
                <w:rFonts w:ascii="新宋体" w:hAnsi="新宋体" w:eastAsia="新宋体" w:cs="新宋体"/>
                <w:color w:val="auto"/>
                <w:sz w:val="22"/>
                <w:szCs w:val="22"/>
                <w:highlight w:val="none"/>
              </w:rPr>
            </w:pPr>
          </w:p>
        </w:tc>
        <w:tc>
          <w:tcPr>
            <w:tcW w:w="1069" w:type="dxa"/>
            <w:noWrap w:val="0"/>
            <w:vAlign w:val="center"/>
          </w:tcPr>
          <w:p>
            <w:pPr>
              <w:ind w:firstLine="592"/>
              <w:jc w:val="center"/>
              <w:rPr>
                <w:rFonts w:ascii="新宋体" w:hAnsi="新宋体" w:eastAsia="新宋体" w:cs="新宋体"/>
                <w:color w:val="auto"/>
                <w:sz w:val="22"/>
                <w:szCs w:val="22"/>
                <w:highlight w:val="none"/>
              </w:rPr>
            </w:pPr>
          </w:p>
        </w:tc>
      </w:tr>
    </w:tbl>
    <w:p>
      <w:pPr>
        <w:pStyle w:val="9"/>
        <w:spacing w:line="400" w:lineRule="exact"/>
        <w:ind w:firstLine="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注：1、相关维修配件按质量保证期期满后</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年内的不变价。（时间由各供应商承诺）</w:t>
      </w:r>
    </w:p>
    <w:p>
      <w:pPr>
        <w:pStyle w:val="9"/>
        <w:spacing w:line="400" w:lineRule="exact"/>
        <w:ind w:firstLine="433" w:firstLineChars="196"/>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2、本表中所列价格不计入投标总价，仅供招标人选购时用。</w:t>
      </w:r>
    </w:p>
    <w:p>
      <w:pPr>
        <w:pStyle w:val="9"/>
        <w:spacing w:line="400" w:lineRule="exact"/>
        <w:ind w:firstLine="433" w:firstLineChars="196"/>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3、此表仅提供了表格形式，投标人应根据需要准备足够数量的表格来填写。</w:t>
      </w:r>
    </w:p>
    <w:p>
      <w:pPr>
        <w:spacing w:line="400" w:lineRule="exact"/>
        <w:ind w:firstLine="4620" w:firstLineChars="2100"/>
        <w:rPr>
          <w:rFonts w:ascii="新宋体" w:hAnsi="新宋体" w:eastAsia="新宋体"/>
          <w:color w:val="auto"/>
          <w:sz w:val="22"/>
          <w:szCs w:val="22"/>
          <w:highlight w:val="none"/>
        </w:rPr>
      </w:pPr>
    </w:p>
    <w:p>
      <w:pPr>
        <w:spacing w:line="400" w:lineRule="exact"/>
        <w:ind w:firstLine="5280" w:firstLineChars="24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投标人全称（盖章）：</w:t>
      </w:r>
    </w:p>
    <w:p>
      <w:pPr>
        <w:spacing w:line="400" w:lineRule="exact"/>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                                                投标人代表（签字）：</w:t>
      </w:r>
    </w:p>
    <w:p>
      <w:pPr>
        <w:spacing w:line="380" w:lineRule="exact"/>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                                                日  期：</w:t>
      </w:r>
    </w:p>
    <w:p>
      <w:pPr>
        <w:spacing w:line="460" w:lineRule="exact"/>
        <w:ind w:firstLine="4400" w:firstLineChars="2000"/>
        <w:rPr>
          <w:rFonts w:ascii="新宋体" w:hAnsi="新宋体" w:eastAsia="新宋体"/>
          <w:color w:val="auto"/>
          <w:sz w:val="22"/>
          <w:szCs w:val="22"/>
          <w:highlight w:val="none"/>
        </w:rPr>
      </w:pPr>
    </w:p>
    <w:p>
      <w:pPr>
        <w:ind w:left="143" w:leftChars="68"/>
        <w:rPr>
          <w:rFonts w:ascii="新宋体" w:hAnsi="新宋体" w:eastAsia="新宋体"/>
          <w:b/>
          <w:bCs/>
          <w:color w:val="auto"/>
          <w:sz w:val="22"/>
          <w:szCs w:val="22"/>
          <w:highlight w:val="none"/>
        </w:rPr>
      </w:pPr>
    </w:p>
    <w:p>
      <w:pPr>
        <w:pStyle w:val="9"/>
        <w:rPr>
          <w:rFonts w:ascii="新宋体" w:hAnsi="新宋体" w:eastAsia="新宋体"/>
          <w:bCs/>
          <w:color w:val="auto"/>
          <w:sz w:val="22"/>
          <w:szCs w:val="22"/>
          <w:highlight w:val="none"/>
        </w:rPr>
      </w:pPr>
    </w:p>
    <w:p>
      <w:pPr>
        <w:rPr>
          <w:rFonts w:ascii="新宋体" w:hAnsi="新宋体" w:eastAsia="新宋体"/>
          <w:b/>
          <w:bCs/>
          <w:color w:val="auto"/>
          <w:sz w:val="22"/>
          <w:szCs w:val="22"/>
          <w:highlight w:val="none"/>
        </w:rPr>
      </w:pPr>
    </w:p>
    <w:p>
      <w:pPr>
        <w:pStyle w:val="9"/>
        <w:rPr>
          <w:color w:val="auto"/>
          <w:highlight w:val="none"/>
        </w:rPr>
      </w:pPr>
    </w:p>
    <w:p>
      <w:pPr>
        <w:spacing w:line="460" w:lineRule="exact"/>
        <w:jc w:val="center"/>
        <w:outlineLvl w:val="4"/>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（4）投标人情况</w:t>
      </w:r>
    </w:p>
    <w:p>
      <w:pPr>
        <w:autoSpaceDE w:val="0"/>
        <w:autoSpaceDN w:val="0"/>
        <w:ind w:right="893" w:firstLine="418"/>
        <w:textAlignment w:val="bottom"/>
        <w:rPr>
          <w:rFonts w:ascii="新宋体" w:hAnsi="新宋体" w:eastAsia="新宋体"/>
          <w:color w:val="auto"/>
          <w:highlight w:val="none"/>
        </w:rPr>
      </w:pPr>
      <w:r>
        <w:rPr>
          <w:rFonts w:hint="eastAsia" w:ascii="新宋体" w:hAnsi="新宋体" w:eastAsia="新宋体"/>
          <w:b/>
          <w:color w:val="auto"/>
          <w:sz w:val="22"/>
          <w:highlight w:val="none"/>
        </w:rPr>
        <w:t>项目名称：                                           项目编号：</w:t>
      </w:r>
      <w:r>
        <w:rPr>
          <w:rFonts w:hint="eastAsia" w:ascii="新宋体" w:hAnsi="新宋体" w:eastAsia="新宋体"/>
          <w:color w:val="auto"/>
          <w:highlight w:val="none"/>
        </w:rPr>
        <w:t xml:space="preserve"> </w:t>
      </w:r>
    </w:p>
    <w:tbl>
      <w:tblPr>
        <w:tblStyle w:val="52"/>
        <w:tblW w:w="9181"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1" w:hRule="atLeast"/>
        </w:trPr>
        <w:tc>
          <w:tcPr>
            <w:tcW w:w="9181" w:type="dxa"/>
            <w:noWrap w:val="0"/>
            <w:vAlign w:val="center"/>
          </w:tcPr>
          <w:p>
            <w:pPr>
              <w:pStyle w:val="280"/>
              <w:keepNext w:val="0"/>
              <w:spacing w:after="0"/>
              <w:rPr>
                <w:rFonts w:ascii="新宋体" w:hAnsi="新宋体" w:eastAsia="新宋体"/>
                <w:color w:val="auto"/>
                <w:highlight w:val="none"/>
              </w:rPr>
            </w:pPr>
          </w:p>
        </w:tc>
      </w:tr>
    </w:tbl>
    <w:p>
      <w:pPr>
        <w:rPr>
          <w:rFonts w:ascii="新宋体" w:hAnsi="新宋体" w:eastAsia="新宋体"/>
          <w:color w:val="auto"/>
          <w:sz w:val="22"/>
          <w:szCs w:val="22"/>
          <w:highlight w:val="none"/>
          <w:lang w:val="zh-CN"/>
        </w:rPr>
      </w:pPr>
      <w:r>
        <w:rPr>
          <w:rFonts w:hint="eastAsia" w:ascii="新宋体" w:hAnsi="新宋体" w:eastAsia="新宋体"/>
          <w:color w:val="auto"/>
          <w:sz w:val="28"/>
          <w:highlight w:val="none"/>
        </w:rPr>
        <w:t xml:space="preserve">  </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投标人全称（盖章）：</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投标人代表（签字）：</w:t>
      </w:r>
    </w:p>
    <w:p>
      <w:pPr>
        <w:spacing w:line="380" w:lineRule="exact"/>
        <w:ind w:firstLine="4400" w:firstLineChars="20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日  期：</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  </w:t>
      </w:r>
    </w:p>
    <w:p>
      <w:pPr>
        <w:spacing w:line="380" w:lineRule="exact"/>
        <w:ind w:firstLine="4400" w:firstLineChars="2000"/>
        <w:rPr>
          <w:rFonts w:ascii="新宋体" w:hAnsi="新宋体" w:eastAsia="新宋体"/>
          <w:color w:val="auto"/>
          <w:sz w:val="22"/>
          <w:szCs w:val="22"/>
          <w:highlight w:val="none"/>
        </w:rPr>
      </w:pPr>
    </w:p>
    <w:p>
      <w:pPr>
        <w:spacing w:line="380" w:lineRule="exact"/>
        <w:ind w:firstLine="4400" w:firstLineChars="2000"/>
        <w:rPr>
          <w:rFonts w:ascii="新宋体" w:hAnsi="新宋体" w:eastAsia="新宋体"/>
          <w:color w:val="auto"/>
          <w:sz w:val="22"/>
          <w:szCs w:val="22"/>
          <w:highlight w:val="none"/>
        </w:rPr>
      </w:pPr>
    </w:p>
    <w:p>
      <w:pPr>
        <w:spacing w:line="380" w:lineRule="exact"/>
        <w:rPr>
          <w:rFonts w:ascii="新宋体" w:hAnsi="新宋体" w:eastAsia="新宋体"/>
          <w:b/>
          <w:bCs/>
          <w:color w:val="auto"/>
          <w:sz w:val="22"/>
          <w:szCs w:val="22"/>
          <w:highlight w:val="none"/>
        </w:rPr>
      </w:pPr>
    </w:p>
    <w:p>
      <w:pPr>
        <w:spacing w:line="460" w:lineRule="exact"/>
        <w:jc w:val="center"/>
        <w:outlineLvl w:val="4"/>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（5）设备配置选型情况</w:t>
      </w:r>
    </w:p>
    <w:p>
      <w:pPr>
        <w:autoSpaceDE w:val="0"/>
        <w:autoSpaceDN w:val="0"/>
        <w:ind w:right="893" w:firstLine="418"/>
        <w:textAlignment w:val="bottom"/>
        <w:rPr>
          <w:rFonts w:ascii="新宋体" w:hAnsi="新宋体" w:eastAsia="新宋体"/>
          <w:color w:val="auto"/>
          <w:highlight w:val="none"/>
        </w:rPr>
      </w:pPr>
      <w:r>
        <w:rPr>
          <w:rFonts w:hint="eastAsia" w:ascii="新宋体" w:hAnsi="新宋体" w:eastAsia="新宋体"/>
          <w:b/>
          <w:color w:val="auto"/>
          <w:sz w:val="22"/>
          <w:highlight w:val="none"/>
        </w:rPr>
        <w:t>项目名称：                                           项目编号：</w:t>
      </w:r>
      <w:r>
        <w:rPr>
          <w:rFonts w:hint="eastAsia" w:ascii="新宋体" w:hAnsi="新宋体" w:eastAsia="新宋体"/>
          <w:color w:val="auto"/>
          <w:highlight w:val="none"/>
        </w:rPr>
        <w:t xml:space="preserve"> </w:t>
      </w:r>
    </w:p>
    <w:tbl>
      <w:tblPr>
        <w:tblStyle w:val="52"/>
        <w:tblW w:w="9181"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1" w:hRule="atLeast"/>
        </w:trPr>
        <w:tc>
          <w:tcPr>
            <w:tcW w:w="9181" w:type="dxa"/>
            <w:noWrap w:val="0"/>
            <w:vAlign w:val="center"/>
          </w:tcPr>
          <w:p>
            <w:pPr>
              <w:pStyle w:val="280"/>
              <w:keepNext w:val="0"/>
              <w:spacing w:after="0"/>
              <w:rPr>
                <w:rFonts w:ascii="新宋体" w:hAnsi="新宋体" w:eastAsia="新宋体"/>
                <w:color w:val="auto"/>
                <w:highlight w:val="none"/>
              </w:rPr>
            </w:pPr>
          </w:p>
        </w:tc>
      </w:tr>
    </w:tbl>
    <w:p>
      <w:pPr>
        <w:rPr>
          <w:rFonts w:ascii="新宋体" w:hAnsi="新宋体" w:eastAsia="新宋体"/>
          <w:color w:val="auto"/>
          <w:sz w:val="22"/>
          <w:szCs w:val="22"/>
          <w:highlight w:val="none"/>
          <w:lang w:val="zh-CN"/>
        </w:rPr>
      </w:pPr>
      <w:r>
        <w:rPr>
          <w:rFonts w:hint="eastAsia" w:ascii="新宋体" w:hAnsi="新宋体" w:eastAsia="新宋体"/>
          <w:color w:val="auto"/>
          <w:sz w:val="28"/>
          <w:highlight w:val="none"/>
        </w:rPr>
        <w:t xml:space="preserve">  </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投标人全称（盖章）：</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投标人代表（签字）：</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日  期： </w:t>
      </w:r>
    </w:p>
    <w:p>
      <w:pPr>
        <w:spacing w:line="380" w:lineRule="exact"/>
        <w:ind w:firstLine="4400" w:firstLineChars="2000"/>
        <w:rPr>
          <w:rFonts w:ascii="新宋体" w:hAnsi="新宋体" w:eastAsia="新宋体"/>
          <w:color w:val="auto"/>
          <w:sz w:val="22"/>
          <w:szCs w:val="22"/>
          <w:highlight w:val="none"/>
        </w:rPr>
      </w:pPr>
    </w:p>
    <w:p>
      <w:pPr>
        <w:spacing w:line="380" w:lineRule="exact"/>
        <w:ind w:firstLine="4400" w:firstLineChars="2000"/>
        <w:rPr>
          <w:rFonts w:ascii="新宋体" w:hAnsi="新宋体" w:eastAsia="新宋体"/>
          <w:color w:val="auto"/>
          <w:sz w:val="22"/>
          <w:szCs w:val="22"/>
          <w:highlight w:val="none"/>
        </w:rPr>
      </w:pPr>
    </w:p>
    <w:p>
      <w:pPr>
        <w:spacing w:line="380" w:lineRule="exact"/>
        <w:ind w:firstLine="4400" w:firstLineChars="2000"/>
        <w:rPr>
          <w:rFonts w:ascii="新宋体" w:hAnsi="新宋体" w:eastAsia="新宋体"/>
          <w:color w:val="auto"/>
          <w:sz w:val="22"/>
          <w:szCs w:val="22"/>
          <w:highlight w:val="none"/>
        </w:rPr>
      </w:pPr>
    </w:p>
    <w:p>
      <w:pPr>
        <w:ind w:left="147" w:leftChars="70"/>
        <w:rPr>
          <w:rFonts w:ascii="新宋体" w:hAnsi="新宋体" w:eastAsia="新宋体"/>
          <w:b/>
          <w:color w:val="auto"/>
          <w:sz w:val="28"/>
          <w:szCs w:val="28"/>
          <w:highlight w:val="none"/>
        </w:rPr>
      </w:pPr>
    </w:p>
    <w:p>
      <w:pPr>
        <w:spacing w:line="460" w:lineRule="exact"/>
        <w:jc w:val="center"/>
        <w:outlineLvl w:val="4"/>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（6）投标产品情况</w:t>
      </w:r>
    </w:p>
    <w:p>
      <w:pPr>
        <w:autoSpaceDE w:val="0"/>
        <w:autoSpaceDN w:val="0"/>
        <w:ind w:right="893" w:firstLine="418"/>
        <w:textAlignment w:val="bottom"/>
        <w:rPr>
          <w:rFonts w:ascii="新宋体" w:hAnsi="新宋体" w:eastAsia="新宋体"/>
          <w:color w:val="auto"/>
          <w:highlight w:val="none"/>
        </w:rPr>
      </w:pPr>
      <w:r>
        <w:rPr>
          <w:rFonts w:hint="eastAsia" w:ascii="新宋体" w:hAnsi="新宋体" w:eastAsia="新宋体"/>
          <w:b/>
          <w:color w:val="auto"/>
          <w:sz w:val="22"/>
          <w:highlight w:val="none"/>
        </w:rPr>
        <w:t>项目名称：                                           项目编号：</w:t>
      </w:r>
      <w:r>
        <w:rPr>
          <w:rFonts w:hint="eastAsia" w:ascii="新宋体" w:hAnsi="新宋体" w:eastAsia="新宋体"/>
          <w:color w:val="auto"/>
          <w:highlight w:val="none"/>
        </w:rPr>
        <w:t xml:space="preserve"> </w:t>
      </w:r>
    </w:p>
    <w:tbl>
      <w:tblPr>
        <w:tblStyle w:val="52"/>
        <w:tblW w:w="9181"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1" w:hRule="atLeast"/>
        </w:trPr>
        <w:tc>
          <w:tcPr>
            <w:tcW w:w="9181" w:type="dxa"/>
            <w:noWrap w:val="0"/>
            <w:vAlign w:val="center"/>
          </w:tcPr>
          <w:p>
            <w:pPr>
              <w:pStyle w:val="280"/>
              <w:keepNext w:val="0"/>
              <w:spacing w:after="0"/>
              <w:rPr>
                <w:rFonts w:ascii="新宋体" w:hAnsi="新宋体" w:eastAsia="新宋体"/>
                <w:color w:val="auto"/>
                <w:highlight w:val="none"/>
              </w:rPr>
            </w:pPr>
          </w:p>
        </w:tc>
      </w:tr>
    </w:tbl>
    <w:p>
      <w:pPr>
        <w:rPr>
          <w:rFonts w:ascii="新宋体" w:hAnsi="新宋体" w:eastAsia="新宋体"/>
          <w:color w:val="auto"/>
          <w:sz w:val="22"/>
          <w:szCs w:val="22"/>
          <w:highlight w:val="none"/>
          <w:lang w:val="zh-CN"/>
        </w:rPr>
      </w:pPr>
      <w:r>
        <w:rPr>
          <w:rFonts w:hint="eastAsia" w:ascii="新宋体" w:hAnsi="新宋体" w:eastAsia="新宋体"/>
          <w:color w:val="auto"/>
          <w:sz w:val="28"/>
          <w:highlight w:val="none"/>
        </w:rPr>
        <w:t xml:space="preserve">  </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投标人全称（盖章）：</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投标人代表（签字）：</w:t>
      </w:r>
    </w:p>
    <w:p>
      <w:pPr>
        <w:spacing w:line="380" w:lineRule="exact"/>
        <w:ind w:firstLine="4400" w:firstLineChars="20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日  期：</w:t>
      </w:r>
    </w:p>
    <w:p>
      <w:pPr>
        <w:pStyle w:val="9"/>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pStyle w:val="9"/>
        <w:rPr>
          <w:rFonts w:hint="eastAsia" w:ascii="新宋体" w:hAnsi="新宋体" w:eastAsia="新宋体"/>
          <w:color w:val="auto"/>
          <w:sz w:val="22"/>
          <w:szCs w:val="22"/>
          <w:highlight w:val="none"/>
        </w:rPr>
      </w:pPr>
    </w:p>
    <w:p>
      <w:pPr>
        <w:rPr>
          <w:color w:val="auto"/>
          <w:highlight w:val="none"/>
        </w:rPr>
      </w:pPr>
    </w:p>
    <w:p>
      <w:pPr>
        <w:spacing w:line="380" w:lineRule="exact"/>
        <w:ind w:firstLine="4400" w:firstLineChars="2000"/>
        <w:rPr>
          <w:rFonts w:ascii="新宋体" w:hAnsi="新宋体" w:eastAsia="新宋体"/>
          <w:color w:val="auto"/>
          <w:sz w:val="22"/>
          <w:szCs w:val="22"/>
          <w:highlight w:val="none"/>
        </w:rPr>
      </w:pPr>
    </w:p>
    <w:p>
      <w:pPr>
        <w:spacing w:line="460" w:lineRule="exact"/>
        <w:jc w:val="center"/>
        <w:outlineLvl w:val="4"/>
        <w:rPr>
          <w:rFonts w:hint="eastAsia" w:ascii="新宋体" w:hAnsi="新宋体" w:eastAsia="新宋体"/>
          <w:b/>
          <w:color w:val="auto"/>
          <w:sz w:val="22"/>
          <w:szCs w:val="22"/>
          <w:highlight w:val="none"/>
        </w:rPr>
      </w:pPr>
      <w:r>
        <w:rPr>
          <w:rFonts w:hint="eastAsia" w:ascii="新宋体" w:hAnsi="新宋体" w:eastAsia="新宋体" w:cs="新宋体"/>
          <w:b/>
          <w:bCs/>
          <w:color w:val="auto"/>
          <w:sz w:val="28"/>
          <w:szCs w:val="28"/>
          <w:highlight w:val="none"/>
        </w:rPr>
        <w:t>（7）技术方案</w:t>
      </w:r>
    </w:p>
    <w:p>
      <w:pPr>
        <w:autoSpaceDE w:val="0"/>
        <w:autoSpaceDN w:val="0"/>
        <w:ind w:right="893" w:firstLine="418"/>
        <w:textAlignment w:val="bottom"/>
        <w:rPr>
          <w:rFonts w:ascii="新宋体" w:hAnsi="新宋体" w:eastAsia="新宋体"/>
          <w:color w:val="auto"/>
          <w:highlight w:val="none"/>
        </w:rPr>
      </w:pPr>
      <w:r>
        <w:rPr>
          <w:rFonts w:hint="eastAsia" w:ascii="新宋体" w:hAnsi="新宋体" w:eastAsia="新宋体"/>
          <w:b/>
          <w:color w:val="auto"/>
          <w:sz w:val="22"/>
          <w:highlight w:val="none"/>
        </w:rPr>
        <w:t>项目名称：                                           项目编号：</w:t>
      </w:r>
      <w:r>
        <w:rPr>
          <w:rFonts w:hint="eastAsia" w:ascii="新宋体" w:hAnsi="新宋体" w:eastAsia="新宋体"/>
          <w:color w:val="auto"/>
          <w:highlight w:val="none"/>
        </w:rPr>
        <w:t xml:space="preserve"> </w:t>
      </w:r>
    </w:p>
    <w:tbl>
      <w:tblPr>
        <w:tblStyle w:val="52"/>
        <w:tblW w:w="9181"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1" w:hRule="atLeast"/>
        </w:trPr>
        <w:tc>
          <w:tcPr>
            <w:tcW w:w="9181" w:type="dxa"/>
            <w:noWrap w:val="0"/>
            <w:vAlign w:val="center"/>
          </w:tcPr>
          <w:p>
            <w:pPr>
              <w:pStyle w:val="280"/>
              <w:keepNext w:val="0"/>
              <w:spacing w:after="0"/>
              <w:rPr>
                <w:rFonts w:ascii="新宋体" w:hAnsi="新宋体" w:eastAsia="新宋体"/>
                <w:color w:val="auto"/>
                <w:highlight w:val="none"/>
              </w:rPr>
            </w:pPr>
          </w:p>
        </w:tc>
      </w:tr>
    </w:tbl>
    <w:p>
      <w:pPr>
        <w:rPr>
          <w:rFonts w:ascii="新宋体" w:hAnsi="新宋体" w:eastAsia="新宋体"/>
          <w:color w:val="auto"/>
          <w:sz w:val="22"/>
          <w:szCs w:val="22"/>
          <w:highlight w:val="none"/>
          <w:lang w:val="zh-CN"/>
        </w:rPr>
      </w:pPr>
      <w:r>
        <w:rPr>
          <w:rFonts w:hint="eastAsia" w:ascii="新宋体" w:hAnsi="新宋体" w:eastAsia="新宋体"/>
          <w:color w:val="auto"/>
          <w:sz w:val="28"/>
          <w:highlight w:val="none"/>
        </w:rPr>
        <w:t xml:space="preserve">  </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投标人全称（盖章）：</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投标人代表（签字）：</w:t>
      </w:r>
    </w:p>
    <w:p>
      <w:pPr>
        <w:spacing w:line="380" w:lineRule="exact"/>
        <w:ind w:firstLine="4400" w:firstLineChars="20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日  期：</w:t>
      </w:r>
    </w:p>
    <w:p>
      <w:pPr>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rPr>
          <w:rFonts w:hint="eastAsia"/>
          <w:color w:val="auto"/>
          <w:highlight w:val="none"/>
        </w:rPr>
      </w:pPr>
    </w:p>
    <w:p>
      <w:pPr>
        <w:spacing w:line="380" w:lineRule="exact"/>
        <w:ind w:firstLine="4400" w:firstLineChars="2000"/>
        <w:rPr>
          <w:rFonts w:hint="eastAsia" w:ascii="新宋体" w:hAnsi="新宋体" w:eastAsia="新宋体"/>
          <w:color w:val="auto"/>
          <w:sz w:val="22"/>
          <w:szCs w:val="22"/>
          <w:highlight w:val="none"/>
        </w:rPr>
      </w:pPr>
    </w:p>
    <w:p>
      <w:pPr>
        <w:spacing w:line="460" w:lineRule="exact"/>
        <w:jc w:val="center"/>
        <w:outlineLvl w:val="4"/>
        <w:rPr>
          <w:rFonts w:hint="eastAsia" w:ascii="新宋体" w:hAnsi="新宋体" w:eastAsia="新宋体"/>
          <w:b/>
          <w:color w:val="auto"/>
          <w:sz w:val="22"/>
          <w:szCs w:val="22"/>
          <w:highlight w:val="none"/>
        </w:rPr>
      </w:pPr>
      <w:r>
        <w:rPr>
          <w:rFonts w:hint="eastAsia" w:ascii="新宋体" w:hAnsi="新宋体" w:eastAsia="新宋体" w:cs="新宋体"/>
          <w:b/>
          <w:bCs/>
          <w:color w:val="auto"/>
          <w:sz w:val="28"/>
          <w:szCs w:val="28"/>
          <w:highlight w:val="none"/>
        </w:rPr>
        <w:t>（8）实施方案</w:t>
      </w:r>
    </w:p>
    <w:p>
      <w:pPr>
        <w:autoSpaceDE w:val="0"/>
        <w:autoSpaceDN w:val="0"/>
        <w:ind w:right="893" w:firstLine="418"/>
        <w:textAlignment w:val="bottom"/>
        <w:rPr>
          <w:rFonts w:ascii="新宋体" w:hAnsi="新宋体" w:eastAsia="新宋体"/>
          <w:color w:val="auto"/>
          <w:highlight w:val="none"/>
        </w:rPr>
      </w:pPr>
      <w:r>
        <w:rPr>
          <w:rFonts w:hint="eastAsia" w:ascii="新宋体" w:hAnsi="新宋体" w:eastAsia="新宋体"/>
          <w:b/>
          <w:color w:val="auto"/>
          <w:sz w:val="22"/>
          <w:highlight w:val="none"/>
        </w:rPr>
        <w:t>项目名称：                                           项目编号：</w:t>
      </w:r>
      <w:r>
        <w:rPr>
          <w:rFonts w:hint="eastAsia" w:ascii="新宋体" w:hAnsi="新宋体" w:eastAsia="新宋体"/>
          <w:color w:val="auto"/>
          <w:highlight w:val="none"/>
        </w:rPr>
        <w:t xml:space="preserve"> </w:t>
      </w:r>
    </w:p>
    <w:tbl>
      <w:tblPr>
        <w:tblStyle w:val="52"/>
        <w:tblW w:w="9181"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1" w:hRule="atLeast"/>
        </w:trPr>
        <w:tc>
          <w:tcPr>
            <w:tcW w:w="9181" w:type="dxa"/>
            <w:noWrap w:val="0"/>
            <w:vAlign w:val="center"/>
          </w:tcPr>
          <w:p>
            <w:pPr>
              <w:pStyle w:val="280"/>
              <w:keepNext w:val="0"/>
              <w:spacing w:after="0"/>
              <w:rPr>
                <w:rFonts w:ascii="新宋体" w:hAnsi="新宋体" w:eastAsia="新宋体"/>
                <w:color w:val="auto"/>
                <w:highlight w:val="none"/>
              </w:rPr>
            </w:pPr>
          </w:p>
        </w:tc>
      </w:tr>
    </w:tbl>
    <w:p>
      <w:pPr>
        <w:rPr>
          <w:rFonts w:ascii="新宋体" w:hAnsi="新宋体" w:eastAsia="新宋体"/>
          <w:color w:val="auto"/>
          <w:sz w:val="22"/>
          <w:szCs w:val="22"/>
          <w:highlight w:val="none"/>
          <w:lang w:val="zh-CN"/>
        </w:rPr>
      </w:pPr>
      <w:r>
        <w:rPr>
          <w:rFonts w:hint="eastAsia" w:ascii="新宋体" w:hAnsi="新宋体" w:eastAsia="新宋体"/>
          <w:color w:val="auto"/>
          <w:sz w:val="28"/>
          <w:highlight w:val="none"/>
        </w:rPr>
        <w:t xml:space="preserve">  </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投标人全称（盖章）：</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投标人代表（签字）：</w:t>
      </w:r>
    </w:p>
    <w:p>
      <w:pPr>
        <w:spacing w:line="380" w:lineRule="exact"/>
        <w:ind w:firstLine="4400" w:firstLineChars="20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日  期：</w:t>
      </w:r>
    </w:p>
    <w:p>
      <w:pPr>
        <w:spacing w:line="380" w:lineRule="exact"/>
        <w:ind w:firstLine="4400" w:firstLineChars="2000"/>
        <w:rPr>
          <w:rFonts w:hint="eastAsia" w:ascii="新宋体" w:hAnsi="新宋体" w:eastAsia="新宋体"/>
          <w:color w:val="auto"/>
          <w:sz w:val="22"/>
          <w:szCs w:val="22"/>
          <w:highlight w:val="none"/>
        </w:rPr>
      </w:pPr>
    </w:p>
    <w:p>
      <w:pPr>
        <w:spacing w:line="380" w:lineRule="exact"/>
        <w:ind w:firstLine="4400" w:firstLineChars="2000"/>
        <w:rPr>
          <w:rFonts w:hint="eastAsia" w:ascii="新宋体" w:hAnsi="新宋体" w:eastAsia="新宋体"/>
          <w:color w:val="auto"/>
          <w:sz w:val="22"/>
          <w:szCs w:val="22"/>
          <w:highlight w:val="none"/>
        </w:rPr>
      </w:pPr>
    </w:p>
    <w:p>
      <w:pPr>
        <w:spacing w:line="380" w:lineRule="exact"/>
        <w:ind w:firstLine="4400" w:firstLineChars="2000"/>
        <w:rPr>
          <w:rFonts w:hint="eastAsia" w:ascii="新宋体" w:hAnsi="新宋体" w:eastAsia="新宋体"/>
          <w:color w:val="auto"/>
          <w:sz w:val="22"/>
          <w:szCs w:val="22"/>
          <w:highlight w:val="none"/>
        </w:rPr>
      </w:pPr>
    </w:p>
    <w:p>
      <w:pPr>
        <w:ind w:left="147" w:leftChars="70"/>
        <w:rPr>
          <w:rFonts w:ascii="新宋体" w:hAnsi="新宋体" w:eastAsia="新宋体"/>
          <w:b/>
          <w:color w:val="auto"/>
          <w:sz w:val="28"/>
          <w:szCs w:val="28"/>
          <w:highlight w:val="none"/>
        </w:rPr>
      </w:pPr>
    </w:p>
    <w:p>
      <w:pPr>
        <w:spacing w:line="460" w:lineRule="exact"/>
        <w:jc w:val="center"/>
        <w:outlineLvl w:val="4"/>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（9）项目实施进度计划表</w:t>
      </w:r>
    </w:p>
    <w:p>
      <w:pPr>
        <w:adjustRightInd w:val="0"/>
        <w:snapToGrid w:val="0"/>
        <w:spacing w:line="360" w:lineRule="auto"/>
        <w:jc w:val="center"/>
        <w:rPr>
          <w:rFonts w:ascii="宋体" w:hAnsi="宋体"/>
          <w:bCs/>
          <w:color w:val="auto"/>
          <w:szCs w:val="21"/>
          <w:highlight w:val="none"/>
        </w:rPr>
      </w:pPr>
      <w:r>
        <w:rPr>
          <w:rFonts w:hint="eastAsia" w:ascii="宋体" w:hAnsi="宋体"/>
          <w:color w:val="auto"/>
          <w:kern w:val="0"/>
          <w:szCs w:val="21"/>
          <w:highlight w:val="none"/>
        </w:rPr>
        <w:t>（以合同生效日算起）</w:t>
      </w:r>
      <w:r>
        <w:rPr>
          <w:rFonts w:hint="eastAsia" w:ascii="宋体" w:hAnsi="宋体"/>
          <w:color w:val="auto"/>
          <w:highlight w:val="none"/>
        </w:rPr>
        <w:t xml:space="preserve">                      </w:t>
      </w:r>
    </w:p>
    <w:p>
      <w:pPr>
        <w:adjustRightInd w:val="0"/>
        <w:snapToGrid w:val="0"/>
        <w:spacing w:line="360" w:lineRule="auto"/>
        <w:rPr>
          <w:rFonts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rPr>
        <w:t>工程工期：该工程建设在</w:t>
      </w:r>
      <w:r>
        <w:rPr>
          <w:rFonts w:hint="eastAsia" w:ascii="新宋体" w:hAnsi="新宋体" w:eastAsia="新宋体" w:cs="新宋体"/>
          <w:b/>
          <w:bCs/>
          <w:color w:val="auto"/>
          <w:sz w:val="22"/>
          <w:szCs w:val="22"/>
          <w:highlight w:val="none"/>
          <w:u w:val="single"/>
        </w:rPr>
        <w:t xml:space="preserve">        </w:t>
      </w:r>
      <w:r>
        <w:rPr>
          <w:rFonts w:hint="eastAsia" w:ascii="新宋体" w:hAnsi="新宋体" w:eastAsia="新宋体" w:cs="新宋体"/>
          <w:b/>
          <w:bCs/>
          <w:color w:val="auto"/>
          <w:sz w:val="22"/>
          <w:szCs w:val="22"/>
          <w:highlight w:val="none"/>
        </w:rPr>
        <w:t>天内完工。</w:t>
      </w:r>
    </w:p>
    <w:p>
      <w:pPr>
        <w:adjustRightInd w:val="0"/>
        <w:snapToGrid w:val="0"/>
        <w:spacing w:line="360" w:lineRule="auto"/>
        <w:rPr>
          <w:rFonts w:ascii="宋体" w:hAnsi="宋体"/>
          <w:color w:val="auto"/>
          <w:highlight w:val="none"/>
        </w:rPr>
      </w:pPr>
      <w:r>
        <w:rPr>
          <w:rFonts w:hint="eastAsia" w:ascii="新宋体" w:hAnsi="新宋体" w:eastAsia="新宋体"/>
          <w:b/>
          <w:color w:val="auto"/>
          <w:sz w:val="22"/>
          <w:highlight w:val="none"/>
        </w:rPr>
        <w:t>项目名称：                                           项目编号：</w:t>
      </w:r>
    </w:p>
    <w:tbl>
      <w:tblPr>
        <w:tblStyle w:val="52"/>
        <w:tblW w:w="9434" w:type="dxa"/>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28" w:type="dxa"/>
          <w:bottom w:w="0" w:type="dxa"/>
          <w:right w:w="28" w:type="dxa"/>
        </w:tblCellMar>
      </w:tblPr>
      <w:tblGrid>
        <w:gridCol w:w="1648"/>
        <w:gridCol w:w="522"/>
        <w:gridCol w:w="520"/>
        <w:gridCol w:w="520"/>
        <w:gridCol w:w="520"/>
        <w:gridCol w:w="520"/>
        <w:gridCol w:w="519"/>
        <w:gridCol w:w="519"/>
        <w:gridCol w:w="519"/>
        <w:gridCol w:w="519"/>
        <w:gridCol w:w="519"/>
        <w:gridCol w:w="519"/>
        <w:gridCol w:w="519"/>
        <w:gridCol w:w="519"/>
        <w:gridCol w:w="519"/>
        <w:gridCol w:w="513"/>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28" w:type="dxa"/>
            <w:bottom w:w="0" w:type="dxa"/>
            <w:right w:w="28" w:type="dxa"/>
          </w:tblCellMar>
        </w:tblPrEx>
        <w:trPr>
          <w:jc w:val="center"/>
        </w:trPr>
        <w:tc>
          <w:tcPr>
            <w:tcW w:w="1648" w:type="dxa"/>
            <w:tcBorders>
              <w:top w:val="single" w:color="auto" w:sz="8" w:space="0"/>
              <w:bottom w:val="single" w:color="auto" w:sz="2" w:space="0"/>
              <w:tl2br w:val="single" w:color="auto" w:sz="2" w:space="0"/>
            </w:tcBorders>
            <w:noWrap w:val="0"/>
            <w:vAlign w:val="center"/>
          </w:tcPr>
          <w:p>
            <w:pPr>
              <w:adjustRightInd w:val="0"/>
              <w:jc w:val="righ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工作周</w:t>
            </w:r>
          </w:p>
          <w:p>
            <w:pPr>
              <w:adjustRightInd w:val="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内容</w:t>
            </w:r>
          </w:p>
        </w:tc>
        <w:tc>
          <w:tcPr>
            <w:tcW w:w="522" w:type="dxa"/>
            <w:noWrap w:val="0"/>
            <w:vAlign w:val="center"/>
          </w:tcPr>
          <w:p>
            <w:pPr>
              <w:adjustRightInd w:val="0"/>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520" w:type="dxa"/>
            <w:noWrap w:val="0"/>
            <w:vAlign w:val="center"/>
          </w:tcPr>
          <w:p>
            <w:pPr>
              <w:adjustRightInd w:val="0"/>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520" w:type="dxa"/>
            <w:noWrap w:val="0"/>
            <w:vAlign w:val="center"/>
          </w:tcPr>
          <w:p>
            <w:pPr>
              <w:adjustRightInd w:val="0"/>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p>
        </w:tc>
        <w:tc>
          <w:tcPr>
            <w:tcW w:w="520" w:type="dxa"/>
            <w:noWrap w:val="0"/>
            <w:vAlign w:val="center"/>
          </w:tcPr>
          <w:p>
            <w:pPr>
              <w:adjustRightInd w:val="0"/>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p>
        </w:tc>
        <w:tc>
          <w:tcPr>
            <w:tcW w:w="520" w:type="dxa"/>
            <w:noWrap w:val="0"/>
            <w:vAlign w:val="center"/>
          </w:tcPr>
          <w:p>
            <w:pPr>
              <w:adjustRightInd w:val="0"/>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w:t>
            </w:r>
          </w:p>
        </w:tc>
        <w:tc>
          <w:tcPr>
            <w:tcW w:w="519" w:type="dxa"/>
            <w:noWrap w:val="0"/>
            <w:vAlign w:val="center"/>
          </w:tcPr>
          <w:p>
            <w:pPr>
              <w:adjustRightInd w:val="0"/>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w:t>
            </w:r>
          </w:p>
        </w:tc>
        <w:tc>
          <w:tcPr>
            <w:tcW w:w="519" w:type="dxa"/>
            <w:noWrap w:val="0"/>
            <w:vAlign w:val="center"/>
          </w:tcPr>
          <w:p>
            <w:pPr>
              <w:adjustRightInd w:val="0"/>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w:t>
            </w:r>
          </w:p>
        </w:tc>
        <w:tc>
          <w:tcPr>
            <w:tcW w:w="519" w:type="dxa"/>
            <w:noWrap w:val="0"/>
            <w:vAlign w:val="center"/>
          </w:tcPr>
          <w:p>
            <w:pPr>
              <w:adjustRightInd w:val="0"/>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w:t>
            </w:r>
          </w:p>
        </w:tc>
        <w:tc>
          <w:tcPr>
            <w:tcW w:w="519" w:type="dxa"/>
            <w:noWrap w:val="0"/>
            <w:vAlign w:val="center"/>
          </w:tcPr>
          <w:p>
            <w:pPr>
              <w:adjustRightInd w:val="0"/>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w:t>
            </w:r>
          </w:p>
        </w:tc>
        <w:tc>
          <w:tcPr>
            <w:tcW w:w="519" w:type="dxa"/>
            <w:noWrap w:val="0"/>
            <w:vAlign w:val="center"/>
          </w:tcPr>
          <w:p>
            <w:pPr>
              <w:adjustRightInd w:val="0"/>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w:t>
            </w:r>
          </w:p>
        </w:tc>
        <w:tc>
          <w:tcPr>
            <w:tcW w:w="519" w:type="dxa"/>
            <w:noWrap w:val="0"/>
            <w:vAlign w:val="center"/>
          </w:tcPr>
          <w:p>
            <w:pPr>
              <w:adjustRightInd w:val="0"/>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11</w:t>
            </w:r>
          </w:p>
        </w:tc>
        <w:tc>
          <w:tcPr>
            <w:tcW w:w="519" w:type="dxa"/>
            <w:noWrap w:val="0"/>
            <w:vAlign w:val="center"/>
          </w:tcPr>
          <w:p>
            <w:pPr>
              <w:adjustRightInd w:val="0"/>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w:t>
            </w:r>
          </w:p>
        </w:tc>
        <w:tc>
          <w:tcPr>
            <w:tcW w:w="519" w:type="dxa"/>
            <w:noWrap w:val="0"/>
            <w:vAlign w:val="center"/>
          </w:tcPr>
          <w:p>
            <w:pPr>
              <w:adjustRightInd w:val="0"/>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13</w:t>
            </w:r>
          </w:p>
        </w:tc>
        <w:tc>
          <w:tcPr>
            <w:tcW w:w="519" w:type="dxa"/>
            <w:noWrap w:val="0"/>
            <w:vAlign w:val="center"/>
          </w:tcPr>
          <w:p>
            <w:pPr>
              <w:adjustRightInd w:val="0"/>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14</w:t>
            </w:r>
          </w:p>
        </w:tc>
        <w:tc>
          <w:tcPr>
            <w:tcW w:w="513" w:type="dxa"/>
            <w:noWrap w:val="0"/>
            <w:vAlign w:val="center"/>
          </w:tcPr>
          <w:p>
            <w:pPr>
              <w:adjustRightInd w:val="0"/>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28" w:type="dxa"/>
            <w:bottom w:w="0" w:type="dxa"/>
            <w:right w:w="28" w:type="dxa"/>
          </w:tblCellMar>
        </w:tblPrEx>
        <w:trPr>
          <w:jc w:val="center"/>
        </w:trPr>
        <w:tc>
          <w:tcPr>
            <w:tcW w:w="1648" w:type="dxa"/>
            <w:tcBorders>
              <w:top w:val="single" w:color="auto" w:sz="2" w:space="0"/>
            </w:tcBorders>
            <w:noWrap w:val="0"/>
            <w:vAlign w:val="center"/>
          </w:tcPr>
          <w:p>
            <w:pPr>
              <w:adjustRightInd w:val="0"/>
              <w:snapToGrid w:val="0"/>
              <w:spacing w:line="360" w:lineRule="auto"/>
              <w:rPr>
                <w:rFonts w:ascii="新宋体" w:hAnsi="新宋体" w:eastAsia="新宋体" w:cs="新宋体"/>
                <w:color w:val="auto"/>
                <w:kern w:val="0"/>
                <w:sz w:val="22"/>
                <w:szCs w:val="22"/>
                <w:highlight w:val="none"/>
              </w:rPr>
            </w:pPr>
          </w:p>
        </w:tc>
        <w:tc>
          <w:tcPr>
            <w:tcW w:w="522"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3"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28" w:type="dxa"/>
            <w:bottom w:w="0" w:type="dxa"/>
            <w:right w:w="28" w:type="dxa"/>
          </w:tblCellMar>
        </w:tblPrEx>
        <w:trPr>
          <w:jc w:val="center"/>
        </w:trPr>
        <w:tc>
          <w:tcPr>
            <w:tcW w:w="1648" w:type="dxa"/>
            <w:noWrap w:val="0"/>
            <w:vAlign w:val="center"/>
          </w:tcPr>
          <w:p>
            <w:pPr>
              <w:adjustRightInd w:val="0"/>
              <w:snapToGrid w:val="0"/>
              <w:spacing w:line="360" w:lineRule="auto"/>
              <w:rPr>
                <w:rFonts w:ascii="新宋体" w:hAnsi="新宋体" w:eastAsia="新宋体" w:cs="新宋体"/>
                <w:color w:val="auto"/>
                <w:kern w:val="0"/>
                <w:sz w:val="22"/>
                <w:szCs w:val="22"/>
                <w:highlight w:val="none"/>
              </w:rPr>
            </w:pPr>
          </w:p>
        </w:tc>
        <w:tc>
          <w:tcPr>
            <w:tcW w:w="522"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3"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28" w:type="dxa"/>
            <w:bottom w:w="0" w:type="dxa"/>
            <w:right w:w="28" w:type="dxa"/>
          </w:tblCellMar>
        </w:tblPrEx>
        <w:trPr>
          <w:jc w:val="center"/>
        </w:trPr>
        <w:tc>
          <w:tcPr>
            <w:tcW w:w="1648" w:type="dxa"/>
            <w:noWrap w:val="0"/>
            <w:vAlign w:val="center"/>
          </w:tcPr>
          <w:p>
            <w:pPr>
              <w:adjustRightInd w:val="0"/>
              <w:snapToGrid w:val="0"/>
              <w:spacing w:line="360" w:lineRule="auto"/>
              <w:rPr>
                <w:rFonts w:ascii="新宋体" w:hAnsi="新宋体" w:eastAsia="新宋体" w:cs="新宋体"/>
                <w:color w:val="auto"/>
                <w:kern w:val="0"/>
                <w:sz w:val="22"/>
                <w:szCs w:val="22"/>
                <w:highlight w:val="none"/>
              </w:rPr>
            </w:pPr>
          </w:p>
        </w:tc>
        <w:tc>
          <w:tcPr>
            <w:tcW w:w="522"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3"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28" w:type="dxa"/>
            <w:bottom w:w="0" w:type="dxa"/>
            <w:right w:w="28" w:type="dxa"/>
          </w:tblCellMar>
        </w:tblPrEx>
        <w:trPr>
          <w:jc w:val="center"/>
        </w:trPr>
        <w:tc>
          <w:tcPr>
            <w:tcW w:w="1648" w:type="dxa"/>
            <w:noWrap w:val="0"/>
            <w:vAlign w:val="center"/>
          </w:tcPr>
          <w:p>
            <w:pPr>
              <w:adjustRightInd w:val="0"/>
              <w:snapToGrid w:val="0"/>
              <w:spacing w:line="360" w:lineRule="auto"/>
              <w:rPr>
                <w:rFonts w:ascii="新宋体" w:hAnsi="新宋体" w:eastAsia="新宋体" w:cs="新宋体"/>
                <w:color w:val="auto"/>
                <w:kern w:val="0"/>
                <w:sz w:val="22"/>
                <w:szCs w:val="22"/>
                <w:highlight w:val="none"/>
              </w:rPr>
            </w:pPr>
          </w:p>
        </w:tc>
        <w:tc>
          <w:tcPr>
            <w:tcW w:w="522"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3"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28" w:type="dxa"/>
            <w:bottom w:w="0" w:type="dxa"/>
            <w:right w:w="28" w:type="dxa"/>
          </w:tblCellMar>
        </w:tblPrEx>
        <w:trPr>
          <w:jc w:val="center"/>
        </w:trPr>
        <w:tc>
          <w:tcPr>
            <w:tcW w:w="1648" w:type="dxa"/>
            <w:noWrap w:val="0"/>
            <w:vAlign w:val="center"/>
          </w:tcPr>
          <w:p>
            <w:pPr>
              <w:adjustRightInd w:val="0"/>
              <w:snapToGrid w:val="0"/>
              <w:spacing w:line="360" w:lineRule="auto"/>
              <w:rPr>
                <w:rFonts w:ascii="新宋体" w:hAnsi="新宋体" w:eastAsia="新宋体" w:cs="新宋体"/>
                <w:color w:val="auto"/>
                <w:kern w:val="0"/>
                <w:sz w:val="22"/>
                <w:szCs w:val="22"/>
                <w:highlight w:val="none"/>
              </w:rPr>
            </w:pPr>
          </w:p>
        </w:tc>
        <w:tc>
          <w:tcPr>
            <w:tcW w:w="522"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3"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28" w:type="dxa"/>
            <w:bottom w:w="0" w:type="dxa"/>
            <w:right w:w="28" w:type="dxa"/>
          </w:tblCellMar>
        </w:tblPrEx>
        <w:trPr>
          <w:jc w:val="center"/>
        </w:trPr>
        <w:tc>
          <w:tcPr>
            <w:tcW w:w="1648" w:type="dxa"/>
            <w:noWrap w:val="0"/>
            <w:vAlign w:val="center"/>
          </w:tcPr>
          <w:p>
            <w:pPr>
              <w:adjustRightInd w:val="0"/>
              <w:snapToGrid w:val="0"/>
              <w:spacing w:line="360" w:lineRule="auto"/>
              <w:rPr>
                <w:rFonts w:ascii="新宋体" w:hAnsi="新宋体" w:eastAsia="新宋体" w:cs="新宋体"/>
                <w:color w:val="auto"/>
                <w:kern w:val="0"/>
                <w:sz w:val="22"/>
                <w:szCs w:val="22"/>
                <w:highlight w:val="none"/>
              </w:rPr>
            </w:pPr>
          </w:p>
        </w:tc>
        <w:tc>
          <w:tcPr>
            <w:tcW w:w="522"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3"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28" w:type="dxa"/>
            <w:bottom w:w="0" w:type="dxa"/>
            <w:right w:w="28" w:type="dxa"/>
          </w:tblCellMar>
        </w:tblPrEx>
        <w:trPr>
          <w:jc w:val="center"/>
        </w:trPr>
        <w:tc>
          <w:tcPr>
            <w:tcW w:w="1648" w:type="dxa"/>
            <w:noWrap w:val="0"/>
            <w:vAlign w:val="center"/>
          </w:tcPr>
          <w:p>
            <w:pPr>
              <w:adjustRightInd w:val="0"/>
              <w:snapToGrid w:val="0"/>
              <w:spacing w:line="360" w:lineRule="auto"/>
              <w:rPr>
                <w:rFonts w:ascii="新宋体" w:hAnsi="新宋体" w:eastAsia="新宋体" w:cs="新宋体"/>
                <w:color w:val="auto"/>
                <w:kern w:val="0"/>
                <w:sz w:val="22"/>
                <w:szCs w:val="22"/>
                <w:highlight w:val="none"/>
              </w:rPr>
            </w:pPr>
          </w:p>
        </w:tc>
        <w:tc>
          <w:tcPr>
            <w:tcW w:w="522"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3"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28" w:type="dxa"/>
            <w:bottom w:w="0" w:type="dxa"/>
            <w:right w:w="28" w:type="dxa"/>
          </w:tblCellMar>
        </w:tblPrEx>
        <w:trPr>
          <w:jc w:val="center"/>
        </w:trPr>
        <w:tc>
          <w:tcPr>
            <w:tcW w:w="1648" w:type="dxa"/>
            <w:noWrap w:val="0"/>
            <w:vAlign w:val="center"/>
          </w:tcPr>
          <w:p>
            <w:pPr>
              <w:adjustRightInd w:val="0"/>
              <w:snapToGrid w:val="0"/>
              <w:spacing w:line="360" w:lineRule="auto"/>
              <w:rPr>
                <w:rFonts w:ascii="新宋体" w:hAnsi="新宋体" w:eastAsia="新宋体" w:cs="新宋体"/>
                <w:color w:val="auto"/>
                <w:kern w:val="0"/>
                <w:sz w:val="22"/>
                <w:szCs w:val="22"/>
                <w:highlight w:val="none"/>
              </w:rPr>
            </w:pPr>
          </w:p>
        </w:tc>
        <w:tc>
          <w:tcPr>
            <w:tcW w:w="522"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3"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28" w:type="dxa"/>
            <w:bottom w:w="0" w:type="dxa"/>
            <w:right w:w="28" w:type="dxa"/>
          </w:tblCellMar>
        </w:tblPrEx>
        <w:trPr>
          <w:jc w:val="center"/>
        </w:trPr>
        <w:tc>
          <w:tcPr>
            <w:tcW w:w="1648" w:type="dxa"/>
            <w:noWrap w:val="0"/>
            <w:vAlign w:val="center"/>
          </w:tcPr>
          <w:p>
            <w:pPr>
              <w:adjustRightInd w:val="0"/>
              <w:snapToGrid w:val="0"/>
              <w:spacing w:line="360" w:lineRule="auto"/>
              <w:rPr>
                <w:rFonts w:ascii="新宋体" w:hAnsi="新宋体" w:eastAsia="新宋体" w:cs="新宋体"/>
                <w:color w:val="auto"/>
                <w:kern w:val="0"/>
                <w:sz w:val="22"/>
                <w:szCs w:val="22"/>
                <w:highlight w:val="none"/>
              </w:rPr>
            </w:pPr>
          </w:p>
        </w:tc>
        <w:tc>
          <w:tcPr>
            <w:tcW w:w="522"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3"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28" w:type="dxa"/>
            <w:bottom w:w="0" w:type="dxa"/>
            <w:right w:w="28" w:type="dxa"/>
          </w:tblCellMar>
        </w:tblPrEx>
        <w:trPr>
          <w:jc w:val="center"/>
        </w:trPr>
        <w:tc>
          <w:tcPr>
            <w:tcW w:w="1648" w:type="dxa"/>
            <w:noWrap w:val="0"/>
            <w:vAlign w:val="center"/>
          </w:tcPr>
          <w:p>
            <w:pPr>
              <w:adjustRightInd w:val="0"/>
              <w:snapToGrid w:val="0"/>
              <w:spacing w:line="360" w:lineRule="auto"/>
              <w:rPr>
                <w:rFonts w:ascii="新宋体" w:hAnsi="新宋体" w:eastAsia="新宋体" w:cs="新宋体"/>
                <w:color w:val="auto"/>
                <w:kern w:val="0"/>
                <w:sz w:val="22"/>
                <w:szCs w:val="22"/>
                <w:highlight w:val="none"/>
              </w:rPr>
            </w:pPr>
          </w:p>
        </w:tc>
        <w:tc>
          <w:tcPr>
            <w:tcW w:w="522"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3"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28" w:type="dxa"/>
            <w:bottom w:w="0" w:type="dxa"/>
            <w:right w:w="28" w:type="dxa"/>
          </w:tblCellMar>
        </w:tblPrEx>
        <w:trPr>
          <w:jc w:val="center"/>
        </w:trPr>
        <w:tc>
          <w:tcPr>
            <w:tcW w:w="1648" w:type="dxa"/>
            <w:noWrap w:val="0"/>
            <w:vAlign w:val="center"/>
          </w:tcPr>
          <w:p>
            <w:pPr>
              <w:adjustRightInd w:val="0"/>
              <w:snapToGrid w:val="0"/>
              <w:spacing w:line="360" w:lineRule="auto"/>
              <w:rPr>
                <w:rFonts w:ascii="新宋体" w:hAnsi="新宋体" w:eastAsia="新宋体" w:cs="新宋体"/>
                <w:color w:val="auto"/>
                <w:kern w:val="0"/>
                <w:sz w:val="22"/>
                <w:szCs w:val="22"/>
                <w:highlight w:val="none"/>
              </w:rPr>
            </w:pPr>
          </w:p>
        </w:tc>
        <w:tc>
          <w:tcPr>
            <w:tcW w:w="522"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20"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9"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c>
          <w:tcPr>
            <w:tcW w:w="513" w:type="dxa"/>
            <w:noWrap w:val="0"/>
            <w:vAlign w:val="top"/>
          </w:tcPr>
          <w:p>
            <w:pPr>
              <w:adjustRightInd w:val="0"/>
              <w:snapToGrid w:val="0"/>
              <w:spacing w:line="360" w:lineRule="auto"/>
              <w:jc w:val="center"/>
              <w:rPr>
                <w:rFonts w:ascii="新宋体" w:hAnsi="新宋体" w:eastAsia="新宋体" w:cs="新宋体"/>
                <w:color w:val="auto"/>
                <w:kern w:val="0"/>
                <w:sz w:val="22"/>
                <w:szCs w:val="22"/>
                <w:highlight w:val="none"/>
              </w:rPr>
            </w:pPr>
          </w:p>
        </w:tc>
      </w:tr>
    </w:tbl>
    <w:p>
      <w:pPr>
        <w:adjustRightInd w:val="0"/>
        <w:spacing w:before="120" w:beforeLines="50" w:line="360" w:lineRule="auto"/>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附注：上述时间表的格式仅供参考，投标人可自行编制切合实际的具体时间表。</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投标人全称（盖章）：</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投标人代表（签字）：</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日  期： </w:t>
      </w:r>
    </w:p>
    <w:p>
      <w:pPr>
        <w:spacing w:line="380" w:lineRule="exact"/>
        <w:ind w:firstLine="4400" w:firstLineChars="2000"/>
        <w:rPr>
          <w:rFonts w:ascii="新宋体" w:hAnsi="新宋体" w:eastAsia="新宋体"/>
          <w:color w:val="auto"/>
          <w:sz w:val="22"/>
          <w:szCs w:val="22"/>
          <w:highlight w:val="none"/>
        </w:rPr>
      </w:pPr>
    </w:p>
    <w:p>
      <w:pPr>
        <w:spacing w:line="380" w:lineRule="exact"/>
        <w:ind w:firstLine="4400" w:firstLineChars="2000"/>
        <w:rPr>
          <w:rFonts w:ascii="新宋体" w:hAnsi="新宋体" w:eastAsia="新宋体"/>
          <w:color w:val="auto"/>
          <w:sz w:val="22"/>
          <w:szCs w:val="22"/>
          <w:highlight w:val="none"/>
        </w:rPr>
      </w:pPr>
    </w:p>
    <w:p>
      <w:pPr>
        <w:spacing w:line="380" w:lineRule="exact"/>
        <w:ind w:firstLine="4400" w:firstLineChars="2000"/>
        <w:rPr>
          <w:rFonts w:ascii="新宋体" w:hAnsi="新宋体" w:eastAsia="新宋体"/>
          <w:color w:val="auto"/>
          <w:sz w:val="22"/>
          <w:szCs w:val="22"/>
          <w:highlight w:val="none"/>
        </w:rPr>
      </w:pPr>
    </w:p>
    <w:p>
      <w:pPr>
        <w:spacing w:line="380" w:lineRule="exact"/>
        <w:ind w:firstLine="4400" w:firstLineChars="2000"/>
        <w:rPr>
          <w:rFonts w:ascii="新宋体" w:hAnsi="新宋体" w:eastAsia="新宋体"/>
          <w:color w:val="auto"/>
          <w:sz w:val="22"/>
          <w:szCs w:val="22"/>
          <w:highlight w:val="none"/>
        </w:rPr>
      </w:pPr>
    </w:p>
    <w:p>
      <w:pPr>
        <w:spacing w:line="380" w:lineRule="exact"/>
        <w:ind w:firstLine="4400" w:firstLineChars="2000"/>
        <w:rPr>
          <w:rFonts w:ascii="新宋体" w:hAnsi="新宋体" w:eastAsia="新宋体"/>
          <w:color w:val="auto"/>
          <w:sz w:val="22"/>
          <w:szCs w:val="22"/>
          <w:highlight w:val="none"/>
        </w:rPr>
      </w:pPr>
    </w:p>
    <w:p>
      <w:pPr>
        <w:spacing w:line="380" w:lineRule="exact"/>
        <w:ind w:firstLine="4400" w:firstLineChars="2000"/>
        <w:rPr>
          <w:rFonts w:ascii="新宋体" w:hAnsi="新宋体" w:eastAsia="新宋体"/>
          <w:color w:val="auto"/>
          <w:sz w:val="22"/>
          <w:szCs w:val="22"/>
          <w:highlight w:val="none"/>
        </w:rPr>
      </w:pPr>
    </w:p>
    <w:p>
      <w:pPr>
        <w:spacing w:line="380" w:lineRule="exact"/>
        <w:ind w:firstLine="4400" w:firstLineChars="2000"/>
        <w:rPr>
          <w:rFonts w:ascii="新宋体" w:hAnsi="新宋体" w:eastAsia="新宋体"/>
          <w:color w:val="auto"/>
          <w:sz w:val="22"/>
          <w:szCs w:val="22"/>
          <w:highlight w:val="none"/>
        </w:rPr>
      </w:pPr>
    </w:p>
    <w:p>
      <w:pPr>
        <w:spacing w:line="380" w:lineRule="exact"/>
        <w:ind w:firstLine="4400" w:firstLineChars="2000"/>
        <w:rPr>
          <w:rFonts w:ascii="新宋体" w:hAnsi="新宋体" w:eastAsia="新宋体"/>
          <w:color w:val="auto"/>
          <w:sz w:val="22"/>
          <w:szCs w:val="22"/>
          <w:highlight w:val="none"/>
        </w:rPr>
      </w:pPr>
    </w:p>
    <w:p>
      <w:pPr>
        <w:spacing w:line="380" w:lineRule="exact"/>
        <w:ind w:firstLine="4400" w:firstLineChars="2000"/>
        <w:rPr>
          <w:rFonts w:ascii="新宋体" w:hAnsi="新宋体" w:eastAsia="新宋体"/>
          <w:color w:val="auto"/>
          <w:sz w:val="22"/>
          <w:szCs w:val="22"/>
          <w:highlight w:val="none"/>
        </w:rPr>
      </w:pPr>
    </w:p>
    <w:p>
      <w:pPr>
        <w:rPr>
          <w:color w:val="auto"/>
          <w:highlight w:val="none"/>
        </w:rPr>
      </w:pPr>
    </w:p>
    <w:p>
      <w:pPr>
        <w:spacing w:line="380" w:lineRule="exact"/>
        <w:ind w:firstLine="4400" w:firstLineChars="2000"/>
        <w:rPr>
          <w:rFonts w:ascii="新宋体" w:hAnsi="新宋体" w:eastAsia="新宋体"/>
          <w:color w:val="auto"/>
          <w:sz w:val="22"/>
          <w:szCs w:val="22"/>
          <w:highlight w:val="none"/>
        </w:rPr>
      </w:pPr>
    </w:p>
    <w:p>
      <w:pPr>
        <w:pStyle w:val="9"/>
        <w:rPr>
          <w:rFonts w:ascii="新宋体" w:hAnsi="新宋体" w:eastAsia="新宋体"/>
          <w:color w:val="auto"/>
          <w:sz w:val="22"/>
          <w:szCs w:val="22"/>
          <w:highlight w:val="none"/>
        </w:rPr>
      </w:pPr>
    </w:p>
    <w:p>
      <w:pPr>
        <w:rPr>
          <w:rFonts w:ascii="新宋体" w:hAnsi="新宋体" w:eastAsia="新宋体"/>
          <w:color w:val="auto"/>
          <w:sz w:val="22"/>
          <w:szCs w:val="22"/>
          <w:highlight w:val="none"/>
        </w:rPr>
      </w:pPr>
    </w:p>
    <w:p>
      <w:pPr>
        <w:pStyle w:val="9"/>
        <w:rPr>
          <w:color w:val="auto"/>
          <w:highlight w:val="none"/>
        </w:rPr>
      </w:pPr>
    </w:p>
    <w:p>
      <w:pPr>
        <w:spacing w:line="380" w:lineRule="exact"/>
        <w:ind w:firstLine="4400" w:firstLineChars="2000"/>
        <w:rPr>
          <w:rFonts w:ascii="新宋体" w:hAnsi="新宋体" w:eastAsia="新宋体"/>
          <w:color w:val="auto"/>
          <w:sz w:val="22"/>
          <w:szCs w:val="22"/>
          <w:highlight w:val="none"/>
        </w:rPr>
      </w:pPr>
    </w:p>
    <w:p>
      <w:pPr>
        <w:spacing w:line="460" w:lineRule="exact"/>
        <w:jc w:val="center"/>
        <w:outlineLvl w:val="4"/>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（9）技术支持情况与服务支持能力</w:t>
      </w:r>
    </w:p>
    <w:p>
      <w:pPr>
        <w:tabs>
          <w:tab w:val="left" w:pos="1620"/>
        </w:tabs>
        <w:spacing w:line="460" w:lineRule="exact"/>
        <w:jc w:val="center"/>
        <w:outlineLvl w:val="5"/>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①项目负责人情况表</w:t>
      </w:r>
    </w:p>
    <w:p>
      <w:pPr>
        <w:adjustRightInd w:val="0"/>
        <w:snapToGrid w:val="0"/>
        <w:spacing w:line="360" w:lineRule="auto"/>
        <w:rPr>
          <w:rFonts w:ascii="宋体" w:hAnsi="宋体"/>
          <w:b/>
          <w:bCs/>
          <w:color w:val="auto"/>
          <w:sz w:val="32"/>
          <w:highlight w:val="none"/>
        </w:rPr>
      </w:pPr>
      <w:r>
        <w:rPr>
          <w:rFonts w:hint="eastAsia" w:ascii="新宋体" w:hAnsi="新宋体" w:eastAsia="新宋体"/>
          <w:b/>
          <w:color w:val="auto"/>
          <w:sz w:val="22"/>
          <w:highlight w:val="none"/>
        </w:rPr>
        <w:t>项目名称：                                           项目编号：</w:t>
      </w:r>
      <w:r>
        <w:rPr>
          <w:rFonts w:hint="eastAsia" w:ascii="宋体" w:hAnsi="宋体"/>
          <w:color w:val="auto"/>
          <w:highlight w:val="none"/>
        </w:rPr>
        <w:t xml:space="preserve">    </w:t>
      </w:r>
    </w:p>
    <w:tbl>
      <w:tblPr>
        <w:tblStyle w:val="52"/>
        <w:tblW w:w="9687"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1833"/>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974" w:type="dxa"/>
            <w:noWrap w:val="0"/>
            <w:vAlign w:val="center"/>
          </w:tcPr>
          <w:p>
            <w:pPr>
              <w:pStyle w:val="297"/>
              <w:autoSpaceDE w:val="0"/>
              <w:autoSpaceDN w:val="0"/>
              <w:adjustRightInd w:val="0"/>
              <w:spacing w:line="240" w:lineRule="auto"/>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lang w:val="zh-CN"/>
              </w:rPr>
              <w:t>姓名</w:t>
            </w:r>
          </w:p>
        </w:tc>
        <w:tc>
          <w:tcPr>
            <w:tcW w:w="1833" w:type="dxa"/>
            <w:noWrap w:val="0"/>
            <w:vAlign w:val="center"/>
          </w:tcPr>
          <w:p>
            <w:pPr>
              <w:autoSpaceDE w:val="0"/>
              <w:autoSpaceDN w:val="0"/>
              <w:adjustRightInd w:val="0"/>
              <w:spacing w:line="360" w:lineRule="auto"/>
              <w:jc w:val="center"/>
              <w:rPr>
                <w:rFonts w:ascii="新宋体" w:hAnsi="新宋体" w:eastAsia="新宋体" w:cs="新宋体"/>
                <w:color w:val="auto"/>
                <w:sz w:val="22"/>
                <w:szCs w:val="22"/>
                <w:highlight w:val="none"/>
                <w:lang w:val="zh-CN"/>
              </w:rPr>
            </w:pPr>
          </w:p>
        </w:tc>
        <w:tc>
          <w:tcPr>
            <w:tcW w:w="5880" w:type="dxa"/>
            <w:noWrap w:val="0"/>
            <w:vAlign w:val="center"/>
          </w:tcPr>
          <w:p>
            <w:pPr>
              <w:pStyle w:val="297"/>
              <w:autoSpaceDE w:val="0"/>
              <w:autoSpaceDN w:val="0"/>
              <w:adjustRightInd w:val="0"/>
              <w:spacing w:line="360" w:lineRule="auto"/>
              <w:rPr>
                <w:rFonts w:ascii="新宋体" w:hAnsi="新宋体" w:eastAsia="新宋体" w:cs="新宋体"/>
                <w:color w:val="auto"/>
                <w:sz w:val="22"/>
                <w:szCs w:val="22"/>
                <w:highlight w:val="none"/>
                <w:lang w:val="zh-CN"/>
              </w:rPr>
            </w:pPr>
            <w:r>
              <w:rPr>
                <w:rFonts w:hint="eastAsia" w:ascii="新宋体" w:hAnsi="新宋体" w:eastAsia="新宋体" w:cs="新宋体"/>
                <w:color w:val="auto"/>
                <w:kern w:val="0"/>
                <w:sz w:val="22"/>
                <w:szCs w:val="22"/>
                <w:highlight w:val="none"/>
              </w:rPr>
              <w:t>自</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年</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月</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日以来负责的相关项目经验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4" w:hRule="atLeast"/>
        </w:trPr>
        <w:tc>
          <w:tcPr>
            <w:tcW w:w="1974" w:type="dxa"/>
            <w:noWrap w:val="0"/>
            <w:vAlign w:val="center"/>
          </w:tcPr>
          <w:p>
            <w:pPr>
              <w:pStyle w:val="297"/>
              <w:autoSpaceDE w:val="0"/>
              <w:autoSpaceDN w:val="0"/>
              <w:adjustRightInd w:val="0"/>
              <w:spacing w:line="240" w:lineRule="auto"/>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lang w:val="zh-CN"/>
              </w:rPr>
              <w:t>1寸免冠照片</w:t>
            </w:r>
          </w:p>
        </w:tc>
        <w:tc>
          <w:tcPr>
            <w:tcW w:w="1833" w:type="dxa"/>
            <w:noWrap w:val="0"/>
            <w:vAlign w:val="center"/>
          </w:tcPr>
          <w:p>
            <w:pPr>
              <w:autoSpaceDE w:val="0"/>
              <w:autoSpaceDN w:val="0"/>
              <w:adjustRightInd w:val="0"/>
              <w:spacing w:line="360" w:lineRule="auto"/>
              <w:jc w:val="center"/>
              <w:rPr>
                <w:rFonts w:ascii="新宋体" w:hAnsi="新宋体" w:eastAsia="新宋体" w:cs="新宋体"/>
                <w:color w:val="auto"/>
                <w:sz w:val="22"/>
                <w:szCs w:val="22"/>
                <w:highlight w:val="none"/>
                <w:lang w:val="zh-CN"/>
              </w:rPr>
            </w:pPr>
          </w:p>
        </w:tc>
        <w:tc>
          <w:tcPr>
            <w:tcW w:w="5880" w:type="dxa"/>
            <w:vMerge w:val="restart"/>
            <w:noWrap w:val="0"/>
            <w:vAlign w:val="center"/>
          </w:tcPr>
          <w:p>
            <w:pPr>
              <w:pStyle w:val="235"/>
              <w:widowControl w:val="0"/>
              <w:autoSpaceDE w:val="0"/>
              <w:autoSpaceDN w:val="0"/>
              <w:adjustRightInd w:val="0"/>
              <w:spacing w:before="0" w:beforeAutospacing="0" w:after="0" w:afterAutospacing="0" w:line="360" w:lineRule="auto"/>
              <w:textAlignment w:val="auto"/>
              <w:rPr>
                <w:rFonts w:ascii="新宋体" w:hAnsi="新宋体" w:eastAsia="新宋体" w:cs="新宋体"/>
                <w:color w:val="auto"/>
                <w:kern w:val="2"/>
                <w:sz w:val="22"/>
                <w:szCs w:val="22"/>
                <w:highlight w:val="none"/>
              </w:rPr>
            </w:pPr>
            <w:r>
              <w:rPr>
                <w:rFonts w:hint="eastAsia" w:ascii="新宋体" w:hAnsi="新宋体" w:eastAsia="新宋体" w:cs="新宋体"/>
                <w:color w:val="auto"/>
                <w:kern w:val="2"/>
                <w:sz w:val="22"/>
                <w:szCs w:val="22"/>
                <w:highlight w:val="none"/>
              </w:rPr>
              <w:t>注：相关项目经验应提供旁证材料</w:t>
            </w:r>
          </w:p>
          <w:p>
            <w:pPr>
              <w:autoSpaceDE w:val="0"/>
              <w:autoSpaceDN w:val="0"/>
              <w:adjustRightInd w:val="0"/>
              <w:spacing w:line="360" w:lineRule="auto"/>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sz w:val="22"/>
                <w:szCs w:val="22"/>
                <w:highlight w:val="none"/>
              </w:rPr>
              <w:t>（需提供原业主单位盖公章的书面证明）。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974" w:type="dxa"/>
            <w:noWrap w:val="0"/>
            <w:vAlign w:val="center"/>
          </w:tcPr>
          <w:p>
            <w:pPr>
              <w:autoSpaceDE w:val="0"/>
              <w:autoSpaceDN w:val="0"/>
              <w:adjustRightInd w:val="0"/>
              <w:jc w:val="center"/>
              <w:rPr>
                <w:rFonts w:ascii="新宋体" w:hAnsi="新宋体" w:eastAsia="新宋体" w:cs="新宋体"/>
                <w:b/>
                <w:bCs/>
                <w:color w:val="auto"/>
                <w:sz w:val="22"/>
                <w:szCs w:val="22"/>
                <w:highlight w:val="none"/>
                <w:lang w:val="zh-CN"/>
              </w:rPr>
            </w:pPr>
            <w:r>
              <w:rPr>
                <w:rFonts w:hint="eastAsia" w:ascii="新宋体" w:hAnsi="新宋体" w:eastAsia="新宋体" w:cs="新宋体"/>
                <w:b/>
                <w:bCs/>
                <w:color w:val="auto"/>
                <w:sz w:val="22"/>
                <w:szCs w:val="22"/>
                <w:highlight w:val="none"/>
                <w:lang w:val="zh-CN"/>
              </w:rPr>
              <w:t>性别</w:t>
            </w:r>
          </w:p>
        </w:tc>
        <w:tc>
          <w:tcPr>
            <w:tcW w:w="1833" w:type="dxa"/>
            <w:noWrap w:val="0"/>
            <w:vAlign w:val="center"/>
          </w:tcPr>
          <w:p>
            <w:pPr>
              <w:autoSpaceDE w:val="0"/>
              <w:autoSpaceDN w:val="0"/>
              <w:adjustRightInd w:val="0"/>
              <w:spacing w:line="360" w:lineRule="auto"/>
              <w:jc w:val="center"/>
              <w:rPr>
                <w:rFonts w:ascii="新宋体" w:hAnsi="新宋体" w:eastAsia="新宋体" w:cs="新宋体"/>
                <w:color w:val="auto"/>
                <w:sz w:val="22"/>
                <w:szCs w:val="22"/>
                <w:highlight w:val="none"/>
                <w:lang w:val="zh-CN"/>
              </w:rPr>
            </w:pPr>
          </w:p>
        </w:tc>
        <w:tc>
          <w:tcPr>
            <w:tcW w:w="5880" w:type="dxa"/>
            <w:vMerge w:val="continue"/>
            <w:noWrap w:val="0"/>
            <w:vAlign w:val="center"/>
          </w:tcPr>
          <w:p>
            <w:pPr>
              <w:autoSpaceDE w:val="0"/>
              <w:autoSpaceDN w:val="0"/>
              <w:adjustRightInd w:val="0"/>
              <w:spacing w:line="360" w:lineRule="auto"/>
              <w:jc w:val="center"/>
              <w:rPr>
                <w:rFonts w:ascii="新宋体" w:hAnsi="新宋体" w:eastAsia="新宋体" w:cs="新宋体"/>
                <w:color w:val="auto"/>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974" w:type="dxa"/>
            <w:noWrap w:val="0"/>
            <w:vAlign w:val="center"/>
          </w:tcPr>
          <w:p>
            <w:pPr>
              <w:autoSpaceDE w:val="0"/>
              <w:autoSpaceDN w:val="0"/>
              <w:adjustRightInd w:val="0"/>
              <w:jc w:val="center"/>
              <w:rPr>
                <w:rFonts w:ascii="新宋体" w:hAnsi="新宋体" w:eastAsia="新宋体" w:cs="新宋体"/>
                <w:b/>
                <w:bCs/>
                <w:color w:val="auto"/>
                <w:sz w:val="22"/>
                <w:szCs w:val="22"/>
                <w:highlight w:val="none"/>
                <w:lang w:val="zh-CN"/>
              </w:rPr>
            </w:pPr>
            <w:r>
              <w:rPr>
                <w:rFonts w:hint="eastAsia" w:ascii="新宋体" w:hAnsi="新宋体" w:eastAsia="新宋体" w:cs="新宋体"/>
                <w:b/>
                <w:bCs/>
                <w:color w:val="auto"/>
                <w:sz w:val="22"/>
                <w:szCs w:val="22"/>
                <w:highlight w:val="none"/>
                <w:lang w:val="zh-CN"/>
              </w:rPr>
              <w:t>年龄</w:t>
            </w:r>
          </w:p>
        </w:tc>
        <w:tc>
          <w:tcPr>
            <w:tcW w:w="1833" w:type="dxa"/>
            <w:noWrap w:val="0"/>
            <w:vAlign w:val="center"/>
          </w:tcPr>
          <w:p>
            <w:pPr>
              <w:autoSpaceDE w:val="0"/>
              <w:autoSpaceDN w:val="0"/>
              <w:adjustRightInd w:val="0"/>
              <w:spacing w:line="360" w:lineRule="auto"/>
              <w:jc w:val="center"/>
              <w:rPr>
                <w:rFonts w:ascii="新宋体" w:hAnsi="新宋体" w:eastAsia="新宋体" w:cs="新宋体"/>
                <w:color w:val="auto"/>
                <w:sz w:val="22"/>
                <w:szCs w:val="22"/>
                <w:highlight w:val="none"/>
                <w:lang w:val="zh-CN"/>
              </w:rPr>
            </w:pPr>
          </w:p>
        </w:tc>
        <w:tc>
          <w:tcPr>
            <w:tcW w:w="5880" w:type="dxa"/>
            <w:vMerge w:val="continue"/>
            <w:noWrap w:val="0"/>
            <w:vAlign w:val="center"/>
          </w:tcPr>
          <w:p>
            <w:pPr>
              <w:autoSpaceDE w:val="0"/>
              <w:autoSpaceDN w:val="0"/>
              <w:adjustRightInd w:val="0"/>
              <w:spacing w:line="360" w:lineRule="auto"/>
              <w:jc w:val="center"/>
              <w:rPr>
                <w:rFonts w:ascii="新宋体" w:hAnsi="新宋体" w:eastAsia="新宋体" w:cs="新宋体"/>
                <w:color w:val="auto"/>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974" w:type="dxa"/>
            <w:noWrap w:val="0"/>
            <w:vAlign w:val="center"/>
          </w:tcPr>
          <w:p>
            <w:pPr>
              <w:autoSpaceDE w:val="0"/>
              <w:autoSpaceDN w:val="0"/>
              <w:adjustRightInd w:val="0"/>
              <w:jc w:val="center"/>
              <w:rPr>
                <w:rFonts w:ascii="新宋体" w:hAnsi="新宋体" w:eastAsia="新宋体" w:cs="新宋体"/>
                <w:b/>
                <w:bCs/>
                <w:color w:val="auto"/>
                <w:sz w:val="22"/>
                <w:szCs w:val="22"/>
                <w:highlight w:val="none"/>
                <w:lang w:val="zh-CN"/>
              </w:rPr>
            </w:pPr>
            <w:r>
              <w:rPr>
                <w:rFonts w:hint="eastAsia" w:ascii="新宋体" w:hAnsi="新宋体" w:eastAsia="新宋体" w:cs="新宋体"/>
                <w:b/>
                <w:bCs/>
                <w:color w:val="auto"/>
                <w:sz w:val="22"/>
                <w:szCs w:val="22"/>
                <w:highlight w:val="none"/>
                <w:lang w:val="zh-CN"/>
              </w:rPr>
              <w:t>职称</w:t>
            </w:r>
          </w:p>
        </w:tc>
        <w:tc>
          <w:tcPr>
            <w:tcW w:w="1833" w:type="dxa"/>
            <w:noWrap w:val="0"/>
            <w:vAlign w:val="center"/>
          </w:tcPr>
          <w:p>
            <w:pPr>
              <w:autoSpaceDE w:val="0"/>
              <w:autoSpaceDN w:val="0"/>
              <w:adjustRightInd w:val="0"/>
              <w:spacing w:line="360" w:lineRule="auto"/>
              <w:jc w:val="center"/>
              <w:rPr>
                <w:rFonts w:ascii="新宋体" w:hAnsi="新宋体" w:eastAsia="新宋体" w:cs="新宋体"/>
                <w:color w:val="auto"/>
                <w:sz w:val="22"/>
                <w:szCs w:val="22"/>
                <w:highlight w:val="none"/>
                <w:lang w:val="zh-CN"/>
              </w:rPr>
            </w:pPr>
          </w:p>
        </w:tc>
        <w:tc>
          <w:tcPr>
            <w:tcW w:w="5880" w:type="dxa"/>
            <w:vMerge w:val="continue"/>
            <w:noWrap w:val="0"/>
            <w:vAlign w:val="center"/>
          </w:tcPr>
          <w:p>
            <w:pPr>
              <w:autoSpaceDE w:val="0"/>
              <w:autoSpaceDN w:val="0"/>
              <w:adjustRightInd w:val="0"/>
              <w:spacing w:line="360" w:lineRule="auto"/>
              <w:jc w:val="center"/>
              <w:rPr>
                <w:rFonts w:ascii="新宋体" w:hAnsi="新宋体" w:eastAsia="新宋体" w:cs="新宋体"/>
                <w:color w:val="auto"/>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1974" w:type="dxa"/>
            <w:noWrap w:val="0"/>
            <w:vAlign w:val="center"/>
          </w:tcPr>
          <w:p>
            <w:pPr>
              <w:autoSpaceDE w:val="0"/>
              <w:autoSpaceDN w:val="0"/>
              <w:adjustRightInd w:val="0"/>
              <w:jc w:val="center"/>
              <w:rPr>
                <w:rFonts w:ascii="新宋体" w:hAnsi="新宋体" w:eastAsia="新宋体" w:cs="新宋体"/>
                <w:b/>
                <w:bCs/>
                <w:color w:val="auto"/>
                <w:sz w:val="22"/>
                <w:szCs w:val="22"/>
                <w:highlight w:val="none"/>
                <w:lang w:val="zh-CN"/>
              </w:rPr>
            </w:pPr>
            <w:r>
              <w:rPr>
                <w:rFonts w:hint="eastAsia" w:ascii="新宋体" w:hAnsi="新宋体" w:eastAsia="新宋体" w:cs="新宋体"/>
                <w:b/>
                <w:bCs/>
                <w:color w:val="auto"/>
                <w:sz w:val="22"/>
                <w:szCs w:val="22"/>
                <w:highlight w:val="none"/>
                <w:lang w:val="zh-CN"/>
              </w:rPr>
              <w:t>毕业院校系及专业</w:t>
            </w:r>
          </w:p>
        </w:tc>
        <w:tc>
          <w:tcPr>
            <w:tcW w:w="1833" w:type="dxa"/>
            <w:noWrap w:val="0"/>
            <w:vAlign w:val="center"/>
          </w:tcPr>
          <w:p>
            <w:pPr>
              <w:autoSpaceDE w:val="0"/>
              <w:autoSpaceDN w:val="0"/>
              <w:adjustRightInd w:val="0"/>
              <w:spacing w:line="360" w:lineRule="auto"/>
              <w:jc w:val="center"/>
              <w:rPr>
                <w:rFonts w:ascii="新宋体" w:hAnsi="新宋体" w:eastAsia="新宋体" w:cs="新宋体"/>
                <w:color w:val="auto"/>
                <w:sz w:val="22"/>
                <w:szCs w:val="22"/>
                <w:highlight w:val="none"/>
                <w:lang w:val="zh-CN"/>
              </w:rPr>
            </w:pPr>
          </w:p>
        </w:tc>
        <w:tc>
          <w:tcPr>
            <w:tcW w:w="5880" w:type="dxa"/>
            <w:vMerge w:val="continue"/>
            <w:noWrap w:val="0"/>
            <w:vAlign w:val="center"/>
          </w:tcPr>
          <w:p>
            <w:pPr>
              <w:autoSpaceDE w:val="0"/>
              <w:autoSpaceDN w:val="0"/>
              <w:adjustRightInd w:val="0"/>
              <w:spacing w:line="360" w:lineRule="auto"/>
              <w:jc w:val="center"/>
              <w:rPr>
                <w:rFonts w:ascii="新宋体" w:hAnsi="新宋体" w:eastAsia="新宋体" w:cs="新宋体"/>
                <w:color w:val="auto"/>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974" w:type="dxa"/>
            <w:noWrap w:val="0"/>
            <w:vAlign w:val="center"/>
          </w:tcPr>
          <w:p>
            <w:pPr>
              <w:autoSpaceDE w:val="0"/>
              <w:autoSpaceDN w:val="0"/>
              <w:adjustRightInd w:val="0"/>
              <w:jc w:val="center"/>
              <w:rPr>
                <w:rFonts w:ascii="新宋体" w:hAnsi="新宋体" w:eastAsia="新宋体" w:cs="新宋体"/>
                <w:b/>
                <w:bCs/>
                <w:color w:val="auto"/>
                <w:sz w:val="22"/>
                <w:szCs w:val="22"/>
                <w:highlight w:val="none"/>
                <w:lang w:val="zh-CN"/>
              </w:rPr>
            </w:pPr>
            <w:r>
              <w:rPr>
                <w:rFonts w:hint="eastAsia" w:ascii="新宋体" w:hAnsi="新宋体" w:eastAsia="新宋体" w:cs="新宋体"/>
                <w:b/>
                <w:bCs/>
                <w:color w:val="auto"/>
                <w:sz w:val="22"/>
                <w:szCs w:val="22"/>
                <w:highlight w:val="none"/>
                <w:lang w:val="zh-CN"/>
              </w:rPr>
              <w:t>毕业时间</w:t>
            </w:r>
          </w:p>
        </w:tc>
        <w:tc>
          <w:tcPr>
            <w:tcW w:w="1833" w:type="dxa"/>
            <w:noWrap w:val="0"/>
            <w:vAlign w:val="center"/>
          </w:tcPr>
          <w:p>
            <w:pPr>
              <w:autoSpaceDE w:val="0"/>
              <w:autoSpaceDN w:val="0"/>
              <w:adjustRightInd w:val="0"/>
              <w:spacing w:line="360" w:lineRule="auto"/>
              <w:jc w:val="center"/>
              <w:rPr>
                <w:rFonts w:ascii="新宋体" w:hAnsi="新宋体" w:eastAsia="新宋体" w:cs="新宋体"/>
                <w:color w:val="auto"/>
                <w:sz w:val="22"/>
                <w:szCs w:val="22"/>
                <w:highlight w:val="none"/>
                <w:lang w:val="zh-CN"/>
              </w:rPr>
            </w:pPr>
          </w:p>
        </w:tc>
        <w:tc>
          <w:tcPr>
            <w:tcW w:w="5880" w:type="dxa"/>
            <w:vMerge w:val="continue"/>
            <w:noWrap w:val="0"/>
            <w:vAlign w:val="center"/>
          </w:tcPr>
          <w:p>
            <w:pPr>
              <w:autoSpaceDE w:val="0"/>
              <w:autoSpaceDN w:val="0"/>
              <w:adjustRightInd w:val="0"/>
              <w:spacing w:line="360" w:lineRule="auto"/>
              <w:jc w:val="center"/>
              <w:rPr>
                <w:rFonts w:ascii="新宋体" w:hAnsi="新宋体" w:eastAsia="新宋体" w:cs="新宋体"/>
                <w:color w:val="auto"/>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1974" w:type="dxa"/>
            <w:noWrap w:val="0"/>
            <w:vAlign w:val="center"/>
          </w:tcPr>
          <w:p>
            <w:pPr>
              <w:autoSpaceDE w:val="0"/>
              <w:autoSpaceDN w:val="0"/>
              <w:adjustRightInd w:val="0"/>
              <w:jc w:val="center"/>
              <w:rPr>
                <w:rFonts w:ascii="新宋体" w:hAnsi="新宋体" w:eastAsia="新宋体" w:cs="新宋体"/>
                <w:b/>
                <w:bCs/>
                <w:color w:val="auto"/>
                <w:sz w:val="22"/>
                <w:szCs w:val="22"/>
                <w:highlight w:val="none"/>
                <w:lang w:val="zh-CN"/>
              </w:rPr>
            </w:pPr>
            <w:r>
              <w:rPr>
                <w:rFonts w:hint="eastAsia" w:ascii="新宋体" w:hAnsi="新宋体" w:eastAsia="新宋体" w:cs="新宋体"/>
                <w:b/>
                <w:bCs/>
                <w:color w:val="auto"/>
                <w:sz w:val="22"/>
                <w:szCs w:val="22"/>
                <w:highlight w:val="none"/>
                <w:lang w:val="zh-CN"/>
              </w:rPr>
              <w:t>最高学历</w:t>
            </w:r>
          </w:p>
        </w:tc>
        <w:tc>
          <w:tcPr>
            <w:tcW w:w="1833" w:type="dxa"/>
            <w:noWrap w:val="0"/>
            <w:vAlign w:val="center"/>
          </w:tcPr>
          <w:p>
            <w:pPr>
              <w:autoSpaceDE w:val="0"/>
              <w:autoSpaceDN w:val="0"/>
              <w:adjustRightInd w:val="0"/>
              <w:spacing w:line="360" w:lineRule="auto"/>
              <w:jc w:val="center"/>
              <w:rPr>
                <w:rFonts w:ascii="新宋体" w:hAnsi="新宋体" w:eastAsia="新宋体" w:cs="新宋体"/>
                <w:color w:val="auto"/>
                <w:sz w:val="22"/>
                <w:szCs w:val="22"/>
                <w:highlight w:val="none"/>
                <w:lang w:val="zh-CN"/>
              </w:rPr>
            </w:pPr>
          </w:p>
        </w:tc>
        <w:tc>
          <w:tcPr>
            <w:tcW w:w="5880" w:type="dxa"/>
            <w:vMerge w:val="continue"/>
            <w:noWrap w:val="0"/>
            <w:vAlign w:val="center"/>
          </w:tcPr>
          <w:p>
            <w:pPr>
              <w:autoSpaceDE w:val="0"/>
              <w:autoSpaceDN w:val="0"/>
              <w:adjustRightInd w:val="0"/>
              <w:spacing w:line="360" w:lineRule="auto"/>
              <w:jc w:val="center"/>
              <w:rPr>
                <w:rFonts w:ascii="新宋体" w:hAnsi="新宋体" w:eastAsia="新宋体" w:cs="新宋体"/>
                <w:color w:val="auto"/>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1974" w:type="dxa"/>
            <w:noWrap w:val="0"/>
            <w:vAlign w:val="center"/>
          </w:tcPr>
          <w:p>
            <w:pPr>
              <w:autoSpaceDE w:val="0"/>
              <w:autoSpaceDN w:val="0"/>
              <w:adjustRightInd w:val="0"/>
              <w:jc w:val="center"/>
              <w:rPr>
                <w:rFonts w:ascii="新宋体" w:hAnsi="新宋体" w:eastAsia="新宋体" w:cs="新宋体"/>
                <w:b/>
                <w:bCs/>
                <w:color w:val="auto"/>
                <w:sz w:val="22"/>
                <w:szCs w:val="22"/>
                <w:highlight w:val="none"/>
                <w:lang w:val="zh-CN"/>
              </w:rPr>
            </w:pPr>
            <w:r>
              <w:rPr>
                <w:rFonts w:hint="eastAsia" w:ascii="新宋体" w:hAnsi="新宋体" w:eastAsia="新宋体" w:cs="新宋体"/>
                <w:b/>
                <w:bCs/>
                <w:color w:val="auto"/>
                <w:sz w:val="22"/>
                <w:szCs w:val="22"/>
                <w:highlight w:val="none"/>
                <w:lang w:val="zh-CN"/>
              </w:rPr>
              <w:t>联系电话</w:t>
            </w:r>
          </w:p>
        </w:tc>
        <w:tc>
          <w:tcPr>
            <w:tcW w:w="1833" w:type="dxa"/>
            <w:noWrap w:val="0"/>
            <w:vAlign w:val="center"/>
          </w:tcPr>
          <w:p>
            <w:pPr>
              <w:autoSpaceDE w:val="0"/>
              <w:autoSpaceDN w:val="0"/>
              <w:adjustRightInd w:val="0"/>
              <w:spacing w:line="360" w:lineRule="auto"/>
              <w:jc w:val="center"/>
              <w:rPr>
                <w:rFonts w:ascii="新宋体" w:hAnsi="新宋体" w:eastAsia="新宋体" w:cs="新宋体"/>
                <w:color w:val="auto"/>
                <w:sz w:val="22"/>
                <w:szCs w:val="22"/>
                <w:highlight w:val="none"/>
                <w:lang w:val="zh-CN"/>
              </w:rPr>
            </w:pPr>
          </w:p>
        </w:tc>
        <w:tc>
          <w:tcPr>
            <w:tcW w:w="5880" w:type="dxa"/>
            <w:vMerge w:val="continue"/>
            <w:noWrap w:val="0"/>
            <w:vAlign w:val="center"/>
          </w:tcPr>
          <w:p>
            <w:pPr>
              <w:autoSpaceDE w:val="0"/>
              <w:autoSpaceDN w:val="0"/>
              <w:adjustRightInd w:val="0"/>
              <w:spacing w:line="360" w:lineRule="auto"/>
              <w:jc w:val="center"/>
              <w:rPr>
                <w:rFonts w:ascii="新宋体" w:hAnsi="新宋体" w:eastAsia="新宋体" w:cs="新宋体"/>
                <w:color w:val="auto"/>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1974" w:type="dxa"/>
            <w:noWrap w:val="0"/>
            <w:vAlign w:val="center"/>
          </w:tcPr>
          <w:p>
            <w:pPr>
              <w:autoSpaceDE w:val="0"/>
              <w:autoSpaceDN w:val="0"/>
              <w:adjustRightInd w:val="0"/>
              <w:jc w:val="center"/>
              <w:rPr>
                <w:rFonts w:ascii="新宋体" w:hAnsi="新宋体" w:eastAsia="新宋体" w:cs="新宋体"/>
                <w:b/>
                <w:bCs/>
                <w:color w:val="auto"/>
                <w:sz w:val="22"/>
                <w:szCs w:val="22"/>
                <w:highlight w:val="none"/>
                <w:lang w:val="zh-CN"/>
              </w:rPr>
            </w:pPr>
            <w:r>
              <w:rPr>
                <w:rFonts w:hint="eastAsia" w:ascii="新宋体" w:hAnsi="新宋体" w:eastAsia="新宋体" w:cs="新宋体"/>
                <w:b/>
                <w:bCs/>
                <w:color w:val="auto"/>
                <w:sz w:val="22"/>
                <w:szCs w:val="22"/>
                <w:highlight w:val="none"/>
              </w:rPr>
              <w:t>最近一年工作单位</w:t>
            </w:r>
          </w:p>
        </w:tc>
        <w:tc>
          <w:tcPr>
            <w:tcW w:w="1833" w:type="dxa"/>
            <w:noWrap w:val="0"/>
            <w:vAlign w:val="center"/>
          </w:tcPr>
          <w:p>
            <w:pPr>
              <w:autoSpaceDE w:val="0"/>
              <w:autoSpaceDN w:val="0"/>
              <w:adjustRightInd w:val="0"/>
              <w:spacing w:line="360" w:lineRule="auto"/>
              <w:jc w:val="center"/>
              <w:rPr>
                <w:rFonts w:ascii="新宋体" w:hAnsi="新宋体" w:eastAsia="新宋体" w:cs="新宋体"/>
                <w:color w:val="auto"/>
                <w:sz w:val="22"/>
                <w:szCs w:val="22"/>
                <w:highlight w:val="none"/>
                <w:lang w:val="zh-CN"/>
              </w:rPr>
            </w:pPr>
          </w:p>
        </w:tc>
        <w:tc>
          <w:tcPr>
            <w:tcW w:w="5880" w:type="dxa"/>
            <w:vMerge w:val="continue"/>
            <w:noWrap w:val="0"/>
            <w:vAlign w:val="center"/>
          </w:tcPr>
          <w:p>
            <w:pPr>
              <w:autoSpaceDE w:val="0"/>
              <w:autoSpaceDN w:val="0"/>
              <w:adjustRightInd w:val="0"/>
              <w:spacing w:line="360" w:lineRule="auto"/>
              <w:jc w:val="center"/>
              <w:rPr>
                <w:rFonts w:ascii="新宋体" w:hAnsi="新宋体" w:eastAsia="新宋体" w:cs="新宋体"/>
                <w:color w:val="auto"/>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974" w:type="dxa"/>
            <w:noWrap w:val="0"/>
            <w:vAlign w:val="center"/>
          </w:tcPr>
          <w:p>
            <w:pPr>
              <w:autoSpaceDE w:val="0"/>
              <w:autoSpaceDN w:val="0"/>
              <w:adjustRightInd w:val="0"/>
              <w:jc w:val="center"/>
              <w:rPr>
                <w:rFonts w:ascii="新宋体" w:hAnsi="新宋体" w:eastAsia="新宋体" w:cs="新宋体"/>
                <w:b/>
                <w:bCs/>
                <w:color w:val="auto"/>
                <w:sz w:val="22"/>
                <w:szCs w:val="22"/>
                <w:highlight w:val="none"/>
                <w:lang w:val="zh-CN"/>
              </w:rPr>
            </w:pPr>
            <w:r>
              <w:rPr>
                <w:rFonts w:hint="eastAsia" w:ascii="新宋体" w:hAnsi="新宋体" w:eastAsia="新宋体" w:cs="新宋体"/>
                <w:b/>
                <w:bCs/>
                <w:color w:val="auto"/>
                <w:sz w:val="22"/>
                <w:szCs w:val="22"/>
                <w:highlight w:val="none"/>
                <w:lang w:val="zh-CN"/>
              </w:rPr>
              <w:t>拟在本项目中担任主要工作</w:t>
            </w:r>
          </w:p>
        </w:tc>
        <w:tc>
          <w:tcPr>
            <w:tcW w:w="7713" w:type="dxa"/>
            <w:gridSpan w:val="2"/>
            <w:noWrap w:val="0"/>
            <w:vAlign w:val="center"/>
          </w:tcPr>
          <w:p>
            <w:pPr>
              <w:autoSpaceDE w:val="0"/>
              <w:autoSpaceDN w:val="0"/>
              <w:adjustRightInd w:val="0"/>
              <w:spacing w:line="360" w:lineRule="auto"/>
              <w:jc w:val="center"/>
              <w:rPr>
                <w:rFonts w:ascii="新宋体" w:hAnsi="新宋体" w:eastAsia="新宋体" w:cs="新宋体"/>
                <w:color w:val="auto"/>
                <w:sz w:val="22"/>
                <w:szCs w:val="22"/>
                <w:highlight w:val="none"/>
                <w:lang w:val="zh-CN"/>
              </w:rPr>
            </w:pPr>
          </w:p>
        </w:tc>
      </w:tr>
    </w:tbl>
    <w:p>
      <w:pPr>
        <w:spacing w:line="360" w:lineRule="exact"/>
        <w:ind w:left="972" w:hanging="972" w:hangingChars="440"/>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附注：须随表提交项目主管在投标人的社保证明复印件加投标人盖公章，学历、职称、所获其他证书的证书复印件加盖投标人公章。</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投标人全称（盖章）：</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投标人代表（签字）：</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 xml:space="preserve">日  期： </w:t>
      </w:r>
    </w:p>
    <w:p>
      <w:pPr>
        <w:spacing w:before="240" w:beforeLines="100" w:after="120" w:afterLines="50"/>
        <w:rPr>
          <w:rFonts w:ascii="宋体" w:hAnsi="宋体"/>
          <w:b/>
          <w:bCs/>
          <w:color w:val="auto"/>
          <w:sz w:val="22"/>
          <w:szCs w:val="22"/>
          <w:highlight w:val="none"/>
        </w:rPr>
      </w:pPr>
    </w:p>
    <w:p>
      <w:pPr>
        <w:pStyle w:val="9"/>
        <w:rPr>
          <w:color w:val="auto"/>
          <w:highlight w:val="none"/>
        </w:rPr>
      </w:pPr>
    </w:p>
    <w:p>
      <w:pPr>
        <w:spacing w:before="240" w:beforeLines="100" w:after="120" w:afterLines="50"/>
        <w:rPr>
          <w:rFonts w:ascii="宋体" w:hAnsi="宋体"/>
          <w:b/>
          <w:bCs/>
          <w:color w:val="auto"/>
          <w:sz w:val="22"/>
          <w:szCs w:val="22"/>
          <w:highlight w:val="none"/>
        </w:rPr>
      </w:pPr>
    </w:p>
    <w:p>
      <w:pPr>
        <w:spacing w:before="240" w:beforeLines="100" w:after="120" w:afterLines="50"/>
        <w:rPr>
          <w:rFonts w:ascii="宋体" w:hAnsi="宋体"/>
          <w:b/>
          <w:bCs/>
          <w:color w:val="auto"/>
          <w:sz w:val="22"/>
          <w:szCs w:val="22"/>
          <w:highlight w:val="none"/>
        </w:rPr>
      </w:pPr>
    </w:p>
    <w:p>
      <w:pPr>
        <w:tabs>
          <w:tab w:val="left" w:pos="1620"/>
        </w:tabs>
        <w:spacing w:line="460" w:lineRule="exact"/>
        <w:jc w:val="center"/>
        <w:outlineLvl w:val="5"/>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②项目服务人员汇总表</w:t>
      </w:r>
    </w:p>
    <w:p>
      <w:pPr>
        <w:spacing w:line="360" w:lineRule="auto"/>
        <w:rPr>
          <w:rFonts w:ascii="宋体" w:hAnsi="宋体"/>
          <w:bCs/>
          <w:color w:val="auto"/>
          <w:highlight w:val="none"/>
        </w:rPr>
      </w:pPr>
      <w:r>
        <w:rPr>
          <w:rFonts w:hint="eastAsia" w:ascii="新宋体" w:hAnsi="新宋体" w:eastAsia="新宋体"/>
          <w:b/>
          <w:color w:val="auto"/>
          <w:sz w:val="22"/>
          <w:highlight w:val="none"/>
        </w:rPr>
        <w:t>项目名称：                                           项目编号：</w:t>
      </w:r>
      <w:r>
        <w:rPr>
          <w:rFonts w:hint="eastAsia" w:ascii="宋体" w:hAnsi="宋体"/>
          <w:color w:val="auto"/>
          <w:highlight w:val="none"/>
        </w:rPr>
        <w:t xml:space="preserve">                                                  </w:t>
      </w:r>
    </w:p>
    <w:tbl>
      <w:tblPr>
        <w:tblStyle w:val="52"/>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520"/>
        <w:gridCol w:w="720"/>
        <w:gridCol w:w="720"/>
        <w:gridCol w:w="720"/>
        <w:gridCol w:w="1080"/>
        <w:gridCol w:w="1458"/>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noWrap w:val="0"/>
            <w:vAlign w:val="center"/>
          </w:tcPr>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姓名</w:t>
            </w:r>
          </w:p>
        </w:tc>
        <w:tc>
          <w:tcPr>
            <w:tcW w:w="2520" w:type="dxa"/>
            <w:noWrap w:val="0"/>
            <w:vAlign w:val="center"/>
          </w:tcPr>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本项目主要工作</w:t>
            </w:r>
          </w:p>
        </w:tc>
        <w:tc>
          <w:tcPr>
            <w:tcW w:w="720" w:type="dxa"/>
            <w:noWrap w:val="0"/>
            <w:vAlign w:val="center"/>
          </w:tcPr>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年龄</w:t>
            </w:r>
          </w:p>
        </w:tc>
        <w:tc>
          <w:tcPr>
            <w:tcW w:w="720" w:type="dxa"/>
            <w:noWrap w:val="0"/>
            <w:vAlign w:val="center"/>
          </w:tcPr>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性别</w:t>
            </w:r>
          </w:p>
        </w:tc>
        <w:tc>
          <w:tcPr>
            <w:tcW w:w="720" w:type="dxa"/>
            <w:noWrap w:val="0"/>
            <w:vAlign w:val="center"/>
          </w:tcPr>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专业</w:t>
            </w:r>
          </w:p>
        </w:tc>
        <w:tc>
          <w:tcPr>
            <w:tcW w:w="1080" w:type="dxa"/>
            <w:noWrap w:val="0"/>
            <w:vAlign w:val="center"/>
          </w:tcPr>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专业</w:t>
            </w:r>
          </w:p>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年限</w:t>
            </w:r>
          </w:p>
        </w:tc>
        <w:tc>
          <w:tcPr>
            <w:tcW w:w="1458" w:type="dxa"/>
            <w:noWrap w:val="0"/>
            <w:vAlign w:val="center"/>
          </w:tcPr>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职务</w:t>
            </w:r>
          </w:p>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和职称/认证</w:t>
            </w:r>
          </w:p>
        </w:tc>
        <w:tc>
          <w:tcPr>
            <w:tcW w:w="1422" w:type="dxa"/>
            <w:noWrap w:val="0"/>
            <w:vAlign w:val="center"/>
          </w:tcPr>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到现场服务</w:t>
            </w:r>
          </w:p>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noWrap w:val="0"/>
            <w:vAlign w:val="center"/>
          </w:tcPr>
          <w:p>
            <w:pPr>
              <w:spacing w:line="360" w:lineRule="auto"/>
              <w:rPr>
                <w:rFonts w:ascii="新宋体" w:hAnsi="新宋体" w:eastAsia="新宋体" w:cs="新宋体"/>
                <w:color w:val="auto"/>
                <w:sz w:val="22"/>
                <w:szCs w:val="22"/>
                <w:highlight w:val="none"/>
              </w:rPr>
            </w:pPr>
          </w:p>
        </w:tc>
        <w:tc>
          <w:tcPr>
            <w:tcW w:w="25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1080" w:type="dxa"/>
            <w:noWrap w:val="0"/>
            <w:vAlign w:val="center"/>
          </w:tcPr>
          <w:p>
            <w:pPr>
              <w:spacing w:line="360" w:lineRule="auto"/>
              <w:rPr>
                <w:rFonts w:ascii="新宋体" w:hAnsi="新宋体" w:eastAsia="新宋体" w:cs="新宋体"/>
                <w:color w:val="auto"/>
                <w:sz w:val="22"/>
                <w:szCs w:val="22"/>
                <w:highlight w:val="none"/>
              </w:rPr>
            </w:pPr>
          </w:p>
        </w:tc>
        <w:tc>
          <w:tcPr>
            <w:tcW w:w="1458" w:type="dxa"/>
            <w:noWrap w:val="0"/>
            <w:vAlign w:val="center"/>
          </w:tcPr>
          <w:p>
            <w:pPr>
              <w:spacing w:line="360" w:lineRule="auto"/>
              <w:ind w:left="5250"/>
              <w:rPr>
                <w:rFonts w:ascii="新宋体" w:hAnsi="新宋体" w:eastAsia="新宋体" w:cs="新宋体"/>
                <w:color w:val="auto"/>
                <w:spacing w:val="12"/>
                <w:sz w:val="22"/>
                <w:szCs w:val="22"/>
                <w:highlight w:val="none"/>
              </w:rPr>
            </w:pPr>
          </w:p>
        </w:tc>
        <w:tc>
          <w:tcPr>
            <w:tcW w:w="1422" w:type="dxa"/>
            <w:noWrap w:val="0"/>
            <w:vAlign w:val="center"/>
          </w:tcPr>
          <w:p>
            <w:pPr>
              <w:spacing w:line="360" w:lineRule="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noWrap w:val="0"/>
            <w:vAlign w:val="center"/>
          </w:tcPr>
          <w:p>
            <w:pPr>
              <w:spacing w:line="360" w:lineRule="auto"/>
              <w:rPr>
                <w:rFonts w:ascii="新宋体" w:hAnsi="新宋体" w:eastAsia="新宋体" w:cs="新宋体"/>
                <w:color w:val="auto"/>
                <w:sz w:val="22"/>
                <w:szCs w:val="22"/>
                <w:highlight w:val="none"/>
              </w:rPr>
            </w:pPr>
          </w:p>
        </w:tc>
        <w:tc>
          <w:tcPr>
            <w:tcW w:w="25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1080" w:type="dxa"/>
            <w:noWrap w:val="0"/>
            <w:vAlign w:val="center"/>
          </w:tcPr>
          <w:p>
            <w:pPr>
              <w:spacing w:line="360" w:lineRule="auto"/>
              <w:rPr>
                <w:rFonts w:ascii="新宋体" w:hAnsi="新宋体" w:eastAsia="新宋体" w:cs="新宋体"/>
                <w:color w:val="auto"/>
                <w:sz w:val="22"/>
                <w:szCs w:val="22"/>
                <w:highlight w:val="none"/>
              </w:rPr>
            </w:pPr>
          </w:p>
        </w:tc>
        <w:tc>
          <w:tcPr>
            <w:tcW w:w="1458" w:type="dxa"/>
            <w:noWrap w:val="0"/>
            <w:vAlign w:val="center"/>
          </w:tcPr>
          <w:p>
            <w:pPr>
              <w:spacing w:line="360" w:lineRule="auto"/>
              <w:rPr>
                <w:rFonts w:ascii="新宋体" w:hAnsi="新宋体" w:eastAsia="新宋体" w:cs="新宋体"/>
                <w:color w:val="auto"/>
                <w:sz w:val="22"/>
                <w:szCs w:val="22"/>
                <w:highlight w:val="none"/>
              </w:rPr>
            </w:pPr>
          </w:p>
        </w:tc>
        <w:tc>
          <w:tcPr>
            <w:tcW w:w="1422" w:type="dxa"/>
            <w:noWrap w:val="0"/>
            <w:vAlign w:val="center"/>
          </w:tcPr>
          <w:p>
            <w:pPr>
              <w:spacing w:line="360" w:lineRule="auto"/>
              <w:ind w:left="5250"/>
              <w:rPr>
                <w:rFonts w:ascii="新宋体" w:hAnsi="新宋体" w:eastAsia="新宋体" w:cs="新宋体"/>
                <w:color w:val="auto"/>
                <w:spacing w:val="1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noWrap w:val="0"/>
            <w:vAlign w:val="center"/>
          </w:tcPr>
          <w:p>
            <w:pPr>
              <w:spacing w:line="360" w:lineRule="auto"/>
              <w:rPr>
                <w:rFonts w:ascii="新宋体" w:hAnsi="新宋体" w:eastAsia="新宋体" w:cs="新宋体"/>
                <w:color w:val="auto"/>
                <w:sz w:val="22"/>
                <w:szCs w:val="22"/>
                <w:highlight w:val="none"/>
              </w:rPr>
            </w:pPr>
          </w:p>
        </w:tc>
        <w:tc>
          <w:tcPr>
            <w:tcW w:w="25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1080" w:type="dxa"/>
            <w:noWrap w:val="0"/>
            <w:vAlign w:val="center"/>
          </w:tcPr>
          <w:p>
            <w:pPr>
              <w:spacing w:line="360" w:lineRule="auto"/>
              <w:rPr>
                <w:rFonts w:ascii="新宋体" w:hAnsi="新宋体" w:eastAsia="新宋体" w:cs="新宋体"/>
                <w:color w:val="auto"/>
                <w:sz w:val="22"/>
                <w:szCs w:val="22"/>
                <w:highlight w:val="none"/>
              </w:rPr>
            </w:pPr>
          </w:p>
        </w:tc>
        <w:tc>
          <w:tcPr>
            <w:tcW w:w="1458" w:type="dxa"/>
            <w:noWrap w:val="0"/>
            <w:vAlign w:val="center"/>
          </w:tcPr>
          <w:p>
            <w:pPr>
              <w:spacing w:line="360" w:lineRule="auto"/>
              <w:rPr>
                <w:rFonts w:ascii="新宋体" w:hAnsi="新宋体" w:eastAsia="新宋体" w:cs="新宋体"/>
                <w:color w:val="auto"/>
                <w:sz w:val="22"/>
                <w:szCs w:val="22"/>
                <w:highlight w:val="none"/>
              </w:rPr>
            </w:pPr>
          </w:p>
        </w:tc>
        <w:tc>
          <w:tcPr>
            <w:tcW w:w="1422" w:type="dxa"/>
            <w:noWrap w:val="0"/>
            <w:vAlign w:val="center"/>
          </w:tcPr>
          <w:p>
            <w:pPr>
              <w:spacing w:line="360" w:lineRule="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noWrap w:val="0"/>
            <w:vAlign w:val="center"/>
          </w:tcPr>
          <w:p>
            <w:pPr>
              <w:spacing w:line="360" w:lineRule="auto"/>
              <w:rPr>
                <w:rFonts w:ascii="新宋体" w:hAnsi="新宋体" w:eastAsia="新宋体" w:cs="新宋体"/>
                <w:color w:val="auto"/>
                <w:sz w:val="22"/>
                <w:szCs w:val="22"/>
                <w:highlight w:val="none"/>
              </w:rPr>
            </w:pPr>
          </w:p>
        </w:tc>
        <w:tc>
          <w:tcPr>
            <w:tcW w:w="25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1080" w:type="dxa"/>
            <w:noWrap w:val="0"/>
            <w:vAlign w:val="center"/>
          </w:tcPr>
          <w:p>
            <w:pPr>
              <w:spacing w:line="360" w:lineRule="auto"/>
              <w:rPr>
                <w:rFonts w:ascii="新宋体" w:hAnsi="新宋体" w:eastAsia="新宋体" w:cs="新宋体"/>
                <w:color w:val="auto"/>
                <w:sz w:val="22"/>
                <w:szCs w:val="22"/>
                <w:highlight w:val="none"/>
              </w:rPr>
            </w:pPr>
          </w:p>
        </w:tc>
        <w:tc>
          <w:tcPr>
            <w:tcW w:w="1458" w:type="dxa"/>
            <w:noWrap w:val="0"/>
            <w:vAlign w:val="center"/>
          </w:tcPr>
          <w:p>
            <w:pPr>
              <w:spacing w:line="360" w:lineRule="auto"/>
              <w:rPr>
                <w:rFonts w:ascii="新宋体" w:hAnsi="新宋体" w:eastAsia="新宋体" w:cs="新宋体"/>
                <w:color w:val="auto"/>
                <w:sz w:val="22"/>
                <w:szCs w:val="22"/>
                <w:highlight w:val="none"/>
              </w:rPr>
            </w:pPr>
          </w:p>
        </w:tc>
        <w:tc>
          <w:tcPr>
            <w:tcW w:w="1422" w:type="dxa"/>
            <w:noWrap w:val="0"/>
            <w:vAlign w:val="center"/>
          </w:tcPr>
          <w:p>
            <w:pPr>
              <w:spacing w:line="360" w:lineRule="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noWrap w:val="0"/>
            <w:vAlign w:val="center"/>
          </w:tcPr>
          <w:p>
            <w:pPr>
              <w:spacing w:line="360" w:lineRule="auto"/>
              <w:rPr>
                <w:rFonts w:ascii="新宋体" w:hAnsi="新宋体" w:eastAsia="新宋体" w:cs="新宋体"/>
                <w:color w:val="auto"/>
                <w:sz w:val="22"/>
                <w:szCs w:val="22"/>
                <w:highlight w:val="none"/>
              </w:rPr>
            </w:pPr>
          </w:p>
        </w:tc>
        <w:tc>
          <w:tcPr>
            <w:tcW w:w="25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1080" w:type="dxa"/>
            <w:noWrap w:val="0"/>
            <w:vAlign w:val="center"/>
          </w:tcPr>
          <w:p>
            <w:pPr>
              <w:spacing w:line="360" w:lineRule="auto"/>
              <w:rPr>
                <w:rFonts w:ascii="新宋体" w:hAnsi="新宋体" w:eastAsia="新宋体" w:cs="新宋体"/>
                <w:color w:val="auto"/>
                <w:sz w:val="22"/>
                <w:szCs w:val="22"/>
                <w:highlight w:val="none"/>
              </w:rPr>
            </w:pPr>
          </w:p>
        </w:tc>
        <w:tc>
          <w:tcPr>
            <w:tcW w:w="1458" w:type="dxa"/>
            <w:noWrap w:val="0"/>
            <w:vAlign w:val="center"/>
          </w:tcPr>
          <w:p>
            <w:pPr>
              <w:spacing w:line="360" w:lineRule="auto"/>
              <w:rPr>
                <w:rFonts w:ascii="新宋体" w:hAnsi="新宋体" w:eastAsia="新宋体" w:cs="新宋体"/>
                <w:color w:val="auto"/>
                <w:sz w:val="22"/>
                <w:szCs w:val="22"/>
                <w:highlight w:val="none"/>
              </w:rPr>
            </w:pPr>
          </w:p>
        </w:tc>
        <w:tc>
          <w:tcPr>
            <w:tcW w:w="1422" w:type="dxa"/>
            <w:noWrap w:val="0"/>
            <w:vAlign w:val="center"/>
          </w:tcPr>
          <w:p>
            <w:pPr>
              <w:spacing w:line="360" w:lineRule="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noWrap w:val="0"/>
            <w:vAlign w:val="center"/>
          </w:tcPr>
          <w:p>
            <w:pPr>
              <w:spacing w:line="360" w:lineRule="auto"/>
              <w:rPr>
                <w:rFonts w:ascii="新宋体" w:hAnsi="新宋体" w:eastAsia="新宋体" w:cs="新宋体"/>
                <w:color w:val="auto"/>
                <w:sz w:val="22"/>
                <w:szCs w:val="22"/>
                <w:highlight w:val="none"/>
              </w:rPr>
            </w:pPr>
          </w:p>
        </w:tc>
        <w:tc>
          <w:tcPr>
            <w:tcW w:w="25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1080" w:type="dxa"/>
            <w:noWrap w:val="0"/>
            <w:vAlign w:val="center"/>
          </w:tcPr>
          <w:p>
            <w:pPr>
              <w:spacing w:line="360" w:lineRule="auto"/>
              <w:rPr>
                <w:rFonts w:ascii="新宋体" w:hAnsi="新宋体" w:eastAsia="新宋体" w:cs="新宋体"/>
                <w:color w:val="auto"/>
                <w:sz w:val="22"/>
                <w:szCs w:val="22"/>
                <w:highlight w:val="none"/>
              </w:rPr>
            </w:pPr>
          </w:p>
        </w:tc>
        <w:tc>
          <w:tcPr>
            <w:tcW w:w="1458" w:type="dxa"/>
            <w:noWrap w:val="0"/>
            <w:vAlign w:val="center"/>
          </w:tcPr>
          <w:p>
            <w:pPr>
              <w:spacing w:line="360" w:lineRule="auto"/>
              <w:rPr>
                <w:rFonts w:ascii="新宋体" w:hAnsi="新宋体" w:eastAsia="新宋体" w:cs="新宋体"/>
                <w:color w:val="auto"/>
                <w:sz w:val="22"/>
                <w:szCs w:val="22"/>
                <w:highlight w:val="none"/>
              </w:rPr>
            </w:pPr>
          </w:p>
        </w:tc>
        <w:tc>
          <w:tcPr>
            <w:tcW w:w="1422" w:type="dxa"/>
            <w:noWrap w:val="0"/>
            <w:vAlign w:val="center"/>
          </w:tcPr>
          <w:p>
            <w:pPr>
              <w:spacing w:line="360" w:lineRule="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noWrap w:val="0"/>
            <w:vAlign w:val="center"/>
          </w:tcPr>
          <w:p>
            <w:pPr>
              <w:spacing w:line="360" w:lineRule="auto"/>
              <w:rPr>
                <w:rFonts w:ascii="新宋体" w:hAnsi="新宋体" w:eastAsia="新宋体" w:cs="新宋体"/>
                <w:color w:val="auto"/>
                <w:sz w:val="22"/>
                <w:szCs w:val="22"/>
                <w:highlight w:val="none"/>
              </w:rPr>
            </w:pPr>
          </w:p>
        </w:tc>
        <w:tc>
          <w:tcPr>
            <w:tcW w:w="25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1080" w:type="dxa"/>
            <w:noWrap w:val="0"/>
            <w:vAlign w:val="center"/>
          </w:tcPr>
          <w:p>
            <w:pPr>
              <w:spacing w:line="360" w:lineRule="auto"/>
              <w:rPr>
                <w:rFonts w:ascii="新宋体" w:hAnsi="新宋体" w:eastAsia="新宋体" w:cs="新宋体"/>
                <w:color w:val="auto"/>
                <w:sz w:val="22"/>
                <w:szCs w:val="22"/>
                <w:highlight w:val="none"/>
              </w:rPr>
            </w:pPr>
          </w:p>
        </w:tc>
        <w:tc>
          <w:tcPr>
            <w:tcW w:w="1458" w:type="dxa"/>
            <w:noWrap w:val="0"/>
            <w:vAlign w:val="center"/>
          </w:tcPr>
          <w:p>
            <w:pPr>
              <w:spacing w:line="360" w:lineRule="auto"/>
              <w:rPr>
                <w:rFonts w:ascii="新宋体" w:hAnsi="新宋体" w:eastAsia="新宋体" w:cs="新宋体"/>
                <w:color w:val="auto"/>
                <w:sz w:val="22"/>
                <w:szCs w:val="22"/>
                <w:highlight w:val="none"/>
              </w:rPr>
            </w:pPr>
          </w:p>
        </w:tc>
        <w:tc>
          <w:tcPr>
            <w:tcW w:w="1422" w:type="dxa"/>
            <w:noWrap w:val="0"/>
            <w:vAlign w:val="center"/>
          </w:tcPr>
          <w:p>
            <w:pPr>
              <w:spacing w:line="360" w:lineRule="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noWrap w:val="0"/>
            <w:vAlign w:val="center"/>
          </w:tcPr>
          <w:p>
            <w:pPr>
              <w:spacing w:line="360" w:lineRule="auto"/>
              <w:rPr>
                <w:rFonts w:ascii="新宋体" w:hAnsi="新宋体" w:eastAsia="新宋体" w:cs="新宋体"/>
                <w:color w:val="auto"/>
                <w:sz w:val="22"/>
                <w:szCs w:val="22"/>
                <w:highlight w:val="none"/>
              </w:rPr>
            </w:pPr>
          </w:p>
        </w:tc>
        <w:tc>
          <w:tcPr>
            <w:tcW w:w="25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1080" w:type="dxa"/>
            <w:noWrap w:val="0"/>
            <w:vAlign w:val="center"/>
          </w:tcPr>
          <w:p>
            <w:pPr>
              <w:spacing w:line="360" w:lineRule="auto"/>
              <w:rPr>
                <w:rFonts w:ascii="新宋体" w:hAnsi="新宋体" w:eastAsia="新宋体" w:cs="新宋体"/>
                <w:color w:val="auto"/>
                <w:sz w:val="22"/>
                <w:szCs w:val="22"/>
                <w:highlight w:val="none"/>
              </w:rPr>
            </w:pPr>
          </w:p>
        </w:tc>
        <w:tc>
          <w:tcPr>
            <w:tcW w:w="1458" w:type="dxa"/>
            <w:noWrap w:val="0"/>
            <w:vAlign w:val="center"/>
          </w:tcPr>
          <w:p>
            <w:pPr>
              <w:spacing w:line="360" w:lineRule="auto"/>
              <w:rPr>
                <w:rFonts w:ascii="新宋体" w:hAnsi="新宋体" w:eastAsia="新宋体" w:cs="新宋体"/>
                <w:color w:val="auto"/>
                <w:sz w:val="22"/>
                <w:szCs w:val="22"/>
                <w:highlight w:val="none"/>
              </w:rPr>
            </w:pPr>
          </w:p>
        </w:tc>
        <w:tc>
          <w:tcPr>
            <w:tcW w:w="1422" w:type="dxa"/>
            <w:noWrap w:val="0"/>
            <w:vAlign w:val="center"/>
          </w:tcPr>
          <w:p>
            <w:pPr>
              <w:spacing w:line="360" w:lineRule="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noWrap w:val="0"/>
            <w:vAlign w:val="center"/>
          </w:tcPr>
          <w:p>
            <w:pPr>
              <w:spacing w:line="360" w:lineRule="auto"/>
              <w:rPr>
                <w:rFonts w:ascii="新宋体" w:hAnsi="新宋体" w:eastAsia="新宋体" w:cs="新宋体"/>
                <w:color w:val="auto"/>
                <w:sz w:val="22"/>
                <w:szCs w:val="22"/>
                <w:highlight w:val="none"/>
              </w:rPr>
            </w:pPr>
          </w:p>
        </w:tc>
        <w:tc>
          <w:tcPr>
            <w:tcW w:w="25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1080" w:type="dxa"/>
            <w:noWrap w:val="0"/>
            <w:vAlign w:val="center"/>
          </w:tcPr>
          <w:p>
            <w:pPr>
              <w:spacing w:line="360" w:lineRule="auto"/>
              <w:rPr>
                <w:rFonts w:ascii="新宋体" w:hAnsi="新宋体" w:eastAsia="新宋体" w:cs="新宋体"/>
                <w:color w:val="auto"/>
                <w:sz w:val="22"/>
                <w:szCs w:val="22"/>
                <w:highlight w:val="none"/>
              </w:rPr>
            </w:pPr>
          </w:p>
        </w:tc>
        <w:tc>
          <w:tcPr>
            <w:tcW w:w="1458" w:type="dxa"/>
            <w:noWrap w:val="0"/>
            <w:vAlign w:val="center"/>
          </w:tcPr>
          <w:p>
            <w:pPr>
              <w:spacing w:line="360" w:lineRule="auto"/>
              <w:rPr>
                <w:rFonts w:ascii="新宋体" w:hAnsi="新宋体" w:eastAsia="新宋体" w:cs="新宋体"/>
                <w:color w:val="auto"/>
                <w:sz w:val="22"/>
                <w:szCs w:val="22"/>
                <w:highlight w:val="none"/>
              </w:rPr>
            </w:pPr>
          </w:p>
        </w:tc>
        <w:tc>
          <w:tcPr>
            <w:tcW w:w="1422" w:type="dxa"/>
            <w:noWrap w:val="0"/>
            <w:vAlign w:val="center"/>
          </w:tcPr>
          <w:p>
            <w:pPr>
              <w:spacing w:line="360" w:lineRule="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noWrap w:val="0"/>
            <w:vAlign w:val="center"/>
          </w:tcPr>
          <w:p>
            <w:pPr>
              <w:spacing w:line="360" w:lineRule="auto"/>
              <w:rPr>
                <w:rFonts w:ascii="新宋体" w:hAnsi="新宋体" w:eastAsia="新宋体" w:cs="新宋体"/>
                <w:color w:val="auto"/>
                <w:sz w:val="22"/>
                <w:szCs w:val="22"/>
                <w:highlight w:val="none"/>
              </w:rPr>
            </w:pPr>
          </w:p>
        </w:tc>
        <w:tc>
          <w:tcPr>
            <w:tcW w:w="25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1080" w:type="dxa"/>
            <w:noWrap w:val="0"/>
            <w:vAlign w:val="center"/>
          </w:tcPr>
          <w:p>
            <w:pPr>
              <w:spacing w:line="360" w:lineRule="auto"/>
              <w:rPr>
                <w:rFonts w:ascii="新宋体" w:hAnsi="新宋体" w:eastAsia="新宋体" w:cs="新宋体"/>
                <w:color w:val="auto"/>
                <w:sz w:val="22"/>
                <w:szCs w:val="22"/>
                <w:highlight w:val="none"/>
              </w:rPr>
            </w:pPr>
          </w:p>
        </w:tc>
        <w:tc>
          <w:tcPr>
            <w:tcW w:w="1458" w:type="dxa"/>
            <w:noWrap w:val="0"/>
            <w:vAlign w:val="center"/>
          </w:tcPr>
          <w:p>
            <w:pPr>
              <w:spacing w:line="360" w:lineRule="auto"/>
              <w:rPr>
                <w:rFonts w:ascii="新宋体" w:hAnsi="新宋体" w:eastAsia="新宋体" w:cs="新宋体"/>
                <w:color w:val="auto"/>
                <w:sz w:val="22"/>
                <w:szCs w:val="22"/>
                <w:highlight w:val="none"/>
              </w:rPr>
            </w:pPr>
          </w:p>
        </w:tc>
        <w:tc>
          <w:tcPr>
            <w:tcW w:w="1422" w:type="dxa"/>
            <w:noWrap w:val="0"/>
            <w:vAlign w:val="center"/>
          </w:tcPr>
          <w:p>
            <w:pPr>
              <w:spacing w:line="360" w:lineRule="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noWrap w:val="0"/>
            <w:vAlign w:val="center"/>
          </w:tcPr>
          <w:p>
            <w:pPr>
              <w:spacing w:line="360" w:lineRule="auto"/>
              <w:rPr>
                <w:rFonts w:ascii="新宋体" w:hAnsi="新宋体" w:eastAsia="新宋体" w:cs="新宋体"/>
                <w:color w:val="auto"/>
                <w:sz w:val="22"/>
                <w:szCs w:val="22"/>
                <w:highlight w:val="none"/>
              </w:rPr>
            </w:pPr>
          </w:p>
        </w:tc>
        <w:tc>
          <w:tcPr>
            <w:tcW w:w="25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1080" w:type="dxa"/>
            <w:noWrap w:val="0"/>
            <w:vAlign w:val="center"/>
          </w:tcPr>
          <w:p>
            <w:pPr>
              <w:spacing w:line="360" w:lineRule="auto"/>
              <w:rPr>
                <w:rFonts w:ascii="新宋体" w:hAnsi="新宋体" w:eastAsia="新宋体" w:cs="新宋体"/>
                <w:color w:val="auto"/>
                <w:sz w:val="22"/>
                <w:szCs w:val="22"/>
                <w:highlight w:val="none"/>
              </w:rPr>
            </w:pPr>
          </w:p>
        </w:tc>
        <w:tc>
          <w:tcPr>
            <w:tcW w:w="1458" w:type="dxa"/>
            <w:noWrap w:val="0"/>
            <w:vAlign w:val="center"/>
          </w:tcPr>
          <w:p>
            <w:pPr>
              <w:spacing w:line="360" w:lineRule="auto"/>
              <w:rPr>
                <w:rFonts w:ascii="新宋体" w:hAnsi="新宋体" w:eastAsia="新宋体" w:cs="新宋体"/>
                <w:color w:val="auto"/>
                <w:sz w:val="22"/>
                <w:szCs w:val="22"/>
                <w:highlight w:val="none"/>
              </w:rPr>
            </w:pPr>
          </w:p>
        </w:tc>
        <w:tc>
          <w:tcPr>
            <w:tcW w:w="1422" w:type="dxa"/>
            <w:noWrap w:val="0"/>
            <w:vAlign w:val="center"/>
          </w:tcPr>
          <w:p>
            <w:pPr>
              <w:spacing w:line="360" w:lineRule="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noWrap w:val="0"/>
            <w:vAlign w:val="center"/>
          </w:tcPr>
          <w:p>
            <w:pPr>
              <w:spacing w:line="360" w:lineRule="auto"/>
              <w:rPr>
                <w:rFonts w:ascii="新宋体" w:hAnsi="新宋体" w:eastAsia="新宋体" w:cs="新宋体"/>
                <w:color w:val="auto"/>
                <w:sz w:val="22"/>
                <w:szCs w:val="22"/>
                <w:highlight w:val="none"/>
              </w:rPr>
            </w:pPr>
          </w:p>
        </w:tc>
        <w:tc>
          <w:tcPr>
            <w:tcW w:w="25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1080" w:type="dxa"/>
            <w:noWrap w:val="0"/>
            <w:vAlign w:val="center"/>
          </w:tcPr>
          <w:p>
            <w:pPr>
              <w:spacing w:line="360" w:lineRule="auto"/>
              <w:rPr>
                <w:rFonts w:ascii="新宋体" w:hAnsi="新宋体" w:eastAsia="新宋体" w:cs="新宋体"/>
                <w:color w:val="auto"/>
                <w:sz w:val="22"/>
                <w:szCs w:val="22"/>
                <w:highlight w:val="none"/>
              </w:rPr>
            </w:pPr>
          </w:p>
        </w:tc>
        <w:tc>
          <w:tcPr>
            <w:tcW w:w="1458" w:type="dxa"/>
            <w:noWrap w:val="0"/>
            <w:vAlign w:val="center"/>
          </w:tcPr>
          <w:p>
            <w:pPr>
              <w:spacing w:line="360" w:lineRule="auto"/>
              <w:rPr>
                <w:rFonts w:ascii="新宋体" w:hAnsi="新宋体" w:eastAsia="新宋体" w:cs="新宋体"/>
                <w:color w:val="auto"/>
                <w:sz w:val="22"/>
                <w:szCs w:val="22"/>
                <w:highlight w:val="none"/>
              </w:rPr>
            </w:pPr>
          </w:p>
        </w:tc>
        <w:tc>
          <w:tcPr>
            <w:tcW w:w="1422" w:type="dxa"/>
            <w:noWrap w:val="0"/>
            <w:vAlign w:val="center"/>
          </w:tcPr>
          <w:p>
            <w:pPr>
              <w:spacing w:line="360" w:lineRule="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noWrap w:val="0"/>
            <w:vAlign w:val="center"/>
          </w:tcPr>
          <w:p>
            <w:pPr>
              <w:spacing w:line="360" w:lineRule="auto"/>
              <w:rPr>
                <w:rFonts w:ascii="新宋体" w:hAnsi="新宋体" w:eastAsia="新宋体" w:cs="新宋体"/>
                <w:color w:val="auto"/>
                <w:sz w:val="22"/>
                <w:szCs w:val="22"/>
                <w:highlight w:val="none"/>
              </w:rPr>
            </w:pPr>
          </w:p>
        </w:tc>
        <w:tc>
          <w:tcPr>
            <w:tcW w:w="25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1080" w:type="dxa"/>
            <w:noWrap w:val="0"/>
            <w:vAlign w:val="center"/>
          </w:tcPr>
          <w:p>
            <w:pPr>
              <w:spacing w:line="360" w:lineRule="auto"/>
              <w:rPr>
                <w:rFonts w:ascii="新宋体" w:hAnsi="新宋体" w:eastAsia="新宋体" w:cs="新宋体"/>
                <w:color w:val="auto"/>
                <w:sz w:val="22"/>
                <w:szCs w:val="22"/>
                <w:highlight w:val="none"/>
              </w:rPr>
            </w:pPr>
          </w:p>
        </w:tc>
        <w:tc>
          <w:tcPr>
            <w:tcW w:w="1458" w:type="dxa"/>
            <w:noWrap w:val="0"/>
            <w:vAlign w:val="center"/>
          </w:tcPr>
          <w:p>
            <w:pPr>
              <w:spacing w:line="360" w:lineRule="auto"/>
              <w:rPr>
                <w:rFonts w:ascii="新宋体" w:hAnsi="新宋体" w:eastAsia="新宋体" w:cs="新宋体"/>
                <w:color w:val="auto"/>
                <w:sz w:val="22"/>
                <w:szCs w:val="22"/>
                <w:highlight w:val="none"/>
              </w:rPr>
            </w:pPr>
          </w:p>
        </w:tc>
        <w:tc>
          <w:tcPr>
            <w:tcW w:w="1422" w:type="dxa"/>
            <w:noWrap w:val="0"/>
            <w:vAlign w:val="center"/>
          </w:tcPr>
          <w:p>
            <w:pPr>
              <w:spacing w:line="360" w:lineRule="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noWrap w:val="0"/>
            <w:vAlign w:val="center"/>
          </w:tcPr>
          <w:p>
            <w:pPr>
              <w:spacing w:line="360" w:lineRule="auto"/>
              <w:rPr>
                <w:rFonts w:ascii="新宋体" w:hAnsi="新宋体" w:eastAsia="新宋体" w:cs="新宋体"/>
                <w:color w:val="auto"/>
                <w:sz w:val="22"/>
                <w:szCs w:val="22"/>
                <w:highlight w:val="none"/>
              </w:rPr>
            </w:pPr>
          </w:p>
        </w:tc>
        <w:tc>
          <w:tcPr>
            <w:tcW w:w="25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1080" w:type="dxa"/>
            <w:noWrap w:val="0"/>
            <w:vAlign w:val="center"/>
          </w:tcPr>
          <w:p>
            <w:pPr>
              <w:spacing w:line="360" w:lineRule="auto"/>
              <w:rPr>
                <w:rFonts w:ascii="新宋体" w:hAnsi="新宋体" w:eastAsia="新宋体" w:cs="新宋体"/>
                <w:color w:val="auto"/>
                <w:sz w:val="22"/>
                <w:szCs w:val="22"/>
                <w:highlight w:val="none"/>
              </w:rPr>
            </w:pPr>
          </w:p>
        </w:tc>
        <w:tc>
          <w:tcPr>
            <w:tcW w:w="1458" w:type="dxa"/>
            <w:noWrap w:val="0"/>
            <w:vAlign w:val="center"/>
          </w:tcPr>
          <w:p>
            <w:pPr>
              <w:spacing w:line="360" w:lineRule="auto"/>
              <w:rPr>
                <w:rFonts w:ascii="新宋体" w:hAnsi="新宋体" w:eastAsia="新宋体" w:cs="新宋体"/>
                <w:color w:val="auto"/>
                <w:sz w:val="22"/>
                <w:szCs w:val="22"/>
                <w:highlight w:val="none"/>
              </w:rPr>
            </w:pPr>
          </w:p>
        </w:tc>
        <w:tc>
          <w:tcPr>
            <w:tcW w:w="1422" w:type="dxa"/>
            <w:noWrap w:val="0"/>
            <w:vAlign w:val="center"/>
          </w:tcPr>
          <w:p>
            <w:pPr>
              <w:spacing w:line="360" w:lineRule="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noWrap w:val="0"/>
            <w:vAlign w:val="center"/>
          </w:tcPr>
          <w:p>
            <w:pPr>
              <w:spacing w:line="360" w:lineRule="auto"/>
              <w:rPr>
                <w:rFonts w:ascii="新宋体" w:hAnsi="新宋体" w:eastAsia="新宋体" w:cs="新宋体"/>
                <w:color w:val="auto"/>
                <w:sz w:val="22"/>
                <w:szCs w:val="22"/>
                <w:highlight w:val="none"/>
              </w:rPr>
            </w:pPr>
          </w:p>
        </w:tc>
        <w:tc>
          <w:tcPr>
            <w:tcW w:w="25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1080" w:type="dxa"/>
            <w:noWrap w:val="0"/>
            <w:vAlign w:val="center"/>
          </w:tcPr>
          <w:p>
            <w:pPr>
              <w:spacing w:line="360" w:lineRule="auto"/>
              <w:rPr>
                <w:rFonts w:ascii="新宋体" w:hAnsi="新宋体" w:eastAsia="新宋体" w:cs="新宋体"/>
                <w:color w:val="auto"/>
                <w:sz w:val="22"/>
                <w:szCs w:val="22"/>
                <w:highlight w:val="none"/>
              </w:rPr>
            </w:pPr>
          </w:p>
        </w:tc>
        <w:tc>
          <w:tcPr>
            <w:tcW w:w="1458" w:type="dxa"/>
            <w:noWrap w:val="0"/>
            <w:vAlign w:val="center"/>
          </w:tcPr>
          <w:p>
            <w:pPr>
              <w:spacing w:line="360" w:lineRule="auto"/>
              <w:rPr>
                <w:rFonts w:ascii="新宋体" w:hAnsi="新宋体" w:eastAsia="新宋体" w:cs="新宋体"/>
                <w:color w:val="auto"/>
                <w:sz w:val="22"/>
                <w:szCs w:val="22"/>
                <w:highlight w:val="none"/>
              </w:rPr>
            </w:pPr>
          </w:p>
        </w:tc>
        <w:tc>
          <w:tcPr>
            <w:tcW w:w="1422" w:type="dxa"/>
            <w:noWrap w:val="0"/>
            <w:vAlign w:val="center"/>
          </w:tcPr>
          <w:p>
            <w:pPr>
              <w:spacing w:line="360" w:lineRule="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noWrap w:val="0"/>
            <w:vAlign w:val="center"/>
          </w:tcPr>
          <w:p>
            <w:pPr>
              <w:spacing w:line="360" w:lineRule="auto"/>
              <w:rPr>
                <w:rFonts w:ascii="新宋体" w:hAnsi="新宋体" w:eastAsia="新宋体" w:cs="新宋体"/>
                <w:color w:val="auto"/>
                <w:sz w:val="22"/>
                <w:szCs w:val="22"/>
                <w:highlight w:val="none"/>
              </w:rPr>
            </w:pPr>
          </w:p>
        </w:tc>
        <w:tc>
          <w:tcPr>
            <w:tcW w:w="25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1080" w:type="dxa"/>
            <w:noWrap w:val="0"/>
            <w:vAlign w:val="center"/>
          </w:tcPr>
          <w:p>
            <w:pPr>
              <w:spacing w:line="360" w:lineRule="auto"/>
              <w:rPr>
                <w:rFonts w:ascii="新宋体" w:hAnsi="新宋体" w:eastAsia="新宋体" w:cs="新宋体"/>
                <w:color w:val="auto"/>
                <w:sz w:val="22"/>
                <w:szCs w:val="22"/>
                <w:highlight w:val="none"/>
              </w:rPr>
            </w:pPr>
          </w:p>
        </w:tc>
        <w:tc>
          <w:tcPr>
            <w:tcW w:w="1458" w:type="dxa"/>
            <w:noWrap w:val="0"/>
            <w:vAlign w:val="center"/>
          </w:tcPr>
          <w:p>
            <w:pPr>
              <w:spacing w:line="360" w:lineRule="auto"/>
              <w:rPr>
                <w:rFonts w:ascii="新宋体" w:hAnsi="新宋体" w:eastAsia="新宋体" w:cs="新宋体"/>
                <w:color w:val="auto"/>
                <w:sz w:val="22"/>
                <w:szCs w:val="22"/>
                <w:highlight w:val="none"/>
              </w:rPr>
            </w:pPr>
          </w:p>
        </w:tc>
        <w:tc>
          <w:tcPr>
            <w:tcW w:w="1422" w:type="dxa"/>
            <w:noWrap w:val="0"/>
            <w:vAlign w:val="center"/>
          </w:tcPr>
          <w:p>
            <w:pPr>
              <w:spacing w:line="360" w:lineRule="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noWrap w:val="0"/>
            <w:vAlign w:val="center"/>
          </w:tcPr>
          <w:p>
            <w:pPr>
              <w:spacing w:line="360" w:lineRule="auto"/>
              <w:rPr>
                <w:rFonts w:ascii="新宋体" w:hAnsi="新宋体" w:eastAsia="新宋体" w:cs="新宋体"/>
                <w:color w:val="auto"/>
                <w:sz w:val="22"/>
                <w:szCs w:val="22"/>
                <w:highlight w:val="none"/>
              </w:rPr>
            </w:pPr>
          </w:p>
        </w:tc>
        <w:tc>
          <w:tcPr>
            <w:tcW w:w="25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1080" w:type="dxa"/>
            <w:noWrap w:val="0"/>
            <w:vAlign w:val="center"/>
          </w:tcPr>
          <w:p>
            <w:pPr>
              <w:spacing w:line="360" w:lineRule="auto"/>
              <w:rPr>
                <w:rFonts w:ascii="新宋体" w:hAnsi="新宋体" w:eastAsia="新宋体" w:cs="新宋体"/>
                <w:color w:val="auto"/>
                <w:sz w:val="22"/>
                <w:szCs w:val="22"/>
                <w:highlight w:val="none"/>
              </w:rPr>
            </w:pPr>
          </w:p>
        </w:tc>
        <w:tc>
          <w:tcPr>
            <w:tcW w:w="1458" w:type="dxa"/>
            <w:noWrap w:val="0"/>
            <w:vAlign w:val="center"/>
          </w:tcPr>
          <w:p>
            <w:pPr>
              <w:spacing w:line="360" w:lineRule="auto"/>
              <w:rPr>
                <w:rFonts w:ascii="新宋体" w:hAnsi="新宋体" w:eastAsia="新宋体" w:cs="新宋体"/>
                <w:color w:val="auto"/>
                <w:sz w:val="22"/>
                <w:szCs w:val="22"/>
                <w:highlight w:val="none"/>
              </w:rPr>
            </w:pPr>
          </w:p>
        </w:tc>
        <w:tc>
          <w:tcPr>
            <w:tcW w:w="1422" w:type="dxa"/>
            <w:noWrap w:val="0"/>
            <w:vAlign w:val="center"/>
          </w:tcPr>
          <w:p>
            <w:pPr>
              <w:spacing w:line="360" w:lineRule="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noWrap w:val="0"/>
            <w:vAlign w:val="center"/>
          </w:tcPr>
          <w:p>
            <w:pPr>
              <w:spacing w:line="360" w:lineRule="auto"/>
              <w:rPr>
                <w:rFonts w:ascii="新宋体" w:hAnsi="新宋体" w:eastAsia="新宋体" w:cs="新宋体"/>
                <w:color w:val="auto"/>
                <w:sz w:val="22"/>
                <w:szCs w:val="22"/>
                <w:highlight w:val="none"/>
              </w:rPr>
            </w:pPr>
          </w:p>
        </w:tc>
        <w:tc>
          <w:tcPr>
            <w:tcW w:w="25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1080" w:type="dxa"/>
            <w:noWrap w:val="0"/>
            <w:vAlign w:val="center"/>
          </w:tcPr>
          <w:p>
            <w:pPr>
              <w:spacing w:line="360" w:lineRule="auto"/>
              <w:rPr>
                <w:rFonts w:ascii="新宋体" w:hAnsi="新宋体" w:eastAsia="新宋体" w:cs="新宋体"/>
                <w:color w:val="auto"/>
                <w:sz w:val="22"/>
                <w:szCs w:val="22"/>
                <w:highlight w:val="none"/>
              </w:rPr>
            </w:pPr>
          </w:p>
        </w:tc>
        <w:tc>
          <w:tcPr>
            <w:tcW w:w="1458" w:type="dxa"/>
            <w:noWrap w:val="0"/>
            <w:vAlign w:val="center"/>
          </w:tcPr>
          <w:p>
            <w:pPr>
              <w:spacing w:line="360" w:lineRule="auto"/>
              <w:rPr>
                <w:rFonts w:ascii="新宋体" w:hAnsi="新宋体" w:eastAsia="新宋体" w:cs="新宋体"/>
                <w:color w:val="auto"/>
                <w:sz w:val="22"/>
                <w:szCs w:val="22"/>
                <w:highlight w:val="none"/>
              </w:rPr>
            </w:pPr>
          </w:p>
        </w:tc>
        <w:tc>
          <w:tcPr>
            <w:tcW w:w="1422" w:type="dxa"/>
            <w:noWrap w:val="0"/>
            <w:vAlign w:val="center"/>
          </w:tcPr>
          <w:p>
            <w:pPr>
              <w:spacing w:line="360" w:lineRule="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noWrap w:val="0"/>
            <w:vAlign w:val="center"/>
          </w:tcPr>
          <w:p>
            <w:pPr>
              <w:spacing w:line="360" w:lineRule="auto"/>
              <w:rPr>
                <w:rFonts w:ascii="新宋体" w:hAnsi="新宋体" w:eastAsia="新宋体" w:cs="新宋体"/>
                <w:color w:val="auto"/>
                <w:sz w:val="22"/>
                <w:szCs w:val="22"/>
                <w:highlight w:val="none"/>
              </w:rPr>
            </w:pPr>
          </w:p>
        </w:tc>
        <w:tc>
          <w:tcPr>
            <w:tcW w:w="25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720" w:type="dxa"/>
            <w:noWrap w:val="0"/>
            <w:vAlign w:val="center"/>
          </w:tcPr>
          <w:p>
            <w:pPr>
              <w:spacing w:line="360" w:lineRule="auto"/>
              <w:rPr>
                <w:rFonts w:ascii="新宋体" w:hAnsi="新宋体" w:eastAsia="新宋体" w:cs="新宋体"/>
                <w:color w:val="auto"/>
                <w:sz w:val="22"/>
                <w:szCs w:val="22"/>
                <w:highlight w:val="none"/>
              </w:rPr>
            </w:pPr>
          </w:p>
        </w:tc>
        <w:tc>
          <w:tcPr>
            <w:tcW w:w="1080" w:type="dxa"/>
            <w:noWrap w:val="0"/>
            <w:vAlign w:val="center"/>
          </w:tcPr>
          <w:p>
            <w:pPr>
              <w:spacing w:line="360" w:lineRule="auto"/>
              <w:rPr>
                <w:rFonts w:ascii="新宋体" w:hAnsi="新宋体" w:eastAsia="新宋体" w:cs="新宋体"/>
                <w:color w:val="auto"/>
                <w:sz w:val="22"/>
                <w:szCs w:val="22"/>
                <w:highlight w:val="none"/>
              </w:rPr>
            </w:pPr>
          </w:p>
        </w:tc>
        <w:tc>
          <w:tcPr>
            <w:tcW w:w="1458" w:type="dxa"/>
            <w:noWrap w:val="0"/>
            <w:vAlign w:val="center"/>
          </w:tcPr>
          <w:p>
            <w:pPr>
              <w:spacing w:line="360" w:lineRule="auto"/>
              <w:rPr>
                <w:rFonts w:ascii="新宋体" w:hAnsi="新宋体" w:eastAsia="新宋体" w:cs="新宋体"/>
                <w:color w:val="auto"/>
                <w:sz w:val="22"/>
                <w:szCs w:val="22"/>
                <w:highlight w:val="none"/>
              </w:rPr>
            </w:pPr>
          </w:p>
        </w:tc>
        <w:tc>
          <w:tcPr>
            <w:tcW w:w="1422" w:type="dxa"/>
            <w:noWrap w:val="0"/>
            <w:vAlign w:val="center"/>
          </w:tcPr>
          <w:p>
            <w:pPr>
              <w:spacing w:line="360" w:lineRule="auto"/>
              <w:rPr>
                <w:rFonts w:ascii="新宋体" w:hAnsi="新宋体" w:eastAsia="新宋体" w:cs="新宋体"/>
                <w:color w:val="auto"/>
                <w:sz w:val="22"/>
                <w:szCs w:val="22"/>
                <w:highlight w:val="none"/>
              </w:rPr>
            </w:pPr>
          </w:p>
        </w:tc>
      </w:tr>
    </w:tbl>
    <w:p>
      <w:pPr>
        <w:spacing w:line="360" w:lineRule="exact"/>
        <w:ind w:left="968" w:hanging="968" w:hangingChars="4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附注：1、技术负责、施工、设备材料、以及各主要专业工种负责人均应列入；</w:t>
      </w:r>
    </w:p>
    <w:p>
      <w:pPr>
        <w:spacing w:line="360" w:lineRule="exact"/>
        <w:ind w:left="718" w:leftChars="321" w:hanging="44" w:hangingChars="2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2、列入本表人员如要更换，需经招标人同意，擅自更换或不到位属违约行为；</w:t>
      </w:r>
    </w:p>
    <w:p>
      <w:pPr>
        <w:spacing w:line="360" w:lineRule="exact"/>
        <w:ind w:left="718" w:leftChars="321" w:hanging="44" w:hangingChars="2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3、职称/认证证书复印件附后。</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投标人全称（盖章）：</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投标人代表（签字）：</w:t>
      </w:r>
    </w:p>
    <w:p>
      <w:pPr>
        <w:spacing w:line="380" w:lineRule="exact"/>
        <w:ind w:firstLine="4400" w:firstLineChars="2000"/>
        <w:rPr>
          <w:rFonts w:ascii="宋体" w:hAnsi="宋体"/>
          <w:color w:val="auto"/>
          <w:szCs w:val="21"/>
          <w:highlight w:val="none"/>
        </w:rPr>
      </w:pPr>
      <w:r>
        <w:rPr>
          <w:rFonts w:hint="eastAsia" w:ascii="新宋体" w:hAnsi="新宋体" w:eastAsia="新宋体"/>
          <w:color w:val="auto"/>
          <w:sz w:val="22"/>
          <w:szCs w:val="22"/>
          <w:highlight w:val="none"/>
        </w:rPr>
        <w:t>日  期：</w:t>
      </w:r>
    </w:p>
    <w:p>
      <w:pPr>
        <w:spacing w:line="380" w:lineRule="exact"/>
        <w:ind w:firstLine="4400" w:firstLineChars="2000"/>
        <w:rPr>
          <w:rFonts w:ascii="新宋体" w:hAnsi="新宋体" w:eastAsia="新宋体"/>
          <w:color w:val="auto"/>
          <w:sz w:val="22"/>
          <w:szCs w:val="22"/>
          <w:highlight w:val="none"/>
        </w:rPr>
      </w:pPr>
    </w:p>
    <w:p>
      <w:pPr>
        <w:spacing w:line="380" w:lineRule="exact"/>
        <w:ind w:firstLine="4400" w:firstLineChars="2000"/>
        <w:rPr>
          <w:rFonts w:ascii="新宋体" w:hAnsi="新宋体" w:eastAsia="新宋体"/>
          <w:color w:val="auto"/>
          <w:sz w:val="22"/>
          <w:szCs w:val="22"/>
          <w:highlight w:val="none"/>
        </w:rPr>
      </w:pPr>
    </w:p>
    <w:p>
      <w:pPr>
        <w:spacing w:line="380" w:lineRule="exact"/>
        <w:ind w:firstLine="4400" w:firstLineChars="2000"/>
        <w:rPr>
          <w:rFonts w:ascii="新宋体" w:hAnsi="新宋体" w:eastAsia="新宋体"/>
          <w:color w:val="auto"/>
          <w:sz w:val="22"/>
          <w:szCs w:val="22"/>
          <w:highlight w:val="none"/>
        </w:rPr>
      </w:pPr>
    </w:p>
    <w:p>
      <w:pPr>
        <w:spacing w:line="380" w:lineRule="exact"/>
        <w:ind w:firstLine="4400" w:firstLineChars="2000"/>
        <w:rPr>
          <w:rFonts w:ascii="新宋体" w:hAnsi="新宋体" w:eastAsia="新宋体"/>
          <w:color w:val="auto"/>
          <w:sz w:val="22"/>
          <w:szCs w:val="22"/>
          <w:highlight w:val="none"/>
        </w:rPr>
      </w:pPr>
    </w:p>
    <w:p>
      <w:pPr>
        <w:spacing w:line="380" w:lineRule="exact"/>
        <w:ind w:firstLine="4400" w:firstLineChars="2000"/>
        <w:rPr>
          <w:rFonts w:ascii="新宋体" w:hAnsi="新宋体" w:eastAsia="新宋体"/>
          <w:color w:val="auto"/>
          <w:sz w:val="22"/>
          <w:szCs w:val="22"/>
          <w:highlight w:val="none"/>
        </w:rPr>
      </w:pPr>
    </w:p>
    <w:p>
      <w:pPr>
        <w:spacing w:line="380" w:lineRule="exact"/>
        <w:ind w:firstLine="4400" w:firstLineChars="2000"/>
        <w:rPr>
          <w:rFonts w:ascii="新宋体" w:hAnsi="新宋体" w:eastAsia="新宋体"/>
          <w:color w:val="auto"/>
          <w:sz w:val="22"/>
          <w:szCs w:val="22"/>
          <w:highlight w:val="none"/>
        </w:rPr>
      </w:pPr>
    </w:p>
    <w:p>
      <w:pPr>
        <w:spacing w:line="460" w:lineRule="exact"/>
        <w:jc w:val="center"/>
        <w:outlineLvl w:val="4"/>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（10）同类项目业绩</w:t>
      </w:r>
    </w:p>
    <w:p>
      <w:pPr>
        <w:autoSpaceDE w:val="0"/>
        <w:autoSpaceDN w:val="0"/>
        <w:ind w:right="893" w:firstLine="418"/>
        <w:textAlignment w:val="bottom"/>
        <w:rPr>
          <w:rFonts w:ascii="新宋体" w:hAnsi="新宋体" w:eastAsia="新宋体"/>
          <w:color w:val="auto"/>
          <w:highlight w:val="none"/>
        </w:rPr>
      </w:pPr>
      <w:r>
        <w:rPr>
          <w:rFonts w:hint="eastAsia" w:ascii="新宋体" w:hAnsi="新宋体" w:eastAsia="新宋体"/>
          <w:b/>
          <w:color w:val="auto"/>
          <w:sz w:val="22"/>
          <w:highlight w:val="none"/>
        </w:rPr>
        <w:t>项目名称：                                           项目编号：</w:t>
      </w:r>
      <w:r>
        <w:rPr>
          <w:rFonts w:hint="eastAsia" w:ascii="新宋体" w:hAnsi="新宋体" w:eastAsia="新宋体"/>
          <w:color w:val="auto"/>
          <w:highlight w:val="none"/>
        </w:rPr>
        <w:t xml:space="preserve"> </w:t>
      </w:r>
    </w:p>
    <w:p>
      <w:pPr>
        <w:rPr>
          <w:rFonts w:ascii="新宋体" w:hAnsi="新宋体" w:eastAsia="新宋体"/>
          <w:color w:val="auto"/>
          <w:sz w:val="22"/>
          <w:szCs w:val="22"/>
          <w:highlight w:val="none"/>
          <w:lang w:val="zh-CN"/>
        </w:rPr>
      </w:pPr>
      <w:r>
        <w:rPr>
          <w:rFonts w:hint="eastAsia" w:ascii="新宋体" w:hAnsi="新宋体" w:eastAsia="新宋体"/>
          <w:color w:val="auto"/>
          <w:sz w:val="28"/>
          <w:highlight w:val="none"/>
        </w:rPr>
        <w:t xml:space="preserve">  </w:t>
      </w:r>
    </w:p>
    <w:tbl>
      <w:tblPr>
        <w:tblStyle w:val="52"/>
        <w:tblW w:w="9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2520"/>
        <w:gridCol w:w="2310"/>
        <w:gridCol w:w="1271"/>
        <w:gridCol w:w="1596"/>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序号</w:t>
            </w:r>
          </w:p>
        </w:tc>
        <w:tc>
          <w:tcPr>
            <w:tcW w:w="252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用户名称</w:t>
            </w:r>
          </w:p>
        </w:tc>
        <w:tc>
          <w:tcPr>
            <w:tcW w:w="231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项目名称</w:t>
            </w:r>
          </w:p>
        </w:tc>
        <w:tc>
          <w:tcPr>
            <w:tcW w:w="1271"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合同金额</w:t>
            </w:r>
          </w:p>
        </w:tc>
        <w:tc>
          <w:tcPr>
            <w:tcW w:w="1596"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联系方式</w:t>
            </w:r>
          </w:p>
        </w:tc>
        <w:tc>
          <w:tcPr>
            <w:tcW w:w="1128"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52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31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271"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596"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128"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52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31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271"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596"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128"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52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31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271"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596"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128"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52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31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271"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596"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128"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52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31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271"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596"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128"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52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31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271"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596"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128"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52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31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271"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596"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128"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52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31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271"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596"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128"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52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31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271"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596"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128"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52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31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271"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596"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128"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52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31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271"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596"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128"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52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31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271"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596"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128"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52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31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271"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596"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128"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52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2310"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271"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596"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c>
          <w:tcPr>
            <w:tcW w:w="1128" w:type="dxa"/>
            <w:noWrap w:val="0"/>
            <w:vAlign w:val="center"/>
          </w:tcPr>
          <w:p>
            <w:pPr>
              <w:spacing w:line="380" w:lineRule="exact"/>
              <w:ind w:left="442" w:hanging="442" w:hangingChars="200"/>
              <w:jc w:val="center"/>
              <w:rPr>
                <w:rFonts w:ascii="新宋体" w:hAnsi="新宋体" w:eastAsia="新宋体"/>
                <w:b/>
                <w:bCs/>
                <w:color w:val="auto"/>
                <w:sz w:val="22"/>
                <w:szCs w:val="22"/>
                <w:highlight w:val="none"/>
              </w:rPr>
            </w:pPr>
          </w:p>
        </w:tc>
      </w:tr>
    </w:tbl>
    <w:p>
      <w:pPr>
        <w:rPr>
          <w:rFonts w:ascii="新宋体" w:hAnsi="新宋体" w:eastAsia="新宋体"/>
          <w:color w:val="auto"/>
          <w:sz w:val="22"/>
          <w:szCs w:val="22"/>
          <w:highlight w:val="none"/>
          <w:lang w:val="zh-CN"/>
        </w:rPr>
      </w:pP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投标人全称（盖章）：</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投标人代表（签字）：</w:t>
      </w:r>
    </w:p>
    <w:p>
      <w:pPr>
        <w:spacing w:line="380" w:lineRule="exact"/>
        <w:ind w:firstLine="4400" w:firstLineChars="20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日  期：</w:t>
      </w:r>
    </w:p>
    <w:p>
      <w:pPr>
        <w:rPr>
          <w:color w:val="auto"/>
          <w:highlight w:val="none"/>
        </w:rPr>
      </w:pPr>
    </w:p>
    <w:p>
      <w:pPr>
        <w:rPr>
          <w:color w:val="auto"/>
          <w:highlight w:val="none"/>
        </w:rPr>
      </w:pPr>
    </w:p>
    <w:p>
      <w:pPr>
        <w:rPr>
          <w:color w:val="auto"/>
          <w:highlight w:val="none"/>
        </w:rPr>
      </w:pPr>
    </w:p>
    <w:p>
      <w:pPr>
        <w:spacing w:line="380" w:lineRule="exact"/>
        <w:ind w:firstLine="4400" w:firstLineChars="2000"/>
        <w:rPr>
          <w:rFonts w:ascii="新宋体" w:hAnsi="新宋体" w:eastAsia="新宋体"/>
          <w:color w:val="auto"/>
          <w:sz w:val="22"/>
          <w:szCs w:val="22"/>
          <w:highlight w:val="none"/>
        </w:rPr>
      </w:pPr>
    </w:p>
    <w:p>
      <w:pPr>
        <w:pStyle w:val="9"/>
        <w:rPr>
          <w:rFonts w:ascii="新宋体" w:hAnsi="新宋体" w:eastAsia="新宋体"/>
          <w:color w:val="auto"/>
          <w:sz w:val="22"/>
          <w:szCs w:val="22"/>
          <w:highlight w:val="none"/>
        </w:rPr>
      </w:pPr>
    </w:p>
    <w:p>
      <w:pPr>
        <w:rPr>
          <w:color w:val="auto"/>
          <w:highlight w:val="none"/>
        </w:rPr>
      </w:pPr>
    </w:p>
    <w:p>
      <w:pPr>
        <w:spacing w:line="460" w:lineRule="exact"/>
        <w:jc w:val="center"/>
        <w:outlineLvl w:val="4"/>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（11）节能环保</w:t>
      </w:r>
    </w:p>
    <w:p>
      <w:pPr>
        <w:tabs>
          <w:tab w:val="left" w:pos="1620"/>
        </w:tabs>
        <w:spacing w:line="460" w:lineRule="exact"/>
        <w:jc w:val="center"/>
        <w:outlineLvl w:val="5"/>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①节能环保产品声明函</w:t>
      </w:r>
    </w:p>
    <w:p>
      <w:pPr>
        <w:spacing w:line="360" w:lineRule="auto"/>
        <w:ind w:firstLine="440" w:firstLineChars="200"/>
        <w:rPr>
          <w:rFonts w:ascii="宋体" w:hAnsi="宋体"/>
          <w:bCs/>
          <w:color w:val="auto"/>
          <w:sz w:val="22"/>
          <w:szCs w:val="22"/>
          <w:highlight w:val="none"/>
        </w:rPr>
      </w:pPr>
    </w:p>
    <w:p>
      <w:pPr>
        <w:spacing w:line="360" w:lineRule="auto"/>
        <w:ind w:firstLine="440" w:firstLineChars="2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本公司郑重声明，根据《节能产品政府采购实施意见》（财库〔2004〕185号，不含该期清单）、《关于环境标志产品政府采购实施的意见》（财库〔2006〕90号，不含该期清单）的规定，本公司同时满足以下条件：</w:t>
      </w:r>
    </w:p>
    <w:p>
      <w:pPr>
        <w:spacing w:line="360" w:lineRule="auto"/>
        <w:ind w:firstLine="440" w:firstLineChars="2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1、此次采购项目中本公司所列节能或环保产品均已录入最新一期财政部、环境保护部公布的“环境标志产品政府采购清单”或最新一期财政部、发展改革委公布的“节能产品政府采购清单”。</w:t>
      </w:r>
    </w:p>
    <w:p>
      <w:pPr>
        <w:spacing w:line="360" w:lineRule="auto"/>
        <w:ind w:firstLine="440" w:firstLineChars="2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2、本公司参加__________单位的__________项目（项目编号：_________）采购活动提供的环保或节能产品，产品金额占采购项目总金额50%（含）以上。</w:t>
      </w:r>
    </w:p>
    <w:p>
      <w:pPr>
        <w:spacing w:line="360" w:lineRule="auto"/>
        <w:ind w:firstLine="440" w:firstLineChars="2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本公司对上述声明的真实性负责。如有虚假，将依法承担相应法律责任。</w:t>
      </w:r>
    </w:p>
    <w:p>
      <w:pPr>
        <w:spacing w:line="360" w:lineRule="auto"/>
        <w:rPr>
          <w:rFonts w:ascii="新宋体" w:hAnsi="新宋体" w:eastAsia="新宋体" w:cs="新宋体"/>
          <w:bCs/>
          <w:color w:val="auto"/>
          <w:sz w:val="22"/>
          <w:szCs w:val="22"/>
          <w:highlight w:val="none"/>
        </w:rPr>
      </w:pPr>
    </w:p>
    <w:p>
      <w:pPr>
        <w:spacing w:line="360" w:lineRule="auto"/>
        <w:rPr>
          <w:rFonts w:ascii="宋体" w:hAnsi="宋体"/>
          <w:bCs/>
          <w:color w:val="auto"/>
          <w:sz w:val="22"/>
          <w:szCs w:val="22"/>
          <w:highlight w:val="none"/>
        </w:rPr>
      </w:pPr>
    </w:p>
    <w:p>
      <w:pPr>
        <w:spacing w:line="360" w:lineRule="auto"/>
        <w:rPr>
          <w:rFonts w:ascii="宋体" w:hAnsi="宋体"/>
          <w:bCs/>
          <w:color w:val="auto"/>
          <w:sz w:val="22"/>
          <w:szCs w:val="22"/>
          <w:highlight w:val="none"/>
        </w:rPr>
      </w:pP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投标人全称（盖章）：</w:t>
      </w:r>
    </w:p>
    <w:p>
      <w:pPr>
        <w:spacing w:line="380" w:lineRule="exact"/>
        <w:ind w:firstLine="4400" w:firstLineChars="20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投标人代表（签字）：</w:t>
      </w:r>
    </w:p>
    <w:p>
      <w:pPr>
        <w:spacing w:line="380" w:lineRule="exact"/>
        <w:ind w:firstLine="4400" w:firstLineChars="2000"/>
        <w:rPr>
          <w:rFonts w:ascii="宋体" w:hAnsi="宋体"/>
          <w:color w:val="auto"/>
          <w:sz w:val="22"/>
          <w:szCs w:val="22"/>
          <w:highlight w:val="none"/>
        </w:rPr>
      </w:pPr>
      <w:r>
        <w:rPr>
          <w:rFonts w:hint="eastAsia" w:ascii="新宋体" w:hAnsi="新宋体" w:eastAsia="新宋体"/>
          <w:color w:val="auto"/>
          <w:sz w:val="22"/>
          <w:szCs w:val="22"/>
          <w:highlight w:val="none"/>
        </w:rPr>
        <w:t>日  期：</w:t>
      </w:r>
    </w:p>
    <w:p>
      <w:pPr>
        <w:spacing w:line="240" w:lineRule="atLeast"/>
        <w:rPr>
          <w:rFonts w:ascii="宋体" w:hAnsi="宋体"/>
          <w:b/>
          <w:bCs/>
          <w:color w:val="auto"/>
          <w:sz w:val="22"/>
          <w:szCs w:val="22"/>
          <w:highlight w:val="none"/>
        </w:rPr>
      </w:pPr>
    </w:p>
    <w:p>
      <w:pPr>
        <w:spacing w:line="240" w:lineRule="atLeast"/>
        <w:rPr>
          <w:rFonts w:ascii="宋体" w:hAnsi="宋体"/>
          <w:b/>
          <w:bCs/>
          <w:color w:val="auto"/>
          <w:sz w:val="22"/>
          <w:szCs w:val="22"/>
          <w:highlight w:val="none"/>
        </w:rPr>
      </w:pPr>
    </w:p>
    <w:p>
      <w:pPr>
        <w:spacing w:line="240" w:lineRule="atLeast"/>
        <w:jc w:val="center"/>
        <w:outlineLvl w:val="5"/>
        <w:rPr>
          <w:rFonts w:ascii="宋体" w:hAnsi="宋体"/>
          <w:b/>
          <w:color w:val="auto"/>
          <w:sz w:val="36"/>
          <w:szCs w:val="36"/>
          <w:highlight w:val="none"/>
        </w:rPr>
      </w:pPr>
      <w:r>
        <w:rPr>
          <w:rFonts w:ascii="宋体" w:hAnsi="宋体"/>
          <w:b/>
          <w:color w:val="auto"/>
          <w:sz w:val="36"/>
          <w:szCs w:val="36"/>
          <w:highlight w:val="none"/>
        </w:rPr>
        <w:br w:type="page"/>
      </w:r>
      <w:r>
        <w:rPr>
          <w:rFonts w:hint="eastAsia" w:ascii="新宋体" w:hAnsi="新宋体" w:eastAsia="新宋体" w:cs="新宋体"/>
          <w:b/>
          <w:bCs/>
          <w:color w:val="auto"/>
          <w:sz w:val="22"/>
          <w:szCs w:val="22"/>
          <w:highlight w:val="none"/>
        </w:rPr>
        <w:t>②节能（环保）产品清单</w:t>
      </w:r>
    </w:p>
    <w:p>
      <w:pPr>
        <w:spacing w:line="240" w:lineRule="atLeast"/>
        <w:rPr>
          <w:rFonts w:ascii="宋体" w:hAnsi="宋体"/>
          <w:b/>
          <w:bCs/>
          <w:color w:val="auto"/>
          <w:szCs w:val="21"/>
          <w:highlight w:val="none"/>
        </w:rPr>
      </w:pPr>
    </w:p>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a、投标产品中节能产品明细清单</w:t>
      </w:r>
    </w:p>
    <w:tbl>
      <w:tblPr>
        <w:tblStyle w:val="52"/>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20"/>
        <w:gridCol w:w="1260"/>
        <w:gridCol w:w="1440"/>
        <w:gridCol w:w="1800"/>
        <w:gridCol w:w="198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制造商</w:t>
            </w: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品牌</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产品名称、规格型号</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节字标志认证证书号</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节能产品认证证书有效截止日期</w:t>
            </w: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产品所在节能产品政府采购清单页码</w:t>
            </w: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数量/台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r>
    </w:tbl>
    <w:p>
      <w:pPr>
        <w:spacing w:line="460" w:lineRule="exact"/>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注：提供产品所在节能产品政府采购清单复印件加盖公章</w:t>
      </w:r>
    </w:p>
    <w:p>
      <w:pPr>
        <w:spacing w:line="460" w:lineRule="exact"/>
        <w:ind w:firstLine="4400" w:firstLineChars="20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投标人全称（盖章）：</w:t>
      </w:r>
    </w:p>
    <w:p>
      <w:pPr>
        <w:spacing w:line="460" w:lineRule="exact"/>
        <w:ind w:firstLine="4400" w:firstLineChars="20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投标人代表（签字）：</w:t>
      </w:r>
    </w:p>
    <w:p>
      <w:pPr>
        <w:spacing w:line="460" w:lineRule="exact"/>
        <w:ind w:firstLine="4400" w:firstLineChars="20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  期：</w:t>
      </w:r>
    </w:p>
    <w:p>
      <w:pPr>
        <w:spacing w:line="460" w:lineRule="exact"/>
        <w:rPr>
          <w:rFonts w:ascii="新宋体" w:hAnsi="新宋体" w:eastAsia="新宋体" w:cs="新宋体"/>
          <w:color w:val="auto"/>
          <w:sz w:val="22"/>
          <w:szCs w:val="22"/>
          <w:highlight w:val="none"/>
        </w:rPr>
      </w:pPr>
    </w:p>
    <w:p>
      <w:pPr>
        <w:spacing w:line="460" w:lineRule="exact"/>
        <w:jc w:val="center"/>
        <w:rPr>
          <w:rFonts w:ascii="新宋体" w:hAnsi="新宋体" w:eastAsia="新宋体" w:cs="新宋体"/>
          <w:color w:val="auto"/>
          <w:sz w:val="22"/>
          <w:szCs w:val="22"/>
          <w:highlight w:val="none"/>
        </w:rPr>
      </w:pPr>
    </w:p>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b、投标产品中环保产品明细清单</w:t>
      </w:r>
    </w:p>
    <w:tbl>
      <w:tblPr>
        <w:tblStyle w:val="52"/>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20"/>
        <w:gridCol w:w="1260"/>
        <w:gridCol w:w="1620"/>
        <w:gridCol w:w="1440"/>
        <w:gridCol w:w="216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企业名称</w:t>
            </w: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注册商标</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产品名称、规格型号</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中国环境标志认证证书编号</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认证证书有效截止日期</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产品所在环境标志产品政府采购清单页码</w:t>
            </w: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数量/台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新宋体" w:hAnsi="新宋体" w:eastAsia="新宋体" w:cs="新宋体"/>
                <w:color w:val="auto"/>
                <w:sz w:val="22"/>
                <w:szCs w:val="22"/>
                <w:highlight w:val="none"/>
              </w:rPr>
            </w:pPr>
          </w:p>
        </w:tc>
      </w:tr>
    </w:tbl>
    <w:p>
      <w:pPr>
        <w:spacing w:line="460" w:lineRule="exact"/>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注：提供产品所在环境标志产品政府采购清单复印件加盖公章</w:t>
      </w:r>
    </w:p>
    <w:p>
      <w:pPr>
        <w:spacing w:line="460" w:lineRule="exact"/>
        <w:rPr>
          <w:rFonts w:ascii="新宋体" w:hAnsi="新宋体" w:eastAsia="新宋体" w:cs="新宋体"/>
          <w:bCs/>
          <w:color w:val="auto"/>
          <w:sz w:val="22"/>
          <w:szCs w:val="22"/>
          <w:highlight w:val="none"/>
        </w:rPr>
      </w:pPr>
    </w:p>
    <w:p>
      <w:pPr>
        <w:spacing w:line="460" w:lineRule="exact"/>
        <w:ind w:firstLine="4400" w:firstLineChars="20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投标人全称（盖章）：</w:t>
      </w:r>
    </w:p>
    <w:p>
      <w:pPr>
        <w:spacing w:line="460" w:lineRule="exact"/>
        <w:ind w:firstLine="4400" w:firstLineChars="20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投标人代表（签字）：</w:t>
      </w:r>
    </w:p>
    <w:p>
      <w:pPr>
        <w:spacing w:line="460" w:lineRule="exact"/>
        <w:ind w:firstLine="4400" w:firstLineChars="20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  期：</w:t>
      </w:r>
    </w:p>
    <w:p>
      <w:pPr>
        <w:rPr>
          <w:color w:val="auto"/>
          <w:highlight w:val="none"/>
        </w:rPr>
      </w:pPr>
    </w:p>
    <w:p>
      <w:pPr>
        <w:rPr>
          <w:rFonts w:hint="eastAsia"/>
          <w:color w:val="auto"/>
          <w:highlight w:val="none"/>
        </w:rPr>
      </w:pPr>
    </w:p>
    <w:p>
      <w:pPr>
        <w:spacing w:line="460" w:lineRule="exact"/>
        <w:jc w:val="center"/>
        <w:outlineLvl w:val="3"/>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5、标段三其他相关技术资料</w:t>
      </w:r>
    </w:p>
    <w:p>
      <w:pPr>
        <w:spacing w:line="460" w:lineRule="exact"/>
        <w:jc w:val="center"/>
        <w:outlineLvl w:val="4"/>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（1）投标人情况</w:t>
      </w:r>
    </w:p>
    <w:p>
      <w:pPr>
        <w:autoSpaceDE w:val="0"/>
        <w:autoSpaceDN w:val="0"/>
        <w:ind w:right="893" w:firstLine="418"/>
        <w:textAlignment w:val="bottom"/>
        <w:rPr>
          <w:rFonts w:hint="eastAsia" w:ascii="新宋体" w:hAnsi="新宋体" w:eastAsia="新宋体"/>
          <w:color w:val="auto"/>
          <w:highlight w:val="none"/>
        </w:rPr>
      </w:pPr>
      <w:r>
        <w:rPr>
          <w:rFonts w:hint="eastAsia" w:ascii="新宋体" w:hAnsi="新宋体" w:eastAsia="新宋体"/>
          <w:b/>
          <w:color w:val="auto"/>
          <w:sz w:val="22"/>
          <w:highlight w:val="none"/>
        </w:rPr>
        <w:t>项目名称：                                           项目编号：</w:t>
      </w:r>
      <w:r>
        <w:rPr>
          <w:rFonts w:hint="eastAsia" w:ascii="新宋体" w:hAnsi="新宋体" w:eastAsia="新宋体"/>
          <w:color w:val="auto"/>
          <w:highlight w:val="none"/>
        </w:rPr>
        <w:t xml:space="preserve"> </w:t>
      </w:r>
    </w:p>
    <w:tbl>
      <w:tblPr>
        <w:tblStyle w:val="52"/>
        <w:tblW w:w="9181"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1" w:hRule="atLeast"/>
        </w:trPr>
        <w:tc>
          <w:tcPr>
            <w:tcW w:w="9181" w:type="dxa"/>
            <w:noWrap w:val="0"/>
            <w:vAlign w:val="center"/>
          </w:tcPr>
          <w:p>
            <w:pPr>
              <w:pStyle w:val="280"/>
              <w:keepNext w:val="0"/>
              <w:spacing w:after="0"/>
              <w:rPr>
                <w:rFonts w:hint="eastAsia" w:ascii="新宋体" w:hAnsi="新宋体" w:eastAsia="新宋体"/>
                <w:color w:val="auto"/>
                <w:highlight w:val="none"/>
              </w:rPr>
            </w:pPr>
          </w:p>
        </w:tc>
      </w:tr>
    </w:tbl>
    <w:p>
      <w:pPr>
        <w:rPr>
          <w:rFonts w:hint="eastAsia" w:ascii="新宋体" w:hAnsi="新宋体" w:eastAsia="新宋体"/>
          <w:color w:val="auto"/>
          <w:sz w:val="22"/>
          <w:szCs w:val="22"/>
          <w:highlight w:val="none"/>
          <w:lang w:val="zh-CN"/>
        </w:rPr>
      </w:pPr>
      <w:r>
        <w:rPr>
          <w:rFonts w:hint="eastAsia" w:ascii="新宋体" w:hAnsi="新宋体" w:eastAsia="新宋体"/>
          <w:color w:val="auto"/>
          <w:sz w:val="28"/>
          <w:highlight w:val="none"/>
        </w:rPr>
        <w:t xml:space="preserve">  </w:t>
      </w:r>
    </w:p>
    <w:p>
      <w:pPr>
        <w:spacing w:line="380" w:lineRule="exact"/>
        <w:ind w:firstLine="4400" w:firstLineChars="20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投标人全称（盖章）：</w:t>
      </w:r>
    </w:p>
    <w:p>
      <w:pPr>
        <w:spacing w:line="380" w:lineRule="exact"/>
        <w:ind w:firstLine="4400" w:firstLineChars="20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投标人代表（签字）：</w:t>
      </w:r>
    </w:p>
    <w:p>
      <w:pPr>
        <w:spacing w:line="380" w:lineRule="exact"/>
        <w:ind w:firstLine="4400" w:firstLineChars="2000"/>
        <w:rPr>
          <w:rFonts w:hint="eastAsia" w:ascii="新宋体" w:hAnsi="新宋体" w:eastAsia="新宋体"/>
          <w:b/>
          <w:bCs/>
          <w:color w:val="auto"/>
          <w:sz w:val="52"/>
          <w:szCs w:val="52"/>
          <w:highlight w:val="none"/>
        </w:rPr>
      </w:pPr>
      <w:r>
        <w:rPr>
          <w:rFonts w:hint="eastAsia" w:ascii="新宋体" w:hAnsi="新宋体" w:eastAsia="新宋体"/>
          <w:color w:val="auto"/>
          <w:sz w:val="22"/>
          <w:szCs w:val="22"/>
          <w:highlight w:val="none"/>
        </w:rPr>
        <w:t xml:space="preserve">日   期：  </w:t>
      </w:r>
    </w:p>
    <w:p>
      <w:pPr>
        <w:spacing w:line="380" w:lineRule="exact"/>
        <w:rPr>
          <w:rFonts w:hint="eastAsia" w:ascii="新宋体" w:hAnsi="新宋体" w:eastAsia="新宋体"/>
          <w:b/>
          <w:bCs/>
          <w:color w:val="auto"/>
          <w:sz w:val="22"/>
          <w:szCs w:val="22"/>
          <w:highlight w:val="none"/>
        </w:rPr>
      </w:pPr>
    </w:p>
    <w:p>
      <w:pPr>
        <w:spacing w:line="380" w:lineRule="exact"/>
        <w:rPr>
          <w:rFonts w:hint="eastAsia" w:ascii="新宋体" w:hAnsi="新宋体" w:eastAsia="新宋体"/>
          <w:b/>
          <w:bCs/>
          <w:color w:val="auto"/>
          <w:sz w:val="22"/>
          <w:szCs w:val="22"/>
          <w:highlight w:val="none"/>
        </w:rPr>
      </w:pPr>
    </w:p>
    <w:p>
      <w:pPr>
        <w:spacing w:line="380" w:lineRule="exact"/>
        <w:rPr>
          <w:rFonts w:hint="eastAsia" w:ascii="新宋体" w:hAnsi="新宋体" w:eastAsia="新宋体"/>
          <w:b/>
          <w:bCs/>
          <w:color w:val="auto"/>
          <w:sz w:val="22"/>
          <w:szCs w:val="22"/>
          <w:highlight w:val="none"/>
        </w:rPr>
      </w:pPr>
    </w:p>
    <w:p>
      <w:pPr>
        <w:spacing w:line="460" w:lineRule="exact"/>
        <w:jc w:val="center"/>
        <w:outlineLvl w:val="4"/>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（2）同类项目业绩</w:t>
      </w:r>
    </w:p>
    <w:p>
      <w:pPr>
        <w:spacing w:line="460" w:lineRule="exact"/>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项目名称：                                                   项目编号：</w:t>
      </w:r>
    </w:p>
    <w:tbl>
      <w:tblPr>
        <w:tblStyle w:val="52"/>
        <w:tblW w:w="10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2520"/>
        <w:gridCol w:w="2591"/>
        <w:gridCol w:w="1214"/>
        <w:gridCol w:w="1677"/>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序号</w:t>
            </w:r>
          </w:p>
        </w:tc>
        <w:tc>
          <w:tcPr>
            <w:tcW w:w="252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用户名称</w:t>
            </w:r>
          </w:p>
        </w:tc>
        <w:tc>
          <w:tcPr>
            <w:tcW w:w="2591"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项目名称</w:t>
            </w:r>
          </w:p>
        </w:tc>
        <w:tc>
          <w:tcPr>
            <w:tcW w:w="1214"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金额</w:t>
            </w:r>
          </w:p>
        </w:tc>
        <w:tc>
          <w:tcPr>
            <w:tcW w:w="167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联系方式</w:t>
            </w:r>
          </w:p>
        </w:tc>
        <w:tc>
          <w:tcPr>
            <w:tcW w:w="112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2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91"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214"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67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12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2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91"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214"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67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12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2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91"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214"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67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12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2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91"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214"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67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12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2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91"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214"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67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12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2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91"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214"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67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12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2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91"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214"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67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12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2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91"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214"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67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12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2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91"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214"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67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12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2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91"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214"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67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12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2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91"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214"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67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12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20"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2591"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214"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677"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c>
          <w:tcPr>
            <w:tcW w:w="1128" w:type="dxa"/>
            <w:noWrap w:val="0"/>
            <w:vAlign w:val="center"/>
          </w:tcPr>
          <w:p>
            <w:pPr>
              <w:spacing w:line="380" w:lineRule="exact"/>
              <w:ind w:left="442" w:hanging="442" w:hangingChars="200"/>
              <w:jc w:val="center"/>
              <w:rPr>
                <w:rFonts w:hint="eastAsia" w:ascii="新宋体" w:hAnsi="新宋体" w:eastAsia="新宋体"/>
                <w:b/>
                <w:bCs/>
                <w:color w:val="auto"/>
                <w:sz w:val="22"/>
                <w:szCs w:val="22"/>
                <w:highlight w:val="none"/>
              </w:rPr>
            </w:pPr>
          </w:p>
        </w:tc>
      </w:tr>
    </w:tbl>
    <w:p>
      <w:pPr>
        <w:spacing w:line="460" w:lineRule="exact"/>
        <w:ind w:firstLine="541" w:firstLineChars="245"/>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注：投标人可按此表格式复制，需提供合同复印件，原件备查。</w:t>
      </w:r>
    </w:p>
    <w:p>
      <w:pPr>
        <w:spacing w:line="380" w:lineRule="exact"/>
        <w:rPr>
          <w:rFonts w:hint="eastAsia" w:ascii="新宋体" w:hAnsi="新宋体" w:eastAsia="新宋体"/>
          <w:color w:val="auto"/>
          <w:sz w:val="22"/>
          <w:szCs w:val="22"/>
          <w:highlight w:val="none"/>
        </w:rPr>
      </w:pPr>
    </w:p>
    <w:p>
      <w:pPr>
        <w:spacing w:line="380" w:lineRule="exact"/>
        <w:ind w:firstLine="4400" w:firstLineChars="20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投标人全称（盖章）：</w:t>
      </w:r>
    </w:p>
    <w:p>
      <w:pPr>
        <w:spacing w:line="380" w:lineRule="exact"/>
        <w:ind w:firstLine="4400" w:firstLineChars="20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投标人代表（签字）：</w:t>
      </w:r>
    </w:p>
    <w:p>
      <w:pPr>
        <w:spacing w:line="380" w:lineRule="exact"/>
        <w:ind w:firstLine="4400" w:firstLineChars="2000"/>
        <w:rPr>
          <w:rFonts w:hint="eastAsia" w:ascii="新宋体" w:hAnsi="新宋体" w:eastAsia="新宋体"/>
          <w:b/>
          <w:bCs/>
          <w:color w:val="auto"/>
          <w:sz w:val="22"/>
          <w:szCs w:val="22"/>
          <w:highlight w:val="none"/>
        </w:rPr>
      </w:pPr>
      <w:r>
        <w:rPr>
          <w:rFonts w:hint="eastAsia" w:ascii="新宋体" w:hAnsi="新宋体" w:eastAsia="新宋体"/>
          <w:color w:val="auto"/>
          <w:sz w:val="22"/>
          <w:szCs w:val="22"/>
          <w:highlight w:val="none"/>
        </w:rPr>
        <w:t>日   期：</w:t>
      </w:r>
    </w:p>
    <w:p>
      <w:pPr>
        <w:pStyle w:val="29"/>
        <w:spacing w:line="400" w:lineRule="atLeast"/>
        <w:jc w:val="center"/>
        <w:rPr>
          <w:rFonts w:hint="eastAsia" w:ascii="新宋体" w:hAnsi="新宋体" w:eastAsia="新宋体"/>
          <w:b w:val="0"/>
          <w:bCs/>
          <w:color w:val="auto"/>
          <w:sz w:val="22"/>
          <w:szCs w:val="22"/>
          <w:highlight w:val="none"/>
        </w:rPr>
      </w:pPr>
    </w:p>
    <w:p>
      <w:pPr>
        <w:spacing w:line="380" w:lineRule="exact"/>
        <w:ind w:firstLine="5622" w:firstLineChars="2000"/>
        <w:rPr>
          <w:rFonts w:ascii="新宋体" w:hAnsi="新宋体" w:eastAsia="新宋体"/>
          <w:b/>
          <w:color w:val="auto"/>
          <w:sz w:val="28"/>
          <w:szCs w:val="28"/>
          <w:highlight w:val="none"/>
        </w:rPr>
        <w:sectPr>
          <w:pgSz w:w="11907" w:h="16840"/>
          <w:pgMar w:top="1134" w:right="1134" w:bottom="1134" w:left="1134" w:header="851" w:footer="992" w:gutter="0"/>
          <w:cols w:space="720" w:num="1"/>
          <w:docGrid w:linePitch="312" w:charSpace="0"/>
        </w:sectPr>
      </w:pPr>
    </w:p>
    <w:p>
      <w:pPr>
        <w:spacing w:line="380" w:lineRule="exact"/>
        <w:ind w:firstLine="4400" w:firstLineChars="2000"/>
        <w:rPr>
          <w:rFonts w:hint="eastAsia" w:ascii="新宋体" w:hAnsi="新宋体" w:eastAsia="新宋体"/>
          <w:color w:val="auto"/>
          <w:sz w:val="22"/>
          <w:szCs w:val="22"/>
          <w:highlight w:val="none"/>
        </w:rPr>
      </w:pPr>
    </w:p>
    <w:p>
      <w:pPr>
        <w:spacing w:line="460" w:lineRule="exact"/>
        <w:jc w:val="center"/>
        <w:outlineLvl w:val="4"/>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 xml:space="preserve">（3）监理技术方案 </w:t>
      </w:r>
    </w:p>
    <w:p>
      <w:pPr>
        <w:autoSpaceDE w:val="0"/>
        <w:autoSpaceDN w:val="0"/>
        <w:ind w:right="893"/>
        <w:textAlignment w:val="bottom"/>
        <w:rPr>
          <w:rFonts w:hint="eastAsia" w:ascii="新宋体" w:hAnsi="新宋体" w:eastAsia="新宋体"/>
          <w:color w:val="auto"/>
          <w:highlight w:val="none"/>
        </w:rPr>
      </w:pPr>
      <w:r>
        <w:rPr>
          <w:rFonts w:hint="eastAsia" w:ascii="新宋体" w:hAnsi="新宋体" w:eastAsia="新宋体"/>
          <w:b/>
          <w:color w:val="auto"/>
          <w:sz w:val="22"/>
          <w:highlight w:val="none"/>
        </w:rPr>
        <w:t>项目名称：                                           项目编号：</w:t>
      </w:r>
      <w:r>
        <w:rPr>
          <w:rFonts w:hint="eastAsia" w:ascii="新宋体" w:hAnsi="新宋体" w:eastAsia="新宋体"/>
          <w:color w:val="auto"/>
          <w:highlight w:val="none"/>
        </w:rPr>
        <w:t xml:space="preserve"> </w:t>
      </w:r>
    </w:p>
    <w:tbl>
      <w:tblPr>
        <w:tblStyle w:val="52"/>
        <w:tblW w:w="9181"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1" w:hRule="atLeast"/>
        </w:trPr>
        <w:tc>
          <w:tcPr>
            <w:tcW w:w="9181" w:type="dxa"/>
            <w:noWrap w:val="0"/>
            <w:vAlign w:val="center"/>
          </w:tcPr>
          <w:p>
            <w:pPr>
              <w:pStyle w:val="280"/>
              <w:keepNext w:val="0"/>
              <w:spacing w:after="0"/>
              <w:rPr>
                <w:rFonts w:hint="eastAsia" w:ascii="新宋体" w:hAnsi="新宋体" w:eastAsia="新宋体"/>
                <w:color w:val="auto"/>
                <w:highlight w:val="none"/>
              </w:rPr>
            </w:pPr>
          </w:p>
        </w:tc>
      </w:tr>
    </w:tbl>
    <w:p>
      <w:pPr>
        <w:rPr>
          <w:rFonts w:hint="eastAsia" w:ascii="新宋体" w:hAnsi="新宋体" w:eastAsia="新宋体"/>
          <w:color w:val="auto"/>
          <w:sz w:val="22"/>
          <w:szCs w:val="22"/>
          <w:highlight w:val="none"/>
          <w:lang w:val="zh-CN"/>
        </w:rPr>
      </w:pPr>
      <w:r>
        <w:rPr>
          <w:rFonts w:hint="eastAsia" w:ascii="新宋体" w:hAnsi="新宋体" w:eastAsia="新宋体"/>
          <w:color w:val="auto"/>
          <w:sz w:val="28"/>
          <w:highlight w:val="none"/>
        </w:rPr>
        <w:t xml:space="preserve">  </w:t>
      </w:r>
    </w:p>
    <w:p>
      <w:pPr>
        <w:spacing w:line="380" w:lineRule="exact"/>
        <w:ind w:firstLine="4400" w:firstLineChars="20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投标人全称（盖章）：</w:t>
      </w:r>
    </w:p>
    <w:p>
      <w:pPr>
        <w:spacing w:line="380" w:lineRule="exact"/>
        <w:ind w:firstLine="4400" w:firstLineChars="20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投标人代表（签字）：</w:t>
      </w:r>
    </w:p>
    <w:p>
      <w:pPr>
        <w:spacing w:line="380" w:lineRule="exact"/>
        <w:ind w:firstLine="4400" w:firstLineChars="20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日   期：</w:t>
      </w:r>
    </w:p>
    <w:p>
      <w:pPr>
        <w:spacing w:line="380" w:lineRule="exact"/>
        <w:ind w:firstLine="4400" w:firstLineChars="2000"/>
        <w:rPr>
          <w:rFonts w:hint="eastAsia" w:ascii="新宋体" w:hAnsi="新宋体" w:eastAsia="新宋体"/>
          <w:color w:val="auto"/>
          <w:sz w:val="22"/>
          <w:szCs w:val="22"/>
          <w:highlight w:val="none"/>
        </w:rPr>
      </w:pPr>
    </w:p>
    <w:p>
      <w:pPr>
        <w:spacing w:line="380" w:lineRule="exact"/>
        <w:ind w:firstLine="4400" w:firstLineChars="2000"/>
        <w:rPr>
          <w:rFonts w:hint="eastAsia" w:ascii="新宋体" w:hAnsi="新宋体" w:eastAsia="新宋体"/>
          <w:color w:val="auto"/>
          <w:sz w:val="22"/>
          <w:szCs w:val="22"/>
          <w:highlight w:val="none"/>
        </w:rPr>
      </w:pPr>
    </w:p>
    <w:p>
      <w:pPr>
        <w:spacing w:line="380" w:lineRule="exact"/>
        <w:ind w:firstLine="4400" w:firstLineChars="2000"/>
        <w:rPr>
          <w:rFonts w:hint="eastAsia" w:ascii="新宋体" w:hAnsi="新宋体" w:eastAsia="新宋体"/>
          <w:color w:val="auto"/>
          <w:sz w:val="22"/>
          <w:szCs w:val="22"/>
          <w:highlight w:val="none"/>
        </w:rPr>
      </w:pPr>
    </w:p>
    <w:p>
      <w:pPr>
        <w:spacing w:line="380" w:lineRule="exact"/>
        <w:ind w:firstLine="4400" w:firstLineChars="2000"/>
        <w:rPr>
          <w:rFonts w:hint="eastAsia" w:ascii="新宋体" w:hAnsi="新宋体" w:eastAsia="新宋体"/>
          <w:color w:val="auto"/>
          <w:sz w:val="22"/>
          <w:szCs w:val="22"/>
          <w:highlight w:val="none"/>
        </w:rPr>
      </w:pPr>
    </w:p>
    <w:p>
      <w:pPr>
        <w:spacing w:line="380" w:lineRule="exact"/>
        <w:ind w:firstLine="4400" w:firstLineChars="2000"/>
        <w:rPr>
          <w:rFonts w:hint="eastAsia" w:ascii="新宋体" w:hAnsi="新宋体" w:eastAsia="新宋体"/>
          <w:color w:val="auto"/>
          <w:sz w:val="22"/>
          <w:szCs w:val="22"/>
          <w:highlight w:val="none"/>
        </w:rPr>
      </w:pPr>
    </w:p>
    <w:p>
      <w:pPr>
        <w:spacing w:line="460" w:lineRule="exact"/>
        <w:jc w:val="center"/>
        <w:outlineLvl w:val="4"/>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 xml:space="preserve">（4）监理工作人员情况 </w:t>
      </w:r>
    </w:p>
    <w:p>
      <w:pPr>
        <w:autoSpaceDE w:val="0"/>
        <w:autoSpaceDN w:val="0"/>
        <w:ind w:right="893"/>
        <w:textAlignment w:val="bottom"/>
        <w:rPr>
          <w:rFonts w:hint="eastAsia" w:ascii="新宋体" w:hAnsi="新宋体" w:eastAsia="新宋体"/>
          <w:color w:val="auto"/>
          <w:highlight w:val="none"/>
        </w:rPr>
      </w:pPr>
      <w:r>
        <w:rPr>
          <w:rFonts w:hint="eastAsia" w:ascii="新宋体" w:hAnsi="新宋体" w:eastAsia="新宋体"/>
          <w:b/>
          <w:color w:val="auto"/>
          <w:sz w:val="22"/>
          <w:highlight w:val="none"/>
        </w:rPr>
        <w:t>项目名称：                                           项目编号：</w:t>
      </w:r>
      <w:r>
        <w:rPr>
          <w:rFonts w:hint="eastAsia" w:ascii="新宋体" w:hAnsi="新宋体" w:eastAsia="新宋体"/>
          <w:color w:val="auto"/>
          <w:highlight w:val="none"/>
        </w:rPr>
        <w:t xml:space="preserve"> </w:t>
      </w:r>
    </w:p>
    <w:tbl>
      <w:tblPr>
        <w:tblStyle w:val="52"/>
        <w:tblW w:w="9181"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1" w:hRule="atLeast"/>
        </w:trPr>
        <w:tc>
          <w:tcPr>
            <w:tcW w:w="9181" w:type="dxa"/>
            <w:noWrap w:val="0"/>
            <w:vAlign w:val="center"/>
          </w:tcPr>
          <w:p>
            <w:pPr>
              <w:pStyle w:val="280"/>
              <w:keepNext w:val="0"/>
              <w:spacing w:after="0"/>
              <w:rPr>
                <w:rFonts w:hint="eastAsia" w:ascii="新宋体" w:hAnsi="新宋体" w:eastAsia="新宋体"/>
                <w:color w:val="auto"/>
                <w:highlight w:val="none"/>
              </w:rPr>
            </w:pPr>
          </w:p>
        </w:tc>
      </w:tr>
    </w:tbl>
    <w:p>
      <w:pPr>
        <w:rPr>
          <w:rFonts w:hint="eastAsia" w:ascii="新宋体" w:hAnsi="新宋体" w:eastAsia="新宋体"/>
          <w:color w:val="auto"/>
          <w:sz w:val="22"/>
          <w:szCs w:val="22"/>
          <w:highlight w:val="none"/>
          <w:lang w:val="zh-CN"/>
        </w:rPr>
      </w:pPr>
      <w:r>
        <w:rPr>
          <w:rFonts w:hint="eastAsia" w:ascii="新宋体" w:hAnsi="新宋体" w:eastAsia="新宋体"/>
          <w:color w:val="auto"/>
          <w:sz w:val="28"/>
          <w:highlight w:val="none"/>
        </w:rPr>
        <w:t xml:space="preserve">  </w:t>
      </w:r>
    </w:p>
    <w:p>
      <w:pPr>
        <w:spacing w:line="380" w:lineRule="exact"/>
        <w:ind w:firstLine="4400" w:firstLineChars="20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投标人全称（盖章）：</w:t>
      </w:r>
    </w:p>
    <w:p>
      <w:pPr>
        <w:spacing w:line="380" w:lineRule="exact"/>
        <w:ind w:firstLine="4400" w:firstLineChars="20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投标人代表（签字）：</w:t>
      </w:r>
    </w:p>
    <w:p>
      <w:pPr>
        <w:spacing w:line="380" w:lineRule="exact"/>
        <w:ind w:firstLine="4400" w:firstLineChars="20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日   期：</w:t>
      </w:r>
    </w:p>
    <w:p>
      <w:pPr>
        <w:spacing w:line="380" w:lineRule="exact"/>
        <w:ind w:firstLine="4400" w:firstLineChars="2000"/>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rPr>
          <w:rFonts w:hint="eastAsia"/>
          <w:color w:val="auto"/>
          <w:highlight w:val="none"/>
        </w:rPr>
      </w:pPr>
    </w:p>
    <w:p>
      <w:pPr>
        <w:rPr>
          <w:rFonts w:hint="eastAsia"/>
          <w:color w:val="auto"/>
          <w:highlight w:val="none"/>
        </w:rPr>
      </w:pPr>
    </w:p>
    <w:p>
      <w:pPr>
        <w:spacing w:line="460" w:lineRule="exact"/>
        <w:jc w:val="center"/>
        <w:outlineLvl w:val="4"/>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 xml:space="preserve">（5）技术支持和售后服务 </w:t>
      </w:r>
    </w:p>
    <w:p>
      <w:pPr>
        <w:autoSpaceDE w:val="0"/>
        <w:autoSpaceDN w:val="0"/>
        <w:ind w:right="893"/>
        <w:textAlignment w:val="bottom"/>
        <w:rPr>
          <w:rFonts w:hint="eastAsia" w:ascii="新宋体" w:hAnsi="新宋体" w:eastAsia="新宋体"/>
          <w:color w:val="auto"/>
          <w:highlight w:val="none"/>
        </w:rPr>
      </w:pPr>
      <w:r>
        <w:rPr>
          <w:rFonts w:hint="eastAsia" w:ascii="新宋体" w:hAnsi="新宋体" w:eastAsia="新宋体"/>
          <w:b/>
          <w:color w:val="auto"/>
          <w:sz w:val="22"/>
          <w:highlight w:val="none"/>
        </w:rPr>
        <w:t>项目名称：                                           项目编号：</w:t>
      </w:r>
      <w:r>
        <w:rPr>
          <w:rFonts w:hint="eastAsia" w:ascii="新宋体" w:hAnsi="新宋体" w:eastAsia="新宋体"/>
          <w:color w:val="auto"/>
          <w:highlight w:val="none"/>
        </w:rPr>
        <w:t xml:space="preserve"> </w:t>
      </w:r>
    </w:p>
    <w:tbl>
      <w:tblPr>
        <w:tblStyle w:val="52"/>
        <w:tblW w:w="9181"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1" w:hRule="atLeast"/>
        </w:trPr>
        <w:tc>
          <w:tcPr>
            <w:tcW w:w="9181" w:type="dxa"/>
            <w:noWrap w:val="0"/>
            <w:vAlign w:val="center"/>
          </w:tcPr>
          <w:p>
            <w:pPr>
              <w:pStyle w:val="280"/>
              <w:keepNext w:val="0"/>
              <w:spacing w:after="0"/>
              <w:rPr>
                <w:rFonts w:hint="eastAsia" w:ascii="新宋体" w:hAnsi="新宋体" w:eastAsia="新宋体"/>
                <w:color w:val="auto"/>
                <w:highlight w:val="none"/>
              </w:rPr>
            </w:pPr>
          </w:p>
        </w:tc>
      </w:tr>
    </w:tbl>
    <w:p>
      <w:pPr>
        <w:rPr>
          <w:rFonts w:hint="eastAsia" w:ascii="新宋体" w:hAnsi="新宋体" w:eastAsia="新宋体"/>
          <w:color w:val="auto"/>
          <w:sz w:val="22"/>
          <w:szCs w:val="22"/>
          <w:highlight w:val="none"/>
          <w:lang w:val="zh-CN"/>
        </w:rPr>
      </w:pPr>
      <w:r>
        <w:rPr>
          <w:rFonts w:hint="eastAsia" w:ascii="新宋体" w:hAnsi="新宋体" w:eastAsia="新宋体"/>
          <w:color w:val="auto"/>
          <w:sz w:val="28"/>
          <w:highlight w:val="none"/>
        </w:rPr>
        <w:t xml:space="preserve">  </w:t>
      </w:r>
    </w:p>
    <w:p>
      <w:pPr>
        <w:spacing w:line="380" w:lineRule="exact"/>
        <w:ind w:firstLine="4400" w:firstLineChars="20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投标人全称（盖章）：</w:t>
      </w:r>
    </w:p>
    <w:p>
      <w:pPr>
        <w:spacing w:line="380" w:lineRule="exact"/>
        <w:ind w:firstLine="4400" w:firstLineChars="20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投标人代表（签字）：</w:t>
      </w:r>
    </w:p>
    <w:p>
      <w:pPr>
        <w:spacing w:line="380" w:lineRule="exact"/>
        <w:ind w:firstLine="4400" w:firstLineChars="2000"/>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日   期：</w:t>
      </w:r>
    </w:p>
    <w:p>
      <w:pPr>
        <w:spacing w:line="380" w:lineRule="exact"/>
        <w:ind w:firstLine="4400" w:firstLineChars="2000"/>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pStyle w:val="29"/>
        <w:spacing w:line="400" w:lineRule="atLeast"/>
        <w:jc w:val="center"/>
        <w:rPr>
          <w:rFonts w:hint="eastAsia" w:ascii="新宋体" w:hAnsi="新宋体" w:eastAsia="新宋体"/>
          <w:b w:val="0"/>
          <w:bCs/>
          <w:color w:val="auto"/>
          <w:sz w:val="22"/>
          <w:szCs w:val="22"/>
          <w:highlight w:val="none"/>
        </w:rPr>
      </w:pPr>
    </w:p>
    <w:p>
      <w:pPr>
        <w:spacing w:line="380" w:lineRule="exact"/>
        <w:ind w:firstLine="5622" w:firstLineChars="2000"/>
        <w:rPr>
          <w:rFonts w:ascii="新宋体" w:hAnsi="新宋体" w:eastAsia="新宋体"/>
          <w:b/>
          <w:color w:val="auto"/>
          <w:sz w:val="28"/>
          <w:szCs w:val="28"/>
          <w:highlight w:val="none"/>
        </w:rPr>
        <w:sectPr>
          <w:pgSz w:w="11907" w:h="16840"/>
          <w:pgMar w:top="1134" w:right="1134" w:bottom="1134" w:left="1134" w:header="851" w:footer="992" w:gutter="0"/>
          <w:cols w:space="720" w:num="1"/>
          <w:docGrid w:linePitch="312" w:charSpace="0"/>
        </w:sectPr>
      </w:pPr>
    </w:p>
    <w:p>
      <w:pPr>
        <w:outlineLvl w:val="1"/>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附件四</w:t>
      </w:r>
    </w:p>
    <w:p>
      <w:pPr>
        <w:jc w:val="center"/>
        <w:outlineLvl w:val="2"/>
        <w:rPr>
          <w:rFonts w:hint="eastAsia" w:ascii="新宋体" w:hAnsi="新宋体" w:eastAsia="新宋体" w:cs="新宋体"/>
          <w:color w:val="auto"/>
          <w:sz w:val="32"/>
          <w:szCs w:val="32"/>
          <w:highlight w:val="none"/>
        </w:rPr>
      </w:pPr>
      <w:r>
        <w:rPr>
          <w:rFonts w:hint="eastAsia" w:ascii="新宋体" w:hAnsi="新宋体" w:eastAsia="新宋体" w:cs="新宋体"/>
          <w:b/>
          <w:bCs/>
          <w:color w:val="auto"/>
          <w:sz w:val="32"/>
          <w:szCs w:val="32"/>
          <w:highlight w:val="none"/>
        </w:rPr>
        <w:t>温州市政府采购信用融资意向银行选择表</w:t>
      </w:r>
    </w:p>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（温州市供应商填写）</w:t>
      </w:r>
    </w:p>
    <w:tbl>
      <w:tblPr>
        <w:tblStyle w:val="52"/>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4"/>
        <w:gridCol w:w="2304"/>
        <w:gridCol w:w="1439"/>
        <w:gridCol w:w="865"/>
        <w:gridCol w:w="1583"/>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60" w:type="pct"/>
            <w:noWrap w:val="0"/>
            <w:vAlign w:val="center"/>
          </w:tcPr>
          <w:p>
            <w:pPr>
              <w:pStyle w:val="318"/>
              <w:spacing w:line="460" w:lineRule="exact"/>
              <w:ind w:firstLine="0" w:firstLineChars="0"/>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企业名称</w:t>
            </w:r>
          </w:p>
        </w:tc>
        <w:tc>
          <w:tcPr>
            <w:tcW w:w="4139" w:type="pct"/>
            <w:gridSpan w:val="5"/>
            <w:noWrap w:val="0"/>
            <w:vAlign w:val="center"/>
          </w:tcPr>
          <w:p>
            <w:pPr>
              <w:pStyle w:val="318"/>
              <w:spacing w:line="460" w:lineRule="exact"/>
              <w:ind w:firstLine="0" w:firstLineChars="0"/>
              <w:jc w:val="center"/>
              <w:rPr>
                <w:rFonts w:hint="eastAsia" w:ascii="新宋体" w:hAnsi="新宋体" w:eastAsia="新宋体" w:cs="新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60" w:type="pct"/>
            <w:noWrap w:val="0"/>
            <w:vAlign w:val="center"/>
          </w:tcPr>
          <w:p>
            <w:pPr>
              <w:pStyle w:val="318"/>
              <w:spacing w:line="460" w:lineRule="exact"/>
              <w:ind w:firstLine="0" w:firstLineChars="0"/>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企业注册地</w:t>
            </w:r>
          </w:p>
        </w:tc>
        <w:tc>
          <w:tcPr>
            <w:tcW w:w="1899" w:type="pct"/>
            <w:gridSpan w:val="2"/>
            <w:noWrap w:val="0"/>
            <w:vAlign w:val="center"/>
          </w:tcPr>
          <w:p>
            <w:pPr>
              <w:pStyle w:val="318"/>
              <w:spacing w:line="460" w:lineRule="exact"/>
              <w:ind w:firstLine="0" w:firstLineChars="0"/>
              <w:jc w:val="center"/>
              <w:rPr>
                <w:rFonts w:hint="eastAsia" w:ascii="新宋体" w:hAnsi="新宋体" w:eastAsia="新宋体" w:cs="新宋体"/>
                <w:color w:val="auto"/>
                <w:kern w:val="0"/>
                <w:sz w:val="22"/>
                <w:szCs w:val="22"/>
                <w:highlight w:val="none"/>
              </w:rPr>
            </w:pPr>
          </w:p>
        </w:tc>
        <w:tc>
          <w:tcPr>
            <w:tcW w:w="1242" w:type="pct"/>
            <w:gridSpan w:val="2"/>
            <w:noWrap w:val="0"/>
            <w:vAlign w:val="center"/>
          </w:tcPr>
          <w:p>
            <w:pPr>
              <w:pStyle w:val="318"/>
              <w:spacing w:line="460" w:lineRule="exact"/>
              <w:ind w:firstLine="0" w:firstLineChars="0"/>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是否有融资意向</w:t>
            </w:r>
          </w:p>
        </w:tc>
        <w:tc>
          <w:tcPr>
            <w:tcW w:w="997" w:type="pct"/>
            <w:noWrap w:val="0"/>
            <w:vAlign w:val="center"/>
          </w:tcPr>
          <w:p>
            <w:pPr>
              <w:pStyle w:val="318"/>
              <w:spacing w:line="460" w:lineRule="exact"/>
              <w:ind w:firstLine="0" w:firstLineChars="0"/>
              <w:jc w:val="center"/>
              <w:rPr>
                <w:rFonts w:hint="eastAsia" w:ascii="新宋体" w:hAnsi="新宋体" w:eastAsia="新宋体" w:cs="新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60" w:type="pct"/>
            <w:noWrap w:val="0"/>
            <w:vAlign w:val="center"/>
          </w:tcPr>
          <w:p>
            <w:pPr>
              <w:pStyle w:val="318"/>
              <w:spacing w:line="460" w:lineRule="exact"/>
              <w:ind w:firstLine="0" w:firstLineChars="0"/>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融资联系人</w:t>
            </w:r>
          </w:p>
        </w:tc>
        <w:tc>
          <w:tcPr>
            <w:tcW w:w="1169" w:type="pct"/>
            <w:noWrap w:val="0"/>
            <w:vAlign w:val="center"/>
          </w:tcPr>
          <w:p>
            <w:pPr>
              <w:pStyle w:val="318"/>
              <w:spacing w:line="460" w:lineRule="exact"/>
              <w:ind w:firstLine="0" w:firstLineChars="0"/>
              <w:jc w:val="center"/>
              <w:rPr>
                <w:rFonts w:hint="eastAsia" w:ascii="新宋体" w:hAnsi="新宋体" w:eastAsia="新宋体" w:cs="新宋体"/>
                <w:color w:val="auto"/>
                <w:kern w:val="0"/>
                <w:sz w:val="22"/>
                <w:szCs w:val="22"/>
                <w:highlight w:val="none"/>
              </w:rPr>
            </w:pPr>
          </w:p>
        </w:tc>
        <w:tc>
          <w:tcPr>
            <w:tcW w:w="1169" w:type="pct"/>
            <w:gridSpan w:val="2"/>
            <w:noWrap w:val="0"/>
            <w:vAlign w:val="center"/>
          </w:tcPr>
          <w:p>
            <w:pPr>
              <w:pStyle w:val="318"/>
              <w:spacing w:line="460" w:lineRule="exact"/>
              <w:ind w:firstLine="0" w:firstLineChars="0"/>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联系方式</w:t>
            </w:r>
          </w:p>
        </w:tc>
        <w:tc>
          <w:tcPr>
            <w:tcW w:w="1801" w:type="pct"/>
            <w:gridSpan w:val="2"/>
            <w:noWrap w:val="0"/>
            <w:vAlign w:val="center"/>
          </w:tcPr>
          <w:p>
            <w:pPr>
              <w:pStyle w:val="318"/>
              <w:spacing w:line="460" w:lineRule="exact"/>
              <w:ind w:firstLine="0" w:firstLineChars="0"/>
              <w:jc w:val="center"/>
              <w:rPr>
                <w:rFonts w:hint="eastAsia" w:ascii="新宋体" w:hAnsi="新宋体" w:eastAsia="新宋体" w:cs="新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3198" w:type="pct"/>
            <w:gridSpan w:val="4"/>
            <w:noWrap w:val="0"/>
            <w:vAlign w:val="center"/>
          </w:tcPr>
          <w:p>
            <w:pPr>
              <w:pStyle w:val="318"/>
              <w:spacing w:line="460" w:lineRule="exact"/>
              <w:ind w:firstLine="0" w:firstLineChars="0"/>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温州市政府采购信用融资合作银行</w:t>
            </w:r>
          </w:p>
        </w:tc>
        <w:tc>
          <w:tcPr>
            <w:tcW w:w="1801" w:type="pct"/>
            <w:gridSpan w:val="2"/>
            <w:noWrap w:val="0"/>
            <w:vAlign w:val="center"/>
          </w:tcPr>
          <w:p>
            <w:pPr>
              <w:pStyle w:val="318"/>
              <w:spacing w:line="460" w:lineRule="exact"/>
              <w:ind w:firstLine="0" w:firstLineChars="0"/>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选择作为意向融资银行（可多选）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3198" w:type="pct"/>
            <w:gridSpan w:val="4"/>
            <w:noWrap w:val="0"/>
            <w:vAlign w:val="center"/>
          </w:tcPr>
          <w:p>
            <w:pPr>
              <w:pStyle w:val="318"/>
              <w:spacing w:line="460" w:lineRule="exact"/>
              <w:ind w:firstLine="0" w:firstLineChars="0"/>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温州银行股份有限公司温州分行</w:t>
            </w:r>
          </w:p>
        </w:tc>
        <w:tc>
          <w:tcPr>
            <w:tcW w:w="1801" w:type="pct"/>
            <w:gridSpan w:val="2"/>
            <w:noWrap w:val="0"/>
            <w:vAlign w:val="center"/>
          </w:tcPr>
          <w:p>
            <w:pPr>
              <w:pStyle w:val="318"/>
              <w:spacing w:line="460" w:lineRule="exact"/>
              <w:ind w:firstLine="0" w:firstLineChars="0"/>
              <w:jc w:val="center"/>
              <w:rPr>
                <w:rFonts w:hint="eastAsia" w:ascii="新宋体" w:hAnsi="新宋体" w:eastAsia="新宋体" w:cs="新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3198" w:type="pct"/>
            <w:gridSpan w:val="4"/>
            <w:noWrap w:val="0"/>
            <w:vAlign w:val="center"/>
          </w:tcPr>
          <w:p>
            <w:pPr>
              <w:pStyle w:val="318"/>
              <w:spacing w:line="460" w:lineRule="exact"/>
              <w:ind w:firstLine="0" w:firstLineChars="0"/>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温州银行股份有限公司鹿城分行</w:t>
            </w:r>
          </w:p>
        </w:tc>
        <w:tc>
          <w:tcPr>
            <w:tcW w:w="1801" w:type="pct"/>
            <w:gridSpan w:val="2"/>
            <w:noWrap w:val="0"/>
            <w:vAlign w:val="center"/>
          </w:tcPr>
          <w:p>
            <w:pPr>
              <w:pStyle w:val="318"/>
              <w:spacing w:line="460" w:lineRule="exact"/>
              <w:ind w:firstLine="0" w:firstLineChars="0"/>
              <w:jc w:val="center"/>
              <w:rPr>
                <w:rFonts w:hint="eastAsia" w:ascii="新宋体" w:hAnsi="新宋体" w:eastAsia="新宋体" w:cs="新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3198" w:type="pct"/>
            <w:gridSpan w:val="4"/>
            <w:noWrap w:val="0"/>
            <w:vAlign w:val="center"/>
          </w:tcPr>
          <w:p>
            <w:pPr>
              <w:pStyle w:val="318"/>
              <w:spacing w:line="460" w:lineRule="exact"/>
              <w:ind w:firstLine="0" w:firstLineChars="0"/>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中国工商银行股份有限公司温州分行</w:t>
            </w:r>
          </w:p>
        </w:tc>
        <w:tc>
          <w:tcPr>
            <w:tcW w:w="1801" w:type="pct"/>
            <w:gridSpan w:val="2"/>
            <w:noWrap w:val="0"/>
            <w:vAlign w:val="center"/>
          </w:tcPr>
          <w:p>
            <w:pPr>
              <w:pStyle w:val="318"/>
              <w:spacing w:line="460" w:lineRule="exact"/>
              <w:ind w:firstLine="0" w:firstLineChars="0"/>
              <w:jc w:val="center"/>
              <w:rPr>
                <w:rFonts w:hint="eastAsia" w:ascii="新宋体" w:hAnsi="新宋体" w:eastAsia="新宋体" w:cs="新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3198" w:type="pct"/>
            <w:gridSpan w:val="4"/>
            <w:noWrap w:val="0"/>
            <w:vAlign w:val="center"/>
          </w:tcPr>
          <w:p>
            <w:pPr>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中国建设银行股份有限公司温州分行</w:t>
            </w:r>
          </w:p>
        </w:tc>
        <w:tc>
          <w:tcPr>
            <w:tcW w:w="1801" w:type="pct"/>
            <w:gridSpan w:val="2"/>
            <w:noWrap w:val="0"/>
            <w:vAlign w:val="center"/>
          </w:tcPr>
          <w:p>
            <w:pPr>
              <w:spacing w:line="460" w:lineRule="exact"/>
              <w:jc w:val="center"/>
              <w:rPr>
                <w:rFonts w:hint="eastAsia" w:ascii="新宋体" w:hAnsi="新宋体" w:eastAsia="新宋体" w:cs="新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3198" w:type="pct"/>
            <w:gridSpan w:val="4"/>
            <w:noWrap w:val="0"/>
            <w:vAlign w:val="center"/>
          </w:tcPr>
          <w:p>
            <w:pPr>
              <w:pStyle w:val="318"/>
              <w:spacing w:line="460" w:lineRule="exact"/>
              <w:ind w:firstLine="0" w:firstLineChars="0"/>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中国邮政储蓄银行股份有限公司温州市分行</w:t>
            </w:r>
          </w:p>
        </w:tc>
        <w:tc>
          <w:tcPr>
            <w:tcW w:w="1801" w:type="pct"/>
            <w:gridSpan w:val="2"/>
            <w:noWrap w:val="0"/>
            <w:vAlign w:val="center"/>
          </w:tcPr>
          <w:p>
            <w:pPr>
              <w:pStyle w:val="318"/>
              <w:spacing w:line="460" w:lineRule="exact"/>
              <w:ind w:firstLine="0" w:firstLineChars="0"/>
              <w:jc w:val="center"/>
              <w:rPr>
                <w:rFonts w:hint="eastAsia" w:ascii="新宋体" w:hAnsi="新宋体" w:eastAsia="新宋体" w:cs="新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3198" w:type="pct"/>
            <w:gridSpan w:val="4"/>
            <w:noWrap w:val="0"/>
            <w:vAlign w:val="center"/>
          </w:tcPr>
          <w:p>
            <w:pPr>
              <w:pStyle w:val="318"/>
              <w:spacing w:line="460" w:lineRule="exact"/>
              <w:ind w:firstLine="0" w:firstLineChars="0"/>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中国民生银行股份有限公司温州分行</w:t>
            </w:r>
          </w:p>
        </w:tc>
        <w:tc>
          <w:tcPr>
            <w:tcW w:w="1801" w:type="pct"/>
            <w:gridSpan w:val="2"/>
            <w:noWrap w:val="0"/>
            <w:vAlign w:val="center"/>
          </w:tcPr>
          <w:p>
            <w:pPr>
              <w:pStyle w:val="318"/>
              <w:spacing w:line="460" w:lineRule="exact"/>
              <w:ind w:firstLine="0" w:firstLineChars="0"/>
              <w:jc w:val="center"/>
              <w:rPr>
                <w:rFonts w:hint="eastAsia" w:ascii="新宋体" w:hAnsi="新宋体" w:eastAsia="新宋体" w:cs="新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3198" w:type="pct"/>
            <w:gridSpan w:val="4"/>
            <w:noWrap w:val="0"/>
            <w:vAlign w:val="center"/>
          </w:tcPr>
          <w:p>
            <w:pPr>
              <w:pStyle w:val="318"/>
              <w:spacing w:line="460" w:lineRule="exact"/>
              <w:ind w:firstLine="0" w:firstLineChars="0"/>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宁波银行股份有限公司温州分行</w:t>
            </w:r>
          </w:p>
        </w:tc>
        <w:tc>
          <w:tcPr>
            <w:tcW w:w="1801" w:type="pct"/>
            <w:gridSpan w:val="2"/>
            <w:noWrap w:val="0"/>
            <w:vAlign w:val="center"/>
          </w:tcPr>
          <w:p>
            <w:pPr>
              <w:pStyle w:val="318"/>
              <w:spacing w:line="460" w:lineRule="exact"/>
              <w:ind w:firstLine="0" w:firstLineChars="0"/>
              <w:jc w:val="center"/>
              <w:rPr>
                <w:rFonts w:hint="eastAsia" w:ascii="新宋体" w:hAnsi="新宋体" w:eastAsia="新宋体" w:cs="新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3198" w:type="pct"/>
            <w:gridSpan w:val="4"/>
            <w:noWrap w:val="0"/>
            <w:vAlign w:val="center"/>
          </w:tcPr>
          <w:p>
            <w:pPr>
              <w:pStyle w:val="318"/>
              <w:spacing w:line="460" w:lineRule="exact"/>
              <w:ind w:firstLine="0" w:firstLineChars="0"/>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杭州银行股份有限公司温州分行</w:t>
            </w:r>
          </w:p>
        </w:tc>
        <w:tc>
          <w:tcPr>
            <w:tcW w:w="1801" w:type="pct"/>
            <w:gridSpan w:val="2"/>
            <w:noWrap w:val="0"/>
            <w:vAlign w:val="center"/>
          </w:tcPr>
          <w:p>
            <w:pPr>
              <w:pStyle w:val="318"/>
              <w:spacing w:line="460" w:lineRule="exact"/>
              <w:ind w:firstLine="0" w:firstLineChars="0"/>
              <w:jc w:val="center"/>
              <w:rPr>
                <w:rFonts w:hint="eastAsia" w:ascii="新宋体" w:hAnsi="新宋体" w:eastAsia="新宋体" w:cs="新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3198" w:type="pct"/>
            <w:gridSpan w:val="4"/>
            <w:noWrap w:val="0"/>
            <w:vAlign w:val="center"/>
          </w:tcPr>
          <w:p>
            <w:pPr>
              <w:pStyle w:val="318"/>
              <w:spacing w:line="460" w:lineRule="exact"/>
              <w:ind w:firstLine="0" w:firstLineChars="0"/>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招商银行股份有限公司温州分行</w:t>
            </w:r>
          </w:p>
        </w:tc>
        <w:tc>
          <w:tcPr>
            <w:tcW w:w="1801" w:type="pct"/>
            <w:gridSpan w:val="2"/>
            <w:noWrap w:val="0"/>
            <w:vAlign w:val="center"/>
          </w:tcPr>
          <w:p>
            <w:pPr>
              <w:pStyle w:val="318"/>
              <w:spacing w:line="460" w:lineRule="exact"/>
              <w:ind w:firstLine="0" w:firstLineChars="0"/>
              <w:jc w:val="center"/>
              <w:rPr>
                <w:rFonts w:hint="eastAsia" w:ascii="新宋体" w:hAnsi="新宋体" w:eastAsia="新宋体" w:cs="新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3198" w:type="pct"/>
            <w:gridSpan w:val="4"/>
            <w:noWrap w:val="0"/>
            <w:vAlign w:val="center"/>
          </w:tcPr>
          <w:p>
            <w:pPr>
              <w:pStyle w:val="318"/>
              <w:spacing w:line="460" w:lineRule="exact"/>
              <w:ind w:firstLine="0" w:firstLineChars="0"/>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兴业银行股份有限公司温州分行</w:t>
            </w:r>
          </w:p>
        </w:tc>
        <w:tc>
          <w:tcPr>
            <w:tcW w:w="1801" w:type="pct"/>
            <w:gridSpan w:val="2"/>
            <w:noWrap w:val="0"/>
            <w:vAlign w:val="center"/>
          </w:tcPr>
          <w:p>
            <w:pPr>
              <w:pStyle w:val="318"/>
              <w:spacing w:line="460" w:lineRule="exact"/>
              <w:ind w:firstLine="0" w:firstLineChars="0"/>
              <w:jc w:val="center"/>
              <w:rPr>
                <w:rFonts w:hint="eastAsia" w:ascii="新宋体" w:hAnsi="新宋体" w:eastAsia="新宋体" w:cs="新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3198" w:type="pct"/>
            <w:gridSpan w:val="4"/>
            <w:noWrap w:val="0"/>
            <w:vAlign w:val="center"/>
          </w:tcPr>
          <w:p>
            <w:pPr>
              <w:pStyle w:val="318"/>
              <w:spacing w:line="460" w:lineRule="exact"/>
              <w:ind w:firstLine="0" w:firstLineChars="0"/>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交通银行股份有限公司温州分行</w:t>
            </w:r>
          </w:p>
        </w:tc>
        <w:tc>
          <w:tcPr>
            <w:tcW w:w="1801" w:type="pct"/>
            <w:gridSpan w:val="2"/>
            <w:noWrap w:val="0"/>
            <w:vAlign w:val="center"/>
          </w:tcPr>
          <w:p>
            <w:pPr>
              <w:pStyle w:val="318"/>
              <w:spacing w:line="460" w:lineRule="exact"/>
              <w:ind w:firstLine="0" w:firstLineChars="0"/>
              <w:jc w:val="center"/>
              <w:rPr>
                <w:rFonts w:hint="eastAsia" w:ascii="新宋体" w:hAnsi="新宋体" w:eastAsia="新宋体" w:cs="新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3198" w:type="pct"/>
            <w:gridSpan w:val="4"/>
            <w:noWrap w:val="0"/>
            <w:vAlign w:val="center"/>
          </w:tcPr>
          <w:p>
            <w:pPr>
              <w:pStyle w:val="318"/>
              <w:spacing w:line="460" w:lineRule="exact"/>
              <w:ind w:firstLine="0" w:firstLineChars="0"/>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上海浦东发展银行股份有限公司温州分行</w:t>
            </w:r>
          </w:p>
        </w:tc>
        <w:tc>
          <w:tcPr>
            <w:tcW w:w="1801" w:type="pct"/>
            <w:gridSpan w:val="2"/>
            <w:noWrap w:val="0"/>
            <w:vAlign w:val="center"/>
          </w:tcPr>
          <w:p>
            <w:pPr>
              <w:pStyle w:val="318"/>
              <w:spacing w:line="460" w:lineRule="exact"/>
              <w:ind w:firstLine="0" w:firstLineChars="0"/>
              <w:jc w:val="center"/>
              <w:rPr>
                <w:rFonts w:hint="eastAsia" w:ascii="新宋体" w:hAnsi="新宋体" w:eastAsia="新宋体" w:cs="新宋体"/>
                <w:color w:val="auto"/>
                <w:kern w:val="0"/>
                <w:sz w:val="22"/>
                <w:szCs w:val="22"/>
                <w:highlight w:val="none"/>
              </w:rPr>
            </w:pPr>
          </w:p>
        </w:tc>
      </w:tr>
    </w:tbl>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注：1、本表填写对象为注册地在温州市域内的供应商。</w:t>
      </w:r>
    </w:p>
    <w:p>
      <w:pPr>
        <w:spacing w:line="460" w:lineRule="exact"/>
        <w:ind w:firstLine="440" w:firstLineChars="200"/>
        <w:rPr>
          <w:color w:val="auto"/>
          <w:sz w:val="24"/>
          <w:highlight w:val="none"/>
        </w:rPr>
      </w:pPr>
      <w:r>
        <w:rPr>
          <w:rFonts w:hint="eastAsia" w:ascii="新宋体" w:hAnsi="新宋体" w:eastAsia="新宋体" w:cs="新宋体"/>
          <w:color w:val="auto"/>
          <w:sz w:val="22"/>
          <w:szCs w:val="22"/>
          <w:highlight w:val="none"/>
        </w:rPr>
        <w:t>2、财政部门根据企业自行选择，将本表及企业相关信息推送至相对应的融资意向银行经办人。</w:t>
      </w:r>
    </w:p>
    <w:p>
      <w:pPr>
        <w:spacing w:line="460" w:lineRule="exact"/>
        <w:rPr>
          <w:rFonts w:ascii="新宋体" w:hAnsi="新宋体" w:eastAsia="新宋体"/>
          <w:color w:val="auto"/>
          <w:sz w:val="22"/>
          <w:szCs w:val="22"/>
          <w:highlight w:val="none"/>
        </w:rPr>
        <w:sectPr>
          <w:headerReference r:id="rId5" w:type="default"/>
          <w:footerReference r:id="rId6" w:type="default"/>
          <w:pgSz w:w="11906" w:h="16838"/>
          <w:pgMar w:top="1134" w:right="1134" w:bottom="1134" w:left="1134" w:header="850" w:footer="992" w:gutter="0"/>
          <w:cols w:space="720" w:num="1"/>
          <w:docGrid w:type="lines" w:linePitch="321" w:charSpace="0"/>
        </w:sect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6"/>
        <w:gridCol w:w="3355"/>
        <w:gridCol w:w="1038"/>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4"/>
            <w:noWrap w:val="0"/>
            <w:vAlign w:val="top"/>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36"/>
                <w:szCs w:val="36"/>
                <w:highlight w:val="none"/>
              </w:rPr>
              <w:t>温州市政府采购支持中小企业信用融资合作银行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277" w:type="dxa"/>
            <w:noWrap w:val="0"/>
            <w:vAlign w:val="top"/>
          </w:tcPr>
          <w:p>
            <w:pPr>
              <w:pStyle w:val="318"/>
              <w:ind w:firstLine="0" w:firstLineChars="0"/>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银行名称</w:t>
            </w:r>
          </w:p>
        </w:tc>
        <w:tc>
          <w:tcPr>
            <w:tcW w:w="5497" w:type="dxa"/>
            <w:noWrap w:val="0"/>
            <w:vAlign w:val="top"/>
          </w:tcPr>
          <w:p>
            <w:pPr>
              <w:pStyle w:val="318"/>
              <w:ind w:firstLine="0" w:firstLineChars="0"/>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产品特点（不超过120字）</w:t>
            </w:r>
          </w:p>
        </w:tc>
        <w:tc>
          <w:tcPr>
            <w:tcW w:w="1559" w:type="dxa"/>
            <w:noWrap w:val="0"/>
            <w:vAlign w:val="top"/>
          </w:tcPr>
          <w:p>
            <w:pPr>
              <w:pStyle w:val="318"/>
              <w:ind w:firstLine="0" w:firstLineChars="0"/>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经办人</w:t>
            </w:r>
          </w:p>
        </w:tc>
        <w:tc>
          <w:tcPr>
            <w:tcW w:w="2841" w:type="dxa"/>
            <w:noWrap w:val="0"/>
            <w:vAlign w:val="top"/>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318"/>
              <w:ind w:firstLine="0" w:firstLineChars="0"/>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中国工商银行股份有限公司温州分行</w:t>
            </w:r>
          </w:p>
        </w:tc>
        <w:tc>
          <w:tcPr>
            <w:tcW w:w="5497" w:type="dxa"/>
            <w:noWrap w:val="0"/>
            <w:vAlign w:val="top"/>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一、融资方式：采取简易方式,根据流水及纳税情况核定额度。信用方式。（融资200万以下）根据政府采购合同及供应商资金需求确定，以信用为主，追加采购合同项下的预期销货款为我行质押。（融资200万以上）二、融资利率：在我行一般中小企业信用贷款利率基础上下浮10%。</w:t>
            </w:r>
          </w:p>
        </w:tc>
        <w:tc>
          <w:tcPr>
            <w:tcW w:w="1559" w:type="dxa"/>
            <w:noWrap w:val="0"/>
            <w:vAlign w:val="center"/>
          </w:tcPr>
          <w:p>
            <w:pPr>
              <w:pStyle w:val="318"/>
              <w:ind w:firstLine="0" w:firstLineChars="0"/>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王经理</w:t>
            </w:r>
          </w:p>
        </w:tc>
        <w:tc>
          <w:tcPr>
            <w:tcW w:w="2841" w:type="dxa"/>
            <w:noWrap w:val="0"/>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0577-88186626</w:t>
            </w:r>
          </w:p>
          <w:p>
            <w:pPr>
              <w:jc w:val="center"/>
              <w:rPr>
                <w:rFonts w:hint="eastAsia" w:ascii="新宋体" w:hAnsi="新宋体" w:eastAsia="新宋体" w:cs="新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4277" w:type="dxa"/>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中国建设银行股份有限公司温州分行</w:t>
            </w:r>
          </w:p>
        </w:tc>
        <w:tc>
          <w:tcPr>
            <w:tcW w:w="5497" w:type="dxa"/>
            <w:noWrap w:val="0"/>
            <w:vAlign w:val="top"/>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申请手续简便：以政府采购合同为基础，无需额外抵押和担保；融资价格优惠：最低可享受4.15%的优惠利率，随LPR浮动调整；到账时间快速：最快可实现当日申请，当日放款；办理流程省心：线上操作流程，免去银行排队奔波。</w:t>
            </w:r>
          </w:p>
        </w:tc>
        <w:tc>
          <w:tcPr>
            <w:tcW w:w="1559" w:type="dxa"/>
            <w:noWrap w:val="0"/>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张经理</w:t>
            </w:r>
          </w:p>
        </w:tc>
        <w:tc>
          <w:tcPr>
            <w:tcW w:w="2841" w:type="dxa"/>
            <w:noWrap w:val="0"/>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0577-88093286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318"/>
              <w:ind w:firstLine="0" w:firstLineChars="0"/>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中国邮政储蓄银行股份有限公司温州市分行</w:t>
            </w:r>
          </w:p>
        </w:tc>
        <w:tc>
          <w:tcPr>
            <w:tcW w:w="5497" w:type="dxa"/>
            <w:noWrap w:val="0"/>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政府采购贷”业务，是指我行为政府采购项目中标企业发放的，用于中标企业合法生产经营活动的短期人民币流动资金贷款。贷款免抵押、免担保，手续便捷、审批快速，单笔金额最高500万元，单笔期限最长18个月。</w:t>
            </w:r>
          </w:p>
        </w:tc>
        <w:tc>
          <w:tcPr>
            <w:tcW w:w="1559" w:type="dxa"/>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郑经理</w:t>
            </w:r>
          </w:p>
        </w:tc>
        <w:tc>
          <w:tcPr>
            <w:tcW w:w="2841" w:type="dxa"/>
            <w:noWrap w:val="0"/>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0577-88193910</w:t>
            </w:r>
          </w:p>
          <w:p>
            <w:pPr>
              <w:jc w:val="center"/>
              <w:rPr>
                <w:rFonts w:hint="eastAsia" w:ascii="新宋体" w:hAnsi="新宋体" w:eastAsia="新宋体" w:cs="新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318"/>
              <w:ind w:firstLine="0" w:firstLineChars="0"/>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中国民生银行股份有限公司温州分行</w:t>
            </w:r>
          </w:p>
        </w:tc>
        <w:tc>
          <w:tcPr>
            <w:tcW w:w="5497" w:type="dxa"/>
            <w:noWrap w:val="0"/>
            <w:vAlign w:val="top"/>
          </w:tcPr>
          <w:p>
            <w:pPr>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民生银行供应链金融“政采贷”产品，专为政府采购场景下的中小企业融资而设计，最高融资额度可达政府采购合同交易金额的70%,最高单笔授信金额可达500万元，期限最长可达1年，无需抵押，无需办理应收账款质押，材料简单，流程便捷，利率优惠。</w:t>
            </w:r>
          </w:p>
        </w:tc>
        <w:tc>
          <w:tcPr>
            <w:tcW w:w="1559" w:type="dxa"/>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项经理</w:t>
            </w:r>
          </w:p>
        </w:tc>
        <w:tc>
          <w:tcPr>
            <w:tcW w:w="2841" w:type="dxa"/>
            <w:noWrap w:val="0"/>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18057779630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318"/>
              <w:ind w:firstLine="0" w:firstLineChars="0"/>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宁波银行股份有限公司温州分行</w:t>
            </w:r>
          </w:p>
        </w:tc>
        <w:tc>
          <w:tcPr>
            <w:tcW w:w="5497" w:type="dxa"/>
            <w:noWrap w:val="0"/>
            <w:vAlign w:val="top"/>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宁波银行政府采购融资指应供应商申请，以政府采购合同项下的回款为主要还款来源，为满足供应商履行采购合同所需资金而向其提供融资的信贷业务。提供中标通知书及其他授信材料即可申请，授信担保方式为信用，最长期限不超过一年，最大金额不超过2000万元。</w:t>
            </w:r>
          </w:p>
        </w:tc>
        <w:tc>
          <w:tcPr>
            <w:tcW w:w="1559" w:type="dxa"/>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陈经理</w:t>
            </w:r>
          </w:p>
        </w:tc>
        <w:tc>
          <w:tcPr>
            <w:tcW w:w="2841" w:type="dxa"/>
            <w:noWrap w:val="0"/>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0577－88007377</w:t>
            </w:r>
          </w:p>
          <w:p>
            <w:pPr>
              <w:jc w:val="center"/>
              <w:rPr>
                <w:rFonts w:hint="eastAsia" w:ascii="新宋体" w:hAnsi="新宋体" w:eastAsia="新宋体" w:cs="新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318"/>
              <w:ind w:firstLine="0" w:firstLineChars="0"/>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杭州银行股份有限公司温州分行</w:t>
            </w:r>
          </w:p>
        </w:tc>
        <w:tc>
          <w:tcPr>
            <w:tcW w:w="5497" w:type="dxa"/>
            <w:noWrap w:val="0"/>
            <w:vAlign w:val="top"/>
          </w:tcPr>
          <w:p>
            <w:pPr>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门槛低：纯信用，平台注册入库并取得采购合同即可申请</w:t>
            </w:r>
          </w:p>
          <w:p>
            <w:pPr>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手续简：线上申请+线上签约，足不出户</w:t>
            </w:r>
          </w:p>
          <w:p>
            <w:pPr>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利率优：按优于一般中小企业贷款利率执行</w:t>
            </w:r>
          </w:p>
          <w:p>
            <w:pPr>
              <w:rPr>
                <w:rFonts w:hint="eastAsia"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额度高：最高为合同金额的80%</w:t>
            </w:r>
          </w:p>
        </w:tc>
        <w:tc>
          <w:tcPr>
            <w:tcW w:w="1559" w:type="dxa"/>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叶经理</w:t>
            </w:r>
          </w:p>
        </w:tc>
        <w:tc>
          <w:tcPr>
            <w:tcW w:w="2841" w:type="dxa"/>
            <w:noWrap w:val="0"/>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0577-88008933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318"/>
              <w:ind w:firstLine="0" w:firstLineChars="0"/>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招商银行股份有限公司温州分行</w:t>
            </w:r>
          </w:p>
        </w:tc>
        <w:tc>
          <w:tcPr>
            <w:tcW w:w="5497" w:type="dxa"/>
            <w:noWrap w:val="0"/>
            <w:vAlign w:val="top"/>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政采贷是招商银行针对政府采购招投标中标供应商，以政府采购合同项下未来应收账款为第一还款来源的融资业务，无需抵质押物。额度最高可达2000万，同时可开通自助贷款直通功能，自助贷款额度最高可达1000万，支持线上申请、随借随还。</w:t>
            </w:r>
          </w:p>
        </w:tc>
        <w:tc>
          <w:tcPr>
            <w:tcW w:w="1559" w:type="dxa"/>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陈经理</w:t>
            </w:r>
          </w:p>
        </w:tc>
        <w:tc>
          <w:tcPr>
            <w:tcW w:w="2841" w:type="dxa"/>
            <w:noWrap w:val="0"/>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0577-88056876</w:t>
            </w:r>
          </w:p>
          <w:p>
            <w:pPr>
              <w:jc w:val="center"/>
              <w:rPr>
                <w:rFonts w:hint="eastAsia" w:ascii="新宋体" w:hAnsi="新宋体" w:eastAsia="新宋体" w:cs="新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318"/>
              <w:ind w:firstLine="0" w:firstLineChars="0"/>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兴业银行股份有限公司温州分行</w:t>
            </w:r>
          </w:p>
        </w:tc>
        <w:tc>
          <w:tcPr>
            <w:tcW w:w="5497" w:type="dxa"/>
            <w:noWrap w:val="0"/>
            <w:vAlign w:val="center"/>
          </w:tcPr>
          <w:p>
            <w:pPr>
              <w:pStyle w:val="318"/>
              <w:spacing w:line="240" w:lineRule="auto"/>
              <w:ind w:firstLine="0" w:firstLineChars="0"/>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融资担保方式及融资金额：1、采取信用免抵押的企业，最高融资金额200万元；2、采取政府采购中标应收帐款质押的，最高融资金额不超过1000万元，单笔提款金额不超过采购合同金额的70%。融资利率：在本单位一般性中小企业信用贷款利率基础上下浮10%。</w:t>
            </w:r>
          </w:p>
        </w:tc>
        <w:tc>
          <w:tcPr>
            <w:tcW w:w="1559" w:type="dxa"/>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张经理</w:t>
            </w:r>
          </w:p>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陈经理</w:t>
            </w:r>
          </w:p>
        </w:tc>
        <w:tc>
          <w:tcPr>
            <w:tcW w:w="2841" w:type="dxa"/>
            <w:noWrap w:val="0"/>
            <w:vAlign w:val="center"/>
          </w:tcPr>
          <w:p>
            <w:pPr>
              <w:pStyle w:val="318"/>
              <w:ind w:firstLine="0" w:firstLineChars="0"/>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0577-88369368/13857713118</w:t>
            </w:r>
          </w:p>
          <w:p>
            <w:pPr>
              <w:pStyle w:val="318"/>
              <w:ind w:firstLine="0" w:firstLineChars="0"/>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0577-56969696-526506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318"/>
              <w:ind w:firstLine="0" w:firstLineChars="0"/>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温州银行股份有限公司温州分行</w:t>
            </w:r>
          </w:p>
        </w:tc>
        <w:tc>
          <w:tcPr>
            <w:tcW w:w="5497" w:type="dxa"/>
            <w:noWrap w:val="0"/>
            <w:vAlign w:val="top"/>
          </w:tcPr>
          <w:p>
            <w:pPr>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政采订单贷：订单在手，融资无忧。用于满足供应商订单采购所需资金周转的贷款产品。门槛低，无须抵押，凭中标通知书即可申请，额度高，最高可贷500万元，单笔业务金额可贷中标金额的80%，最长期限可贷1年。</w:t>
            </w:r>
          </w:p>
        </w:tc>
        <w:tc>
          <w:tcPr>
            <w:tcW w:w="1559" w:type="dxa"/>
            <w:noWrap w:val="0"/>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陈经理</w:t>
            </w:r>
          </w:p>
        </w:tc>
        <w:tc>
          <w:tcPr>
            <w:tcW w:w="2841" w:type="dxa"/>
            <w:noWrap w:val="0"/>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13736355866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318"/>
              <w:ind w:firstLine="0" w:firstLineChars="0"/>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温州银行股份有限公司鹿城分行</w:t>
            </w:r>
          </w:p>
        </w:tc>
        <w:tc>
          <w:tcPr>
            <w:tcW w:w="5497" w:type="dxa"/>
            <w:noWrap w:val="0"/>
            <w:vAlign w:val="top"/>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政采订单贷：1、面向政府采购项目供应商，满足供应商资金周转需求，凭中标通知书即可申请，2、秒知额高，最高可贷500万元，单笔业务金额可贷中标金额的80%，</w:t>
            </w:r>
          </w:p>
          <w:p>
            <w:pPr>
              <w:pStyle w:val="327"/>
              <w:ind w:left="5" w:firstLine="0" w:firstLineChars="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最长期限可贷1年。信保贷：1、额度最高可达500万元</w:t>
            </w:r>
          </w:p>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2、担保灵活，信用贷款3、贷款年利率至少可享受本单位一般性中小企业信用贷款利率基础上下浮10 %</w:t>
            </w:r>
          </w:p>
        </w:tc>
        <w:tc>
          <w:tcPr>
            <w:tcW w:w="1559" w:type="dxa"/>
            <w:noWrap w:val="0"/>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戴经理</w:t>
            </w:r>
          </w:p>
        </w:tc>
        <w:tc>
          <w:tcPr>
            <w:tcW w:w="2841" w:type="dxa"/>
            <w:noWrap w:val="0"/>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13605772302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318"/>
              <w:ind w:firstLine="0" w:firstLineChars="0"/>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交通银行股份有限公司温州分行</w:t>
            </w:r>
          </w:p>
        </w:tc>
        <w:tc>
          <w:tcPr>
            <w:tcW w:w="5497" w:type="dxa"/>
            <w:noWrap w:val="0"/>
            <w:vAlign w:val="top"/>
          </w:tcPr>
          <w:p>
            <w:pPr>
              <w:autoSpaceDE w:val="0"/>
              <w:autoSpaceDN w:val="0"/>
              <w:adjustRightInd w:val="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手续便捷，授信审批全程上门服务；无需抵押，无抵押贷款一步到位；额度灵活，随借随贷，单户最高2000万元；期限匹配，与付款周期相吻合；利率优惠，本行中小企业信用贷款利率水平至少下浮10%；一对一增值服务方案—您的财富管理银行。</w:t>
            </w:r>
          </w:p>
        </w:tc>
        <w:tc>
          <w:tcPr>
            <w:tcW w:w="1559" w:type="dxa"/>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缪经理</w:t>
            </w:r>
          </w:p>
        </w:tc>
        <w:tc>
          <w:tcPr>
            <w:tcW w:w="2841" w:type="dxa"/>
            <w:noWrap w:val="0"/>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0577-88248454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277" w:type="dxa"/>
            <w:noWrap w:val="0"/>
            <w:vAlign w:val="center"/>
          </w:tcPr>
          <w:p>
            <w:pPr>
              <w:pStyle w:val="318"/>
              <w:ind w:firstLine="0" w:firstLineChars="0"/>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上海浦东发展银行股份有限公司温州分行</w:t>
            </w:r>
          </w:p>
        </w:tc>
        <w:tc>
          <w:tcPr>
            <w:tcW w:w="5497" w:type="dxa"/>
            <w:noWrap w:val="0"/>
            <w:vAlign w:val="top"/>
          </w:tcPr>
          <w:p>
            <w:pPr>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政采e贷：是浦发银行面向温州地区经营状况良好的小微企业政府采购项目供应商所提供的专属政府采购订单融资产品。产品特点：纯信用、免担保、门槛低、授信快、在线贷、秒放款</w:t>
            </w:r>
          </w:p>
          <w:p>
            <w:pPr>
              <w:shd w:val="clear" w:color="auto" w:fill="FFFFFF"/>
              <w:jc w:val="left"/>
              <w:rPr>
                <w:rFonts w:hint="eastAsia" w:ascii="新宋体" w:hAnsi="新宋体" w:eastAsia="新宋体" w:cs="新宋体"/>
                <w:color w:val="auto"/>
                <w:sz w:val="22"/>
                <w:szCs w:val="22"/>
                <w:highlight w:val="none"/>
              </w:rPr>
            </w:pPr>
            <w:r>
              <w:rPr>
                <w:rFonts w:hint="eastAsia" w:ascii="新宋体" w:hAnsi="新宋体" w:eastAsia="新宋体" w:cs="新宋体"/>
                <w:bCs/>
                <w:color w:val="auto"/>
                <w:kern w:val="0"/>
                <w:sz w:val="22"/>
                <w:szCs w:val="22"/>
                <w:highlight w:val="none"/>
              </w:rPr>
              <w:t>所需材料：企业基础证件、相关中标文件（中标通知书 、采购合同等）、其他必要文件</w:t>
            </w:r>
          </w:p>
        </w:tc>
        <w:tc>
          <w:tcPr>
            <w:tcW w:w="1559" w:type="dxa"/>
            <w:noWrap w:val="0"/>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叶经理</w:t>
            </w:r>
          </w:p>
        </w:tc>
        <w:tc>
          <w:tcPr>
            <w:tcW w:w="2841" w:type="dxa"/>
            <w:noWrap w:val="0"/>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0577-55570829</w:t>
            </w:r>
          </w:p>
          <w:p>
            <w:pPr>
              <w:jc w:val="center"/>
              <w:rPr>
                <w:rFonts w:hint="eastAsia" w:ascii="新宋体" w:hAnsi="新宋体" w:eastAsia="新宋体" w:cs="新宋体"/>
                <w:color w:val="auto"/>
                <w:kern w:val="0"/>
                <w:sz w:val="22"/>
                <w:szCs w:val="22"/>
                <w:highlight w:val="none"/>
              </w:rPr>
            </w:pPr>
          </w:p>
        </w:tc>
      </w:tr>
    </w:tbl>
    <w:p>
      <w:pPr>
        <w:spacing w:line="460" w:lineRule="exact"/>
        <w:jc w:val="center"/>
        <w:rPr>
          <w:rFonts w:hint="eastAsia" w:ascii="楷体_GB2312" w:eastAsia="楷体_GB2312"/>
          <w:color w:val="auto"/>
          <w:sz w:val="22"/>
          <w:szCs w:val="22"/>
          <w:highlight w:val="none"/>
        </w:rPr>
      </w:pPr>
    </w:p>
    <w:p>
      <w:pPr>
        <w:pStyle w:val="9"/>
        <w:rPr>
          <w:rFonts w:hint="eastAsia" w:ascii="楷体_GB2312" w:eastAsia="楷体_GB2312"/>
          <w:color w:val="auto"/>
          <w:sz w:val="22"/>
          <w:szCs w:val="22"/>
          <w:highlight w:val="none"/>
        </w:rPr>
      </w:pPr>
    </w:p>
    <w:p>
      <w:pPr>
        <w:rPr>
          <w:rFonts w:hint="eastAsia" w:ascii="楷体_GB2312" w:eastAsia="楷体_GB2312"/>
          <w:color w:val="auto"/>
          <w:sz w:val="22"/>
          <w:szCs w:val="22"/>
          <w:highlight w:val="none"/>
        </w:rPr>
      </w:pPr>
    </w:p>
    <w:p>
      <w:pPr>
        <w:pStyle w:val="9"/>
        <w:rPr>
          <w:rFonts w:hint="eastAsia" w:ascii="楷体_GB2312" w:eastAsia="楷体_GB2312"/>
          <w:color w:val="auto"/>
          <w:sz w:val="22"/>
          <w:szCs w:val="22"/>
          <w:highlight w:val="none"/>
        </w:rPr>
      </w:pPr>
    </w:p>
    <w:p>
      <w:pPr>
        <w:rPr>
          <w:rFonts w:hint="eastAsia" w:ascii="楷体_GB2312" w:eastAsia="楷体_GB2312"/>
          <w:color w:val="auto"/>
          <w:sz w:val="22"/>
          <w:szCs w:val="22"/>
          <w:highlight w:val="none"/>
        </w:rPr>
      </w:pPr>
    </w:p>
    <w:p>
      <w:pPr>
        <w:pStyle w:val="9"/>
        <w:rPr>
          <w:rFonts w:hint="eastAsia" w:ascii="楷体_GB2312" w:eastAsia="楷体_GB2312"/>
          <w:color w:val="auto"/>
          <w:sz w:val="22"/>
          <w:szCs w:val="22"/>
          <w:highlight w:val="none"/>
        </w:rPr>
      </w:pPr>
    </w:p>
    <w:p>
      <w:pPr>
        <w:rPr>
          <w:rFonts w:hint="eastAsia" w:ascii="楷体_GB2312" w:eastAsia="楷体_GB2312"/>
          <w:color w:val="auto"/>
          <w:sz w:val="22"/>
          <w:szCs w:val="22"/>
          <w:highlight w:val="none"/>
        </w:rPr>
      </w:pPr>
    </w:p>
    <w:p>
      <w:pPr>
        <w:pStyle w:val="9"/>
        <w:rPr>
          <w:rFonts w:hint="eastAsia" w:ascii="楷体_GB2312" w:eastAsia="楷体_GB2312"/>
          <w:color w:val="auto"/>
          <w:sz w:val="22"/>
          <w:szCs w:val="22"/>
          <w:highlight w:val="none"/>
        </w:rPr>
      </w:pPr>
    </w:p>
    <w:p>
      <w:pPr>
        <w:rPr>
          <w:rFonts w:hint="eastAsia" w:ascii="楷体_GB2312" w:eastAsia="楷体_GB2312"/>
          <w:color w:val="auto"/>
          <w:sz w:val="22"/>
          <w:szCs w:val="22"/>
          <w:highlight w:val="none"/>
        </w:rPr>
      </w:pPr>
    </w:p>
    <w:p>
      <w:pPr>
        <w:pStyle w:val="9"/>
        <w:rPr>
          <w:rFonts w:hint="eastAsia" w:ascii="楷体_GB2312" w:eastAsia="楷体_GB2312"/>
          <w:color w:val="auto"/>
          <w:sz w:val="22"/>
          <w:szCs w:val="22"/>
          <w:highlight w:val="none"/>
        </w:rPr>
      </w:pPr>
    </w:p>
    <w:p>
      <w:pPr>
        <w:rPr>
          <w:rFonts w:hint="eastAsia" w:ascii="楷体_GB2312" w:eastAsia="楷体_GB2312"/>
          <w:color w:val="auto"/>
          <w:sz w:val="22"/>
          <w:szCs w:val="22"/>
          <w:highlight w:val="none"/>
        </w:rPr>
      </w:pPr>
    </w:p>
    <w:p>
      <w:pPr>
        <w:pStyle w:val="9"/>
        <w:rPr>
          <w:rFonts w:hint="eastAsia" w:ascii="楷体_GB2312" w:eastAsia="楷体_GB2312"/>
          <w:color w:val="auto"/>
          <w:sz w:val="22"/>
          <w:szCs w:val="22"/>
          <w:highlight w:val="none"/>
        </w:rPr>
      </w:pPr>
    </w:p>
    <w:p>
      <w:pPr>
        <w:rPr>
          <w:rFonts w:hint="eastAsia" w:ascii="楷体_GB2312" w:eastAsia="楷体_GB2312"/>
          <w:color w:val="auto"/>
          <w:sz w:val="22"/>
          <w:szCs w:val="22"/>
          <w:highlight w:val="none"/>
        </w:rPr>
      </w:pPr>
    </w:p>
    <w:p>
      <w:pPr>
        <w:pStyle w:val="9"/>
        <w:rPr>
          <w:rFonts w:hint="eastAsia" w:ascii="楷体_GB2312" w:eastAsia="楷体_GB2312"/>
          <w:color w:val="auto"/>
          <w:sz w:val="22"/>
          <w:szCs w:val="22"/>
          <w:highlight w:val="none"/>
        </w:rPr>
      </w:pPr>
    </w:p>
    <w:p>
      <w:pPr>
        <w:rPr>
          <w:rFonts w:hint="eastAsia" w:ascii="楷体_GB2312" w:eastAsia="楷体_GB2312"/>
          <w:color w:val="auto"/>
          <w:sz w:val="22"/>
          <w:szCs w:val="22"/>
          <w:highlight w:val="none"/>
        </w:rPr>
      </w:pPr>
    </w:p>
    <w:p>
      <w:pPr>
        <w:pStyle w:val="9"/>
        <w:rPr>
          <w:rFonts w:hint="eastAsia" w:ascii="楷体_GB2312" w:eastAsia="楷体_GB2312"/>
          <w:color w:val="auto"/>
          <w:sz w:val="22"/>
          <w:szCs w:val="22"/>
          <w:highlight w:val="none"/>
        </w:rPr>
      </w:pPr>
    </w:p>
    <w:p>
      <w:pPr>
        <w:rPr>
          <w:rFonts w:hint="eastAsia" w:ascii="楷体_GB2312" w:eastAsia="楷体_GB2312"/>
          <w:color w:val="auto"/>
          <w:sz w:val="22"/>
          <w:szCs w:val="22"/>
          <w:highlight w:val="none"/>
        </w:rPr>
      </w:pPr>
    </w:p>
    <w:p>
      <w:pPr>
        <w:pStyle w:val="9"/>
        <w:rPr>
          <w:rFonts w:hint="eastAsia" w:ascii="楷体_GB2312" w:eastAsia="楷体_GB2312"/>
          <w:color w:val="auto"/>
          <w:sz w:val="22"/>
          <w:szCs w:val="22"/>
          <w:highlight w:val="none"/>
        </w:rPr>
      </w:pPr>
    </w:p>
    <w:p>
      <w:pPr>
        <w:rPr>
          <w:rFonts w:hint="eastAsia" w:ascii="楷体_GB2312" w:eastAsia="楷体_GB2312"/>
          <w:color w:val="auto"/>
          <w:sz w:val="22"/>
          <w:szCs w:val="22"/>
          <w:highlight w:val="none"/>
        </w:rPr>
      </w:pPr>
    </w:p>
    <w:p>
      <w:pPr>
        <w:pStyle w:val="9"/>
        <w:rPr>
          <w:rFonts w:hint="eastAsia" w:ascii="楷体_GB2312" w:eastAsia="楷体_GB2312"/>
          <w:color w:val="auto"/>
          <w:sz w:val="22"/>
          <w:szCs w:val="22"/>
          <w:highlight w:val="none"/>
        </w:rPr>
      </w:pPr>
    </w:p>
    <w:p>
      <w:pPr>
        <w:rPr>
          <w:rFonts w:hint="eastAsia" w:ascii="楷体_GB2312" w:eastAsia="楷体_GB2312"/>
          <w:color w:val="auto"/>
          <w:sz w:val="22"/>
          <w:szCs w:val="22"/>
          <w:highlight w:val="none"/>
        </w:rPr>
      </w:pPr>
    </w:p>
    <w:p>
      <w:pPr>
        <w:pStyle w:val="9"/>
        <w:rPr>
          <w:rFonts w:hint="eastAsia" w:ascii="楷体_GB2312" w:eastAsia="楷体_GB2312"/>
          <w:color w:val="auto"/>
          <w:sz w:val="22"/>
          <w:szCs w:val="22"/>
          <w:highlight w:val="none"/>
        </w:rPr>
      </w:pPr>
    </w:p>
    <w:p>
      <w:pPr>
        <w:rPr>
          <w:rFonts w:hint="eastAsia" w:ascii="楷体_GB2312" w:eastAsia="楷体_GB2312"/>
          <w:color w:val="auto"/>
          <w:sz w:val="22"/>
          <w:szCs w:val="22"/>
          <w:highlight w:val="none"/>
        </w:rPr>
      </w:pPr>
    </w:p>
    <w:p>
      <w:pPr>
        <w:pStyle w:val="9"/>
        <w:rPr>
          <w:rFonts w:hint="eastAsia" w:ascii="楷体_GB2312" w:eastAsia="楷体_GB2312"/>
          <w:color w:val="auto"/>
          <w:sz w:val="22"/>
          <w:szCs w:val="22"/>
          <w:highlight w:val="none"/>
        </w:rPr>
      </w:pPr>
    </w:p>
    <w:p>
      <w:pPr>
        <w:rPr>
          <w:rFonts w:hint="eastAsia" w:ascii="楷体_GB2312" w:eastAsia="楷体_GB2312"/>
          <w:color w:val="auto"/>
          <w:sz w:val="22"/>
          <w:szCs w:val="22"/>
          <w:highlight w:val="none"/>
        </w:rPr>
      </w:pPr>
    </w:p>
    <w:p>
      <w:pPr>
        <w:pStyle w:val="9"/>
        <w:rPr>
          <w:rFonts w:hint="eastAsia" w:ascii="楷体_GB2312" w:eastAsia="楷体_GB2312"/>
          <w:color w:val="auto"/>
          <w:sz w:val="22"/>
          <w:szCs w:val="22"/>
          <w:highlight w:val="none"/>
        </w:rPr>
      </w:pPr>
    </w:p>
    <w:p>
      <w:pPr>
        <w:rPr>
          <w:rFonts w:hint="eastAsia" w:ascii="楷体_GB2312" w:eastAsia="楷体_GB2312"/>
          <w:color w:val="auto"/>
          <w:sz w:val="22"/>
          <w:szCs w:val="22"/>
          <w:highlight w:val="none"/>
        </w:rPr>
      </w:pPr>
    </w:p>
    <w:p>
      <w:pPr>
        <w:pStyle w:val="9"/>
        <w:rPr>
          <w:rFonts w:hint="eastAsia" w:ascii="楷体_GB2312" w:eastAsia="楷体_GB2312"/>
          <w:color w:val="auto"/>
          <w:sz w:val="22"/>
          <w:szCs w:val="22"/>
          <w:highlight w:val="none"/>
        </w:rPr>
      </w:pPr>
    </w:p>
    <w:p>
      <w:pPr>
        <w:rPr>
          <w:rFonts w:hint="eastAsia" w:ascii="楷体_GB2312" w:eastAsia="楷体_GB2312"/>
          <w:color w:val="auto"/>
          <w:sz w:val="22"/>
          <w:szCs w:val="22"/>
          <w:highlight w:val="none"/>
        </w:rPr>
      </w:pPr>
    </w:p>
    <w:p>
      <w:pPr>
        <w:pStyle w:val="9"/>
        <w:rPr>
          <w:rFonts w:hint="eastAsia" w:ascii="楷体_GB2312" w:eastAsia="楷体_GB2312"/>
          <w:color w:val="auto"/>
          <w:sz w:val="22"/>
          <w:szCs w:val="22"/>
          <w:highlight w:val="none"/>
        </w:rPr>
      </w:pPr>
    </w:p>
    <w:p>
      <w:pPr>
        <w:rPr>
          <w:rFonts w:hint="eastAsia" w:ascii="楷体_GB2312" w:eastAsia="楷体_GB2312"/>
          <w:color w:val="auto"/>
          <w:sz w:val="22"/>
          <w:szCs w:val="22"/>
          <w:highlight w:val="none"/>
        </w:rPr>
      </w:pPr>
    </w:p>
    <w:p>
      <w:pPr>
        <w:pStyle w:val="9"/>
        <w:rPr>
          <w:rFonts w:hint="eastAsia" w:ascii="楷体_GB2312" w:eastAsia="楷体_GB2312"/>
          <w:color w:val="auto"/>
          <w:sz w:val="22"/>
          <w:szCs w:val="22"/>
          <w:highlight w:val="none"/>
        </w:rPr>
      </w:pPr>
    </w:p>
    <w:p>
      <w:pPr>
        <w:rPr>
          <w:rFonts w:hint="eastAsia" w:ascii="楷体_GB2312" w:eastAsia="楷体_GB2312"/>
          <w:color w:val="auto"/>
          <w:sz w:val="22"/>
          <w:szCs w:val="22"/>
          <w:highlight w:val="none"/>
        </w:rPr>
      </w:pPr>
    </w:p>
    <w:p>
      <w:pPr>
        <w:pStyle w:val="9"/>
        <w:rPr>
          <w:rFonts w:hint="eastAsia" w:ascii="楷体_GB2312" w:eastAsia="楷体_GB2312"/>
          <w:color w:val="auto"/>
          <w:sz w:val="22"/>
          <w:szCs w:val="22"/>
          <w:highlight w:val="none"/>
        </w:rPr>
      </w:pPr>
    </w:p>
    <w:p>
      <w:pPr>
        <w:rPr>
          <w:rFonts w:hint="eastAsia" w:ascii="楷体_GB2312" w:eastAsia="楷体_GB2312"/>
          <w:color w:val="auto"/>
          <w:sz w:val="22"/>
          <w:szCs w:val="22"/>
          <w:highlight w:val="none"/>
        </w:rPr>
      </w:pPr>
    </w:p>
    <w:p>
      <w:pPr>
        <w:pStyle w:val="9"/>
        <w:rPr>
          <w:rFonts w:hint="eastAsia" w:ascii="楷体_GB2312" w:eastAsia="楷体_GB2312"/>
          <w:color w:val="auto"/>
          <w:sz w:val="22"/>
          <w:szCs w:val="22"/>
          <w:highlight w:val="none"/>
        </w:rPr>
      </w:pPr>
    </w:p>
    <w:p>
      <w:pPr>
        <w:rPr>
          <w:rFonts w:hint="eastAsia" w:ascii="楷体_GB2312" w:eastAsia="楷体_GB2312"/>
          <w:color w:val="auto"/>
          <w:sz w:val="22"/>
          <w:szCs w:val="22"/>
          <w:highlight w:val="none"/>
        </w:rPr>
      </w:pPr>
    </w:p>
    <w:p>
      <w:pPr>
        <w:pStyle w:val="9"/>
        <w:rPr>
          <w:rFonts w:hint="eastAsia" w:ascii="楷体_GB2312" w:eastAsia="楷体_GB2312"/>
          <w:color w:val="auto"/>
          <w:sz w:val="22"/>
          <w:szCs w:val="22"/>
          <w:highlight w:val="none"/>
        </w:rPr>
      </w:pPr>
    </w:p>
    <w:p>
      <w:pPr>
        <w:rPr>
          <w:rFonts w:hint="eastAsia" w:ascii="楷体_GB2312" w:eastAsia="楷体_GB2312"/>
          <w:color w:val="auto"/>
          <w:sz w:val="22"/>
          <w:szCs w:val="22"/>
          <w:highlight w:val="none"/>
        </w:rPr>
      </w:pPr>
    </w:p>
    <w:p>
      <w:pPr>
        <w:pStyle w:val="9"/>
        <w:rPr>
          <w:rFonts w:hint="eastAsia" w:ascii="楷体_GB2312" w:eastAsia="楷体_GB2312"/>
          <w:color w:val="auto"/>
          <w:sz w:val="22"/>
          <w:szCs w:val="22"/>
          <w:highlight w:val="none"/>
        </w:rPr>
      </w:pPr>
    </w:p>
    <w:p>
      <w:pPr>
        <w:rPr>
          <w:rFonts w:hint="eastAsia" w:ascii="楷体_GB2312" w:eastAsia="楷体_GB2312"/>
          <w:color w:val="auto"/>
          <w:sz w:val="22"/>
          <w:szCs w:val="22"/>
          <w:highlight w:val="none"/>
        </w:rPr>
      </w:pPr>
    </w:p>
    <w:p>
      <w:pPr>
        <w:pStyle w:val="9"/>
        <w:rPr>
          <w:rFonts w:hint="eastAsia" w:ascii="楷体_GB2312" w:eastAsia="楷体_GB2312"/>
          <w:color w:val="auto"/>
          <w:sz w:val="22"/>
          <w:szCs w:val="22"/>
          <w:highlight w:val="none"/>
        </w:rPr>
      </w:pPr>
    </w:p>
    <w:p>
      <w:pPr>
        <w:rPr>
          <w:rFonts w:hint="eastAsia" w:ascii="楷体_GB2312" w:eastAsia="楷体_GB2312"/>
          <w:color w:val="auto"/>
          <w:sz w:val="22"/>
          <w:szCs w:val="22"/>
          <w:highlight w:val="none"/>
        </w:rPr>
      </w:pPr>
    </w:p>
    <w:p>
      <w:pPr>
        <w:pStyle w:val="9"/>
        <w:rPr>
          <w:rFonts w:hint="eastAsia" w:ascii="楷体_GB2312" w:eastAsia="楷体_GB2312"/>
          <w:color w:val="auto"/>
          <w:sz w:val="22"/>
          <w:szCs w:val="22"/>
          <w:highlight w:val="none"/>
        </w:rPr>
      </w:pPr>
    </w:p>
    <w:p>
      <w:pPr>
        <w:rPr>
          <w:rFonts w:hint="eastAsia" w:ascii="楷体_GB2312" w:eastAsia="楷体_GB2312"/>
          <w:color w:val="auto"/>
          <w:sz w:val="22"/>
          <w:szCs w:val="22"/>
          <w:highlight w:val="none"/>
        </w:rPr>
      </w:pPr>
    </w:p>
    <w:p>
      <w:pPr>
        <w:pStyle w:val="9"/>
        <w:rPr>
          <w:rFonts w:hint="eastAsia"/>
          <w:color w:val="auto"/>
          <w:highlight w:val="none"/>
        </w:rPr>
      </w:pPr>
    </w:p>
    <w:p>
      <w:pPr>
        <w:spacing w:line="380" w:lineRule="exact"/>
        <w:rPr>
          <w:rFonts w:hint="eastAsia" w:ascii="楷体_GB2312" w:eastAsia="楷体_GB2312"/>
          <w:color w:val="auto"/>
          <w:sz w:val="22"/>
          <w:szCs w:val="22"/>
          <w:highlight w:val="none"/>
        </w:rPr>
      </w:pPr>
    </w:p>
    <w:p>
      <w:pPr>
        <w:pStyle w:val="23"/>
        <w:rPr>
          <w:rFonts w:hint="eastAsia" w:ascii="新宋体" w:hAnsi="新宋体" w:eastAsia="新宋体" w:cs="新宋体"/>
          <w:color w:val="auto"/>
          <w:highlight w:val="none"/>
        </w:rPr>
      </w:pPr>
    </w:p>
    <w:p>
      <w:pPr>
        <w:pStyle w:val="23"/>
        <w:rPr>
          <w:rFonts w:hint="eastAsia" w:ascii="新宋体" w:hAnsi="新宋体" w:eastAsia="新宋体" w:cs="新宋体"/>
          <w:color w:val="auto"/>
          <w:highlight w:val="none"/>
        </w:rPr>
      </w:pPr>
    </w:p>
    <w:p>
      <w:pPr>
        <w:rPr>
          <w:rFonts w:hint="eastAsia" w:ascii="新宋体" w:hAnsi="新宋体" w:eastAsia="新宋体" w:cs="新宋体"/>
          <w:bCs/>
          <w:color w:val="auto"/>
          <w:sz w:val="22"/>
          <w:szCs w:val="22"/>
          <w:highlight w:val="none"/>
        </w:rPr>
      </w:pPr>
    </w:p>
    <w:p>
      <w:pPr>
        <w:pStyle w:val="25"/>
        <w:rPr>
          <w:rFonts w:hint="eastAsia" w:ascii="新宋体" w:hAnsi="新宋体" w:eastAsia="新宋体" w:cs="新宋体"/>
          <w:bCs/>
          <w:color w:val="auto"/>
          <w:sz w:val="22"/>
          <w:szCs w:val="22"/>
          <w:highlight w:val="none"/>
        </w:rPr>
      </w:pPr>
    </w:p>
    <w:p>
      <w:pPr>
        <w:spacing w:line="460" w:lineRule="exact"/>
        <w:rPr>
          <w:rFonts w:hint="eastAsia" w:ascii="新宋体" w:hAnsi="新宋体" w:eastAsia="新宋体" w:cs="新宋体"/>
          <w:bCs/>
          <w:color w:val="auto"/>
          <w:sz w:val="28"/>
          <w:szCs w:val="28"/>
          <w:highlight w:val="none"/>
          <w:lang w:val="zh-CN"/>
        </w:rPr>
      </w:pPr>
    </w:p>
    <w:p>
      <w:pPr>
        <w:spacing w:line="380" w:lineRule="exact"/>
        <w:ind w:firstLine="5622" w:firstLineChars="2000"/>
        <w:rPr>
          <w:rFonts w:hint="eastAsia" w:ascii="新宋体" w:hAnsi="新宋体" w:eastAsia="新宋体" w:cs="新宋体"/>
          <w:b/>
          <w:color w:val="auto"/>
          <w:sz w:val="28"/>
          <w:szCs w:val="28"/>
          <w:highlight w:val="none"/>
        </w:rPr>
      </w:pPr>
    </w:p>
    <w:p>
      <w:pPr>
        <w:pStyle w:val="23"/>
        <w:ind w:left="562" w:hanging="562"/>
        <w:rPr>
          <w:rFonts w:hint="eastAsia" w:ascii="新宋体" w:hAnsi="新宋体" w:eastAsia="新宋体" w:cs="新宋体"/>
          <w:b/>
          <w:color w:val="auto"/>
          <w:sz w:val="28"/>
          <w:szCs w:val="28"/>
          <w:highlight w:val="none"/>
        </w:rPr>
      </w:pPr>
    </w:p>
    <w:p>
      <w:pPr>
        <w:pStyle w:val="23"/>
        <w:ind w:left="562" w:hanging="562"/>
        <w:rPr>
          <w:rFonts w:hint="eastAsia" w:ascii="新宋体" w:hAnsi="新宋体" w:eastAsia="新宋体" w:cs="新宋体"/>
          <w:b/>
          <w:color w:val="auto"/>
          <w:sz w:val="28"/>
          <w:szCs w:val="28"/>
          <w:highlight w:val="none"/>
        </w:rPr>
      </w:pPr>
    </w:p>
    <w:p>
      <w:pPr>
        <w:pStyle w:val="23"/>
        <w:ind w:left="562" w:hanging="562"/>
        <w:rPr>
          <w:rFonts w:hint="eastAsia" w:ascii="新宋体" w:hAnsi="新宋体" w:eastAsia="新宋体" w:cs="新宋体"/>
          <w:b/>
          <w:color w:val="auto"/>
          <w:sz w:val="28"/>
          <w:szCs w:val="28"/>
          <w:highlight w:val="none"/>
        </w:rPr>
      </w:pPr>
    </w:p>
    <w:p>
      <w:pPr>
        <w:pStyle w:val="23"/>
        <w:ind w:left="562" w:hanging="562"/>
        <w:rPr>
          <w:rFonts w:hint="eastAsia" w:ascii="新宋体" w:hAnsi="新宋体" w:eastAsia="新宋体" w:cs="新宋体"/>
          <w:b/>
          <w:color w:val="auto"/>
          <w:sz w:val="28"/>
          <w:szCs w:val="28"/>
          <w:highlight w:val="none"/>
        </w:rPr>
      </w:pPr>
    </w:p>
    <w:p>
      <w:pPr>
        <w:spacing w:line="380" w:lineRule="exact"/>
        <w:ind w:firstLine="5622" w:firstLineChars="2000"/>
        <w:rPr>
          <w:rFonts w:hint="eastAsia" w:ascii="新宋体" w:hAnsi="新宋体" w:eastAsia="新宋体" w:cs="新宋体"/>
          <w:b/>
          <w:color w:val="auto"/>
          <w:sz w:val="28"/>
          <w:szCs w:val="28"/>
          <w:highlight w:val="none"/>
        </w:rPr>
      </w:pPr>
    </w:p>
    <w:p>
      <w:pPr>
        <w:spacing w:line="380" w:lineRule="exact"/>
        <w:ind w:firstLine="5622" w:firstLineChars="2000"/>
        <w:rPr>
          <w:rFonts w:hint="eastAsia" w:ascii="新宋体" w:hAnsi="新宋体" w:eastAsia="新宋体" w:cs="新宋体"/>
          <w:b/>
          <w:color w:val="auto"/>
          <w:sz w:val="28"/>
          <w:szCs w:val="28"/>
          <w:highlight w:val="none"/>
        </w:rPr>
      </w:pPr>
    </w:p>
    <w:p>
      <w:pPr>
        <w:spacing w:line="380" w:lineRule="exact"/>
        <w:ind w:firstLine="5622" w:firstLineChars="2000"/>
        <w:rPr>
          <w:rFonts w:hint="eastAsia" w:ascii="新宋体" w:hAnsi="新宋体" w:eastAsia="新宋体" w:cs="新宋体"/>
          <w:b/>
          <w:color w:val="auto"/>
          <w:sz w:val="28"/>
          <w:szCs w:val="28"/>
          <w:highlight w:val="none"/>
        </w:rPr>
      </w:pPr>
    </w:p>
    <w:p>
      <w:pPr>
        <w:spacing w:line="380" w:lineRule="exact"/>
        <w:ind w:firstLine="5622" w:firstLineChars="2000"/>
        <w:rPr>
          <w:rFonts w:hint="eastAsia" w:ascii="新宋体" w:hAnsi="新宋体" w:eastAsia="新宋体" w:cs="新宋体"/>
          <w:b/>
          <w:color w:val="auto"/>
          <w:sz w:val="28"/>
          <w:szCs w:val="28"/>
          <w:highlight w:val="none"/>
        </w:rPr>
      </w:pPr>
    </w:p>
    <w:p>
      <w:pPr>
        <w:spacing w:line="380" w:lineRule="exact"/>
        <w:ind w:firstLine="5622" w:firstLineChars="2000"/>
        <w:rPr>
          <w:rFonts w:hint="eastAsia" w:ascii="新宋体" w:hAnsi="新宋体" w:eastAsia="新宋体" w:cs="新宋体"/>
          <w:b/>
          <w:color w:val="auto"/>
          <w:sz w:val="28"/>
          <w:szCs w:val="28"/>
          <w:highlight w:val="none"/>
        </w:rPr>
      </w:pPr>
    </w:p>
    <w:p>
      <w:pPr>
        <w:spacing w:line="380" w:lineRule="exact"/>
        <w:ind w:firstLine="5622" w:firstLineChars="2000"/>
        <w:rPr>
          <w:rFonts w:hint="eastAsia" w:ascii="新宋体" w:hAnsi="新宋体" w:eastAsia="新宋体" w:cs="新宋体"/>
          <w:b/>
          <w:color w:val="auto"/>
          <w:sz w:val="28"/>
          <w:szCs w:val="28"/>
          <w:highlight w:val="none"/>
        </w:rPr>
      </w:pPr>
    </w:p>
    <w:p>
      <w:pPr>
        <w:spacing w:line="380" w:lineRule="exact"/>
        <w:ind w:firstLine="5622" w:firstLineChars="2000"/>
        <w:rPr>
          <w:rFonts w:hint="eastAsia" w:ascii="新宋体" w:hAnsi="新宋体" w:eastAsia="新宋体" w:cs="新宋体"/>
          <w:b/>
          <w:color w:val="auto"/>
          <w:sz w:val="28"/>
          <w:szCs w:val="28"/>
          <w:highlight w:val="none"/>
        </w:rPr>
      </w:pPr>
    </w:p>
    <w:p>
      <w:pPr>
        <w:spacing w:line="380" w:lineRule="exact"/>
        <w:ind w:firstLine="5622" w:firstLineChars="2000"/>
        <w:rPr>
          <w:rFonts w:hint="eastAsia" w:ascii="新宋体" w:hAnsi="新宋体" w:eastAsia="新宋体" w:cs="新宋体"/>
          <w:b/>
          <w:color w:val="auto"/>
          <w:sz w:val="28"/>
          <w:szCs w:val="28"/>
          <w:highlight w:val="none"/>
        </w:rPr>
      </w:pPr>
    </w:p>
    <w:p>
      <w:pPr>
        <w:spacing w:line="380" w:lineRule="exact"/>
        <w:ind w:firstLine="5622" w:firstLineChars="2000"/>
        <w:rPr>
          <w:rFonts w:hint="eastAsia" w:ascii="新宋体" w:hAnsi="新宋体" w:eastAsia="新宋体" w:cs="新宋体"/>
          <w:b/>
          <w:color w:val="auto"/>
          <w:sz w:val="28"/>
          <w:szCs w:val="28"/>
          <w:highlight w:val="none"/>
        </w:rPr>
      </w:pPr>
    </w:p>
    <w:p>
      <w:pPr>
        <w:jc w:val="center"/>
        <w:outlineLvl w:val="0"/>
        <w:rPr>
          <w:rFonts w:hint="eastAsia" w:ascii="新宋体" w:hAnsi="新宋体" w:eastAsia="新宋体" w:cs="新宋体"/>
          <w:b/>
          <w:bCs/>
          <w:color w:val="auto"/>
          <w:sz w:val="52"/>
          <w:szCs w:val="52"/>
          <w:highlight w:val="none"/>
        </w:rPr>
      </w:pPr>
      <w:r>
        <w:rPr>
          <w:rFonts w:hint="eastAsia" w:ascii="新宋体" w:hAnsi="新宋体" w:eastAsia="新宋体" w:cs="新宋体"/>
          <w:b/>
          <w:bCs/>
          <w:color w:val="auto"/>
          <w:sz w:val="52"/>
          <w:szCs w:val="52"/>
          <w:highlight w:val="none"/>
        </w:rPr>
        <w:t>第二册</w:t>
      </w:r>
    </w:p>
    <w:p>
      <w:pPr>
        <w:jc w:val="center"/>
        <w:rPr>
          <w:rFonts w:hint="eastAsia" w:ascii="新宋体" w:hAnsi="新宋体" w:eastAsia="新宋体" w:cs="新宋体"/>
          <w:b/>
          <w:bCs/>
          <w:color w:val="auto"/>
          <w:sz w:val="48"/>
          <w:highlight w:val="none"/>
        </w:rPr>
      </w:pPr>
    </w:p>
    <w:p>
      <w:pPr>
        <w:jc w:val="center"/>
        <w:outlineLvl w:val="1"/>
        <w:rPr>
          <w:rFonts w:hint="eastAsia" w:ascii="新宋体" w:hAnsi="新宋体" w:eastAsia="新宋体" w:cs="新宋体"/>
          <w:b/>
          <w:bCs/>
          <w:color w:val="auto"/>
          <w:sz w:val="48"/>
          <w:highlight w:val="none"/>
        </w:rPr>
      </w:pPr>
      <w:r>
        <w:rPr>
          <w:rFonts w:hint="eastAsia" w:ascii="新宋体" w:hAnsi="新宋体" w:eastAsia="新宋体" w:cs="新宋体"/>
          <w:b/>
          <w:bCs/>
          <w:color w:val="auto"/>
          <w:sz w:val="48"/>
          <w:highlight w:val="none"/>
        </w:rPr>
        <w:t>专 用 文 本</w:t>
      </w:r>
    </w:p>
    <w:p>
      <w:pPr>
        <w:jc w:val="center"/>
        <w:rPr>
          <w:rFonts w:hint="eastAsia" w:ascii="新宋体" w:hAnsi="新宋体" w:eastAsia="新宋体" w:cs="新宋体"/>
          <w:b/>
          <w:bCs/>
          <w:color w:val="auto"/>
          <w:sz w:val="48"/>
          <w:highlight w:val="none"/>
        </w:rPr>
      </w:pPr>
    </w:p>
    <w:p>
      <w:pPr>
        <w:spacing w:line="460" w:lineRule="exact"/>
        <w:jc w:val="center"/>
        <w:rPr>
          <w:rFonts w:hint="eastAsia" w:ascii="新宋体" w:hAnsi="新宋体" w:eastAsia="新宋体" w:cs="新宋体"/>
          <w:b/>
          <w:color w:val="auto"/>
          <w:sz w:val="32"/>
          <w:szCs w:val="32"/>
          <w:highlight w:val="none"/>
        </w:rPr>
      </w:pPr>
    </w:p>
    <w:p>
      <w:pPr>
        <w:spacing w:line="460" w:lineRule="exact"/>
        <w:jc w:val="center"/>
        <w:rPr>
          <w:rFonts w:hint="eastAsia" w:ascii="新宋体" w:hAnsi="新宋体" w:eastAsia="新宋体" w:cs="新宋体"/>
          <w:b/>
          <w:color w:val="auto"/>
          <w:sz w:val="32"/>
          <w:szCs w:val="32"/>
          <w:highlight w:val="none"/>
        </w:rPr>
      </w:pPr>
    </w:p>
    <w:p>
      <w:pPr>
        <w:spacing w:line="460" w:lineRule="exact"/>
        <w:jc w:val="center"/>
        <w:rPr>
          <w:rFonts w:hint="eastAsia" w:ascii="新宋体" w:hAnsi="新宋体" w:eastAsia="新宋体" w:cs="新宋体"/>
          <w:b/>
          <w:color w:val="auto"/>
          <w:sz w:val="32"/>
          <w:szCs w:val="32"/>
          <w:highlight w:val="none"/>
        </w:rPr>
      </w:pPr>
    </w:p>
    <w:p>
      <w:pPr>
        <w:spacing w:line="460" w:lineRule="exact"/>
        <w:jc w:val="center"/>
        <w:rPr>
          <w:rFonts w:hint="eastAsia" w:ascii="新宋体" w:hAnsi="新宋体" w:eastAsia="新宋体" w:cs="新宋体"/>
          <w:b/>
          <w:color w:val="auto"/>
          <w:sz w:val="32"/>
          <w:szCs w:val="32"/>
          <w:highlight w:val="none"/>
        </w:rPr>
      </w:pPr>
    </w:p>
    <w:p>
      <w:pPr>
        <w:spacing w:line="460" w:lineRule="exact"/>
        <w:jc w:val="center"/>
        <w:rPr>
          <w:rFonts w:hint="eastAsia" w:ascii="新宋体" w:hAnsi="新宋体" w:eastAsia="新宋体" w:cs="新宋体"/>
          <w:b/>
          <w:color w:val="auto"/>
          <w:sz w:val="32"/>
          <w:szCs w:val="32"/>
          <w:highlight w:val="none"/>
        </w:rPr>
      </w:pPr>
    </w:p>
    <w:p>
      <w:pPr>
        <w:spacing w:line="460" w:lineRule="exact"/>
        <w:jc w:val="center"/>
        <w:rPr>
          <w:rFonts w:hint="eastAsia" w:ascii="新宋体" w:hAnsi="新宋体" w:eastAsia="新宋体" w:cs="新宋体"/>
          <w:b/>
          <w:color w:val="auto"/>
          <w:sz w:val="32"/>
          <w:szCs w:val="32"/>
          <w:highlight w:val="none"/>
        </w:rPr>
      </w:pPr>
    </w:p>
    <w:p>
      <w:pPr>
        <w:spacing w:line="460" w:lineRule="exact"/>
        <w:jc w:val="center"/>
        <w:rPr>
          <w:rFonts w:hint="eastAsia" w:ascii="新宋体" w:hAnsi="新宋体" w:eastAsia="新宋体" w:cs="新宋体"/>
          <w:b/>
          <w:color w:val="auto"/>
          <w:sz w:val="32"/>
          <w:szCs w:val="32"/>
          <w:highlight w:val="none"/>
        </w:rPr>
      </w:pPr>
    </w:p>
    <w:p>
      <w:pPr>
        <w:spacing w:line="460" w:lineRule="exact"/>
        <w:jc w:val="center"/>
        <w:rPr>
          <w:rFonts w:hint="eastAsia" w:ascii="新宋体" w:hAnsi="新宋体" w:eastAsia="新宋体" w:cs="新宋体"/>
          <w:b/>
          <w:color w:val="auto"/>
          <w:sz w:val="32"/>
          <w:szCs w:val="32"/>
          <w:highlight w:val="none"/>
        </w:rPr>
      </w:pPr>
    </w:p>
    <w:p>
      <w:pPr>
        <w:pStyle w:val="23"/>
        <w:spacing w:line="460" w:lineRule="exact"/>
        <w:ind w:left="433" w:leftChars="206" w:firstLine="0" w:firstLineChars="0"/>
        <w:jc w:val="center"/>
        <w:outlineLvl w:val="0"/>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30"/>
          <w:highlight w:val="none"/>
        </w:rPr>
        <w:t xml:space="preserve">第四部分   </w:t>
      </w:r>
      <w:r>
        <w:rPr>
          <w:rFonts w:hint="eastAsia" w:ascii="新宋体" w:hAnsi="新宋体" w:eastAsia="新宋体"/>
          <w:b/>
          <w:bCs/>
          <w:color w:val="auto"/>
          <w:sz w:val="32"/>
          <w:szCs w:val="32"/>
          <w:highlight w:val="none"/>
        </w:rPr>
        <w:t>项目技术规范和服务要求</w:t>
      </w:r>
    </w:p>
    <w:p>
      <w:pPr>
        <w:spacing w:line="460" w:lineRule="exact"/>
        <w:ind w:firstLine="552" w:firstLineChars="250"/>
        <w:jc w:val="center"/>
        <w:outlineLvl w:val="1"/>
        <w:rPr>
          <w:rFonts w:ascii="新宋体" w:hAnsi="新宋体" w:eastAsia="新宋体"/>
          <w:b/>
          <w:bCs/>
          <w:color w:val="auto"/>
          <w:sz w:val="22"/>
          <w:highlight w:val="none"/>
        </w:rPr>
      </w:pPr>
      <w:r>
        <w:rPr>
          <w:rFonts w:hint="eastAsia" w:ascii="新宋体" w:hAnsi="新宋体" w:eastAsia="新宋体"/>
          <w:b/>
          <w:bCs/>
          <w:color w:val="auto"/>
          <w:sz w:val="22"/>
          <w:highlight w:val="none"/>
        </w:rPr>
        <w:t xml:space="preserve">标段一、二 </w:t>
      </w:r>
    </w:p>
    <w:p>
      <w:pPr>
        <w:spacing w:line="460" w:lineRule="exact"/>
        <w:ind w:firstLine="541" w:firstLineChars="245"/>
        <w:outlineLvl w:val="2"/>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一 、总则</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1、本技术规格书只是设备及安装的一些原则性规定，并不是详尽的要求，供应商有责任对该设备设计符合技术规格书要求负责。</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2、采购的设备所涉及的产品标准、规范，验收标准、规范，应符合国家有关条例及规范，如有新的标准应采纳新标准，如是国外相应标准应征得采购人认可。</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供应商应根据采购文件所提出的技术规格、参数、数量和服务要求，综合考虑货物的适应性，选择具有最佳性能价格比的货物前来报价。希望供应商以精良的货物、优良的服务和优惠的价格，充分显示自身的竞争实力。</w:t>
      </w:r>
    </w:p>
    <w:p>
      <w:pPr>
        <w:spacing w:line="460" w:lineRule="exact"/>
        <w:ind w:firstLine="541" w:firstLineChars="245"/>
        <w:rPr>
          <w:rFonts w:hint="eastAsia" w:ascii="新宋体" w:hAnsi="新宋体" w:eastAsia="新宋体" w:cs="新宋体"/>
          <w:b/>
          <w:color w:val="auto"/>
          <w:sz w:val="22"/>
          <w:szCs w:val="22"/>
          <w:highlight w:val="none"/>
          <w:u w:val="single"/>
        </w:rPr>
      </w:pPr>
      <w:r>
        <w:rPr>
          <w:rFonts w:hint="eastAsia" w:ascii="新宋体" w:hAnsi="新宋体" w:eastAsia="新宋体" w:cs="新宋体"/>
          <w:b/>
          <w:color w:val="auto"/>
          <w:sz w:val="22"/>
          <w:szCs w:val="22"/>
          <w:highlight w:val="none"/>
          <w:u w:val="single"/>
        </w:rPr>
        <w:t>4、▲本采购项目为瓯江口雪亮工程建设项目，包括设备的供货、安装调试、系统集成、验收、培训费、技术及售后服务和税金等。投标供应商必须根据自己的技术和商务优势对所有标段或某一标段进行投标，不得只投一标段中部分内容。</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供应商所投产品及主要部件的名称、品牌、型号、技术参数、性能、数量、单价、合价、厂商、产地、质保期等应在投标文件中明确，对采购文件的技术条款及要求应予以实质性响应，如有偏离应在偏离表中注明。</w:t>
      </w:r>
    </w:p>
    <w:p>
      <w:pPr>
        <w:spacing w:line="460" w:lineRule="exact"/>
        <w:ind w:firstLine="541" w:firstLineChars="245"/>
        <w:outlineLvl w:val="2"/>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二、</w:t>
      </w:r>
      <w:bookmarkStart w:id="33" w:name="_Toc485899206"/>
      <w:bookmarkStart w:id="34" w:name="_Toc38273399"/>
      <w:r>
        <w:rPr>
          <w:rFonts w:hint="eastAsia" w:ascii="新宋体" w:hAnsi="新宋体" w:eastAsia="新宋体" w:cs="新宋体"/>
          <w:b/>
          <w:color w:val="auto"/>
          <w:sz w:val="22"/>
          <w:szCs w:val="22"/>
          <w:highlight w:val="none"/>
        </w:rPr>
        <w:t>建设目标</w:t>
      </w:r>
      <w:bookmarkEnd w:id="33"/>
      <w:bookmarkEnd w:id="34"/>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瓯江口“雪亮工程”建设项目，以《浙江省公共安全视频监控建设联网应用工作实施方案（2016-2020年）》【浙综委办﹝2016﹞11号】和《浙江省“雪亮工程”2017年推进计划》【浙综委办﹝2017﹞13号】为方向：基本实现“全域覆盖、全网共享、全时可用、全程可控”的总体目标。实现重点公共区域视频监控覆盖率、联网率、高清率达到100%，重点行业、区域涉及公共区域视频监控覆盖率、联网率、高清率达到100%。</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瓯江口雪亮工程建设项目应侧重基础点位的建设，基础平台可以依托市局已有各类平台（在平台基础上根据瓯江口新建点位数量进行平台扩容)。</w:t>
      </w:r>
    </w:p>
    <w:p>
      <w:pPr>
        <w:spacing w:line="460" w:lineRule="exact"/>
        <w:ind w:firstLine="541" w:firstLineChars="245"/>
        <w:outlineLvl w:val="2"/>
        <w:rPr>
          <w:rFonts w:hint="eastAsia" w:ascii="新宋体" w:hAnsi="新宋体" w:eastAsia="新宋体" w:cs="新宋体"/>
          <w:b/>
          <w:color w:val="auto"/>
          <w:sz w:val="22"/>
          <w:szCs w:val="22"/>
          <w:highlight w:val="none"/>
        </w:rPr>
      </w:pPr>
      <w:bookmarkStart w:id="35" w:name="_Toc38273400"/>
      <w:bookmarkStart w:id="36" w:name="_Toc485899207"/>
      <w:r>
        <w:rPr>
          <w:rFonts w:hint="eastAsia" w:ascii="新宋体" w:hAnsi="新宋体" w:eastAsia="新宋体" w:cs="新宋体"/>
          <w:b/>
          <w:color w:val="auto"/>
          <w:sz w:val="22"/>
          <w:szCs w:val="22"/>
          <w:highlight w:val="none"/>
        </w:rPr>
        <w:t>三、建设内容</w:t>
      </w:r>
      <w:bookmarkEnd w:id="35"/>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本期主要建设内容为：</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zh-CN"/>
        </w:rPr>
        <w:t>1、基础点位建设：治安监控网络优化211路，</w:t>
      </w:r>
      <w:r>
        <w:rPr>
          <w:rFonts w:hint="eastAsia" w:ascii="新宋体" w:hAnsi="新宋体" w:eastAsia="新宋体" w:cs="新宋体"/>
          <w:bCs/>
          <w:color w:val="auto"/>
          <w:sz w:val="22"/>
          <w:szCs w:val="22"/>
          <w:highlight w:val="none"/>
        </w:rPr>
        <w:t>新建</w:t>
      </w:r>
      <w:r>
        <w:rPr>
          <w:rFonts w:hint="eastAsia" w:ascii="新宋体" w:hAnsi="新宋体" w:eastAsia="新宋体" w:cs="新宋体"/>
          <w:bCs/>
          <w:color w:val="auto"/>
          <w:sz w:val="22"/>
          <w:szCs w:val="22"/>
          <w:highlight w:val="none"/>
          <w:lang w:val="zh-CN"/>
        </w:rPr>
        <w:t>治安监控</w:t>
      </w:r>
      <w:r>
        <w:rPr>
          <w:rFonts w:hint="eastAsia" w:ascii="新宋体" w:hAnsi="新宋体" w:eastAsia="新宋体" w:cs="新宋体"/>
          <w:bCs/>
          <w:color w:val="auto"/>
          <w:sz w:val="22"/>
          <w:szCs w:val="22"/>
          <w:highlight w:val="none"/>
        </w:rPr>
        <w:t>98</w:t>
      </w:r>
      <w:r>
        <w:rPr>
          <w:rFonts w:hint="eastAsia" w:ascii="新宋体" w:hAnsi="新宋体" w:eastAsia="新宋体" w:cs="新宋体"/>
          <w:bCs/>
          <w:color w:val="auto"/>
          <w:sz w:val="22"/>
          <w:szCs w:val="22"/>
          <w:highlight w:val="none"/>
          <w:lang w:val="zh-CN"/>
        </w:rPr>
        <w:t>路</w:t>
      </w:r>
      <w:r>
        <w:rPr>
          <w:rFonts w:hint="eastAsia" w:ascii="新宋体" w:hAnsi="新宋体" w:eastAsia="新宋体" w:cs="新宋体"/>
          <w:bCs/>
          <w:color w:val="auto"/>
          <w:sz w:val="22"/>
          <w:szCs w:val="22"/>
          <w:highlight w:val="none"/>
        </w:rPr>
        <w:t>，高位治安监控3路、高清智能卡口4路，高清人脸97路，AR全景监控2路，微功率监控3路，水利可视化工程39路，城市管理和执法大队监控子系统77路以及前端相关采集系统。</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2、社会资源联网：依托市公安局基础服务平台，接入已建社会面监控资源。</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3、基础设备扩容：主要包括网络、服务器及存储扩容。</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4、基础平台扩容：根据瓯江口前端接入数量，扩容市公安局基础平台，并对车辆、人脸应用算法进行扩容。</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5、运维支撑：</w:t>
      </w:r>
      <w:r>
        <w:rPr>
          <w:rFonts w:hint="eastAsia" w:ascii="新宋体" w:hAnsi="新宋体" w:eastAsia="新宋体" w:cs="新宋体"/>
          <w:bCs/>
          <w:color w:val="auto"/>
          <w:sz w:val="22"/>
          <w:szCs w:val="22"/>
          <w:highlight w:val="none"/>
          <w:lang w:val="zh-CN"/>
        </w:rPr>
        <w:t>搭建运维中心，</w:t>
      </w:r>
      <w:r>
        <w:rPr>
          <w:rFonts w:hint="eastAsia" w:ascii="新宋体" w:hAnsi="新宋体" w:eastAsia="新宋体" w:cs="新宋体"/>
          <w:bCs/>
          <w:color w:val="auto"/>
          <w:sz w:val="22"/>
          <w:szCs w:val="22"/>
          <w:highlight w:val="none"/>
        </w:rPr>
        <w:t>实现对城市公共安全视频监控资源的统一运维管理；并根据市局要求，建立运维管理系统，</w:t>
      </w:r>
      <w:r>
        <w:rPr>
          <w:rFonts w:hint="eastAsia" w:ascii="新宋体" w:hAnsi="新宋体" w:eastAsia="新宋体" w:cs="新宋体"/>
          <w:bCs/>
          <w:color w:val="auto"/>
          <w:sz w:val="22"/>
          <w:szCs w:val="22"/>
          <w:highlight w:val="none"/>
          <w:lang w:val="zh-CN"/>
        </w:rPr>
        <w:t>规定各单位按照运维管理体系进行组织活动，并协调工作，各单位按照协议要求提供不同级别的运维服务</w:t>
      </w:r>
      <w:r>
        <w:rPr>
          <w:rFonts w:hint="eastAsia" w:ascii="新宋体" w:hAnsi="新宋体" w:eastAsia="新宋体" w:cs="新宋体"/>
          <w:bCs/>
          <w:color w:val="auto"/>
          <w:sz w:val="22"/>
          <w:szCs w:val="22"/>
          <w:highlight w:val="none"/>
        </w:rPr>
        <w:t>。</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6、第三方服务支撑：包括咨询、监理及第三方检测服务支撑。</w:t>
      </w:r>
    </w:p>
    <w:bookmarkEnd w:id="36"/>
    <w:p>
      <w:pPr>
        <w:spacing w:line="460" w:lineRule="exact"/>
        <w:ind w:firstLine="541" w:firstLineChars="245"/>
        <w:outlineLvl w:val="2"/>
        <w:rPr>
          <w:rFonts w:hint="eastAsia" w:ascii="新宋体" w:hAnsi="新宋体" w:eastAsia="新宋体" w:cs="新宋体"/>
          <w:b/>
          <w:color w:val="auto"/>
          <w:sz w:val="22"/>
          <w:szCs w:val="22"/>
          <w:highlight w:val="none"/>
        </w:rPr>
      </w:pPr>
      <w:bookmarkStart w:id="37" w:name="_Toc485899208"/>
      <w:bookmarkStart w:id="38" w:name="_Toc38273401"/>
      <w:r>
        <w:rPr>
          <w:rFonts w:hint="eastAsia" w:ascii="新宋体" w:hAnsi="新宋体" w:eastAsia="新宋体" w:cs="新宋体"/>
          <w:b/>
          <w:color w:val="auto"/>
          <w:sz w:val="22"/>
          <w:szCs w:val="22"/>
          <w:highlight w:val="none"/>
        </w:rPr>
        <w:t>四、建设周期</w:t>
      </w:r>
      <w:bookmarkEnd w:id="37"/>
      <w:bookmarkEnd w:id="38"/>
    </w:p>
    <w:p>
      <w:pPr>
        <w:spacing w:line="460" w:lineRule="exact"/>
        <w:ind w:firstLine="539" w:firstLineChars="245"/>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项目建设期为8个月，主要包括项目实施、初验、试运行和通过最终验收。</w:t>
      </w:r>
    </w:p>
    <w:p>
      <w:pPr>
        <w:spacing w:line="460" w:lineRule="exact"/>
        <w:ind w:firstLine="541" w:firstLineChars="245"/>
        <w:outlineLvl w:val="2"/>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五、总体要求</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本技术规格书只是设备及安装的一些原则性规定，并不是详尽的要求，供应商有责任对该设备设计符合技术规格书要求负责。</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本次采购的设备必须选用雪亮视频监控专业设备，有良好的图像采集能力，支持星光级照度、超宽动态、强光抑制功能，有良好的网络适应能力，在网络质量较差的时候也能获得流畅清晰的视频；有良好的可靠性，可在室外恶劣环境下长时间、稳定工作，具备抗环境干扰能力与防雷电浪涌能力。有良好的用户界面，支持网管、远程监测、远程操作、集中控制，提高故障发现、诊断能力与运维工作效率，前端设备重大故障必须能在30分钟内发现并着手处置。</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供应商必须具备整体系统的设计能力，在审核招标文件过程中发现设备数量、参数指标不匹配或无法达到招标文件的总体要求，必须在标书发出之日起7个工作日内向招标人提出合理化建议。本采购文件所列设备清单为基准清单，投标单位中标后要根据实际点位环境、系统要求、所投设备的性能指标配合采购方作进一步的细化设计，细化设计与基准清单不符的，以细化设计为准并按照规定要求办理变更手续，以确保整体系统效果能符合实际需求。</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采购的设备所涉及的产品标准、规范，验收标准、规范，应符合国家有关条例及规范，如：如有新的标准应采纳新标准，如是国外相应标准应征得采购人认可。▲主要设备（摄像机【含抓拍摄像机】）必须符合《GB/T  28181 安全防范视频监控联网系统信息传输、交换、控制技术要求》和《GA/T 1400-2017 公安视频图像信息应用系统》的相关要求，必须兼容温州公安现有视频监控系统及设备，必须符合《温州市安全防范视频监控联网系统信息传输交换控制技术要求》，能够与温州市公安局视频监控（卡口）平台无缝对接，平台对接若遇所有技术性和费用问题由中标方自行解决。</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所投产品的应详细列明投标设备的所有技术指标（包括所投产品的品牌、规格型号、详细配置、主要技术参数、随机软件等），明确表示该项指标所涉及的软硬件是标准配置还是选择配置。同时还须包括产品说明书或产品主要技术资料和性能的详细描述，产品制造、安装、验收标准，详细的交货时所配文件清单、主要部件明细表（包括品牌、制造厂名和主要技术参数）等，任何含糊不清的表述对评标结果的影响将是投标人的责任。</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供应商应根据招标文件所提出的技术规格、参数、数量和服务要求，综合考虑货物的适应性，选择具有最佳性能价格比的货物前来报价。希望供应商以精良的货物、优良的服务和优惠的价格，充分显示自身的竞争实力。</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供应商所投产品及主要部件的名称、品牌、型号、技术参数、性能、数量、单价、合价、厂商、产地、质保期等应在投标文件中明确，对采购文件的技术条款及要求应予以实质性响应，如有偏离应在偏离表中注明。对于设备列表中所列的设备指标与服务说明均为基本、关键性指标，所有指标必须为实标参数，支持随时随机抽检。如在查阅招标文件发现因目前技术限制无法满足或者严重偏离客观实际的，必须在在标书发出之日起7个工作日内向招标人提出质疑，不得以任何行业规则、惯例、成本等原因不实质响应招标文件内容或者为响应招标文件虚标设备参数，对于认为文字描述不够具体或者意思表达不是很清楚的可以向招标人咨询，对于所提供产品的实际技术指标不确定的，中标人必须先自行检测。</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主要设备厂商（如：摄像机、存储）在温州必须有固定的服务点，并提供足够的备品、备件，不能因供应商备品、备件的提供问题影响维修时效；在维修或使用过程中发现某款产品的验收后第一年故障率不得高于10%，故障率每年递增不得超过2%，服务期内实际性能指标不得低于标称指标的95%，否则招标人有权要求中标人全部更换该设备，所有费用由供应商承担。</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如招标文件中遗漏了必须具备的设备、配件或服务，请投标人在投标文件中指出，并提出解决方案供采购人、采购机构参考；中标人有义务保证采购人系统的完整性，如项目实施过程中因缺少设备、配件或服务导致采购人系统无法正常运行，中标人须承诺免费提供。</w:t>
      </w:r>
    </w:p>
    <w:p>
      <w:pPr>
        <w:spacing w:line="460" w:lineRule="exact"/>
        <w:ind w:firstLine="541" w:firstLineChars="245"/>
        <w:rPr>
          <w:rFonts w:hint="eastAsia" w:ascii="新宋体" w:hAnsi="新宋体" w:eastAsia="新宋体" w:cs="新宋体"/>
          <w:b/>
          <w:color w:val="auto"/>
          <w:sz w:val="22"/>
          <w:szCs w:val="22"/>
          <w:highlight w:val="none"/>
          <w:u w:val="single"/>
        </w:rPr>
      </w:pPr>
      <w:r>
        <w:rPr>
          <w:rFonts w:hint="eastAsia" w:ascii="新宋体" w:hAnsi="新宋体" w:eastAsia="新宋体" w:cs="新宋体"/>
          <w:b/>
          <w:color w:val="auto"/>
          <w:sz w:val="22"/>
          <w:szCs w:val="22"/>
          <w:highlight w:val="none"/>
          <w:u w:val="single"/>
        </w:rPr>
        <w:t>本工程为交钥匙工程，供应商不得以其它理由增加费用。各标段中标人自行负责道路开挖审批手续及由此产生的费用，招标人仅提供道路开挖审批证明材料。</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u w:val="single"/>
        </w:rPr>
        <w:t>此项目运行维保（网络租赁、系统软件、保养维护等服务）按采购内容及要求规定执行</w:t>
      </w:r>
      <w:r>
        <w:rPr>
          <w:rFonts w:hint="eastAsia" w:ascii="新宋体" w:hAnsi="新宋体" w:eastAsia="新宋体" w:cs="新宋体"/>
          <w:b/>
          <w:color w:val="auto"/>
          <w:sz w:val="22"/>
          <w:szCs w:val="22"/>
          <w:highlight w:val="none"/>
        </w:rPr>
        <w:t>，未规定的均按5年执行。供应商在保修期间应严格按照相关标准及双方的约定做好维保服务工作，如服务未能达到考核要求，招标人有权要求供应商更换维保人员并接受由招标人选择维保人员。</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要求投标人提供应急预案，以支撑招标人在应急情况下的增加点位、移机、应急解决故障等。</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在商务标中必须明确列出所有产品、维保等费用的详细报价，不得以市场战略等理由以明显低于市场成本价进行报价，如有发现做无效报价处理。</w:t>
      </w:r>
    </w:p>
    <w:p>
      <w:pPr>
        <w:spacing w:line="460" w:lineRule="exact"/>
        <w:ind w:firstLine="541" w:firstLineChars="245"/>
        <w:outlineLvl w:val="2"/>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六、项目建设方案</w:t>
      </w:r>
      <w:r>
        <w:rPr>
          <w:rFonts w:hint="eastAsia" w:ascii="新宋体" w:hAnsi="新宋体" w:eastAsia="新宋体" w:cs="新宋体"/>
          <w:b/>
          <w:color w:val="auto"/>
          <w:sz w:val="22"/>
          <w:szCs w:val="22"/>
          <w:highlight w:val="none"/>
        </w:rPr>
        <w:tab/>
      </w:r>
    </w:p>
    <w:p>
      <w:pPr>
        <w:spacing w:line="460" w:lineRule="exact"/>
        <w:ind w:firstLine="541" w:firstLineChars="245"/>
        <w:outlineLvl w:val="3"/>
        <w:rPr>
          <w:rFonts w:hint="eastAsia" w:ascii="新宋体" w:hAnsi="新宋体" w:eastAsia="新宋体" w:cs="新宋体"/>
          <w:b/>
          <w:color w:val="auto"/>
          <w:sz w:val="22"/>
          <w:szCs w:val="22"/>
          <w:highlight w:val="none"/>
        </w:rPr>
      </w:pPr>
      <w:bookmarkStart w:id="39" w:name="_Toc38273441"/>
      <w:bookmarkStart w:id="40" w:name="_Toc485899229"/>
      <w:r>
        <w:rPr>
          <w:rFonts w:hint="eastAsia" w:ascii="新宋体" w:hAnsi="新宋体" w:eastAsia="新宋体" w:cs="新宋体"/>
          <w:b/>
          <w:color w:val="auto"/>
          <w:sz w:val="22"/>
          <w:szCs w:val="22"/>
          <w:highlight w:val="none"/>
        </w:rPr>
        <w:t>1、基础点位建设</w:t>
      </w:r>
      <w:bookmarkEnd w:id="39"/>
    </w:p>
    <w:p>
      <w:pPr>
        <w:spacing w:line="460" w:lineRule="exact"/>
        <w:ind w:firstLine="541" w:firstLineChars="245"/>
        <w:outlineLvl w:val="4"/>
        <w:rPr>
          <w:rFonts w:hint="eastAsia" w:ascii="新宋体" w:hAnsi="新宋体" w:eastAsia="新宋体" w:cs="新宋体"/>
          <w:b/>
          <w:color w:val="auto"/>
          <w:sz w:val="22"/>
          <w:szCs w:val="22"/>
          <w:highlight w:val="none"/>
        </w:rPr>
      </w:pPr>
      <w:bookmarkStart w:id="41" w:name="_Toc38273442"/>
      <w:r>
        <w:rPr>
          <w:rFonts w:hint="eastAsia" w:ascii="新宋体" w:hAnsi="新宋体" w:eastAsia="新宋体" w:cs="新宋体"/>
          <w:b/>
          <w:color w:val="auto"/>
          <w:sz w:val="22"/>
          <w:szCs w:val="22"/>
          <w:highlight w:val="none"/>
        </w:rPr>
        <w:t>1.1点位优化</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1.1.1点位优化要求</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zh-CN"/>
        </w:rPr>
        <w:t>根据</w:t>
      </w:r>
      <w:r>
        <w:rPr>
          <w:rFonts w:hint="eastAsia" w:ascii="新宋体" w:hAnsi="新宋体" w:eastAsia="新宋体" w:cs="新宋体"/>
          <w:bCs/>
          <w:color w:val="auto"/>
          <w:sz w:val="22"/>
          <w:szCs w:val="22"/>
          <w:highlight w:val="none"/>
        </w:rPr>
        <w:t>九部委颁布的《关于加强公共安全监控建设联网应用工作的若干意见》【发改高技﹝2015﹞996号】的建设要求，结合市本级雪亮工程建设总体技术要求，雪亮工程前端点位必须高清化、标准化、专网化。</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本期对已建设在用的211路高清前端设备进行排查优化升级，主要升级内容如下：</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（1）部署视频专网网络，包括前端的网络设备和网络链路</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w:t>
      </w:r>
      <w:r>
        <w:rPr>
          <w:rFonts w:hint="eastAsia" w:ascii="新宋体" w:hAnsi="新宋体" w:eastAsia="新宋体" w:cs="新宋体"/>
          <w:bCs/>
          <w:color w:val="auto"/>
          <w:sz w:val="22"/>
          <w:szCs w:val="22"/>
          <w:highlight w:val="none"/>
        </w:rPr>
        <w:t>2</w:t>
      </w:r>
      <w:r>
        <w:rPr>
          <w:rFonts w:hint="eastAsia" w:ascii="新宋体" w:hAnsi="新宋体" w:eastAsia="新宋体" w:cs="新宋体"/>
          <w:bCs/>
          <w:color w:val="auto"/>
          <w:sz w:val="22"/>
          <w:szCs w:val="22"/>
          <w:highlight w:val="none"/>
          <w:lang w:val="zh-CN"/>
        </w:rPr>
        <w:t>）对已建设的视屏监控进行改造，包括前端的施工调试费用以及机房服务器平台软件的调试等，改造符合公安视频专网接入的标准规范（基准参考GB28181视频监控国标规范）</w:t>
      </w:r>
    </w:p>
    <w:p>
      <w:pPr>
        <w:spacing w:line="460" w:lineRule="exact"/>
        <w:ind w:firstLine="541" w:firstLineChars="245"/>
        <w:outlineLvl w:val="5"/>
        <w:rPr>
          <w:rFonts w:hint="eastAsia" w:ascii="新宋体" w:hAnsi="新宋体" w:eastAsia="新宋体" w:cs="新宋体"/>
          <w:b/>
          <w:color w:val="auto"/>
          <w:sz w:val="22"/>
          <w:szCs w:val="22"/>
          <w:highlight w:val="none"/>
          <w:lang w:val="zh-CN"/>
        </w:rPr>
      </w:pPr>
      <w:r>
        <w:rPr>
          <w:rFonts w:hint="eastAsia" w:ascii="新宋体" w:hAnsi="新宋体" w:eastAsia="新宋体" w:cs="新宋体"/>
          <w:b/>
          <w:color w:val="auto"/>
          <w:sz w:val="22"/>
          <w:szCs w:val="22"/>
          <w:highlight w:val="none"/>
        </w:rPr>
        <w:t>1.1.2</w:t>
      </w:r>
      <w:r>
        <w:rPr>
          <w:rFonts w:hint="eastAsia" w:ascii="新宋体" w:hAnsi="新宋体" w:eastAsia="新宋体" w:cs="新宋体"/>
          <w:b/>
          <w:color w:val="auto"/>
          <w:sz w:val="22"/>
          <w:szCs w:val="22"/>
          <w:highlight w:val="none"/>
          <w:lang w:val="zh-CN"/>
        </w:rPr>
        <w:t>点位现状与本期内容</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截止到2019年12月，瓯江口产业集聚区共建设并投入使用摄像头239个，其中卡口类摄像头51个（一级封闭区域14个、三级封闭区域37个），治安管理类摄像头187个（灵昆辖区91个、灵霓辖区96个），高空治安管理类摄像头1个（人才大厦楼顶）；建设中未投入使用摄像头1804个，其中交通管理类摄像头（电子警察）1063个，治安管理类摄像头147个（灵昆辖区57个、瓯江口一期区域已规划建设90个），公园景观带区域摄像头427个，其他区域167个；瓯江口产业集聚区共建设2043个摄像头。</w:t>
      </w:r>
    </w:p>
    <w:p>
      <w:pPr>
        <w:spacing w:line="460" w:lineRule="exact"/>
        <w:ind w:firstLine="541" w:firstLineChars="245"/>
        <w:outlineLvl w:val="4"/>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1.2高清人、车智能监控子系统</w:t>
      </w:r>
      <w:bookmarkEnd w:id="41"/>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高清监控子系统，是基于固定区域目标监测的全天候、多环境的城市安全防控网络体系。其主要依托于原有治安监控系统前端摄像机网络进行构建，对现有的治安监控进行“补漏”和“扩面”，开展因地制宜的场景式监控及抓拍，全面提升立体化防控网络感知水平。</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本次建设</w:t>
      </w:r>
      <w:r>
        <w:rPr>
          <w:rFonts w:hint="eastAsia" w:ascii="新宋体" w:hAnsi="新宋体" w:eastAsia="新宋体" w:cs="新宋体"/>
          <w:bCs/>
          <w:color w:val="auto"/>
          <w:sz w:val="22"/>
          <w:szCs w:val="22"/>
          <w:highlight w:val="none"/>
          <w:lang w:val="zh-CN"/>
        </w:rPr>
        <w:t>：规划</w:t>
      </w:r>
      <w:r>
        <w:rPr>
          <w:rFonts w:hint="eastAsia" w:ascii="新宋体" w:hAnsi="新宋体" w:eastAsia="新宋体" w:cs="新宋体"/>
          <w:bCs/>
          <w:color w:val="auto"/>
          <w:sz w:val="22"/>
          <w:szCs w:val="22"/>
          <w:highlight w:val="none"/>
        </w:rPr>
        <w:t>新建</w:t>
      </w:r>
      <w:r>
        <w:rPr>
          <w:rFonts w:hint="eastAsia" w:ascii="新宋体" w:hAnsi="新宋体" w:eastAsia="新宋体" w:cs="新宋体"/>
          <w:bCs/>
          <w:color w:val="auto"/>
          <w:sz w:val="22"/>
          <w:szCs w:val="22"/>
          <w:highlight w:val="none"/>
          <w:lang w:val="zh-CN"/>
        </w:rPr>
        <w:t>治安监控</w:t>
      </w:r>
      <w:r>
        <w:rPr>
          <w:rFonts w:hint="eastAsia" w:ascii="新宋体" w:hAnsi="新宋体" w:eastAsia="新宋体" w:cs="新宋体"/>
          <w:bCs/>
          <w:color w:val="auto"/>
          <w:sz w:val="22"/>
          <w:szCs w:val="22"/>
          <w:highlight w:val="none"/>
        </w:rPr>
        <w:t>98</w:t>
      </w:r>
      <w:r>
        <w:rPr>
          <w:rFonts w:hint="eastAsia" w:ascii="新宋体" w:hAnsi="新宋体" w:eastAsia="新宋体" w:cs="新宋体"/>
          <w:bCs/>
          <w:color w:val="auto"/>
          <w:sz w:val="22"/>
          <w:szCs w:val="22"/>
          <w:highlight w:val="none"/>
          <w:lang w:val="zh-CN"/>
        </w:rPr>
        <w:t>路和高位治安监控3路；以及</w:t>
      </w:r>
      <w:r>
        <w:rPr>
          <w:rFonts w:hint="eastAsia" w:ascii="新宋体" w:hAnsi="新宋体" w:eastAsia="新宋体" w:cs="新宋体"/>
          <w:bCs/>
          <w:color w:val="auto"/>
          <w:sz w:val="22"/>
          <w:szCs w:val="22"/>
          <w:highlight w:val="none"/>
        </w:rPr>
        <w:t>网络优化改造治安监控211路（因网络接入方式不满足市局对视频监控接入方式的要求,需要网络优化）。</w:t>
      </w:r>
    </w:p>
    <w:p>
      <w:pPr>
        <w:spacing w:line="460" w:lineRule="exact"/>
        <w:ind w:firstLine="541" w:firstLineChars="245"/>
        <w:outlineLvl w:val="5"/>
        <w:rPr>
          <w:rFonts w:hint="eastAsia" w:ascii="新宋体" w:hAnsi="新宋体" w:eastAsia="新宋体" w:cs="新宋体"/>
          <w:b/>
          <w:color w:val="auto"/>
          <w:sz w:val="22"/>
          <w:szCs w:val="22"/>
          <w:highlight w:val="none"/>
          <w:lang w:val="zh-CN"/>
        </w:rPr>
      </w:pPr>
      <w:r>
        <w:rPr>
          <w:rFonts w:hint="eastAsia" w:ascii="新宋体" w:hAnsi="新宋体" w:eastAsia="新宋体" w:cs="新宋体"/>
          <w:b/>
          <w:color w:val="auto"/>
          <w:sz w:val="22"/>
          <w:szCs w:val="22"/>
          <w:highlight w:val="none"/>
        </w:rPr>
        <w:t>1.2.1</w:t>
      </w:r>
      <w:r>
        <w:rPr>
          <w:rFonts w:hint="eastAsia" w:ascii="新宋体" w:hAnsi="新宋体" w:eastAsia="新宋体" w:cs="新宋体"/>
          <w:b/>
          <w:color w:val="auto"/>
          <w:sz w:val="22"/>
          <w:szCs w:val="22"/>
          <w:highlight w:val="none"/>
          <w:lang w:val="zh-CN"/>
        </w:rPr>
        <w:t>布建设计</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针对雪亮工程传统视频数据采集体系建设需求，将各类场景主要分为三大类进行补点：</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(1)主要道路、区域、部位、场所等重要公共区域</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具有政治、历史意义的广场\经常性举办重大群众性活动的广场、活动中心\纪念碑、机场、车站、港口\党政机关驻地\学校、医院、涉及国计民生的企事业单位\治安复杂区域、地下人行通道、过街天桥\省市县际、城镇道路主要出入口、公安检查站、道路收费站\高速公路、国道、省道上的治安卡口、卡点\大型桥梁、隧道，城镇金融集聚区\县级以上人民政府确定的其他重点公共区域\城中村等场所等,视频监控覆盖路要求达到100%，续建、改建高清摄像机比例达到100%；</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在高层建筑物的的顶部建设高空、高清视频监控摄像机，用于大范围、全局性的视频监控，服务于安保、抢险救灾、交通疏导等。针对机场、动车站、人民政府等重要场所，在高空监控的基础上建设实景指挥系统，让高空摄像机与地面摄像机联动，实现快速、实时、实景指挥。</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(2)重点行业领域的重要部位</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广播电台、电视台、通讯社、报社等新闻单位\机场、车站、港口、码头、城市轨道\党政机关驻地\电信、邮政、金融机构的营业和金融信息的运行、储存场所\票据、货币押运车\大型能源动力设施和城市水、电、燃气、燃油、热力供应设施重要部位或经营场所\江河堤防、水库、人工湖、重点防洪排涝区域及其他重要水利工程设施重要部位\大型物资储备单位、大中型商贸中心、商业街\体育比赛场馆、公园、教育机构、科研、医疗\博物馆、纪念馆、展览馆、档案馆和重点文物保护单位\研制、生产、销售、存储危险品或者实验室、保藏传染性菌种、毒种的单位\省市级监狱、看守所单位\县级以上人民政府确定的其他重点公行业领域涉及公共安全区域等,视频监控覆盖率达到100%，并逐步增加高清摄像机续建、改建数量。</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(3)一般企事业单位、住宅小区及一般部位、普通场所</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大型超市、农贸市场、单身公寓楼、大型公交站、城市综合体、写字楼群、小区、大型酒吧、KTV、二手物品回收店、典当行、金器店等,监控点位与联网范围逐步增加，最终实现全联网、全覆盖。</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此次建设主要依托于原有民安监控系统前端摄像机网络进行构建，对现有的民安监控及前端感知设备进行“补漏”（前期建设监控梳理，对重点区域进行扫盲补漏）、“扩面”（加大城乡结合部、农村公共区域视频监控覆盖、逐步实现城乡视频监控一体化）和“改建”（对现有的公共重点区域的标清监控、公共交通车辆内的标清监控）。</w:t>
      </w:r>
    </w:p>
    <w:p>
      <w:pPr>
        <w:spacing w:line="460" w:lineRule="exact"/>
        <w:ind w:firstLine="541" w:firstLineChars="245"/>
        <w:outlineLvl w:val="5"/>
        <w:rPr>
          <w:rFonts w:hint="eastAsia" w:ascii="新宋体" w:hAnsi="新宋体" w:eastAsia="新宋体" w:cs="新宋体"/>
          <w:b/>
          <w:color w:val="auto"/>
          <w:sz w:val="22"/>
          <w:szCs w:val="22"/>
          <w:highlight w:val="none"/>
          <w:lang w:val="zh-CN"/>
        </w:rPr>
      </w:pPr>
      <w:r>
        <w:rPr>
          <w:rFonts w:hint="eastAsia" w:ascii="新宋体" w:hAnsi="新宋体" w:eastAsia="新宋体" w:cs="新宋体"/>
          <w:b/>
          <w:color w:val="auto"/>
          <w:sz w:val="22"/>
          <w:szCs w:val="22"/>
          <w:highlight w:val="none"/>
        </w:rPr>
        <w:t>1.2.2</w:t>
      </w:r>
      <w:r>
        <w:rPr>
          <w:rFonts w:hint="eastAsia" w:ascii="新宋体" w:hAnsi="新宋体" w:eastAsia="新宋体" w:cs="新宋体"/>
          <w:b/>
          <w:color w:val="auto"/>
          <w:sz w:val="22"/>
          <w:szCs w:val="22"/>
          <w:highlight w:val="none"/>
          <w:lang w:val="zh-CN"/>
        </w:rPr>
        <w:t>系统组成</w:t>
      </w:r>
    </w:p>
    <w:p>
      <w:pPr>
        <w:spacing w:line="460" w:lineRule="exact"/>
        <w:ind w:firstLine="541" w:firstLineChars="245"/>
        <w:outlineLvl w:val="6"/>
        <w:rPr>
          <w:rFonts w:hint="eastAsia" w:ascii="新宋体" w:hAnsi="新宋体" w:eastAsia="新宋体" w:cs="新宋体"/>
          <w:b/>
          <w:color w:val="auto"/>
          <w:sz w:val="22"/>
          <w:szCs w:val="22"/>
          <w:highlight w:val="none"/>
          <w:lang w:val="zh-CN"/>
        </w:rPr>
      </w:pPr>
      <w:r>
        <w:rPr>
          <w:rFonts w:hint="eastAsia" w:ascii="新宋体" w:hAnsi="新宋体" w:eastAsia="新宋体" w:cs="新宋体"/>
          <w:b/>
          <w:color w:val="auto"/>
          <w:sz w:val="22"/>
          <w:szCs w:val="22"/>
          <w:highlight w:val="none"/>
        </w:rPr>
        <w:t>1.2.2.1</w:t>
      </w:r>
      <w:r>
        <w:rPr>
          <w:rFonts w:hint="eastAsia" w:ascii="新宋体" w:hAnsi="新宋体" w:eastAsia="新宋体" w:cs="新宋体"/>
          <w:b/>
          <w:color w:val="auto"/>
          <w:sz w:val="22"/>
          <w:szCs w:val="22"/>
          <w:highlight w:val="none"/>
          <w:lang w:val="zh-CN"/>
        </w:rPr>
        <w:t>前端设备</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本次项目建设前端采用智能球机、智能枪机以及高位智能球机。</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为满足中心实时视频预览和存储录像回放查看的要求，前端感知分系统应具备如下基础功能：</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(1)</w:t>
      </w:r>
      <w:r>
        <w:rPr>
          <w:rFonts w:hint="eastAsia" w:ascii="新宋体" w:hAnsi="新宋体" w:eastAsia="新宋体" w:cs="新宋体"/>
          <w:bCs/>
          <w:color w:val="auto"/>
          <w:sz w:val="22"/>
          <w:szCs w:val="22"/>
          <w:highlight w:val="none"/>
          <w:lang w:val="zh-CN"/>
        </w:rPr>
        <w:t>智能球机主要功能为：</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能够采集和传输不同分辨率下的昼夜实时视频；</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支持H.265、H.264、MJPEG视频编码格式；</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支持视频的亮度、对比度、饱和度等参数的动态调节。</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基于大气透射模型，区分图像不同区域景深和雾浓度进行滤波处理，同时融合图像增强技术与图像复原技术，获得准确、自然的透雾图像。</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支持数字宽动态、透雾、强光抑制、电子防抖等图像增强功能；</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内置Micro SD卡插槽，支持Micro SD(即TF卡)/Micro SDHC/Micro SDXC卡（最大支持256G）；</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(2)</w:t>
      </w:r>
      <w:r>
        <w:rPr>
          <w:rFonts w:hint="eastAsia" w:ascii="新宋体" w:hAnsi="新宋体" w:eastAsia="新宋体" w:cs="新宋体"/>
          <w:bCs/>
          <w:color w:val="auto"/>
          <w:sz w:val="22"/>
          <w:szCs w:val="22"/>
          <w:highlight w:val="none"/>
          <w:lang w:val="zh-CN"/>
        </w:rPr>
        <w:t>智能枪机主要功能为：</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支持人脸抓拍，对运动人脸进行检测、跟踪、抓拍、评分、筛选输出最优的人脸抓图，支持最佳抓拍，快速抓拍</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支持前端人脸比对；</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支持上传背景大图以及人脸小图；</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能够采集和传输不同分辨率下的昼夜实时视频；</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支持视频的亮度、对比度、饱和度等参数的动态调节。</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基于大气透射模型，区分图像不同区域景深和雾浓度进行滤波处理，同时融合图像增强技术与图像复原技术，获得准确、自然的透雾图像。</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低码率:采用H.265编码压缩技术。</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多码流:支持多路独立编码码流，双路实时高清码流；每路码流可分别设置不同分辨率、帧率、编码格式(H.265/H.264)；</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低延时:高效编码算法，所有网络摄像机产品延时均在200ms以内；</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w:t>
      </w:r>
      <w:r>
        <w:rPr>
          <w:rFonts w:hint="eastAsia" w:ascii="新宋体" w:hAnsi="新宋体" w:eastAsia="新宋体" w:cs="新宋体"/>
          <w:bCs/>
          <w:color w:val="auto"/>
          <w:sz w:val="22"/>
          <w:szCs w:val="22"/>
          <w:highlight w:val="none"/>
          <w:lang w:val="zh-CN"/>
        </w:rPr>
        <w:t>3</w:t>
      </w:r>
      <w:r>
        <w:rPr>
          <w:rFonts w:hint="eastAsia" w:ascii="新宋体" w:hAnsi="新宋体" w:eastAsia="新宋体" w:cs="新宋体"/>
          <w:bCs/>
          <w:color w:val="auto"/>
          <w:sz w:val="22"/>
          <w:szCs w:val="22"/>
          <w:highlight w:val="none"/>
        </w:rPr>
        <w:t>)</w:t>
      </w:r>
      <w:r>
        <w:rPr>
          <w:rFonts w:hint="eastAsia" w:ascii="新宋体" w:hAnsi="新宋体" w:eastAsia="新宋体" w:cs="新宋体"/>
          <w:bCs/>
          <w:color w:val="auto"/>
          <w:sz w:val="22"/>
          <w:szCs w:val="22"/>
          <w:highlight w:val="none"/>
          <w:lang w:val="zh-CN"/>
        </w:rPr>
        <w:t>高位智能球机：</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支持多场景巡航、支持区域入侵侦测、越界侦测等智能侦测功能支持手动跟踪、全景跟踪，并支持多场景巡航跟踪；</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可将辅视频图像进行无缝拼接，拼接后的辅视频图像。</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根据使用场景选择相应的摄像机配置，具体配置参考附件参数配置详细清单和点位清单。</w:t>
      </w:r>
    </w:p>
    <w:p>
      <w:pPr>
        <w:spacing w:line="460" w:lineRule="exact"/>
        <w:ind w:firstLine="541" w:firstLineChars="245"/>
        <w:outlineLvl w:val="6"/>
        <w:rPr>
          <w:rFonts w:hint="eastAsia" w:ascii="新宋体" w:hAnsi="新宋体" w:eastAsia="新宋体" w:cs="新宋体"/>
          <w:b/>
          <w:color w:val="auto"/>
          <w:sz w:val="22"/>
          <w:szCs w:val="22"/>
          <w:highlight w:val="none"/>
          <w:lang w:val="zh-CN"/>
        </w:rPr>
      </w:pPr>
      <w:r>
        <w:rPr>
          <w:rFonts w:hint="eastAsia" w:ascii="新宋体" w:hAnsi="新宋体" w:eastAsia="新宋体" w:cs="新宋体"/>
          <w:b/>
          <w:color w:val="auto"/>
          <w:sz w:val="22"/>
          <w:szCs w:val="22"/>
          <w:highlight w:val="none"/>
        </w:rPr>
        <w:t>1.2.2.2</w:t>
      </w:r>
      <w:r>
        <w:rPr>
          <w:rFonts w:hint="eastAsia" w:ascii="新宋体" w:hAnsi="新宋体" w:eastAsia="新宋体" w:cs="新宋体"/>
          <w:b/>
          <w:color w:val="auto"/>
          <w:sz w:val="22"/>
          <w:szCs w:val="22"/>
          <w:highlight w:val="none"/>
          <w:lang w:val="zh-CN"/>
        </w:rPr>
        <w:t>设备安装</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(1)</w:t>
      </w:r>
      <w:r>
        <w:rPr>
          <w:rFonts w:hint="eastAsia" w:ascii="新宋体" w:hAnsi="新宋体" w:eastAsia="新宋体" w:cs="新宋体"/>
          <w:bCs/>
          <w:color w:val="auto"/>
          <w:sz w:val="22"/>
          <w:szCs w:val="22"/>
          <w:highlight w:val="none"/>
          <w:lang w:val="zh-CN"/>
        </w:rPr>
        <w:t>杆件安装</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控点根据现场实际情况，可采用立杆安装、抱箍安装、壁挂安装以及吊杆安装等方式。监控立杆设计需要考虑整体杆件的设计、立杆材质、杆型、焊接工艺、表面处理以及杆体颜色等。</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同一个广场、同一条道路或者同一个区域应安装同一类型杆体。在广场、十字路口、人口密集区等监控范围较大的场所宜采用6m或8m高的杆。横臂的长度不小于80cm，以减少死角范围。人行道宜采用3.5m或4m高的杆。</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采用立杆固定时，杆底端焊接固定法兰盘，预留拉线孔，地基应是硬质，同时根据小区现场安装点的地质的实际情况，调整相应的尺寸。立杆的安装应牢固，不得歪斜，需用水平仪来测定；制作要美观，其顶部应做防水帽。立杆应有较高强度，抗台风、防摄像机抖动、防攀爬、防腐。</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(2)</w:t>
      </w:r>
      <w:r>
        <w:rPr>
          <w:rFonts w:hint="eastAsia" w:ascii="新宋体" w:hAnsi="新宋体" w:eastAsia="新宋体" w:cs="新宋体"/>
          <w:bCs/>
          <w:color w:val="auto"/>
          <w:sz w:val="22"/>
          <w:szCs w:val="22"/>
          <w:highlight w:val="none"/>
          <w:lang w:val="zh-CN"/>
        </w:rPr>
        <w:t>室外机箱</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通过对运行维护需求、实际地理环境和气候、安全性、稳定性分析续建室外网络箱。箱体内部应提供前端智能管理单元、综合采集模块、防雷模块、绕纤盘、接地线、散热风扇，预留网络传输设备放置空间。根据各监控点位摄像机数量和其他接入设备要求，配置二合一防雷模块、防雷插座以及其他配套模块。</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通过分析其他配套设备的数量和尺寸后，保证箱体内部充足空间方便设备安装和维护，同时应与杆体大小协调。</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用于箱体的金属材料应具备304不锈钢材质，机箱防护等级不低于IP54，机箱表面进行白色喷涂处理，机箱正面警徽、民安工程、网络箱编号的颜色鲜艳、清晰，保证5年内雨淋、日晒不脱落、不会明显褪色。</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(3)</w:t>
      </w:r>
      <w:r>
        <w:rPr>
          <w:rFonts w:hint="eastAsia" w:ascii="新宋体" w:hAnsi="新宋体" w:eastAsia="新宋体" w:cs="新宋体"/>
          <w:bCs/>
          <w:color w:val="auto"/>
          <w:sz w:val="22"/>
          <w:szCs w:val="22"/>
          <w:highlight w:val="none"/>
          <w:lang w:val="zh-CN"/>
        </w:rPr>
        <w:t>夜间补光</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为满足夜间视频监控画质效果，在光照较差的地方考虑夜间补光，重点在路灯补光，监控点位要安排在路灯周围，没有路灯的可以做补光处理。</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路灯无法到达的地段，根据现场的安装环境的照度，合理选择补光方式。</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远程可调光、自动时控（根据日出日落时间表）。</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(4)</w:t>
      </w:r>
      <w:r>
        <w:rPr>
          <w:rFonts w:hint="eastAsia" w:ascii="新宋体" w:hAnsi="新宋体" w:eastAsia="新宋体" w:cs="新宋体"/>
          <w:bCs/>
          <w:color w:val="auto"/>
          <w:sz w:val="22"/>
          <w:szCs w:val="22"/>
          <w:highlight w:val="none"/>
          <w:lang w:val="zh-CN"/>
        </w:rPr>
        <w:t>防雷接地</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为保护摄像机不受到直接雷击而在立杆上设计安装避雷针，避雷针采用不小于φ25㎜的圆钢，并和立杆一次成型。在设备箱内我们对电源、信号线安装相应的防感应雷措施，采用二合一防雷模块。</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本方案严格执行国家的有关标准和规范，立杆防雷接地电阻≦10Ω。</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接地网布置依据地形进行设计。立杆的基础由钢筋网加混凝土构成，首先用四根Ф50毫米的钢管或50×50×5mm的角钢作为接地极，同时用镀锌扁钢把四根接地极焊接形成接地网的一部分，再把接地网与法兰盘进行焊接，钢管或角钢需经过热镀锌工艺处理，以增加抗腐性能和提高其导电性能。当土壤电阻率太高而不能满足要求时，采用垂直接地极＋减阻剂的方法使地网接地电阻符合要求。</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(5)</w:t>
      </w:r>
      <w:r>
        <w:rPr>
          <w:rFonts w:hint="eastAsia" w:ascii="新宋体" w:hAnsi="新宋体" w:eastAsia="新宋体" w:cs="新宋体"/>
          <w:bCs/>
          <w:color w:val="auto"/>
          <w:sz w:val="22"/>
          <w:szCs w:val="22"/>
          <w:highlight w:val="none"/>
          <w:lang w:val="zh-CN"/>
        </w:rPr>
        <w:t>前端供电</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系统前端设备视工程实际情况，可采用集中供电或分散式供电，重要点位应配备相应的备用电源装置。</w:t>
      </w:r>
    </w:p>
    <w:p>
      <w:pPr>
        <w:spacing w:line="460" w:lineRule="exact"/>
        <w:ind w:firstLine="541" w:firstLineChars="245"/>
        <w:outlineLvl w:val="4"/>
        <w:rPr>
          <w:rFonts w:hint="eastAsia" w:ascii="新宋体" w:hAnsi="新宋体" w:eastAsia="新宋体" w:cs="新宋体"/>
          <w:b/>
          <w:color w:val="auto"/>
          <w:sz w:val="22"/>
          <w:szCs w:val="22"/>
          <w:highlight w:val="none"/>
        </w:rPr>
      </w:pPr>
      <w:bookmarkStart w:id="42" w:name="_Toc38273443"/>
      <w:r>
        <w:rPr>
          <w:rFonts w:hint="eastAsia" w:ascii="新宋体" w:hAnsi="新宋体" w:eastAsia="新宋体" w:cs="新宋体"/>
          <w:b/>
          <w:color w:val="auto"/>
          <w:sz w:val="22"/>
          <w:szCs w:val="22"/>
          <w:highlight w:val="none"/>
        </w:rPr>
        <w:t>1.3高清智能卡口子系统</w:t>
      </w:r>
      <w:bookmarkEnd w:id="42"/>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高清智能卡口子系统是一种面向治安防控和交通管理的复合型的高清视频监控系统。在满足常规道路监控系统对道路断面全覆盖的视频监控需求以及全天候的高清录像需求的同时，车辆抓拍系统引入智慧监控单元，集成全画面视频检测、车牌识别等多种业内领先的视频智能技术，使得传统的道路监控系统具备了以下新的能力：</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(1)</w:t>
      </w:r>
      <w:r>
        <w:rPr>
          <w:rFonts w:hint="eastAsia" w:ascii="新宋体" w:hAnsi="新宋体" w:eastAsia="新宋体" w:cs="新宋体"/>
          <w:bCs/>
          <w:color w:val="auto"/>
          <w:sz w:val="22"/>
          <w:szCs w:val="22"/>
          <w:highlight w:val="none"/>
          <w:lang w:val="zh-CN"/>
        </w:rPr>
        <w:t>机动车通行记录、抓拍1张图片；</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(2)</w:t>
      </w:r>
      <w:r>
        <w:rPr>
          <w:rFonts w:hint="eastAsia" w:ascii="新宋体" w:hAnsi="新宋体" w:eastAsia="新宋体" w:cs="新宋体"/>
          <w:bCs/>
          <w:color w:val="auto"/>
          <w:sz w:val="22"/>
          <w:szCs w:val="22"/>
          <w:highlight w:val="none"/>
          <w:lang w:val="zh-CN"/>
        </w:rPr>
        <w:t>机动车特征属性（车牌号码、车牌颜色）自动提取；</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(3)</w:t>
      </w:r>
      <w:r>
        <w:rPr>
          <w:rFonts w:hint="eastAsia" w:ascii="新宋体" w:hAnsi="新宋体" w:eastAsia="新宋体" w:cs="新宋体"/>
          <w:bCs/>
          <w:color w:val="auto"/>
          <w:sz w:val="22"/>
          <w:szCs w:val="22"/>
          <w:highlight w:val="none"/>
          <w:lang w:val="zh-CN"/>
        </w:rPr>
        <w:t>特征属性视频标签自动叠加；</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高清智能卡口子系统主要部署在城市的以下位置：</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1)</w:t>
      </w:r>
      <w:r>
        <w:rPr>
          <w:rFonts w:hint="eastAsia" w:ascii="新宋体" w:hAnsi="新宋体" w:eastAsia="新宋体" w:cs="新宋体"/>
          <w:bCs/>
          <w:color w:val="auto"/>
          <w:sz w:val="22"/>
          <w:szCs w:val="22"/>
          <w:highlight w:val="none"/>
          <w:lang w:val="zh-CN"/>
        </w:rPr>
        <w:t>国省道交界路段；</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2)</w:t>
      </w:r>
      <w:r>
        <w:rPr>
          <w:rFonts w:hint="eastAsia" w:ascii="新宋体" w:hAnsi="新宋体" w:eastAsia="新宋体" w:cs="新宋体"/>
          <w:bCs/>
          <w:color w:val="auto"/>
          <w:sz w:val="22"/>
          <w:szCs w:val="22"/>
          <w:highlight w:val="none"/>
          <w:lang w:val="zh-CN"/>
        </w:rPr>
        <w:t>高速公路收费站；</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3)</w:t>
      </w:r>
      <w:r>
        <w:rPr>
          <w:rFonts w:hint="eastAsia" w:ascii="新宋体" w:hAnsi="新宋体" w:eastAsia="新宋体" w:cs="新宋体"/>
          <w:bCs/>
          <w:color w:val="auto"/>
          <w:sz w:val="22"/>
          <w:szCs w:val="22"/>
          <w:highlight w:val="none"/>
          <w:lang w:val="zh-CN"/>
        </w:rPr>
        <w:t>进出主城区的国省道及重要干道交界路段；</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4)</w:t>
      </w:r>
      <w:r>
        <w:rPr>
          <w:rFonts w:hint="eastAsia" w:ascii="新宋体" w:hAnsi="新宋体" w:eastAsia="新宋体" w:cs="新宋体"/>
          <w:bCs/>
          <w:color w:val="auto"/>
          <w:sz w:val="22"/>
          <w:szCs w:val="22"/>
          <w:highlight w:val="none"/>
          <w:lang w:val="zh-CN"/>
        </w:rPr>
        <w:t>内环快速路干线和出入口；</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5)</w:t>
      </w:r>
      <w:r>
        <w:rPr>
          <w:rFonts w:hint="eastAsia" w:ascii="新宋体" w:hAnsi="新宋体" w:eastAsia="新宋体" w:cs="新宋体"/>
          <w:bCs/>
          <w:color w:val="auto"/>
          <w:sz w:val="22"/>
          <w:szCs w:val="22"/>
          <w:highlight w:val="none"/>
          <w:lang w:val="zh-CN"/>
        </w:rPr>
        <w:t>机场快速路重要路段和出入口；</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6)</w:t>
      </w:r>
      <w:r>
        <w:rPr>
          <w:rFonts w:hint="eastAsia" w:ascii="新宋体" w:hAnsi="新宋体" w:eastAsia="新宋体" w:cs="新宋体"/>
          <w:bCs/>
          <w:color w:val="auto"/>
          <w:sz w:val="22"/>
          <w:szCs w:val="22"/>
          <w:highlight w:val="none"/>
          <w:lang w:val="zh-CN"/>
        </w:rPr>
        <w:t>重要党政机关附近路段；</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7)</w:t>
      </w:r>
      <w:r>
        <w:rPr>
          <w:rFonts w:hint="eastAsia" w:ascii="新宋体" w:hAnsi="新宋体" w:eastAsia="新宋体" w:cs="新宋体"/>
          <w:bCs/>
          <w:color w:val="auto"/>
          <w:sz w:val="22"/>
          <w:szCs w:val="22"/>
          <w:highlight w:val="none"/>
          <w:lang w:val="zh-CN"/>
        </w:rPr>
        <w:t>重要干道和桥梁；</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本期建设：规划新建高清智能卡口4路。</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1.3.1布建设计</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“围网、织网、结网、密网、补网”是从整个城市的角度，进行“理论性”的科学布建。</w:t>
      </w:r>
    </w:p>
    <w:p>
      <w:pPr>
        <w:spacing w:line="460" w:lineRule="exact"/>
        <w:ind w:firstLine="541" w:firstLineChars="245"/>
        <w:outlineLvl w:val="6"/>
        <w:rPr>
          <w:rFonts w:hint="eastAsia" w:ascii="新宋体" w:hAnsi="新宋体" w:eastAsia="新宋体" w:cs="新宋体"/>
          <w:b/>
          <w:color w:val="auto"/>
          <w:sz w:val="22"/>
          <w:szCs w:val="22"/>
          <w:highlight w:val="none"/>
          <w:lang w:val="zh-CN"/>
        </w:rPr>
      </w:pPr>
      <w:r>
        <w:rPr>
          <w:rFonts w:hint="eastAsia" w:ascii="新宋体" w:hAnsi="新宋体" w:eastAsia="新宋体" w:cs="新宋体"/>
          <w:b/>
          <w:color w:val="auto"/>
          <w:sz w:val="22"/>
          <w:szCs w:val="22"/>
          <w:highlight w:val="none"/>
        </w:rPr>
        <w:t>1.3.1.1</w:t>
      </w:r>
      <w:r>
        <w:rPr>
          <w:rFonts w:hint="eastAsia" w:ascii="新宋体" w:hAnsi="新宋体" w:eastAsia="新宋体" w:cs="新宋体"/>
          <w:b/>
          <w:color w:val="auto"/>
          <w:sz w:val="22"/>
          <w:szCs w:val="22"/>
          <w:highlight w:val="none"/>
          <w:lang w:val="zh-CN"/>
        </w:rPr>
        <w:t>道路封控</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zh-CN"/>
        </w:rPr>
        <w:t>“道路封控”以“城市区块”为单位，根据不同的城市区块需求设计不同的布建方案。常见区块模型有：社区群、景区（公园）、商业街（闹市）、高教园区、开发区、城乡结合部、体育中心等等。不同区块根据各自的需求、成本、周期建设完后，在连接处通过卡口摄像机“整合拼块”</w:t>
      </w:r>
      <w:r>
        <w:rPr>
          <w:rFonts w:hint="eastAsia" w:ascii="新宋体" w:hAnsi="新宋体" w:eastAsia="新宋体" w:cs="新宋体"/>
          <w:bCs/>
          <w:color w:val="auto"/>
          <w:sz w:val="22"/>
          <w:szCs w:val="22"/>
          <w:highlight w:val="none"/>
        </w:rPr>
        <w:t>.</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zh-CN"/>
        </w:rPr>
        <w:t>区块类型丰富，但是封控的宗旨一样：一辆从起点到终点的嫌疑车，所有可能出现的1、2、3……N种全部轨迹，系统要有能力记录，以实现“车过留痕”。列举一种常见的道路模型</w:t>
      </w:r>
      <w:r>
        <w:rPr>
          <w:rFonts w:hint="eastAsia" w:ascii="新宋体" w:hAnsi="新宋体" w:eastAsia="新宋体" w:cs="新宋体"/>
          <w:bCs/>
          <w:color w:val="auto"/>
          <w:sz w:val="22"/>
          <w:szCs w:val="22"/>
          <w:highlight w:val="none"/>
        </w:rPr>
        <w:t>.</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首先考虑岔路口，岔路口分为两种，一种是“十”字形，一种是“Y”形，可以考虑复用电警摄像机记录轨迹，根据《GA/T496-2014闯红灯自动记录系统通用技术条件》新行业标准，记录每辆违法驾驶车辆四张违法图片和正面全景。考虑大部分电警按旧标建设只抓拍车尾（有些岔路口也没有电警），建议岔路口中间的道路双向各布署卡口摄像机，以达到“绝对封控”的目的。</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需求比较高的地方，可以在人行道侧安装人脸卡口抓拍机，实现多维数据的同步建设。</w:t>
      </w:r>
    </w:p>
    <w:p>
      <w:pPr>
        <w:spacing w:line="460" w:lineRule="exact"/>
        <w:ind w:firstLine="541" w:firstLineChars="245"/>
        <w:outlineLvl w:val="6"/>
        <w:rPr>
          <w:rFonts w:hint="eastAsia" w:ascii="新宋体" w:hAnsi="新宋体" w:eastAsia="新宋体" w:cs="新宋体"/>
          <w:b/>
          <w:color w:val="auto"/>
          <w:sz w:val="22"/>
          <w:szCs w:val="22"/>
          <w:highlight w:val="none"/>
          <w:lang w:val="zh-CN"/>
        </w:rPr>
      </w:pPr>
      <w:r>
        <w:rPr>
          <w:rFonts w:hint="eastAsia" w:ascii="新宋体" w:hAnsi="新宋体" w:eastAsia="新宋体" w:cs="新宋体"/>
          <w:b/>
          <w:color w:val="auto"/>
          <w:sz w:val="22"/>
          <w:szCs w:val="22"/>
          <w:highlight w:val="none"/>
        </w:rPr>
        <w:t>1.3.1.2</w:t>
      </w:r>
      <w:r>
        <w:rPr>
          <w:rFonts w:hint="eastAsia" w:ascii="新宋体" w:hAnsi="新宋体" w:eastAsia="新宋体" w:cs="新宋体"/>
          <w:b/>
          <w:color w:val="auto"/>
          <w:sz w:val="22"/>
          <w:szCs w:val="22"/>
          <w:highlight w:val="none"/>
          <w:lang w:val="zh-CN"/>
        </w:rPr>
        <w:t>场景式补网</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要实现“车过留痕”，就要知道车辆经过的所有关键轨迹。其中“人”通过“衣食住行”记录全部生活轨迹，而车辆也有自己的“衣食住行”，考虑车辆的出行规律和落脚点规律，衍生出车辆的“‘医’、食、‘驻’、行”。</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(1)</w:t>
      </w:r>
      <w:r>
        <w:rPr>
          <w:rFonts w:hint="eastAsia" w:ascii="新宋体" w:hAnsi="新宋体" w:eastAsia="新宋体" w:cs="新宋体"/>
          <w:bCs/>
          <w:color w:val="auto"/>
          <w:sz w:val="22"/>
          <w:szCs w:val="22"/>
          <w:highlight w:val="none"/>
          <w:lang w:val="zh-CN"/>
        </w:rPr>
        <w:t>“医”</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人保养的好，可以通过自身免疫系统的调节，一生不去医院看病，但是车辆不行，维修保养是不可避免的。4S店是车辆的“医院”。</w:t>
      </w:r>
    </w:p>
    <w:p>
      <w:pPr>
        <w:ind w:right="45"/>
        <w:jc w:val="center"/>
        <w:rPr>
          <w:rFonts w:ascii="仿宋" w:hAnsi="仿宋" w:eastAsia="仿宋" w:cs="仿宋"/>
          <w:color w:val="auto"/>
          <w:highlight w:val="none"/>
        </w:rPr>
      </w:pPr>
      <w:r>
        <w:rPr>
          <w:rFonts w:hint="eastAsia" w:ascii="仿宋" w:hAnsi="仿宋" w:eastAsia="仿宋" w:cs="仿宋"/>
          <w:color w:val="auto"/>
          <w:highlight w:val="none"/>
        </w:rPr>
        <w:drawing>
          <wp:inline distT="0" distB="0" distL="114300" distR="114300">
            <wp:extent cx="3806190" cy="2063115"/>
            <wp:effectExtent l="0" t="0" r="3810" b="13335"/>
            <wp:docPr id="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
                    <pic:cNvPicPr>
                      <a:picLocks noChangeAspect="1"/>
                    </pic:cNvPicPr>
                  </pic:nvPicPr>
                  <pic:blipFill>
                    <a:blip r:embed="rId9"/>
                    <a:stretch>
                      <a:fillRect/>
                    </a:stretch>
                  </pic:blipFill>
                  <pic:spPr>
                    <a:xfrm>
                      <a:off x="0" y="0"/>
                      <a:ext cx="3806190" cy="2063115"/>
                    </a:xfrm>
                    <a:prstGeom prst="rect">
                      <a:avLst/>
                    </a:prstGeom>
                    <a:noFill/>
                    <a:ln>
                      <a:noFill/>
                    </a:ln>
                  </pic:spPr>
                </pic:pic>
              </a:graphicData>
            </a:graphic>
          </wp:inline>
        </w:drawing>
      </w:r>
    </w:p>
    <w:p>
      <w:pPr>
        <w:spacing w:line="460" w:lineRule="exact"/>
        <w:ind w:firstLine="539" w:firstLineChars="245"/>
        <w:jc w:val="center"/>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过车留痕——“医”示意图</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(2)</w:t>
      </w:r>
      <w:r>
        <w:rPr>
          <w:rFonts w:hint="eastAsia" w:ascii="新宋体" w:hAnsi="新宋体" w:eastAsia="新宋体" w:cs="新宋体"/>
          <w:bCs/>
          <w:color w:val="auto"/>
          <w:sz w:val="22"/>
          <w:szCs w:val="22"/>
          <w:highlight w:val="none"/>
          <w:lang w:val="zh-CN"/>
        </w:rPr>
        <w:t>“食”</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车和人一样，需要能量维持活动，“加油站”是每一辆车需要经常光顾的“落脚点”。 布署场景如下图所示。</w:t>
      </w:r>
    </w:p>
    <w:p>
      <w:pPr>
        <w:jc w:val="center"/>
        <w:rPr>
          <w:rFonts w:ascii="仿宋" w:hAnsi="仿宋" w:eastAsia="仿宋" w:cs="仿宋"/>
          <w:color w:val="auto"/>
          <w:highlight w:val="none"/>
        </w:rPr>
      </w:pPr>
      <w:r>
        <w:rPr>
          <w:rFonts w:hint="eastAsia" w:ascii="仿宋" w:hAnsi="仿宋" w:eastAsia="仿宋" w:cs="仿宋"/>
          <w:color w:val="auto"/>
          <w:highlight w:val="none"/>
        </w:rPr>
        <w:drawing>
          <wp:inline distT="0" distB="0" distL="114300" distR="114300">
            <wp:extent cx="3881120" cy="2025650"/>
            <wp:effectExtent l="0" t="0" r="5080" b="12700"/>
            <wp:docPr id="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2"/>
                    <pic:cNvPicPr>
                      <a:picLocks noChangeAspect="1"/>
                    </pic:cNvPicPr>
                  </pic:nvPicPr>
                  <pic:blipFill>
                    <a:blip r:embed="rId10"/>
                    <a:stretch>
                      <a:fillRect/>
                    </a:stretch>
                  </pic:blipFill>
                  <pic:spPr>
                    <a:xfrm>
                      <a:off x="0" y="0"/>
                      <a:ext cx="3881120" cy="2025650"/>
                    </a:xfrm>
                    <a:prstGeom prst="rect">
                      <a:avLst/>
                    </a:prstGeom>
                    <a:noFill/>
                    <a:ln>
                      <a:noFill/>
                    </a:ln>
                  </pic:spPr>
                </pic:pic>
              </a:graphicData>
            </a:graphic>
          </wp:inline>
        </w:drawing>
      </w:r>
    </w:p>
    <w:p>
      <w:pPr>
        <w:spacing w:line="460" w:lineRule="exact"/>
        <w:ind w:firstLine="539" w:firstLineChars="245"/>
        <w:jc w:val="center"/>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过车留痕——“食”示意图</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(3)</w:t>
      </w:r>
      <w:r>
        <w:rPr>
          <w:rFonts w:hint="eastAsia" w:ascii="新宋体" w:hAnsi="新宋体" w:eastAsia="新宋体" w:cs="新宋体"/>
          <w:bCs/>
          <w:color w:val="auto"/>
          <w:sz w:val="22"/>
          <w:szCs w:val="22"/>
          <w:highlight w:val="none"/>
          <w:lang w:val="zh-CN"/>
        </w:rPr>
        <w:t xml:space="preserve"> “驻”</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车辆基本不会一天24小时，日以继夜行驶在路上，人休息的时候，车也休息，而车休息的时候往往跟随人入驻小区。布署场景如下图所示。</w:t>
      </w:r>
    </w:p>
    <w:p>
      <w:pPr>
        <w:ind w:right="45"/>
        <w:jc w:val="center"/>
        <w:rPr>
          <w:rFonts w:ascii="仿宋" w:hAnsi="仿宋" w:eastAsia="仿宋" w:cs="仿宋"/>
          <w:color w:val="auto"/>
          <w:highlight w:val="none"/>
        </w:rPr>
      </w:pPr>
      <w:r>
        <w:rPr>
          <w:rFonts w:hint="eastAsia" w:ascii="仿宋" w:hAnsi="仿宋" w:eastAsia="仿宋" w:cs="仿宋"/>
          <w:color w:val="auto"/>
          <w:highlight w:val="none"/>
        </w:rPr>
        <w:drawing>
          <wp:inline distT="0" distB="0" distL="114300" distR="114300">
            <wp:extent cx="3883660" cy="2662555"/>
            <wp:effectExtent l="0" t="0" r="2540" b="4445"/>
            <wp:docPr id="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3"/>
                    <pic:cNvPicPr>
                      <a:picLocks noChangeAspect="1"/>
                    </pic:cNvPicPr>
                  </pic:nvPicPr>
                  <pic:blipFill>
                    <a:blip r:embed="rId11"/>
                    <a:stretch>
                      <a:fillRect/>
                    </a:stretch>
                  </pic:blipFill>
                  <pic:spPr>
                    <a:xfrm>
                      <a:off x="0" y="0"/>
                      <a:ext cx="3883660" cy="2662555"/>
                    </a:xfrm>
                    <a:prstGeom prst="rect">
                      <a:avLst/>
                    </a:prstGeom>
                    <a:noFill/>
                    <a:ln>
                      <a:noFill/>
                    </a:ln>
                  </pic:spPr>
                </pic:pic>
              </a:graphicData>
            </a:graphic>
          </wp:inline>
        </w:drawing>
      </w:r>
    </w:p>
    <w:p>
      <w:pPr>
        <w:spacing w:line="460" w:lineRule="exact"/>
        <w:ind w:firstLine="539" w:firstLineChars="245"/>
        <w:jc w:val="center"/>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过车留痕——“驻”示意图</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(4)</w:t>
      </w:r>
      <w:r>
        <w:rPr>
          <w:rFonts w:hint="eastAsia" w:ascii="新宋体" w:hAnsi="新宋体" w:eastAsia="新宋体" w:cs="新宋体"/>
          <w:bCs/>
          <w:color w:val="auto"/>
          <w:sz w:val="22"/>
          <w:szCs w:val="22"/>
          <w:highlight w:val="none"/>
          <w:lang w:val="zh-CN"/>
        </w:rPr>
        <w:t>“行”</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公交站台是公交车的必经之地，同时也是众多私家车和出租车喜欢短暂停留的地方（虽然不允许）。另外，公交站台还是一个人员密集的地方，容易发生一些事故和案件，需要对这个敏感点进行车辆轨迹点记录。</w:t>
      </w:r>
    </w:p>
    <w:p>
      <w:pPr>
        <w:jc w:val="center"/>
        <w:rPr>
          <w:rFonts w:ascii="仿宋" w:hAnsi="仿宋" w:eastAsia="仿宋" w:cs="仿宋"/>
          <w:color w:val="auto"/>
          <w:highlight w:val="none"/>
        </w:rPr>
      </w:pPr>
      <w:r>
        <w:rPr>
          <w:rFonts w:hint="eastAsia" w:ascii="仿宋" w:hAnsi="仿宋" w:eastAsia="仿宋" w:cs="仿宋"/>
          <w:color w:val="auto"/>
          <w:highlight w:val="none"/>
        </w:rPr>
        <w:drawing>
          <wp:inline distT="0" distB="0" distL="114300" distR="114300">
            <wp:extent cx="4078605" cy="2346325"/>
            <wp:effectExtent l="0" t="0" r="17145" b="15875"/>
            <wp:docPr id="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4"/>
                    <pic:cNvPicPr>
                      <a:picLocks noChangeAspect="1"/>
                    </pic:cNvPicPr>
                  </pic:nvPicPr>
                  <pic:blipFill>
                    <a:blip r:embed="rId12"/>
                    <a:stretch>
                      <a:fillRect/>
                    </a:stretch>
                  </pic:blipFill>
                  <pic:spPr>
                    <a:xfrm>
                      <a:off x="0" y="0"/>
                      <a:ext cx="4078605" cy="2346325"/>
                    </a:xfrm>
                    <a:prstGeom prst="rect">
                      <a:avLst/>
                    </a:prstGeom>
                    <a:noFill/>
                    <a:ln>
                      <a:noFill/>
                    </a:ln>
                  </pic:spPr>
                </pic:pic>
              </a:graphicData>
            </a:graphic>
          </wp:inline>
        </w:drawing>
      </w:r>
    </w:p>
    <w:p>
      <w:pPr>
        <w:spacing w:line="460" w:lineRule="exact"/>
        <w:ind w:firstLine="539" w:firstLineChars="245"/>
        <w:jc w:val="center"/>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过车留痕——“行”示意图</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1.3.2系统组成</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1.3.2.1配置要求</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900W卡口覆盖三车道，单向4车道及以上建议用两个卡口摄像机，避免出现车辆遮挡问题；如果对车内人员像素要求比较高的，可以采用900W卡口覆盖两车道；需求更高的，要求对车内人脸进行建模的情况，可以考虑900W覆盖一个车道头。</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每个车道配置1台补光灯作为辅助光源，确保低照度下的目标检测率，保证抓拍图片能够清晰识别车牌号码；若需看清车内人脸，则每个车道还应配置1台爆闪灯，确保抓拍的过车图片，能透过车窗看清人脸。</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配置双光融合球机（每个方向1台）。</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每个卡点均需配置前端信息备份存储。</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1.3.2.2前端功能</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为满足中心实时视频预览和存储录像回放查看的要求，高清智能卡口子系统应具备如下功能：</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道路全断面视频监视</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在满足系统应用环境要求的条件下，单台前端能够在保证视频检测分析区域对像素点要求的同时实现对整个道路断面的监控视场全覆盖，监控中心可实时调看前端的高清视频图像。</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全天候高清视频录像</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在进行机动车抓拍的同时还能够提供一路全实时的高清视频流，视频流传输至监控中心进行录像存储。</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机动车通行记录抓拍</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系统能够对通过智慧监控点视频检测分析区域（临近前端的2-3条车道）的机动车进行自动记录，抓拍1张照片并生成一条机动车通行记录。</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机动车车牌识别</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系统通过机动车号牌定位、字符切分、字符匹配和图像预处理实现号牌自动识别功能。可识别“92式”“02式”民用车牌和军车、警车等特殊号牌，可以识别车牌颜色。系统可以识别蓝、黄、黑、白、绿五种号牌颜色，并可根据不同的号牌颜色区分车辆类型。</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视频标签自动叠加</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系统自动将车牌号码、车牌颜色等车辆特征属性信息的识别结果以视频标签的形式叠加到录像视频流中并与抓拍的图片进行关联。</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网络远程维护功能</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前端子系统预留了时间校正接口、参数设置接口、运行情况的诊断接口和恢复接口，可对前端设备进行设置、调试及维护。管理员可以实时查看前端设备的运行状态。可通过网络实现远程维护、远程设置和远程升级等功能。</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1.3.2.2设备安装</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(1)</w:t>
      </w:r>
      <w:r>
        <w:rPr>
          <w:rFonts w:hint="eastAsia" w:ascii="新宋体" w:hAnsi="新宋体" w:eastAsia="新宋体" w:cs="新宋体"/>
          <w:bCs/>
          <w:color w:val="auto"/>
          <w:sz w:val="22"/>
          <w:szCs w:val="22"/>
          <w:highlight w:val="none"/>
          <w:lang w:val="zh-CN"/>
        </w:rPr>
        <w:t>杆件安装</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本系统主要用于交通道路的主干道及主要进出入口的道路路面监控，根据不同的场景可选择挑杆、T型杆、龙门架来适配。</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(2)</w:t>
      </w:r>
      <w:r>
        <w:rPr>
          <w:rFonts w:hint="eastAsia" w:ascii="新宋体" w:hAnsi="新宋体" w:eastAsia="新宋体" w:cs="新宋体"/>
          <w:bCs/>
          <w:color w:val="auto"/>
          <w:sz w:val="22"/>
          <w:szCs w:val="22"/>
          <w:highlight w:val="none"/>
          <w:lang w:val="zh-CN"/>
        </w:rPr>
        <w:t>室外机箱</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通过对运行维护需求、实际地理环境和气候、安全性、稳定性分析续建室外网络箱。箱体内部应提供前端智能管理单元、综合采集模块、防雷模块、绕纤盘、接地线、散热风扇，预留网络传输设备放置空间。根据各监控点位摄像机数量和其他接入设备要求，配置防雷插座以及其他配套模块。</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通过分析其他配套设备的数量和尺寸后，保证箱体内部充足空间方便设备安装和维护，同时应与杆体大小协调。</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用于箱体的金属材料应具备304不锈钢材质，机箱防护等级不低于IP54，机箱表面进行白色喷涂处理，机箱正面警徽、民安工程、网络箱编号的颜色鲜艳、清晰，保证5年内雨淋、日晒不脱落、不会明显褪色。</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(3)</w:t>
      </w:r>
      <w:r>
        <w:rPr>
          <w:rFonts w:hint="eastAsia" w:ascii="新宋体" w:hAnsi="新宋体" w:eastAsia="新宋体" w:cs="新宋体"/>
          <w:bCs/>
          <w:color w:val="auto"/>
          <w:sz w:val="22"/>
          <w:szCs w:val="22"/>
          <w:highlight w:val="none"/>
          <w:lang w:val="zh-CN"/>
        </w:rPr>
        <w:t>夜间补光</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为满足实际抓拍效果，在白天、夜晚均需要设备补光，重点在抓拍、环境补光。根据现场的安装环境的照度，合理选择补光方式。</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(4)</w:t>
      </w:r>
      <w:r>
        <w:rPr>
          <w:rFonts w:hint="eastAsia" w:ascii="新宋体" w:hAnsi="新宋体" w:eastAsia="新宋体" w:cs="新宋体"/>
          <w:bCs/>
          <w:color w:val="auto"/>
          <w:sz w:val="22"/>
          <w:szCs w:val="22"/>
          <w:highlight w:val="none"/>
          <w:lang w:val="zh-CN"/>
        </w:rPr>
        <w:t>防雷接地</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为保护摄像机不受到直接雷击而在立杆上设计安装避雷针，避雷针采用不小于φ25㎜的圆钢，并和立杆一次成型。在设备箱内我们对电源、信号线安装相应的防感应雷措施，采用二合一防雷模块。</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本方案严格执行国家的有关标准和规范，立杆防雷接地电阻≦10Ω。</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接地网布置依据地形进行设计。立杆的基础由钢筋网加混凝土构成，首先用四根Ф50毫米的钢管或50×50×5mm的角钢作为接地极，同时用镀锌扁钢把四根接地极焊接形成接地网的一部分，再把接地网与法兰盘进行焊接，钢管或角钢需经过热镀锌工艺处理，以增加抗腐性能和提高其导电性能。当土壤电阻率太高而不能满足要求时，采用垂直接地极＋减阻剂的方法使地网接地电阻符合要求。</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(5)</w:t>
      </w:r>
      <w:r>
        <w:rPr>
          <w:rFonts w:hint="eastAsia" w:ascii="新宋体" w:hAnsi="新宋体" w:eastAsia="新宋体" w:cs="新宋体"/>
          <w:bCs/>
          <w:color w:val="auto"/>
          <w:sz w:val="22"/>
          <w:szCs w:val="22"/>
          <w:highlight w:val="none"/>
          <w:lang w:val="zh-CN"/>
        </w:rPr>
        <w:t>前端供电</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系统前端设备视工程实际情况，可采用集中供电或分散式供电，重要点位应配备相应的备用电源装置。</w:t>
      </w:r>
    </w:p>
    <w:p>
      <w:pPr>
        <w:spacing w:line="460" w:lineRule="exact"/>
        <w:ind w:firstLine="541" w:firstLineChars="245"/>
        <w:outlineLvl w:val="4"/>
        <w:rPr>
          <w:rFonts w:hint="eastAsia" w:ascii="新宋体" w:hAnsi="新宋体" w:eastAsia="新宋体" w:cs="新宋体"/>
          <w:b/>
          <w:color w:val="auto"/>
          <w:sz w:val="22"/>
          <w:szCs w:val="22"/>
          <w:highlight w:val="none"/>
        </w:rPr>
      </w:pPr>
      <w:bookmarkStart w:id="43" w:name="_Toc38273444"/>
      <w:bookmarkStart w:id="44" w:name="_Toc27363"/>
      <w:r>
        <w:rPr>
          <w:rFonts w:hint="eastAsia" w:ascii="新宋体" w:hAnsi="新宋体" w:eastAsia="新宋体" w:cs="新宋体"/>
          <w:b/>
          <w:color w:val="auto"/>
          <w:sz w:val="22"/>
          <w:szCs w:val="22"/>
          <w:highlight w:val="none"/>
        </w:rPr>
        <w:t>1.4高清人脸子系统</w:t>
      </w:r>
      <w:bookmarkEnd w:id="43"/>
      <w:bookmarkEnd w:id="44"/>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高清人脸子系统主要通过部署在城市各主要场所人员进出通道位置的人脸抓拍摄像机，实现对进出人员的人脸进行自动捕获、跟踪、抓拍，采集人脸特征数据及性别、年龄、是否戴眼镜等人体属性信息。</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高清人脸子系统主要部署在城市的以下位置：</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1)</w:t>
      </w:r>
      <w:r>
        <w:rPr>
          <w:rFonts w:hint="eastAsia" w:ascii="新宋体" w:hAnsi="新宋体" w:eastAsia="新宋体" w:cs="新宋体"/>
          <w:bCs/>
          <w:color w:val="auto"/>
          <w:sz w:val="22"/>
          <w:szCs w:val="22"/>
          <w:highlight w:val="none"/>
          <w:lang w:val="zh-CN"/>
        </w:rPr>
        <w:t>交通枢纽；</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2)</w:t>
      </w:r>
      <w:r>
        <w:rPr>
          <w:rFonts w:hint="eastAsia" w:ascii="新宋体" w:hAnsi="新宋体" w:eastAsia="新宋体" w:cs="新宋体"/>
          <w:bCs/>
          <w:color w:val="auto"/>
          <w:sz w:val="22"/>
          <w:szCs w:val="22"/>
          <w:highlight w:val="none"/>
          <w:lang w:val="zh-CN"/>
        </w:rPr>
        <w:t>地铁等轨道交通；</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3)</w:t>
      </w:r>
      <w:r>
        <w:rPr>
          <w:rFonts w:hint="eastAsia" w:ascii="新宋体" w:hAnsi="新宋体" w:eastAsia="新宋体" w:cs="新宋体"/>
          <w:bCs/>
          <w:color w:val="auto"/>
          <w:sz w:val="22"/>
          <w:szCs w:val="22"/>
          <w:highlight w:val="none"/>
          <w:lang w:val="zh-CN"/>
        </w:rPr>
        <w:t>商场、超市出入口；</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4)</w:t>
      </w:r>
      <w:r>
        <w:rPr>
          <w:rFonts w:hint="eastAsia" w:ascii="新宋体" w:hAnsi="新宋体" w:eastAsia="新宋体" w:cs="新宋体"/>
          <w:bCs/>
          <w:color w:val="auto"/>
          <w:sz w:val="22"/>
          <w:szCs w:val="22"/>
          <w:highlight w:val="none"/>
          <w:lang w:val="zh-CN"/>
        </w:rPr>
        <w:t>医院出入口；</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5)</w:t>
      </w:r>
      <w:r>
        <w:rPr>
          <w:rFonts w:hint="eastAsia" w:ascii="新宋体" w:hAnsi="新宋体" w:eastAsia="新宋体" w:cs="新宋体"/>
          <w:bCs/>
          <w:color w:val="auto"/>
          <w:sz w:val="22"/>
          <w:szCs w:val="22"/>
          <w:highlight w:val="none"/>
          <w:lang w:val="zh-CN"/>
        </w:rPr>
        <w:t>宾馆出入口；</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6)</w:t>
      </w:r>
      <w:r>
        <w:rPr>
          <w:rFonts w:hint="eastAsia" w:ascii="新宋体" w:hAnsi="新宋体" w:eastAsia="新宋体" w:cs="新宋体"/>
          <w:bCs/>
          <w:color w:val="auto"/>
          <w:sz w:val="22"/>
          <w:szCs w:val="22"/>
          <w:highlight w:val="none"/>
          <w:lang w:val="zh-CN"/>
        </w:rPr>
        <w:t>娱乐场所出入口；</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7)</w:t>
      </w:r>
      <w:r>
        <w:rPr>
          <w:rFonts w:hint="eastAsia" w:ascii="新宋体" w:hAnsi="新宋体" w:eastAsia="新宋体" w:cs="新宋体"/>
          <w:bCs/>
          <w:color w:val="auto"/>
          <w:sz w:val="22"/>
          <w:szCs w:val="22"/>
          <w:highlight w:val="none"/>
          <w:lang w:val="zh-CN"/>
        </w:rPr>
        <w:t>小区出入口；</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8)</w:t>
      </w:r>
      <w:r>
        <w:rPr>
          <w:rFonts w:hint="eastAsia" w:ascii="新宋体" w:hAnsi="新宋体" w:eastAsia="新宋体" w:cs="新宋体"/>
          <w:bCs/>
          <w:color w:val="auto"/>
          <w:sz w:val="22"/>
          <w:szCs w:val="22"/>
          <w:highlight w:val="none"/>
          <w:lang w:val="zh-CN"/>
        </w:rPr>
        <w:t>室外道路（人行道）；</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本次建设：规划新建高清人脸97路。</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1.4.1布建设计</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主要通道、公共区域全覆盖，具体布建设计可参考监控点位设计进行规划。</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1.4.2系统组成</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1.4.2.1配置要求</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w:t>
      </w:r>
      <w:r>
        <w:rPr>
          <w:rFonts w:hint="eastAsia" w:ascii="新宋体" w:hAnsi="新宋体" w:eastAsia="新宋体" w:cs="新宋体"/>
          <w:bCs/>
          <w:color w:val="auto"/>
          <w:sz w:val="22"/>
          <w:szCs w:val="22"/>
          <w:highlight w:val="none"/>
          <w:lang w:val="zh-CN"/>
        </w:rPr>
        <w:t>1</w:t>
      </w:r>
      <w:r>
        <w:rPr>
          <w:rFonts w:hint="eastAsia" w:ascii="新宋体" w:hAnsi="新宋体" w:eastAsia="新宋体" w:cs="新宋体"/>
          <w:bCs/>
          <w:color w:val="auto"/>
          <w:sz w:val="22"/>
          <w:szCs w:val="22"/>
          <w:highlight w:val="none"/>
        </w:rPr>
        <w:t>)</w:t>
      </w:r>
      <w:r>
        <w:rPr>
          <w:rFonts w:hint="eastAsia" w:ascii="新宋体" w:hAnsi="新宋体" w:eastAsia="新宋体" w:cs="新宋体"/>
          <w:bCs/>
          <w:color w:val="auto"/>
          <w:sz w:val="22"/>
          <w:szCs w:val="22"/>
          <w:highlight w:val="none"/>
          <w:lang w:val="zh-CN"/>
        </w:rPr>
        <w:t>多摄摄像机：</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AI双目筒型网络摄像机，上通道看细节，下通道看全景，采用一体化设计，由双镜头相机与高性能GPU模块组成，聚合多种专为复杂场景设计的深度学习算法，实现全结构化数据精准采集，具备多场景数据融合分析能力，实现全方位态势感知</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支持三种智能资源模式切换：混合目标检测-全结构化模式（默认）、混合目标检测-比对模式，人脸抓拍；</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 xml:space="preserve">具有双镜头、双通道一体化设计； </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 xml:space="preserve">内置GPU芯片； </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支持亮度异常、清晰度异常、花屏、雪花、偏色、画面冻结、增益失衡、画面抖动、条纹干扰、信号丢失、视频遮挡、光晕、紫边等故障报警功能；</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 xml:space="preserve">支持检出两眼瞳距20像素点以上的人脸图片； </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 xml:space="preserve">可识别不低于300种车辆品牌； </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同一静止场景相同图像质量下，设备在H.265编码方式时，开启智能编码功能和不开启智能编码相比；</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需支持本地SD卡存储，最大支持256G</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(2)全局摄像机</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集合定点看全景、动点看细节的优势，采用一体化设计，由双镜头相机与高性能GPU模块组成，内嵌深度学习算法，以海量图片及视频资源为路基，通过机器自身提取目标特征，形成深层可供学习的人脸、人体、车辆图像，极大的提升了目标人脸、人体、车辆的检出率；</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设备一共有8个补光灯，其中特写摄像机的每个补光灯均包含红外补光模块和白光补光模块；支持混合补光，可对红外灯及白光灯进行选择性开启；支持对镜头前盖玻璃加热，去除玻璃上的冰状和水状附着物；在设定的侦测区域内有目标移动时，设备可联动开启白光灯并抓拍图像；</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支持快速聚焦功能，设备对监控区域内的移动目标进行跟踪录像，录像通过单帧回放时应能保证每帧画面清晰稳定； </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支持本机存储功能，支持SD卡热插拔，SD卡最大支持256GB；</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1.4.2.2设备安装</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参考视频监控安装工艺</w:t>
      </w:r>
    </w:p>
    <w:p>
      <w:pPr>
        <w:spacing w:line="460" w:lineRule="exact"/>
        <w:ind w:firstLine="541" w:firstLineChars="245"/>
        <w:outlineLvl w:val="4"/>
        <w:rPr>
          <w:rFonts w:hint="eastAsia" w:ascii="新宋体" w:hAnsi="新宋体" w:eastAsia="新宋体" w:cs="新宋体"/>
          <w:b/>
          <w:color w:val="auto"/>
          <w:sz w:val="22"/>
          <w:szCs w:val="22"/>
          <w:highlight w:val="none"/>
        </w:rPr>
      </w:pPr>
      <w:bookmarkStart w:id="45" w:name="_Toc38273445"/>
      <w:r>
        <w:rPr>
          <w:rFonts w:hint="eastAsia" w:ascii="新宋体" w:hAnsi="新宋体" w:eastAsia="新宋体" w:cs="新宋体"/>
          <w:b/>
          <w:color w:val="auto"/>
          <w:sz w:val="22"/>
          <w:szCs w:val="22"/>
          <w:highlight w:val="none"/>
        </w:rPr>
        <w:t>1.5 AR实景子系统</w:t>
      </w:r>
      <w:bookmarkEnd w:id="45"/>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实景指挥系统运用增强现实、地理信息、人工智能、物联网、大数据等先进技术，基于城市重点区域的制高点视频，构建实景式立体化的防控指挥作战系统。</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本次建设：建设2个高位AR全景摄像机，接入市局已有AR指挥软件。</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1.5.1布建设计</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主要用于重要公共区域、大型安保现场、区域性的联动指挥场景，如：马拉松安保、樱花节等重大活动现场的安保事项。</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1.5.2系统组成</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1.5.2.1配置要求</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（1）配置AR全景球型摄像机；</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具备AR视频标签添加，修改，删除和标注等系列管理功能，支持视频画面中添加最多500个标签；标签类型包括：**站视频标签，建筑物视频标签，卡口视频标签，普通视频标签等；具备添加定点标签，区域标签，矢量标签，方向标签，并支持标签联动操作；具备AR标签防漂移功能，设备调教或者转动时，AR标签与标记物体保持相对静止；具备AR视频标签联动功能，并可对高-高，高-低，低-高三种标签的位置的视频图像，进行切换预览；</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（3）自带镜头，另配6个图像采集模块，可输出1路主视频图像和6路辅视频图像。可将辅视频图像进行无缝拼接，拼接后的辅视频图像：水平视场角为270°，垂直视场角为80°；</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（4）主视频图像：2560×1440@25fps，辅视频图像：8160×2400@25fps，其中主视频图像分辨力不小于1600线。（以</w:t>
      </w:r>
      <w:r>
        <w:rPr>
          <w:rFonts w:hint="eastAsia" w:ascii="新宋体" w:hAnsi="新宋体" w:eastAsia="新宋体" w:cs="新宋体"/>
          <w:bCs/>
          <w:color w:val="auto"/>
          <w:sz w:val="22"/>
          <w:szCs w:val="22"/>
          <w:highlight w:val="none"/>
          <w:lang w:val="en-US" w:eastAsia="zh-CN"/>
        </w:rPr>
        <w:t>第三方权威机构出具的</w:t>
      </w:r>
      <w:r>
        <w:rPr>
          <w:rFonts w:hint="eastAsia" w:ascii="新宋体" w:hAnsi="新宋体" w:eastAsia="新宋体" w:cs="新宋体"/>
          <w:bCs/>
          <w:color w:val="auto"/>
          <w:sz w:val="22"/>
          <w:szCs w:val="22"/>
          <w:highlight w:val="none"/>
        </w:rPr>
        <w:t>型式检验报告为准）</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（5）内置GPU芯片，靶面尺寸为1/1.8"；全景摄像机采用6个 1/1.8＂4MP CMOS，特写球型摄像机采用1个 1/1.8＂4MP CMOS；主视频支持不小于40倍光学变倍；彩色不低于0.0003lux；黑白不低于0.0001lux；支持宽动态不小于106dB；</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（6）支持水平手控速度不小于240°/S，云台定位精度为不大于0.1°。垂直手控速度不小于200°/S；水平连续360°旋转。垂直旋转范围为-20°~90°；</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（7）支持7路报警输入接口，2路报警输出接口，支持1路音频输入，1路输出接口；</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（8）支持500个预置位，支持32条巡航扫描，每条巡航路径可设置16个预置点；</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（9）支持三码流输出，主码流球机摄像机通道支持输出2560×1440@25fps图像、全景通道支持输出8160×2400@25fps图像；第三码流球机摄像机通道支持输出1920×1080@25ps图像、全景通道支持输出4096×1200@25fps图像；</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10）支持畸变调整功能，支持通过客户端对辅助视频图像的全景画面进行远，中，近3种畸变调整；支持画面调整功能，支持通过客户端对辅助视频图像的全景画面进行上，下，左，右平移和三维空间旋转，进而调整视场画面；支持人员密度功能，支持通过IE浏览器对辅助视频的全景画面设备不少于6个检测框，检测区域人数可通过OSD叠加的形式显示，并且可设置3个等级的人数，当检测框中的人数在3个等级之间变化时可触发报警；支持全景剪裁功能，支持对辅助图像的全景画面进行框选裁剪，只显示框选内的画面，且检测框可拖拽；剪裁分辨率根据主码流，子码流和第三码流进行设置；产品支持定位联动、自动跟踪、手动跟踪、混合跟踪功能，在辅视频图像中跟踪目标的灵敏度及时间可设；并且支持定位联动功能，跟踪联动响应时间小于0.3S；</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（11）电源具有较强适应性，电源电压在DC36V±47%范围内变化时，摄像机可以正常工作；</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（12）具备较好防护性能和环境适应性，支持IP67，10KV防浪涌，工作温度范围可达-45℃-75℃；</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13）红外灯开启时，样机可根据被摄物的距离自动调节红外灯功率密度。红外夜视距离：可识别距离样机550m外人体轮廓；样机支持快速聚集功能，分辨率设置为2560×1440@25fps，码率为2Mbps，样机可跟踪行人或机动车等移动目标并录像，单帧回放录像文件，每一帧清晰可见；</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14）可对距设备100米处的人脸进行抓拍；可通过IE浏览器设置8个场景进行人脸抓拍，可设置每个场景的布防时间；当通过IE浏览器手动点击或框选预览画面中的人脸时，能通过PTZ转动将人脸置于画面中心，并对人脸进行抓拍；可通过IE浏览器实时预览设备抓拍的人脸图片，并可在历史记录中存储不小于100张人脸抓拍图片。</w:t>
      </w:r>
    </w:p>
    <w:p>
      <w:pPr>
        <w:spacing w:line="460" w:lineRule="exact"/>
        <w:ind w:firstLine="541" w:firstLineChars="245"/>
        <w:outlineLvl w:val="4"/>
        <w:rPr>
          <w:rFonts w:hint="eastAsia" w:ascii="新宋体" w:hAnsi="新宋体" w:eastAsia="新宋体" w:cs="新宋体"/>
          <w:b/>
          <w:color w:val="auto"/>
          <w:sz w:val="22"/>
          <w:szCs w:val="22"/>
          <w:highlight w:val="none"/>
        </w:rPr>
      </w:pPr>
      <w:bookmarkStart w:id="46" w:name="_Toc38273446"/>
      <w:r>
        <w:rPr>
          <w:rFonts w:hint="eastAsia" w:ascii="新宋体" w:hAnsi="新宋体" w:eastAsia="新宋体" w:cs="新宋体"/>
          <w:b/>
          <w:color w:val="auto"/>
          <w:sz w:val="22"/>
          <w:szCs w:val="22"/>
          <w:highlight w:val="none"/>
        </w:rPr>
        <w:t>1.6微功耗视频采集子系统</w:t>
      </w:r>
      <w:bookmarkEnd w:id="46"/>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随着微功耗技术的不断发展不断的研发，结合瓯江口堤坝、小码头供电难和有线网络资源有限的实际情况，建设微功耗视频采集子系统。不再被供电和网络的条件限制，功能丰富、智能化程度高、安装和维护方便，野外工作适应性强。本系统能够节省主管单位大量的人力、物力和财力，做到“及时发现，迅速处理”和“预防为主，惩治为辅”。</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微功耗视频采集终端是一款全新概念的智能云台网络摄像机，200万像素23倍光学变焦，16倍数字变焦，它具有主流智能云台摄像机的全部功能，除能够高速垂直和水平旋转以外，还能够实现预置位、自动巡航等云台功能。配合微功耗智能变焦激光红外（白光）补光灯，能够极大的增加夜晚条件下，野外环境下观察的深度和广度。</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本次建设：本期主要针对沿江码头，建设3个微功率视频采集点位。</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1.6.1布建设计</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针对部分码头、堤坝等无法正常部署电源、网络等区域进行部署建设。</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1.6.2系统组成</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配置要求：</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（1）红外4G网络低功耗智能球机；</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（2）支持视频移动检测触发自动上传视频到平台；</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（3）支持V3平台的对接；</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（4）太阳能电板100Wp，电池100AH；</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（5）支持4G（移动、联通，电信）网络传输，兼容3G（移动、联通、电信）</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（6）图像传感器:采用不低于200W像素CMOS传感器；</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（7）具备不少于1路RJ45接口、1路音频输入接口、1路音频输出、1路报警输入、1路报警输出接口；</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（8）内置固态硬盘240G以上。</w:t>
      </w:r>
    </w:p>
    <w:p>
      <w:pPr>
        <w:spacing w:line="460" w:lineRule="exact"/>
        <w:ind w:firstLine="541" w:firstLineChars="245"/>
        <w:outlineLvl w:val="4"/>
        <w:rPr>
          <w:rFonts w:hint="eastAsia" w:ascii="新宋体" w:hAnsi="新宋体" w:eastAsia="新宋体" w:cs="新宋体"/>
          <w:b/>
          <w:color w:val="auto"/>
          <w:sz w:val="22"/>
          <w:szCs w:val="22"/>
          <w:highlight w:val="none"/>
        </w:rPr>
      </w:pPr>
      <w:bookmarkStart w:id="47" w:name="_Toc38273447"/>
      <w:r>
        <w:rPr>
          <w:rFonts w:hint="eastAsia" w:ascii="新宋体" w:hAnsi="新宋体" w:eastAsia="新宋体" w:cs="新宋体"/>
          <w:b/>
          <w:color w:val="auto"/>
          <w:sz w:val="22"/>
          <w:szCs w:val="22"/>
          <w:highlight w:val="none"/>
        </w:rPr>
        <w:t>1.7 瓯江口水利可视化工程子系统</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1.7.1建设目标</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2020 年，按照“共享一批、改造一批、新建一批”的要求，全面开展水利工程视频监控建设，全市水库、屋顶山塘、重要水闸泵站、重要堤防海塘、重要农村水电站、重要在建水利工程等工程的重要区域和防汛防台重点关注区域基本实现视频在线监控。适时推进大坝安全监测设施建设，实现现场自动观测，建立水利工程三维全景监控体系。</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规模、内容：对瓯江口环岛堤坝进行视频监控建设，包括覆盖整个环岛堤坝、港口、旱闸及水闸，大致保证每1公里1个视频监控。共计39个点位。</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1.7.2前端系统</w:t>
      </w:r>
    </w:p>
    <w:p>
      <w:pPr>
        <w:spacing w:line="460" w:lineRule="exact"/>
        <w:ind w:firstLine="541" w:firstLineChars="245"/>
        <w:outlineLvl w:val="6"/>
        <w:rPr>
          <w:rFonts w:hint="eastAsia" w:ascii="新宋体" w:hAnsi="新宋体" w:eastAsia="新宋体" w:cs="新宋体"/>
          <w:b/>
          <w:color w:val="auto"/>
          <w:sz w:val="22"/>
          <w:szCs w:val="22"/>
          <w:highlight w:val="none"/>
        </w:rPr>
      </w:pPr>
      <w:bookmarkStart w:id="48" w:name="_Toc36191111"/>
      <w:bookmarkStart w:id="49" w:name="_Toc39733819"/>
      <w:r>
        <w:rPr>
          <w:rFonts w:hint="eastAsia" w:ascii="新宋体" w:hAnsi="新宋体" w:eastAsia="新宋体" w:cs="新宋体"/>
          <w:b/>
          <w:color w:val="auto"/>
          <w:sz w:val="22"/>
          <w:szCs w:val="22"/>
          <w:highlight w:val="none"/>
        </w:rPr>
        <w:t>1.7.2.1设备选型要求</w:t>
      </w:r>
      <w:bookmarkEnd w:id="48"/>
      <w:bookmarkEnd w:id="49"/>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监控前端摄像设备主要包括摄像机和云台等，应根据实际需求遵循以下原则进行选择：</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1）户外监控前端应选择日／夜转换型摄像机。</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2）室内照度较低或补偿性光源较弱的区域应选择超低照度摄像机。</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3）受现场条件限制无法安装辅助照明设备的监控区域可选择采用红外摄像机。</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4）在完全无光的远距离监控场景可选择采用红外热成像摄像机。</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5）在水库库区、大坝、水闸和泵站管理区等需要经常快速变换监控对象的室外场景，宜选用一体化高速球形摄像机或一体化云台设备。</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6）对偏远地区水文监测系统进行监控可采用低功耗摄像机。</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7）对闸门、水泵等出水口等固定对象进行监控可采用固定式定焦摄像机。</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8）对应急指挥区域可采用移动手持单兵和布控球设备。</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设备技术要求：</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前端设备应满足抗风、抗震、防雨、防雷电、防尘、防盐雾、防腐蚀、防变形、防人为破坏及易检修的技术要求。在前端设备安装地的常年室外温度范围和。相对湿度范围内，应能正常工作。</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1）摄像机必须能够全天候工作，白天和夜间都可以拍摄清晰的视频</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2）具有浪涌保护和防雷击功能。</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3）所配云台解码器应具有开放的兼容的控制协议以及标准控制接口。</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4）摄像机的技术参数应满足下列要求：</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高清高速智能球机摄像机：</w:t>
      </w:r>
    </w:p>
    <w:p>
      <w:pPr>
        <w:numPr>
          <w:ilvl w:val="0"/>
          <w:numId w:val="5"/>
        </w:numPr>
        <w:spacing w:line="460" w:lineRule="exact"/>
        <w:ind w:firstLine="22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分辨率应不小于1080p; </w:t>
      </w:r>
    </w:p>
    <w:p>
      <w:pPr>
        <w:numPr>
          <w:ilvl w:val="0"/>
          <w:numId w:val="5"/>
        </w:numPr>
        <w:spacing w:line="460" w:lineRule="exact"/>
        <w:ind w:firstLine="22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应不小于32倍光学变倍；</w:t>
      </w:r>
    </w:p>
    <w:p>
      <w:pPr>
        <w:numPr>
          <w:ilvl w:val="0"/>
          <w:numId w:val="5"/>
        </w:numPr>
        <w:spacing w:line="460" w:lineRule="exact"/>
        <w:ind w:firstLine="22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红外照射距离不低于250米；</w:t>
      </w:r>
    </w:p>
    <w:p>
      <w:pPr>
        <w:numPr>
          <w:ilvl w:val="0"/>
          <w:numId w:val="5"/>
        </w:numPr>
        <w:spacing w:line="460" w:lineRule="exact"/>
        <w:ind w:firstLine="22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支持最低照度可达彩色0.0002Lux，黑白O.OOOlLux;</w:t>
      </w:r>
    </w:p>
    <w:p>
      <w:pPr>
        <w:numPr>
          <w:ilvl w:val="0"/>
          <w:numId w:val="5"/>
        </w:numPr>
        <w:spacing w:line="460" w:lineRule="exact"/>
        <w:ind w:firstLine="22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支持区域入侵、 越界侦测、 进入区域、 离开区域功能； </w:t>
      </w:r>
    </w:p>
    <w:p>
      <w:pPr>
        <w:numPr>
          <w:ilvl w:val="0"/>
          <w:numId w:val="5"/>
        </w:numPr>
        <w:spacing w:line="460" w:lineRule="exact"/>
        <w:ind w:firstLine="22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水平旋转范围为360。连续旋转，垂直旋转范围为-45°～90°；</w:t>
      </w:r>
    </w:p>
    <w:p>
      <w:pPr>
        <w:numPr>
          <w:ilvl w:val="0"/>
          <w:numId w:val="5"/>
        </w:numPr>
        <w:spacing w:line="460" w:lineRule="exact"/>
        <w:ind w:firstLine="22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支持IP67；应能支持承受空气放电20KV，接触放电lOKV, 15KV防浪涌。</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1.7.2.2支架、立杆</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摄像机应根据所需监控的范围、角度、场景以及现场条件来选择安装方法。出于安全因素及施工条件考虑，以支架安装为主。</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支架安装应按以下原则：</w:t>
      </w:r>
    </w:p>
    <w:p>
      <w:pPr>
        <w:numPr>
          <w:ilvl w:val="0"/>
          <w:numId w:val="5"/>
        </w:numPr>
        <w:spacing w:line="460" w:lineRule="exact"/>
        <w:ind w:firstLine="22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水利工程内运行有电气设备，安装时首先应考虑与高压设备的安全距离；</w:t>
      </w:r>
    </w:p>
    <w:p>
      <w:pPr>
        <w:numPr>
          <w:ilvl w:val="0"/>
          <w:numId w:val="5"/>
        </w:numPr>
        <w:spacing w:line="460" w:lineRule="exact"/>
        <w:ind w:firstLine="22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摄像机支架的选择必须满足荷重要求，同时具备防锈防腐功能。</w:t>
      </w:r>
    </w:p>
    <w:p>
      <w:pPr>
        <w:numPr>
          <w:ilvl w:val="0"/>
          <w:numId w:val="5"/>
        </w:numPr>
        <w:spacing w:line="460" w:lineRule="exact"/>
        <w:ind w:firstLine="22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安装应牢固，不得歪斜，制作要美观；</w:t>
      </w:r>
    </w:p>
    <w:p>
      <w:pPr>
        <w:numPr>
          <w:ilvl w:val="0"/>
          <w:numId w:val="5"/>
        </w:numPr>
        <w:spacing w:line="460" w:lineRule="exact"/>
        <w:ind w:firstLine="22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不具备条件可利用原有水泥杆上配U型抱箍安装摄像机。</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1.7.2.3补光灯</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对于采光条件比较差的场所，以及夜晚低照度环境下的监控需要，为了保障监控质量，需要在监控点配置补光灯，在监控现场环境及设备时开启周围的灯光。</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灯光设备合理选择安装位置，以防光源影响摄像机图像。</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1.7.2.4系统供电</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前端监控一般应配备市电供电的条件。如果无法提供一般采用风能和太阳能互补的发电系统，可根据负载情况进行灵活配置</w:t>
      </w:r>
      <w:bookmarkStart w:id="50" w:name="_Toc418790030"/>
      <w:bookmarkStart w:id="51" w:name="_Toc446512407"/>
      <w:bookmarkStart w:id="52" w:name="_Toc386457300"/>
      <w:bookmarkStart w:id="53" w:name="_Toc461136090"/>
      <w:r>
        <w:rPr>
          <w:rFonts w:hint="eastAsia" w:ascii="新宋体" w:hAnsi="新宋体" w:eastAsia="新宋体" w:cs="新宋体"/>
          <w:bCs/>
          <w:color w:val="auto"/>
          <w:sz w:val="22"/>
          <w:szCs w:val="22"/>
          <w:highlight w:val="none"/>
        </w:rPr>
        <w:t xml:space="preserve">。 </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市电配置说明</w:t>
      </w:r>
      <w:bookmarkEnd w:id="50"/>
      <w:bookmarkEnd w:id="51"/>
      <w:bookmarkEnd w:id="52"/>
      <w:bookmarkEnd w:id="53"/>
      <w:r>
        <w:rPr>
          <w:rFonts w:hint="eastAsia" w:ascii="新宋体" w:hAnsi="新宋体" w:eastAsia="新宋体" w:cs="新宋体"/>
          <w:bCs/>
          <w:color w:val="auto"/>
          <w:sz w:val="22"/>
          <w:szCs w:val="22"/>
          <w:highlight w:val="none"/>
        </w:rPr>
        <w:t>：对于监测站点附近有市电时，可采用市电供电。市电通过开关电源转为12V或24V为系统供电。为保证市电断电状态下也能够让监测站保持一段时间工作，系统也应配备蓄电池和充放电控制器。采用市电应注意防雷。</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本期项目建设考虑到堤坝、码头等取电、布线有点一定的困难，多数采用风能和太阳能互补的发电系统进行供电。</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1.7.3网络架构</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先根据雪亮工程建设要求进行网络布局，所有视频数据通过视屏专网汇聚到雪亮总池中，市水利局通过视频专网或政务服务网中获取该部分的视频资源再进行管控或应用的建设。</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1.7.4系统应用</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1.7.4.1平台介绍</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水利智能可视化平台主要应用于水利行业，是一套“集成化”、“智能化”的平台。平台通过视频监控以及AI计算能力、并接入水利行业设备等方式，进行水利信息化的集成与联动，协助用户实现防灾减灾、河湖管理、水利工程管理、流域监控等水利可视化业务。</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1.7.4.2平台架构</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支持多线路访问平台，支持的场景有：支持用户的浏览器、客户端、移动客户端都在平台外部网域；支持设备在外部网络访问平台。平台只需开放少量端口既可以支持外部访问平台的要求。</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1.7.4.3平台功能</w:t>
      </w:r>
    </w:p>
    <w:p>
      <w:pPr>
        <w:spacing w:line="460" w:lineRule="exact"/>
        <w:ind w:firstLine="541"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
          <w:color w:val="auto"/>
          <w:sz w:val="22"/>
          <w:szCs w:val="22"/>
          <w:highlight w:val="none"/>
        </w:rPr>
        <w:t>实时视频</w:t>
      </w:r>
      <w:r>
        <w:rPr>
          <w:rFonts w:hint="eastAsia" w:ascii="新宋体" w:hAnsi="新宋体" w:eastAsia="新宋体" w:cs="新宋体"/>
          <w:bCs/>
          <w:color w:val="auto"/>
          <w:sz w:val="22"/>
          <w:szCs w:val="22"/>
          <w:highlight w:val="none"/>
        </w:rPr>
        <w:t>：平台提供3种客户端：桌面客户端、WEB客户端、移动客户端。用户可通过实时监控模块，查看各个监控点的实时视频监控画面。支持树形方式展开选择所需监控的视频，实时监视各点位视频信息。</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视频监控平台支持分组显示，可以在一个分组中配置多个监控点。将需要的监控点添加到分组中，点击分组即可预览分组下所有通道。</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支持1/3/4/6/7/9/12/15/24画面分割显示及全屏显示。预览画面支持监控点信息、语音对讲、开关声音、音量控制、主/子码流切换、切换到第三码流、云台与镜头控制、抓图、多图抓拍、鱼眼、图像选取定位。</w:t>
      </w:r>
    </w:p>
    <w:p>
      <w:pPr>
        <w:spacing w:line="460" w:lineRule="exact"/>
        <w:ind w:firstLine="541"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
          <w:color w:val="auto"/>
          <w:sz w:val="22"/>
          <w:szCs w:val="22"/>
          <w:highlight w:val="none"/>
        </w:rPr>
        <w:t>录像回放</w:t>
      </w:r>
      <w:r>
        <w:rPr>
          <w:rFonts w:hint="eastAsia" w:ascii="新宋体" w:hAnsi="新宋体" w:eastAsia="新宋体" w:cs="新宋体"/>
          <w:bCs/>
          <w:color w:val="auto"/>
          <w:sz w:val="22"/>
          <w:szCs w:val="22"/>
          <w:highlight w:val="none"/>
        </w:rPr>
        <w:t>：录像回放需要支持常规回放、分段回放、事件回放三种模式，支持同时检索、回放所选各监控区域的多个摄像机视频。播放录制视频时，可对回放视频的进行抓拍，并将抓拍图片保存到本地。视频监控支持回放单路或多路视频，支持1、4、6、9、12画面等规格画面显示方式，画面支持4:3、16:9、自适应显示模式；回放时支持暂停、单帧进、单帧退、播放速度控制（1/16、1/8、1/4、1/2、1、2、4、8、16倍速）、同步回放、异步回放。回放支持分段回放，以分段缩略图展示录像片段，支持录像文件增加/删除标签。</w:t>
      </w:r>
    </w:p>
    <w:p>
      <w:pPr>
        <w:spacing w:line="460" w:lineRule="exact"/>
        <w:ind w:firstLine="541" w:firstLineChars="245"/>
        <w:rPr>
          <w:rFonts w:ascii="仿宋" w:hAnsi="仿宋" w:eastAsia="仿宋" w:cs="仿宋"/>
          <w:color w:val="auto"/>
          <w:highlight w:val="none"/>
        </w:rPr>
      </w:pPr>
      <w:r>
        <w:rPr>
          <w:rFonts w:hint="eastAsia" w:ascii="新宋体" w:hAnsi="新宋体" w:eastAsia="新宋体" w:cs="新宋体"/>
          <w:b/>
          <w:color w:val="auto"/>
          <w:sz w:val="22"/>
          <w:szCs w:val="22"/>
          <w:highlight w:val="none"/>
        </w:rPr>
        <w:t>切片管理</w:t>
      </w:r>
      <w:r>
        <w:rPr>
          <w:rFonts w:hint="eastAsia" w:ascii="新宋体" w:hAnsi="新宋体" w:eastAsia="新宋体" w:cs="新宋体"/>
          <w:bCs/>
          <w:color w:val="auto"/>
          <w:sz w:val="22"/>
          <w:szCs w:val="22"/>
          <w:highlight w:val="none"/>
        </w:rPr>
        <w:t>:切片为以获取的水利视频云平台监控视频资源为基础，以一定时间间隔抓拍后以图片形式进行存储、发布和应用。轮询抓拍切片通过程序设定，对所有监控点视频按一定的时间间隔、图片质量等参数进行切片抓拍，并在监控点窗口进行定时更新显示。轮询的图片将由系统进行统一处理，存储在云服务器上作为历史影像数据，供用户进行查询使用。可以按区域/流域/站类和站名进行过滤查询抓拍的图片，图片可以放大、导出。</w:t>
      </w:r>
    </w:p>
    <w:p>
      <w:pPr>
        <w:spacing w:line="460" w:lineRule="exact"/>
        <w:ind w:firstLine="541"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
          <w:color w:val="auto"/>
          <w:sz w:val="22"/>
          <w:szCs w:val="22"/>
          <w:highlight w:val="none"/>
        </w:rPr>
        <w:t>视频轮询:</w:t>
      </w:r>
      <w:r>
        <w:rPr>
          <w:rFonts w:hint="eastAsia" w:ascii="新宋体" w:hAnsi="新宋体" w:eastAsia="新宋体" w:cs="新宋体"/>
          <w:bCs/>
          <w:color w:val="auto"/>
          <w:sz w:val="22"/>
          <w:szCs w:val="22"/>
          <w:highlight w:val="none"/>
        </w:rPr>
        <w:t>系统按照设定好的规则，在指定的操作终端上自动轮流显示监控图像。根据业务需要，可以将监控点分组，在指定的窗口布局上按指定的轮巡时间间隔轮流播放。视频预案与轮巡支持以下功能：</w:t>
      </w:r>
    </w:p>
    <w:p>
      <w:pPr>
        <w:spacing w:line="460" w:lineRule="exact"/>
        <w:ind w:firstLine="541"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
          <w:color w:val="auto"/>
          <w:sz w:val="22"/>
          <w:szCs w:val="22"/>
          <w:highlight w:val="none"/>
        </w:rPr>
        <w:t>设置窗口布局</w:t>
      </w:r>
      <w:r>
        <w:rPr>
          <w:rFonts w:hint="eastAsia" w:ascii="新宋体" w:hAnsi="新宋体" w:eastAsia="新宋体" w:cs="新宋体"/>
          <w:bCs/>
          <w:color w:val="auto"/>
          <w:sz w:val="22"/>
          <w:szCs w:val="22"/>
          <w:highlight w:val="none"/>
        </w:rPr>
        <w:t>：以当前使用的窗口布局作为预案的窗口布局，且在轮巡中可指定监控点在窗口上轮巡的顺序。</w:t>
      </w:r>
    </w:p>
    <w:p>
      <w:pPr>
        <w:spacing w:line="460" w:lineRule="exact"/>
        <w:ind w:firstLine="541"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
          <w:color w:val="auto"/>
          <w:sz w:val="22"/>
          <w:szCs w:val="22"/>
          <w:highlight w:val="none"/>
        </w:rPr>
        <w:t>设置轮巡监控点：</w:t>
      </w:r>
      <w:r>
        <w:rPr>
          <w:rFonts w:hint="eastAsia" w:ascii="新宋体" w:hAnsi="新宋体" w:eastAsia="新宋体" w:cs="新宋体"/>
          <w:bCs/>
          <w:color w:val="auto"/>
          <w:sz w:val="22"/>
          <w:szCs w:val="22"/>
          <w:highlight w:val="none"/>
        </w:rPr>
        <w:t>可选择某些监控点成为一个轮巡组，可指定监控点轮巡时的预置点与主子码流。支持配置多个轮巡组。</w:t>
      </w:r>
    </w:p>
    <w:p>
      <w:pPr>
        <w:spacing w:line="460" w:lineRule="exact"/>
        <w:ind w:firstLine="541"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
          <w:color w:val="auto"/>
          <w:sz w:val="22"/>
          <w:szCs w:val="22"/>
          <w:highlight w:val="none"/>
        </w:rPr>
        <w:t>支持预案自动执行</w:t>
      </w:r>
      <w:r>
        <w:rPr>
          <w:rFonts w:hint="eastAsia" w:ascii="新宋体" w:hAnsi="新宋体" w:eastAsia="新宋体" w:cs="新宋体"/>
          <w:bCs/>
          <w:color w:val="auto"/>
          <w:sz w:val="22"/>
          <w:szCs w:val="22"/>
          <w:highlight w:val="none"/>
        </w:rPr>
        <w:t>：支持指定预案自动执行的起止时间，自动切换预案。</w:t>
      </w:r>
    </w:p>
    <w:p>
      <w:pPr>
        <w:spacing w:line="460" w:lineRule="exact"/>
        <w:ind w:firstLine="541"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
          <w:color w:val="auto"/>
          <w:sz w:val="22"/>
          <w:szCs w:val="22"/>
          <w:highlight w:val="none"/>
        </w:rPr>
        <w:t>支持共享预案</w:t>
      </w:r>
      <w:r>
        <w:rPr>
          <w:rFonts w:hint="eastAsia" w:ascii="新宋体" w:hAnsi="新宋体" w:eastAsia="新宋体" w:cs="新宋体"/>
          <w:bCs/>
          <w:color w:val="auto"/>
          <w:sz w:val="22"/>
          <w:szCs w:val="22"/>
          <w:highlight w:val="none"/>
        </w:rPr>
        <w:t>：可指定共享的组织范围。</w:t>
      </w:r>
    </w:p>
    <w:p>
      <w:pPr>
        <w:spacing w:line="460" w:lineRule="exact"/>
        <w:ind w:firstLine="541"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
          <w:color w:val="auto"/>
          <w:sz w:val="22"/>
          <w:szCs w:val="22"/>
          <w:highlight w:val="none"/>
        </w:rPr>
        <w:t>支持临时轮巡</w:t>
      </w:r>
      <w:r>
        <w:rPr>
          <w:rFonts w:hint="eastAsia" w:ascii="新宋体" w:hAnsi="新宋体" w:eastAsia="新宋体" w:cs="新宋体"/>
          <w:bCs/>
          <w:color w:val="auto"/>
          <w:sz w:val="22"/>
          <w:szCs w:val="22"/>
          <w:highlight w:val="none"/>
        </w:rPr>
        <w:t>：支持临时从资源导航中选择一组监控点进行临时轮巡，默认切换间隔为15秒。</w:t>
      </w:r>
    </w:p>
    <w:p>
      <w:pPr>
        <w:spacing w:line="460" w:lineRule="exact"/>
        <w:ind w:firstLine="541"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
          <w:color w:val="auto"/>
          <w:sz w:val="22"/>
          <w:szCs w:val="22"/>
          <w:highlight w:val="none"/>
        </w:rPr>
        <w:t>支持保存当前操作快照为预案</w:t>
      </w:r>
      <w:r>
        <w:rPr>
          <w:rFonts w:hint="eastAsia" w:ascii="新宋体" w:hAnsi="新宋体" w:eastAsia="新宋体" w:cs="新宋体"/>
          <w:bCs/>
          <w:color w:val="auto"/>
          <w:sz w:val="22"/>
          <w:szCs w:val="22"/>
          <w:highlight w:val="none"/>
        </w:rPr>
        <w:t>：在视频监控窗口选择好窗口布局，拖动需要的监控点或分组到窗口上，即可把当前操作快照保存为视频预案。</w:t>
      </w:r>
    </w:p>
    <w:p>
      <w:pPr>
        <w:spacing w:line="460" w:lineRule="exact"/>
        <w:ind w:firstLine="541"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
          <w:color w:val="auto"/>
          <w:sz w:val="22"/>
          <w:szCs w:val="22"/>
          <w:highlight w:val="none"/>
        </w:rPr>
        <w:t>支持多个预案并行</w:t>
      </w:r>
      <w:r>
        <w:rPr>
          <w:rFonts w:hint="eastAsia" w:ascii="新宋体" w:hAnsi="新宋体" w:eastAsia="新宋体" w:cs="新宋体"/>
          <w:bCs/>
          <w:color w:val="auto"/>
          <w:sz w:val="22"/>
          <w:szCs w:val="22"/>
          <w:highlight w:val="none"/>
        </w:rPr>
        <w:t>：支持同时最多同时并行执行四个预案。</w:t>
      </w:r>
    </w:p>
    <w:p>
      <w:pPr>
        <w:spacing w:line="460" w:lineRule="exact"/>
        <w:ind w:firstLine="541"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
          <w:color w:val="auto"/>
          <w:sz w:val="22"/>
          <w:szCs w:val="22"/>
          <w:highlight w:val="none"/>
        </w:rPr>
        <w:t>摄像机控制</w:t>
      </w:r>
      <w:r>
        <w:rPr>
          <w:rFonts w:hint="eastAsia" w:ascii="新宋体" w:hAnsi="新宋体" w:eastAsia="新宋体" w:cs="新宋体"/>
          <w:bCs/>
          <w:color w:val="auto"/>
          <w:sz w:val="22"/>
          <w:szCs w:val="22"/>
          <w:highlight w:val="none"/>
        </w:rPr>
        <w:t>:实现对监控摄像头的方向和焦距进行控制。在播放监控视频时，3D按钮，打开3D放大，然后在播放页面点击鼠标，球机的云台就会自动定位到所拉的画面区域，方便用户查看监控页面的各细节。</w:t>
      </w:r>
    </w:p>
    <w:p>
      <w:pPr>
        <w:spacing w:line="460" w:lineRule="exact"/>
        <w:ind w:firstLine="541"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
          <w:color w:val="auto"/>
          <w:sz w:val="22"/>
          <w:szCs w:val="22"/>
          <w:highlight w:val="none"/>
        </w:rPr>
        <w:t>电视墙控制</w:t>
      </w:r>
      <w:r>
        <w:rPr>
          <w:rFonts w:hint="eastAsia" w:ascii="新宋体" w:hAnsi="新宋体" w:eastAsia="新宋体" w:cs="新宋体"/>
          <w:bCs/>
          <w:color w:val="auto"/>
          <w:sz w:val="22"/>
          <w:szCs w:val="22"/>
          <w:highlight w:val="none"/>
        </w:rPr>
        <w:t>:管理多种解码设备，包括各种型号的嵌入式解码器、视频综合平台和解码服务器，支持解码设备和显控设备的管理以及控制，支持网络键盘。支持可视化配置大屏布局。支持大屏拼接、开窗与漫游。支持预览上墙、回放上墙、告警上墙、本地桌面上墙，并支持回显窗口同步软解；支持预览上墙云镜控制；支持回放上墙定位、速度控制等。支持配置电视墙预案，一个预案支持对多个轮巡进行管理。支持配置分组监控点轮巡，配置轮巡时间间隔，配置轮巡窗口布局，配置监控点的轮巡顺序、配置监控点主子码流等，并支持用户对轮巡执行暂停和手动翻页操作。支持指定预案自动执行的起止时间，自动切换预案。</w:t>
      </w:r>
      <w:bookmarkStart w:id="54" w:name="_Toc38464388"/>
    </w:p>
    <w:p>
      <w:pPr>
        <w:spacing w:line="460" w:lineRule="exact"/>
        <w:ind w:firstLine="541"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
          <w:color w:val="auto"/>
          <w:sz w:val="22"/>
          <w:szCs w:val="22"/>
          <w:highlight w:val="none"/>
        </w:rPr>
        <w:t>事件联动</w:t>
      </w:r>
      <w:bookmarkEnd w:id="54"/>
      <w:r>
        <w:rPr>
          <w:rFonts w:hint="eastAsia" w:ascii="新宋体" w:hAnsi="新宋体" w:eastAsia="新宋体" w:cs="新宋体"/>
          <w:bCs/>
          <w:color w:val="auto"/>
          <w:sz w:val="22"/>
          <w:szCs w:val="22"/>
          <w:highlight w:val="none"/>
        </w:rPr>
        <w:t>:事件联动是以通用安防场景为基础，为解决“物物联动”开发的业务功能，以事件为驱动，支持通过开放的规则定义实现场景化的事件应用，实现在“ 特定条件”下需要执行“特定动作”。提供事件配置、分发、上报、联动等功能。</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支持在地图上查看事件的历史报警记录；</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支持通过事件的历史报警记录，定位对应资源点在地图上的位置；</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支持地图放大、缩小、上下左右平移、全屏操作；</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支持按事件类型、事件规则名称排列显示事件报警记录；</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支持按事件等级、所在区域、所属位置、事件源、开始时间、结束时间、注释过滤历史事件；</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支持查看历史报警事件详情：查看预览、回放、图片联动，对事件添加注释；</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中心应用客户端支持在事件详情中设置是否优先显示新事件，是否事件弹窗。</w:t>
      </w:r>
    </w:p>
    <w:p>
      <w:pPr>
        <w:spacing w:line="460" w:lineRule="exact"/>
        <w:ind w:firstLine="541" w:firstLineChars="245"/>
        <w:rPr>
          <w:rFonts w:hint="eastAsia" w:ascii="新宋体" w:hAnsi="新宋体" w:eastAsia="新宋体" w:cs="新宋体"/>
          <w:bCs/>
          <w:color w:val="auto"/>
          <w:sz w:val="22"/>
          <w:szCs w:val="22"/>
          <w:highlight w:val="none"/>
        </w:rPr>
      </w:pPr>
      <w:bookmarkStart w:id="55" w:name="_Toc38464389"/>
      <w:bookmarkStart w:id="56" w:name="_Toc533712375"/>
      <w:r>
        <w:rPr>
          <w:rFonts w:hint="eastAsia" w:ascii="新宋体" w:hAnsi="新宋体" w:eastAsia="新宋体" w:cs="新宋体"/>
          <w:b/>
          <w:color w:val="auto"/>
          <w:sz w:val="22"/>
          <w:szCs w:val="22"/>
          <w:highlight w:val="none"/>
        </w:rPr>
        <w:t>平台级联</w:t>
      </w:r>
      <w:bookmarkEnd w:id="55"/>
      <w:bookmarkEnd w:id="56"/>
      <w:r>
        <w:rPr>
          <w:rFonts w:hint="eastAsia" w:ascii="新宋体" w:hAnsi="新宋体" w:eastAsia="新宋体" w:cs="新宋体"/>
          <w:b/>
          <w:color w:val="auto"/>
          <w:sz w:val="22"/>
          <w:szCs w:val="22"/>
          <w:highlight w:val="none"/>
        </w:rPr>
        <w:t>:</w:t>
      </w:r>
      <w:r>
        <w:rPr>
          <w:rFonts w:hint="eastAsia" w:ascii="新宋体" w:hAnsi="新宋体" w:eastAsia="新宋体" w:cs="新宋体"/>
          <w:bCs/>
          <w:color w:val="auto"/>
          <w:sz w:val="22"/>
          <w:szCs w:val="22"/>
          <w:highlight w:val="none"/>
        </w:rPr>
        <w:t>上级水利防汛部门或应急管理部门需要同步了解汛情、旱情、工险情等情况，通过可视化平台的级联共享机制，可实现上级部门及同级各部门可视化资源的调用，以达到可视化系统效用最大化。</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防汛抗旱可视化大联网系统由省、市、县（市、区）三级（或更多级）平台组成，各级平台整合本辖区内的水利行业视频平台和监控站等资源，接入本级水利视频监控平台。市、县（市、区）水利视频监控平台可共享给上级水利视频监控平台，接受其控制、监视、管理、调阅所辖监视前端的视频信息。</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各级水利视频监控平台接入同级其他部门视频监控平台，接受其控制、监视、管理、调阅所辖监视前端的视频信息。</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各级联网平台均须遵循国标GB/T28181-2011进行建设，在上下级平台级联时，控制信令和媒体流均为标准格式。平台之间的媒体和数据流向需要借助级联服务器/NCG联网网关实现：向本级平台中心管理服务器获取下级的资源数据、流媒体服务器向级联服务器推送媒体流、查询录像时，向存储管理服务器查询录像文件、上级操控下级云台时，向云台发送云台控制命令。</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1.7.4.4平台部署</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根据使用部门的需求，建议可在视频专网或政务网上部署该平台功能，实现雪亮工程水利部分的特殊应用。</w:t>
      </w:r>
    </w:p>
    <w:p>
      <w:pPr>
        <w:spacing w:line="460" w:lineRule="exact"/>
        <w:ind w:firstLine="541" w:firstLineChars="245"/>
        <w:outlineLvl w:val="4"/>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1.8城市管理局和执法大队视频监控子系统</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1.8.1建设内容</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为贯彻实施有关城市管理方面的法律、法规及规章，治理和维护城市管理秩序，集中行使行政处罚权，在市容环境卫生、市政管理、停车管理、园林绿化管理、环境保护管理、施工现场管理（含工程车、渣土车等管理）等全面监管管理，共建美丽城市。</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本次城管和执法部门一共77个建设点位</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1.8.2布建设计</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根据业务需求对瓯江口产业集聚区堤坝、大桥、产业园、公园、临时停车场以及目前在实施的工地等关键点部署相应的视频监控，满足城管和执法部门日常的监督管理。</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1.8.3设备选型</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参照“雪亮工程”建设要求对设备进行选型</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1.8.4设备安装</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1.8.4.1杆件安装</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控点根据现场实际情况，可采用立杆安装、抱箍安装、壁挂安装以及吊杆安装等方式。监控立杆设计需要考虑整体杆件的设计、立杆材质、杆型、焊接工艺、表面处理以及杆体颜色等。</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同一个广场、同一条道路或者同一个区域应安装同一类型杆体。在广场、十字路口、人口密集区等监控范围较大的场所宜采用6m或8m高的杆。横臂的长度不小于80cm，以减少死角范围。人行道宜采用3.5m或4m高的杆。</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采用立杆固定时，杆底端焊接固定法兰盘，预留拉线孔，地基应是硬质，同时根据小区现场安装点的地质的实际情况，调整相应的尺寸。立杆的安装应牢固，不得歪斜，需用水平仪来测定；制作要美观，其顶部应做防水帽。立杆应有较高强度，抗台风、防摄像机抖动、防攀爬、防腐。</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1.8.4.2室外机箱</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通过对运行维护需求、实际地理环境和气候、安全性、稳定性分析续建室外网络箱。箱体内部应提供前端智能管理单元、综合采集模块、防雷模块、绕纤盘、接地线、散热风扇，预留网络传输设备放置空间。根据各监控点位摄像机数量和其他接入设备要求，配置二合一防雷模块、防雷插座以及其他配套模块。</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通过分析其他配套设备的数量和尺寸后，保证箱体内部充足空间方便设备安装和维护，同时应与杆体大小协调。</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用于箱体的金属材料应具备304不锈钢材质，机箱防护等级不低于IP54，机箱表面进行白色喷涂处理，机箱正面警徽、民安工程、网络箱编号的颜色鲜艳、清晰，保证5年内雨淋、日晒不脱落、不会明显褪色。</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1.8.4.3夜间补光</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为满足夜间视频监控画质效果，在光照较差的地方考虑夜间补光，重点在路灯补光，监控点位要安排在路灯周围，没有路灯的可以做补光处理。</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路灯无法到达的地段，根据现场的安装环境的照度，合理选择补光方式。</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远程可调光、自动时控（根据日出日落时间表）。</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1.8.4.4防雷接地</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为保护摄像机不受到直接雷击而在立杆上设计安装避雷针，避雷针采用不小于φ25㎜的圆钢，并和立杆一次成型。在设备箱内我们对电源、信号线安装相应的防感应雷措施，采用二合一防雷模块。</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本方案严格执行国家的有关标准和规范，立杆防雷接地电阻≦10Ω。</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接地网布置依据地形进行设计。立杆的基础由钢筋网加混凝土构成，首先用四根Ф50毫米的钢管或50×50×5mm的角钢作为接地极，同时用镀锌扁钢把四根接地极焊接形成接地网的一部分，再把接地网与法兰盘进行焊接，钢管或角钢需经过热镀锌工艺处理，以增加抗腐性能和提高其导电性能。当土壤电阻率太高而不能满足要求时，采用垂直接地极＋减阻剂的方法使地网接地电阻符合要求。</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1.8.4.5前端供电</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系统前端设备视工程实际情况，可采用集中供电或分散式供电，重要点位应配备相应的备用电源装置。</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1.8.5应用支撑</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根据城管和执法部门的需求，在雪亮工程分平台上部署相关基础应用，如人、车识别功能，实时视频查看、录像回放、视频轮询等基础视频应用。</w:t>
      </w:r>
    </w:p>
    <w:bookmarkEnd w:id="47"/>
    <w:p>
      <w:pPr>
        <w:spacing w:line="460" w:lineRule="exact"/>
        <w:ind w:firstLine="541" w:firstLineChars="245"/>
        <w:outlineLvl w:val="3"/>
        <w:rPr>
          <w:rFonts w:hint="eastAsia" w:ascii="新宋体" w:hAnsi="新宋体" w:eastAsia="新宋体" w:cs="新宋体"/>
          <w:b/>
          <w:color w:val="auto"/>
          <w:sz w:val="22"/>
          <w:szCs w:val="22"/>
          <w:highlight w:val="none"/>
        </w:rPr>
      </w:pPr>
      <w:bookmarkStart w:id="57" w:name="_Toc38273448"/>
      <w:bookmarkStart w:id="58" w:name="_Toc490756171"/>
      <w:bookmarkStart w:id="59" w:name="_Toc510697279"/>
      <w:bookmarkStart w:id="60" w:name="_Hlk523387764"/>
      <w:bookmarkStart w:id="61" w:name="_Toc509410359"/>
      <w:bookmarkStart w:id="62" w:name="_Toc526619308"/>
      <w:r>
        <w:rPr>
          <w:rFonts w:hint="eastAsia" w:ascii="新宋体" w:hAnsi="新宋体" w:eastAsia="新宋体" w:cs="新宋体"/>
          <w:b/>
          <w:color w:val="auto"/>
          <w:sz w:val="22"/>
          <w:szCs w:val="22"/>
          <w:highlight w:val="none"/>
        </w:rPr>
        <w:t>2、社会资源联网</w:t>
      </w:r>
      <w:bookmarkEnd w:id="57"/>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对于已建社会面监控资源采取优先整合接入社会企业、学校、社区等大中型重点社会单位，再整合网吧、酒店KTV等场所图像资源，同时通过由政府相关部门(政法委、综治委、城市图像建设领导小组、公安部门等)下发社会资源整合实施规范文件来规范城市续建社会面重点单位重点部位的图像资源建设标准，为后期社会资源接入系统建设稳步顺利进行提供建设依据。</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同时依据案件数量统计，可对重要点位进行备份存储，实现对重要点位图像的有效、安全、高效利用。</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社会资源接入系统建设内容包括：</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（1）整合现有已建社会面监控视频、平台、数字硬盘录像机DVR、高清网络录像机NVR等图像资源整合；</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（2）对于无法整合的社会面重点单位重点部位社会资源图像通过改造NVR\IPcamer+社会资源接入网关来实现图像资源整合接入；</w:t>
      </w:r>
    </w:p>
    <w:p>
      <w:pPr>
        <w:spacing w:line="460" w:lineRule="exact"/>
        <w:ind w:firstLine="539" w:firstLineChars="245"/>
        <w:rPr>
          <w:rFonts w:hint="eastAsia" w:ascii="新宋体" w:hAnsi="新宋体" w:eastAsia="新宋体" w:cs="新宋体"/>
          <w:bCs/>
          <w:color w:val="auto"/>
          <w:sz w:val="22"/>
          <w:szCs w:val="22"/>
          <w:highlight w:val="none"/>
        </w:rPr>
      </w:pPr>
      <w:bookmarkStart w:id="63" w:name="_Hlk40969390"/>
      <w:r>
        <w:rPr>
          <w:rFonts w:hint="eastAsia" w:ascii="新宋体" w:hAnsi="新宋体" w:eastAsia="新宋体" w:cs="新宋体"/>
          <w:bCs/>
          <w:color w:val="auto"/>
          <w:sz w:val="22"/>
          <w:szCs w:val="22"/>
          <w:highlight w:val="none"/>
        </w:rPr>
        <w:t>（3）建设社会资源接入网络</w:t>
      </w:r>
      <w:bookmarkEnd w:id="63"/>
      <w:r>
        <w:rPr>
          <w:rFonts w:hint="eastAsia" w:ascii="新宋体" w:hAnsi="新宋体" w:eastAsia="新宋体" w:cs="新宋体"/>
          <w:bCs/>
          <w:color w:val="auto"/>
          <w:sz w:val="22"/>
          <w:szCs w:val="22"/>
          <w:highlight w:val="none"/>
        </w:rPr>
        <w:t>，实现社会面资源安全接入。</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社会资源接入方案在最大化利用既有资源的前提条件下，还需评估既有资产的综合性价比，在改造接入已建社会面图像资源时，通过部署接入网关接入主流十大品牌设备，完成70%-80%资源整合；20%-30%的非主流品牌设备，建议采用替换方式快速接入。</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本次建设：依托市公安局基础服务平台，接入瓯江口已建的社会面监控资源，需要对市局的社会视频资源接入平台进行扩容。</w:t>
      </w:r>
    </w:p>
    <w:p>
      <w:pPr>
        <w:spacing w:line="460" w:lineRule="exact"/>
        <w:ind w:firstLine="541" w:firstLineChars="245"/>
        <w:outlineLvl w:val="3"/>
        <w:rPr>
          <w:rFonts w:hint="eastAsia" w:ascii="新宋体" w:hAnsi="新宋体" w:eastAsia="新宋体" w:cs="新宋体"/>
          <w:b/>
          <w:color w:val="auto"/>
          <w:sz w:val="22"/>
          <w:szCs w:val="22"/>
          <w:highlight w:val="none"/>
        </w:rPr>
      </w:pPr>
      <w:bookmarkStart w:id="64" w:name="_Toc38273449"/>
      <w:r>
        <w:rPr>
          <w:rFonts w:hint="eastAsia" w:ascii="新宋体" w:hAnsi="新宋体" w:eastAsia="新宋体" w:cs="新宋体"/>
          <w:b/>
          <w:color w:val="auto"/>
          <w:sz w:val="22"/>
          <w:szCs w:val="22"/>
          <w:highlight w:val="none"/>
        </w:rPr>
        <w:t>3、基础设备扩容</w:t>
      </w:r>
      <w:bookmarkEnd w:id="64"/>
    </w:p>
    <w:p>
      <w:pPr>
        <w:spacing w:line="460" w:lineRule="exact"/>
        <w:ind w:firstLine="541" w:firstLineChars="245"/>
        <w:outlineLvl w:val="4"/>
        <w:rPr>
          <w:rFonts w:hint="eastAsia" w:ascii="新宋体" w:hAnsi="新宋体" w:eastAsia="新宋体" w:cs="新宋体"/>
          <w:b/>
          <w:color w:val="auto"/>
          <w:sz w:val="22"/>
          <w:szCs w:val="22"/>
          <w:highlight w:val="none"/>
        </w:rPr>
      </w:pPr>
      <w:bookmarkStart w:id="65" w:name="_Toc38273450"/>
      <w:r>
        <w:rPr>
          <w:rFonts w:hint="eastAsia" w:ascii="新宋体" w:hAnsi="新宋体" w:eastAsia="新宋体" w:cs="新宋体"/>
          <w:b/>
          <w:color w:val="auto"/>
          <w:sz w:val="22"/>
          <w:szCs w:val="22"/>
          <w:highlight w:val="none"/>
        </w:rPr>
        <w:t>3.1网络系统扩容</w:t>
      </w:r>
      <w:bookmarkEnd w:id="65"/>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网络系统建设依托市局网络架构，根据瓯江口产业集聚区实际点位建设情况，需要对市局已有网络设备进行扩容，以满足视频存储核心网络与服务器应用层网络正常运行。</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本次建设：</w:t>
      </w:r>
      <w:r>
        <w:rPr>
          <w:rFonts w:hint="eastAsia" w:ascii="新宋体" w:hAnsi="新宋体" w:eastAsia="新宋体" w:cs="新宋体"/>
          <w:b/>
          <w:color w:val="auto"/>
          <w:sz w:val="22"/>
          <w:szCs w:val="22"/>
          <w:highlight w:val="none"/>
        </w:rPr>
        <w:t>根据市局网络建设要求扩容存储核心交换机背板2块，购买2台汇聚层交换机及4台接入层交换机</w:t>
      </w:r>
      <w:r>
        <w:rPr>
          <w:rFonts w:hint="eastAsia" w:ascii="新宋体" w:hAnsi="新宋体" w:eastAsia="新宋体" w:cs="新宋体"/>
          <w:bCs/>
          <w:color w:val="auto"/>
          <w:sz w:val="22"/>
          <w:szCs w:val="22"/>
          <w:highlight w:val="none"/>
        </w:rPr>
        <w:t>。</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3.1.1视频专网核心层</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业务网核心网络做为本系统最核心的交换枢纽，用于连接视频专网、社会视频资源网、业务服务器汇聚、政务视频网、公安网，是整个系统中最核心的部分。对该部分网络要求高可靠、高性能、易扩展，同时要做好一套严格的准入和安全审计功能。</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3.1.2视频存储核心层</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根据市局网络建设要求原有的2台H3C（S10510）高性能核心交换机各扩容各1块48口万兆SFP+业务板，通过做虚拟化后做为视频专网存储核心交换机，做为视频专网前端摄像头的汇聚及存储网络的汇聚，该业务板要求具有高密万兆接入，具有更大的带宽能力，支持虚拟化和OSPF动态路由。视频存储核心交换机做为所有前端接入摄像机和存储设备的网关，用于交换区内大量的存储视频流量，有效的降低视频专网核心交换机的数据交换处理量。</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本次建设：</w:t>
      </w:r>
      <w:r>
        <w:rPr>
          <w:rFonts w:hint="eastAsia" w:ascii="新宋体" w:hAnsi="新宋体" w:eastAsia="新宋体" w:cs="新宋体"/>
          <w:b/>
          <w:color w:val="auto"/>
          <w:sz w:val="22"/>
          <w:szCs w:val="22"/>
          <w:highlight w:val="none"/>
        </w:rPr>
        <w:t>在市公安局原有的2台高性能视频存储核心交换机（H3C S10510）各扩容各1块48口万兆SFP+业务板</w:t>
      </w:r>
      <w:r>
        <w:rPr>
          <w:rFonts w:hint="eastAsia" w:ascii="新宋体" w:hAnsi="新宋体" w:eastAsia="新宋体" w:cs="新宋体"/>
          <w:bCs/>
          <w:color w:val="auto"/>
          <w:sz w:val="22"/>
          <w:szCs w:val="22"/>
          <w:highlight w:val="none"/>
        </w:rPr>
        <w:t>。</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3.1.3服务器区汇聚层</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服务器区的汇聚层交换机关键部件采用冗余设计，且具备良好的扩展性。汇聚网络节点，主要汇聚本区域接入层的交换机数据，承担着汇聚视频流查看调取及实时存储流量的转发任务。汇聚交换机应支持端口大缓存，解决实时传输海量数据突发的“浪涌”，不丢包、丢帧，保证视频监控信息查看、存储的完整性。服务器区汇聚交换机要求有较多的万兆端口，并具有良好的扩展性。每台服务器需要配置2-4个万兆上连主备交换机，根据子项目不同，需独立网段配置，本此一共15台服务器配置2台48口万兆交换机。</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本次建设：</w:t>
      </w:r>
      <w:r>
        <w:rPr>
          <w:rFonts w:hint="eastAsia" w:ascii="新宋体" w:hAnsi="新宋体" w:eastAsia="新宋体" w:cs="新宋体"/>
          <w:b/>
          <w:color w:val="auto"/>
          <w:sz w:val="22"/>
          <w:szCs w:val="22"/>
          <w:highlight w:val="none"/>
        </w:rPr>
        <w:t>在市公安局原有服务器汇聚层扩容2台48口万兆交换机</w:t>
      </w:r>
      <w:r>
        <w:rPr>
          <w:rFonts w:hint="eastAsia" w:ascii="新宋体" w:hAnsi="新宋体" w:eastAsia="新宋体" w:cs="新宋体"/>
          <w:bCs/>
          <w:color w:val="auto"/>
          <w:sz w:val="22"/>
          <w:szCs w:val="22"/>
          <w:highlight w:val="none"/>
        </w:rPr>
        <w:t>。</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3.1.4本地接入层</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本地接入层的主要作用是提供终端设备到网络的连接。 由于接入层目的是允许终端用户连接到网络，因此接入层交换机必须具有低成本和高端口密度特性。为此我们推荐采用4台48口千兆接入层作为此次项目的接入层交换机。</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本次建设：</w:t>
      </w:r>
      <w:r>
        <w:rPr>
          <w:rFonts w:hint="eastAsia" w:ascii="新宋体" w:hAnsi="新宋体" w:eastAsia="新宋体" w:cs="新宋体"/>
          <w:b/>
          <w:color w:val="auto"/>
          <w:sz w:val="22"/>
          <w:szCs w:val="22"/>
          <w:highlight w:val="none"/>
        </w:rPr>
        <w:t>在瓯江口公安业务机房扩容4台48口千兆交换机</w:t>
      </w:r>
      <w:r>
        <w:rPr>
          <w:rFonts w:hint="eastAsia" w:ascii="新宋体" w:hAnsi="新宋体" w:eastAsia="新宋体" w:cs="新宋体"/>
          <w:bCs/>
          <w:color w:val="auto"/>
          <w:sz w:val="22"/>
          <w:szCs w:val="22"/>
          <w:highlight w:val="none"/>
        </w:rPr>
        <w:t>。</w:t>
      </w:r>
    </w:p>
    <w:p>
      <w:pPr>
        <w:spacing w:line="460" w:lineRule="exact"/>
        <w:ind w:firstLine="541" w:firstLineChars="245"/>
        <w:outlineLvl w:val="4"/>
        <w:rPr>
          <w:rFonts w:hint="eastAsia" w:ascii="新宋体" w:hAnsi="新宋体" w:eastAsia="新宋体" w:cs="新宋体"/>
          <w:b/>
          <w:color w:val="auto"/>
          <w:sz w:val="22"/>
          <w:szCs w:val="22"/>
          <w:highlight w:val="none"/>
        </w:rPr>
      </w:pPr>
      <w:bookmarkStart w:id="66" w:name="_Toc38273451"/>
      <w:r>
        <w:rPr>
          <w:rFonts w:hint="eastAsia" w:ascii="新宋体" w:hAnsi="新宋体" w:eastAsia="新宋体" w:cs="新宋体"/>
          <w:b/>
          <w:color w:val="auto"/>
          <w:sz w:val="22"/>
          <w:szCs w:val="22"/>
          <w:highlight w:val="none"/>
        </w:rPr>
        <w:t>3.2安全扩容</w:t>
      </w:r>
      <w:bookmarkEnd w:id="66"/>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瓯江口雪亮工程建设整体依托市级雪亮工程的基础上，对本区需要的安全设备进行扩容。</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3.2.1防火墙系统</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在监控报警联网系统中，建议应用”防火墙”技术，通过对网络作拓扑结构和服务类型上的隔离来加强网络安全。建立过滤规则和其它安策略。由于需要处理实时视频数据流，应该采用高性能的硬件防火墙，直接在硬件设备中处理访问策略和加密算法，在千兆位传输速率下，仍能提供多项功能，包括:封包分析、分类、加密、解密、网络地址翻译）及会话配对等。要求防火墙整机吞吐量10Gbps以上。</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3.2.1.1防火墙布署区域</w:t>
      </w:r>
    </w:p>
    <w:p>
      <w:pPr>
        <w:numPr>
          <w:ilvl w:val="0"/>
          <w:numId w:val="5"/>
        </w:numPr>
        <w:spacing w:line="460" w:lineRule="exact"/>
        <w:ind w:firstLine="22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业务核心防火墙：使用防火墙通过万兆光纤连接核心交换区域；</w:t>
      </w:r>
    </w:p>
    <w:p>
      <w:pPr>
        <w:numPr>
          <w:ilvl w:val="0"/>
          <w:numId w:val="5"/>
        </w:numPr>
        <w:spacing w:line="460" w:lineRule="exact"/>
        <w:ind w:firstLine="22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社会资源出口防火墙： </w:t>
      </w:r>
    </w:p>
    <w:p>
      <w:pPr>
        <w:numPr>
          <w:ilvl w:val="0"/>
          <w:numId w:val="5"/>
        </w:numPr>
        <w:spacing w:line="460" w:lineRule="exact"/>
        <w:ind w:firstLine="22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外单位接入防火墙：部署在外单位接入汇聚与视频专网核心之间，采用透明模式；</w:t>
      </w:r>
    </w:p>
    <w:p>
      <w:pPr>
        <w:numPr>
          <w:ilvl w:val="0"/>
          <w:numId w:val="5"/>
        </w:numPr>
        <w:spacing w:line="460" w:lineRule="exact"/>
        <w:ind w:firstLine="22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应用连接设备防火墙：使用防火墙对视频专网与其他应用（公交车、物联网等）接入提供边界防护和访问控制；</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3.2.1.2防火墙系统策略设计</w:t>
      </w:r>
    </w:p>
    <w:p>
      <w:pPr>
        <w:numPr>
          <w:ilvl w:val="0"/>
          <w:numId w:val="5"/>
        </w:numPr>
        <w:spacing w:line="460" w:lineRule="exact"/>
        <w:ind w:firstLine="22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允许上级单位、下属单位（授权）和其他经授权的用户通过该防火墙外部接口，以HTTP/HTTPS的方式访问对外服务区域的服务器；</w:t>
      </w:r>
    </w:p>
    <w:p>
      <w:pPr>
        <w:numPr>
          <w:ilvl w:val="0"/>
          <w:numId w:val="5"/>
        </w:numPr>
        <w:spacing w:line="460" w:lineRule="exact"/>
        <w:ind w:firstLine="22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允许视频共享平台管理终端通过该防火墙的外部接口访问对外服务区域的所有服务器和安全管理区域的所有服务器；</w:t>
      </w:r>
    </w:p>
    <w:p>
      <w:pPr>
        <w:numPr>
          <w:ilvl w:val="0"/>
          <w:numId w:val="5"/>
        </w:numPr>
        <w:spacing w:line="460" w:lineRule="exact"/>
        <w:ind w:firstLine="22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允许安全管理区域的网络杀毒系统和终端安全管理系统，通过该防火墙与对外服务区域的所有服务器所有终端进行双向访问，升级病毒库或下发策略； </w:t>
      </w:r>
    </w:p>
    <w:p>
      <w:pPr>
        <w:numPr>
          <w:ilvl w:val="0"/>
          <w:numId w:val="5"/>
        </w:numPr>
        <w:spacing w:line="460" w:lineRule="exact"/>
        <w:ind w:firstLine="22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其他访问均被禁止。</w:t>
      </w:r>
    </w:p>
    <w:p>
      <w:pPr>
        <w:numPr>
          <w:ilvl w:val="0"/>
          <w:numId w:val="5"/>
        </w:numPr>
        <w:spacing w:line="460" w:lineRule="exact"/>
        <w:ind w:firstLine="22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此外，部署的防火墙还应配置以下的安全策略：</w:t>
      </w:r>
    </w:p>
    <w:p>
      <w:pPr>
        <w:numPr>
          <w:ilvl w:val="0"/>
          <w:numId w:val="5"/>
        </w:numPr>
        <w:spacing w:line="460" w:lineRule="exact"/>
        <w:ind w:firstLine="22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会话监控策略：在防火墙配置会话监控策略，当会话处于非活跃一定时间或会话结束后，防火墙自动将会话丢弃，访问来源必须重续建立会话才能继续访问资源；</w:t>
      </w:r>
    </w:p>
    <w:p>
      <w:pPr>
        <w:numPr>
          <w:ilvl w:val="0"/>
          <w:numId w:val="5"/>
        </w:numPr>
        <w:spacing w:line="460" w:lineRule="exact"/>
        <w:ind w:firstLine="22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会话限制策略：对于对外服务器区域边界，从维护系统可用性的角度必须限制会话数，来保障服务的有效性，防火墙可对保护的业务服务器采取会话限制策略，当业务服务器接受的连接数接近或达到阀值时，防火墙自动阻断其他的访问连接请求，避免服务器接到过多的访问而崩溃；</w:t>
      </w:r>
    </w:p>
    <w:p>
      <w:pPr>
        <w:numPr>
          <w:ilvl w:val="0"/>
          <w:numId w:val="5"/>
        </w:numPr>
        <w:spacing w:line="460" w:lineRule="exact"/>
        <w:ind w:firstLine="22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身份认证策略：配置防火墙用户认证功能，对保护的应用系统可采取身份认证的方式（包括用户名/口令方式、S/KEY方式等），实现基于用户的访问控制；此外，防火墙还能够和第三方认证技术结合起来（包括RADIUS、TACAS+、AD、数字证书），实现网络层面的身份认证，进一步提升系统的安全性，同时也满足3级系统对网络访问控制的要求；</w:t>
      </w:r>
    </w:p>
    <w:p>
      <w:pPr>
        <w:numPr>
          <w:ilvl w:val="0"/>
          <w:numId w:val="5"/>
        </w:numPr>
        <w:spacing w:line="460" w:lineRule="exact"/>
        <w:ind w:firstLine="22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日志审计策略：防火墙详细记录了转发的访问数据包，可提供给网络管理人员进行分析。这里应当将防火墙记录日志统一导入到集中的日志管理服务器；</w:t>
      </w:r>
    </w:p>
    <w:p>
      <w:pPr>
        <w:numPr>
          <w:ilvl w:val="0"/>
          <w:numId w:val="5"/>
        </w:numPr>
        <w:spacing w:line="460" w:lineRule="exact"/>
        <w:ind w:firstLine="22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管理员身份认证策略：修改当前防火墙的配置，启用证书认证方式，以满足网络设备对双因素身份认证的需求。</w:t>
      </w:r>
    </w:p>
    <w:p>
      <w:pPr>
        <w:spacing w:line="460" w:lineRule="exact"/>
        <w:ind w:firstLine="539" w:firstLineChars="245"/>
        <w:rPr>
          <w:rFonts w:ascii="新宋体" w:hAnsi="新宋体" w:eastAsia="新宋体" w:cs="新宋体"/>
          <w:b/>
          <w:color w:val="auto"/>
          <w:sz w:val="22"/>
          <w:szCs w:val="22"/>
          <w:highlight w:val="none"/>
        </w:rPr>
      </w:pPr>
      <w:r>
        <w:rPr>
          <w:rFonts w:hint="eastAsia" w:ascii="新宋体" w:hAnsi="新宋体" w:eastAsia="新宋体" w:cs="新宋体"/>
          <w:bCs/>
          <w:color w:val="auto"/>
          <w:sz w:val="22"/>
          <w:szCs w:val="22"/>
          <w:highlight w:val="none"/>
        </w:rPr>
        <w:t>本次建设：</w:t>
      </w:r>
      <w:r>
        <w:rPr>
          <w:rFonts w:hint="eastAsia" w:ascii="新宋体" w:hAnsi="新宋体" w:eastAsia="新宋体" w:cs="新宋体"/>
          <w:b/>
          <w:color w:val="auto"/>
          <w:sz w:val="22"/>
          <w:szCs w:val="22"/>
          <w:highlight w:val="none"/>
        </w:rPr>
        <w:t>购置1台防火墙</w:t>
      </w:r>
    </w:p>
    <w:p>
      <w:pPr>
        <w:spacing w:line="460" w:lineRule="exact"/>
        <w:ind w:firstLine="541" w:firstLineChars="245"/>
        <w:outlineLvl w:val="5"/>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3</w:t>
      </w:r>
      <w:r>
        <w:rPr>
          <w:rFonts w:ascii="新宋体" w:hAnsi="新宋体" w:eastAsia="新宋体" w:cs="新宋体"/>
          <w:b/>
          <w:color w:val="auto"/>
          <w:sz w:val="22"/>
          <w:szCs w:val="22"/>
          <w:highlight w:val="none"/>
        </w:rPr>
        <w:t>.2.2</w:t>
      </w:r>
      <w:r>
        <w:rPr>
          <w:rFonts w:hint="eastAsia" w:ascii="新宋体" w:hAnsi="新宋体" w:eastAsia="新宋体" w:cs="新宋体"/>
          <w:b/>
          <w:color w:val="auto"/>
          <w:sz w:val="22"/>
          <w:szCs w:val="22"/>
          <w:highlight w:val="none"/>
        </w:rPr>
        <w:t>边界网闸</w:t>
      </w:r>
    </w:p>
    <w:p>
      <w:pPr>
        <w:spacing w:line="460" w:lineRule="exact"/>
        <w:ind w:firstLine="539" w:firstLineChars="245"/>
        <w:rPr>
          <w:rFonts w:ascii="新宋体" w:hAnsi="新宋体" w:eastAsia="新宋体" w:cs="新宋体"/>
          <w:bCs/>
          <w:color w:val="auto"/>
          <w:sz w:val="22"/>
          <w:szCs w:val="22"/>
          <w:highlight w:val="none"/>
        </w:rPr>
      </w:pPr>
      <w:r>
        <w:rPr>
          <w:rFonts w:ascii="新宋体" w:hAnsi="新宋体" w:eastAsia="新宋体" w:cs="新宋体"/>
          <w:bCs/>
          <w:color w:val="auto"/>
          <w:sz w:val="22"/>
          <w:szCs w:val="22"/>
          <w:highlight w:val="none"/>
        </w:rPr>
        <w:t>网闸是使用带有多种控制功能的</w:t>
      </w:r>
      <w:r>
        <w:rPr>
          <w:rFonts w:ascii="新宋体" w:hAnsi="新宋体" w:eastAsia="新宋体" w:cs="新宋体"/>
          <w:bCs/>
          <w:color w:val="auto"/>
          <w:sz w:val="22"/>
          <w:szCs w:val="22"/>
          <w:highlight w:val="none"/>
        </w:rPr>
        <w:fldChar w:fldCharType="begin"/>
      </w:r>
      <w:r>
        <w:rPr>
          <w:rFonts w:ascii="新宋体" w:hAnsi="新宋体" w:eastAsia="新宋体" w:cs="新宋体"/>
          <w:bCs/>
          <w:color w:val="auto"/>
          <w:sz w:val="22"/>
          <w:szCs w:val="22"/>
          <w:highlight w:val="none"/>
        </w:rPr>
        <w:instrText xml:space="preserve"> HYPERLINK "https://baike.baidu.com/item/%E5%9B%BA%E6%80%81%E5%BC%80%E5%85%B3/10625555" \t "_blank" </w:instrText>
      </w:r>
      <w:r>
        <w:rPr>
          <w:rFonts w:ascii="新宋体" w:hAnsi="新宋体" w:eastAsia="新宋体" w:cs="新宋体"/>
          <w:bCs/>
          <w:color w:val="auto"/>
          <w:sz w:val="22"/>
          <w:szCs w:val="22"/>
          <w:highlight w:val="none"/>
        </w:rPr>
        <w:fldChar w:fldCharType="separate"/>
      </w:r>
      <w:r>
        <w:rPr>
          <w:rFonts w:ascii="新宋体" w:hAnsi="新宋体" w:eastAsia="新宋体" w:cs="新宋体"/>
          <w:bCs/>
          <w:color w:val="auto"/>
          <w:sz w:val="22"/>
          <w:szCs w:val="22"/>
          <w:highlight w:val="none"/>
        </w:rPr>
        <w:t>固态开关</w:t>
      </w:r>
      <w:r>
        <w:rPr>
          <w:rFonts w:ascii="新宋体" w:hAnsi="新宋体" w:eastAsia="新宋体" w:cs="新宋体"/>
          <w:bCs/>
          <w:color w:val="auto"/>
          <w:sz w:val="22"/>
          <w:szCs w:val="22"/>
          <w:highlight w:val="none"/>
        </w:rPr>
        <w:fldChar w:fldCharType="end"/>
      </w:r>
      <w:r>
        <w:rPr>
          <w:rFonts w:ascii="新宋体" w:hAnsi="新宋体" w:eastAsia="新宋体" w:cs="新宋体"/>
          <w:bCs/>
          <w:color w:val="auto"/>
          <w:sz w:val="22"/>
          <w:szCs w:val="22"/>
          <w:highlight w:val="none"/>
        </w:rPr>
        <w:t>读写介质，连接两个独立主机系统的信息安全设备。由于两个独立的主机系统通过网闸进行隔离，使系统间不存在通信的物理连接、逻辑连接及信息传输协议，不存在依据协议进行的信息交换，而只有以数据文件形式进行的无协议摆渡。因此，网闸从逻辑上隔离、阻断了对内网具有潜在攻击可能的一切网络连接，使外部攻击者无法直接入侵、攻击或破坏内网，保障了内部主机的安全。</w:t>
      </w:r>
    </w:p>
    <w:p>
      <w:pPr>
        <w:spacing w:line="460" w:lineRule="exact"/>
        <w:ind w:firstLine="539"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Cs/>
          <w:color w:val="auto"/>
          <w:sz w:val="22"/>
          <w:szCs w:val="22"/>
          <w:highlight w:val="none"/>
        </w:rPr>
        <w:t>本次建设：</w:t>
      </w:r>
      <w:r>
        <w:rPr>
          <w:rFonts w:hint="eastAsia" w:ascii="新宋体" w:hAnsi="新宋体" w:eastAsia="新宋体" w:cs="新宋体"/>
          <w:b/>
          <w:color w:val="auto"/>
          <w:sz w:val="22"/>
          <w:szCs w:val="22"/>
          <w:highlight w:val="none"/>
        </w:rPr>
        <w:t>购置1台5</w:t>
      </w:r>
      <w:r>
        <w:rPr>
          <w:rFonts w:ascii="新宋体" w:hAnsi="新宋体" w:eastAsia="新宋体" w:cs="新宋体"/>
          <w:b/>
          <w:color w:val="auto"/>
          <w:sz w:val="22"/>
          <w:szCs w:val="22"/>
          <w:highlight w:val="none"/>
        </w:rPr>
        <w:t>00</w:t>
      </w:r>
      <w:r>
        <w:rPr>
          <w:rFonts w:hint="eastAsia" w:ascii="新宋体" w:hAnsi="新宋体" w:eastAsia="新宋体" w:cs="新宋体"/>
          <w:b/>
          <w:color w:val="auto"/>
          <w:sz w:val="22"/>
          <w:szCs w:val="22"/>
          <w:highlight w:val="none"/>
        </w:rPr>
        <w:t>路边界网闸</w:t>
      </w:r>
    </w:p>
    <w:p>
      <w:pPr>
        <w:spacing w:line="460" w:lineRule="exact"/>
        <w:ind w:firstLine="541" w:firstLineChars="245"/>
        <w:outlineLvl w:val="4"/>
        <w:rPr>
          <w:rFonts w:hint="eastAsia" w:ascii="新宋体" w:hAnsi="新宋体" w:eastAsia="新宋体" w:cs="新宋体"/>
          <w:b/>
          <w:color w:val="auto"/>
          <w:sz w:val="22"/>
          <w:szCs w:val="22"/>
          <w:highlight w:val="none"/>
        </w:rPr>
      </w:pPr>
      <w:bookmarkStart w:id="67" w:name="_Toc31942"/>
      <w:bookmarkStart w:id="68" w:name="_Toc38273452"/>
      <w:r>
        <w:rPr>
          <w:rFonts w:hint="eastAsia" w:ascii="新宋体" w:hAnsi="新宋体" w:eastAsia="新宋体" w:cs="新宋体"/>
          <w:b/>
          <w:color w:val="auto"/>
          <w:sz w:val="22"/>
          <w:szCs w:val="22"/>
          <w:highlight w:val="none"/>
        </w:rPr>
        <w:t>3.3服务器</w:t>
      </w:r>
      <w:bookmarkEnd w:id="67"/>
      <w:r>
        <w:rPr>
          <w:rFonts w:hint="eastAsia" w:ascii="新宋体" w:hAnsi="新宋体" w:eastAsia="新宋体" w:cs="新宋体"/>
          <w:b/>
          <w:color w:val="auto"/>
          <w:sz w:val="22"/>
          <w:szCs w:val="22"/>
          <w:highlight w:val="none"/>
        </w:rPr>
        <w:t>扩容</w:t>
      </w:r>
      <w:bookmarkEnd w:id="68"/>
    </w:p>
    <w:p>
      <w:pPr>
        <w:spacing w:line="460" w:lineRule="exact"/>
        <w:ind w:firstLine="541" w:firstLineChars="245"/>
        <w:outlineLvl w:val="5"/>
        <w:rPr>
          <w:rFonts w:hint="eastAsia" w:ascii="新宋体" w:hAnsi="新宋体" w:eastAsia="新宋体" w:cs="新宋体"/>
          <w:b/>
          <w:color w:val="auto"/>
          <w:sz w:val="22"/>
          <w:szCs w:val="22"/>
          <w:highlight w:val="none"/>
        </w:rPr>
      </w:pPr>
      <w:bookmarkStart w:id="69" w:name="_Toc14791"/>
      <w:r>
        <w:rPr>
          <w:rFonts w:hint="eastAsia" w:ascii="新宋体" w:hAnsi="新宋体" w:eastAsia="新宋体" w:cs="新宋体"/>
          <w:b/>
          <w:color w:val="auto"/>
          <w:sz w:val="22"/>
          <w:szCs w:val="22"/>
          <w:highlight w:val="none"/>
        </w:rPr>
        <w:t>3.3.1服务器</w:t>
      </w:r>
      <w:bookmarkEnd w:id="69"/>
      <w:r>
        <w:rPr>
          <w:rFonts w:hint="eastAsia" w:ascii="新宋体" w:hAnsi="新宋体" w:eastAsia="新宋体" w:cs="新宋体"/>
          <w:b/>
          <w:color w:val="auto"/>
          <w:sz w:val="22"/>
          <w:szCs w:val="22"/>
          <w:highlight w:val="none"/>
        </w:rPr>
        <w:t>集群扩容</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为满足瓯江口“雪亮工程”应用建设，根据市局服务器集群建设要求，对市局支撑服务器集群进行扩容，主要用于视频专网端基础服务平台扩容支撑以及公安内网端公安分平台业务支撑。</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本次建设：</w:t>
      </w:r>
      <w:r>
        <w:rPr>
          <w:rFonts w:hint="eastAsia" w:ascii="新宋体" w:hAnsi="新宋体" w:eastAsia="新宋体" w:cs="新宋体"/>
          <w:b/>
          <w:color w:val="auto"/>
          <w:sz w:val="22"/>
          <w:szCs w:val="22"/>
          <w:highlight w:val="none"/>
        </w:rPr>
        <w:t>基础服务平台以及双网双平台业务支撑需要扩容15台服务器，以及公安内网业务支撑3台服务器。</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3.3.2视频存储</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（1）视频存储扩容</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前端视频监控的录像存储，根据前端设备进行计算部署，依托市“雪亮工程”存储节点，对瓯江口的视频存储进行扩容。</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市“雪亮工程”高清存储磁盘阵列配置：</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U36盘位磁盘阵列；288路*2Mb并发录像,图片存储支持400路写入；100路下载；单设备配置64位多核处理器；12GB缓存；冗余电源；支持SATA硬盘；2个千兆网口；1个系统SSD盘；支持视音频、图片、直接写入，支持视频高速预览、回放、下载，支持云内容灾备份，支持一体化运维，支持GB/T28181-2011、Onvif、RTSP、H265、SVAC等标准视频协议。</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（2）图片存储扩容</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信息数据量的分析与预测需要依据瓯江口现状及规划，信息数据主要包含两</w:t>
      </w:r>
      <w:bookmarkStart w:id="70" w:name="_Toc24570"/>
      <w:bookmarkStart w:id="71" w:name="_Toc24253"/>
      <w:bookmarkStart w:id="72" w:name="_Toc12272"/>
      <w:r>
        <w:rPr>
          <w:rFonts w:hint="eastAsia" w:ascii="新宋体" w:hAnsi="新宋体" w:eastAsia="新宋体" w:cs="新宋体"/>
          <w:bCs/>
          <w:color w:val="auto"/>
          <w:sz w:val="22"/>
          <w:szCs w:val="22"/>
          <w:highlight w:val="none"/>
        </w:rPr>
        <w:t>人脸、车辆等图片的存储，瓯江口同样依托市“雪亮工程”存储节点扩容瓯江口的图片存储。</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市“雪亮工程”图片存储池配置：</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4U48盘位机架式存储，直流交流电源可选；</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2个万兆光口；</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对象存储架构，支持视频、图片混合直存 ，支持视频智能结构化数据存储；</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数据离散，并发读写，支持视频秒级检索及回放，视频、图片极速下载；</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云节点负载均衡、故障切换，解决单节点性能瓶颈问题及单节点故障问题，保证业务连续性；</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N＋M纠删码和多副本技术，实现节点间数据保护；</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冗余电源，风扇，电池，支持磁盘、电源、风扇、电池的热插拔和在线更换；</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PCI-E3.0、SAS3.0总线技术；</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支持PCIe插槽、支持千兆GE接口卡和万兆10GE接口卡；支持网络端口链路聚合、负载均衡；</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IP冲突告警、网口降速、电源故障、风扇故障、电池电量不足、电池故障等告警；</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数据保险箱（掉电数据永久保护）、支持硬件过载保护机制；</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支持图形化管理，环境信息监控，性能监控,提供对应的二次开发接口。</w:t>
      </w:r>
    </w:p>
    <w:bookmarkEnd w:id="70"/>
    <w:bookmarkEnd w:id="71"/>
    <w:bookmarkEnd w:id="72"/>
    <w:p>
      <w:pPr>
        <w:spacing w:line="460" w:lineRule="exact"/>
        <w:ind w:firstLine="541" w:firstLineChars="245"/>
        <w:outlineLvl w:val="3"/>
        <w:rPr>
          <w:rFonts w:hint="eastAsia" w:ascii="新宋体" w:hAnsi="新宋体" w:eastAsia="新宋体" w:cs="新宋体"/>
          <w:b/>
          <w:color w:val="auto"/>
          <w:sz w:val="22"/>
          <w:szCs w:val="22"/>
          <w:highlight w:val="none"/>
        </w:rPr>
      </w:pPr>
      <w:bookmarkStart w:id="73" w:name="_Toc38273453"/>
      <w:r>
        <w:rPr>
          <w:rFonts w:hint="eastAsia" w:ascii="新宋体" w:hAnsi="新宋体" w:eastAsia="新宋体" w:cs="新宋体"/>
          <w:b/>
          <w:color w:val="auto"/>
          <w:sz w:val="22"/>
          <w:szCs w:val="22"/>
          <w:highlight w:val="none"/>
        </w:rPr>
        <w:t>4、基础平台扩容</w:t>
      </w:r>
      <w:bookmarkEnd w:id="73"/>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雪亮工程“一总两分”、社会视频整合、高清卡口、高清人脸、视频大数据融合应用等基础平台，依托市局已有的基础平台，并在基础平台的基础上，按照瓯江口产业集聚区前端建设数量，根据市局平台建设要求，对市局已有平台进行扩容。</w:t>
      </w:r>
    </w:p>
    <w:p>
      <w:pPr>
        <w:spacing w:line="460" w:lineRule="exact"/>
        <w:ind w:firstLine="539"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Cs/>
          <w:color w:val="auto"/>
          <w:sz w:val="22"/>
          <w:szCs w:val="22"/>
          <w:highlight w:val="none"/>
        </w:rPr>
        <w:t>本次建设：</w:t>
      </w:r>
      <w:bookmarkStart w:id="74" w:name="_Hlk28004184"/>
      <w:r>
        <w:rPr>
          <w:rFonts w:hint="eastAsia" w:ascii="新宋体" w:hAnsi="新宋体" w:eastAsia="新宋体" w:cs="新宋体"/>
          <w:b/>
          <w:color w:val="auto"/>
          <w:sz w:val="22"/>
          <w:szCs w:val="22"/>
          <w:highlight w:val="none"/>
        </w:rPr>
        <w:t>根据市公安局相关平台建设要求，对雪亮工程“一总两分”、车辆、人脸应用服务进行扩容。</w:t>
      </w:r>
      <w:bookmarkEnd w:id="74"/>
    </w:p>
    <w:p>
      <w:pPr>
        <w:spacing w:line="460" w:lineRule="exact"/>
        <w:ind w:firstLine="541" w:firstLineChars="245"/>
        <w:outlineLvl w:val="4"/>
        <w:rPr>
          <w:rFonts w:hint="eastAsia" w:ascii="新宋体" w:hAnsi="新宋体" w:eastAsia="新宋体" w:cs="新宋体"/>
          <w:b/>
          <w:color w:val="auto"/>
          <w:sz w:val="22"/>
          <w:szCs w:val="22"/>
          <w:highlight w:val="none"/>
        </w:rPr>
      </w:pPr>
      <w:bookmarkStart w:id="75" w:name="_Toc38273454"/>
      <w:r>
        <w:rPr>
          <w:rFonts w:hint="eastAsia" w:ascii="新宋体" w:hAnsi="新宋体" w:eastAsia="新宋体" w:cs="新宋体"/>
          <w:b/>
          <w:color w:val="auto"/>
          <w:sz w:val="22"/>
          <w:szCs w:val="22"/>
          <w:highlight w:val="none"/>
        </w:rPr>
        <w:t>4.1车辆二次识别系统扩容</w:t>
      </w:r>
      <w:bookmarkEnd w:id="75"/>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4.1.1系统功能</w:t>
      </w:r>
      <w:bookmarkStart w:id="76" w:name="_Toc480204120"/>
      <w:bookmarkStart w:id="77" w:name="_Toc32115"/>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（1）车牌号码及颜色识别</w:t>
      </w:r>
      <w:bookmarkEnd w:id="76"/>
      <w:bookmarkEnd w:id="77"/>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可提取车辆号牌号码、号牌颜色（可识别黄、白、黑、蓝、绿、新能源渐变绿、新能源黄绿双拼色七种颜色车牌），可判断车辆有无号牌等；</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（2）号牌类别识别</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可识别大型汽车前号牌、大型汽车后号牌、大型汽车-挂车号牌、小型汽车号牌、教练车号牌、警用车号牌（限定“警”）；澳门本地汽车号牌（单行）、澳门本地汽车号牌（双行）；</w:t>
      </w:r>
    </w:p>
    <w:p>
      <w:pPr>
        <w:spacing w:line="460" w:lineRule="exact"/>
        <w:ind w:firstLine="539" w:firstLineChars="245"/>
        <w:rPr>
          <w:rFonts w:hint="eastAsia" w:ascii="新宋体" w:hAnsi="新宋体" w:eastAsia="新宋体" w:cs="新宋体"/>
          <w:bCs/>
          <w:color w:val="auto"/>
          <w:sz w:val="22"/>
          <w:szCs w:val="22"/>
          <w:highlight w:val="none"/>
        </w:rPr>
      </w:pPr>
      <w:bookmarkStart w:id="78" w:name="_Toc480204121"/>
      <w:bookmarkStart w:id="79" w:name="_Toc32529"/>
      <w:bookmarkStart w:id="80" w:name="_Toc4175"/>
      <w:r>
        <w:rPr>
          <w:rFonts w:hint="eastAsia" w:ascii="新宋体" w:hAnsi="新宋体" w:eastAsia="新宋体" w:cs="新宋体"/>
          <w:bCs/>
          <w:color w:val="auto"/>
          <w:sz w:val="22"/>
          <w:szCs w:val="22"/>
          <w:highlight w:val="none"/>
        </w:rPr>
        <w:t>（3）车身颜色识别</w:t>
      </w:r>
      <w:bookmarkEnd w:id="78"/>
      <w:bookmarkEnd w:id="79"/>
      <w:bookmarkEnd w:id="80"/>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可自动识别抓拍图片中车辆的车身颜色，可识别13种车身颜色：红、黄、绿、蓝、紫、粉、棕、银、橙、金、白、灰及黑。</w:t>
      </w:r>
    </w:p>
    <w:p>
      <w:pPr>
        <w:spacing w:line="460" w:lineRule="exact"/>
        <w:ind w:firstLine="539" w:firstLineChars="245"/>
        <w:rPr>
          <w:rFonts w:hint="eastAsia" w:ascii="新宋体" w:hAnsi="新宋体" w:eastAsia="新宋体" w:cs="新宋体"/>
          <w:bCs/>
          <w:color w:val="auto"/>
          <w:sz w:val="22"/>
          <w:szCs w:val="22"/>
          <w:highlight w:val="none"/>
        </w:rPr>
      </w:pPr>
      <w:bookmarkStart w:id="81" w:name="_Toc480204122"/>
      <w:bookmarkStart w:id="82" w:name="_Toc25383"/>
      <w:r>
        <w:rPr>
          <w:rFonts w:hint="eastAsia" w:ascii="新宋体" w:hAnsi="新宋体" w:eastAsia="新宋体" w:cs="新宋体"/>
          <w:bCs/>
          <w:color w:val="auto"/>
          <w:sz w:val="22"/>
          <w:szCs w:val="22"/>
          <w:highlight w:val="none"/>
        </w:rPr>
        <w:t>（4）车型识别</w:t>
      </w:r>
      <w:bookmarkEnd w:id="81"/>
      <w:bookmarkEnd w:id="82"/>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车型信息识别支持精确到车辆的品牌、型号及年款，具备对车辆头部、尾部照片进行识别，在白天光照正常、夜间补光正常、车辆特征人眼可辨识的条件下，可通过车头照片识别5000多种车型，可通过车尾照片识别3000多种车型。</w:t>
      </w:r>
    </w:p>
    <w:p>
      <w:pPr>
        <w:spacing w:line="460" w:lineRule="exact"/>
        <w:ind w:firstLine="539" w:firstLineChars="245"/>
        <w:rPr>
          <w:rFonts w:hint="eastAsia" w:ascii="新宋体" w:hAnsi="新宋体" w:eastAsia="新宋体" w:cs="新宋体"/>
          <w:bCs/>
          <w:color w:val="auto"/>
          <w:sz w:val="22"/>
          <w:szCs w:val="22"/>
          <w:highlight w:val="none"/>
        </w:rPr>
      </w:pPr>
      <w:bookmarkStart w:id="83" w:name="_Toc2047"/>
      <w:bookmarkStart w:id="84" w:name="_Toc22810"/>
      <w:bookmarkStart w:id="85" w:name="_Toc480204123"/>
      <w:r>
        <w:rPr>
          <w:rFonts w:hint="eastAsia" w:ascii="新宋体" w:hAnsi="新宋体" w:eastAsia="新宋体" w:cs="新宋体"/>
          <w:bCs/>
          <w:color w:val="auto"/>
          <w:sz w:val="22"/>
          <w:szCs w:val="22"/>
          <w:highlight w:val="none"/>
        </w:rPr>
        <w:t>（5）车辆类别识别</w:t>
      </w:r>
      <w:bookmarkEnd w:id="83"/>
      <w:bookmarkEnd w:id="84"/>
      <w:bookmarkEnd w:id="85"/>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可自动识别出抓拍车辆图片中车辆的类型，可识别10种车辆类型：轿车、越野车、商务车、面包车、皮卡车、小型货车、大型货车、中小型客车、大型客车、非机动车。</w:t>
      </w:r>
    </w:p>
    <w:p>
      <w:pPr>
        <w:spacing w:line="460" w:lineRule="exact"/>
        <w:ind w:firstLine="539" w:firstLineChars="245"/>
        <w:rPr>
          <w:rFonts w:hint="eastAsia" w:ascii="新宋体" w:hAnsi="新宋体" w:eastAsia="新宋体" w:cs="新宋体"/>
          <w:bCs/>
          <w:color w:val="auto"/>
          <w:sz w:val="22"/>
          <w:szCs w:val="22"/>
          <w:highlight w:val="none"/>
        </w:rPr>
      </w:pPr>
      <w:bookmarkStart w:id="86" w:name="_Toc21115"/>
      <w:bookmarkStart w:id="87" w:name="_Toc480204124"/>
      <w:bookmarkStart w:id="88" w:name="_Toc16989"/>
      <w:r>
        <w:rPr>
          <w:rFonts w:hint="eastAsia" w:ascii="新宋体" w:hAnsi="新宋体" w:eastAsia="新宋体" w:cs="新宋体"/>
          <w:bCs/>
          <w:color w:val="auto"/>
          <w:sz w:val="22"/>
          <w:szCs w:val="22"/>
          <w:highlight w:val="none"/>
        </w:rPr>
        <w:t>（6）车辆局部特征</w:t>
      </w:r>
      <w:bookmarkEnd w:id="86"/>
      <w:r>
        <w:rPr>
          <w:rFonts w:hint="eastAsia" w:ascii="新宋体" w:hAnsi="新宋体" w:eastAsia="新宋体" w:cs="新宋体"/>
          <w:bCs/>
          <w:color w:val="auto"/>
          <w:sz w:val="22"/>
          <w:szCs w:val="22"/>
          <w:highlight w:val="none"/>
        </w:rPr>
        <w:t>识别</w:t>
      </w:r>
      <w:bookmarkEnd w:id="87"/>
      <w:bookmarkEnd w:id="88"/>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可自动识别出抓拍车辆图片中的车辆年检标志、纸巾盒、挂坠、摆件、天窗、行李架、备胎、车身喷字共计8种局部车辆特征。</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4.1.2车辆信息查询与研判</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可实现车辆查询、分析研判等实战功能。同时依托分布式数据库和大数据平台实现快速业务应用。</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该平台主要包含以下功能模块：智能搜车服务、大数据研判、车辆监管、实时预警、数据可视化、车辆超级档案等功能。</w:t>
      </w:r>
      <w:bookmarkStart w:id="89" w:name="_Toc471894918"/>
      <w:bookmarkEnd w:id="89"/>
      <w:bookmarkStart w:id="90" w:name="_Toc471896511"/>
      <w:bookmarkEnd w:id="90"/>
      <w:bookmarkStart w:id="91" w:name="_Toc471895345"/>
      <w:bookmarkEnd w:id="91"/>
      <w:bookmarkStart w:id="92" w:name="_Toc471896367"/>
      <w:bookmarkEnd w:id="92"/>
      <w:bookmarkStart w:id="93" w:name="_Toc471828110"/>
      <w:bookmarkEnd w:id="93"/>
      <w:bookmarkStart w:id="94" w:name="_Toc471896797"/>
      <w:bookmarkEnd w:id="94"/>
      <w:bookmarkStart w:id="95" w:name="_Toc471896226"/>
      <w:bookmarkEnd w:id="95"/>
      <w:bookmarkStart w:id="96" w:name="_Toc3734"/>
      <w:bookmarkEnd w:id="96"/>
      <w:bookmarkStart w:id="97" w:name="_Toc480204126"/>
      <w:bookmarkStart w:id="98" w:name="_Toc27247"/>
    </w:p>
    <w:p>
      <w:pPr>
        <w:spacing w:line="460" w:lineRule="exact"/>
        <w:ind w:firstLine="539" w:firstLineChars="245"/>
        <w:rPr>
          <w:rFonts w:hint="eastAsia" w:ascii="新宋体" w:hAnsi="新宋体" w:eastAsia="新宋体" w:cs="新宋体"/>
          <w:bCs/>
          <w:color w:val="auto"/>
          <w:sz w:val="22"/>
          <w:szCs w:val="22"/>
          <w:highlight w:val="none"/>
        </w:rPr>
      </w:pPr>
      <w:bookmarkStart w:id="99" w:name="_Toc30004"/>
      <w:r>
        <w:rPr>
          <w:rFonts w:hint="eastAsia" w:ascii="新宋体" w:hAnsi="新宋体" w:eastAsia="新宋体" w:cs="新宋体"/>
          <w:bCs/>
          <w:color w:val="auto"/>
          <w:sz w:val="22"/>
          <w:szCs w:val="22"/>
          <w:highlight w:val="none"/>
        </w:rPr>
        <w:t>（1）搜车服务</w:t>
      </w:r>
      <w:bookmarkEnd w:id="97"/>
      <w:bookmarkEnd w:id="98"/>
      <w:bookmarkEnd w:id="99"/>
      <w:bookmarkStart w:id="100" w:name="_Toc4460"/>
      <w:bookmarkStart w:id="101" w:name="_Toc480204127"/>
      <w:bookmarkStart w:id="102" w:name="_Toc31733"/>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①按车型搜车</w:t>
      </w:r>
      <w:bookmarkEnd w:id="100"/>
      <w:bookmarkEnd w:id="101"/>
      <w:bookmarkEnd w:id="102"/>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选择输入车辆的品牌、型号、年款、行驶方向、车身颜色、车牌颜色、时间段、行驶区域等信息，系统即可检索出满足条件的所有车辆。</w:t>
      </w:r>
    </w:p>
    <w:p>
      <w:pPr>
        <w:spacing w:line="460" w:lineRule="exact"/>
        <w:ind w:firstLine="539" w:firstLineChars="245"/>
        <w:rPr>
          <w:rFonts w:hint="eastAsia" w:ascii="新宋体" w:hAnsi="新宋体" w:eastAsia="新宋体" w:cs="新宋体"/>
          <w:bCs/>
          <w:color w:val="auto"/>
          <w:sz w:val="22"/>
          <w:szCs w:val="22"/>
          <w:highlight w:val="none"/>
        </w:rPr>
      </w:pPr>
      <w:bookmarkStart w:id="103" w:name="_Toc14602"/>
      <w:bookmarkStart w:id="104" w:name="_Toc480204128"/>
      <w:bookmarkStart w:id="105" w:name="_Toc25682"/>
      <w:r>
        <w:rPr>
          <w:rFonts w:hint="eastAsia" w:ascii="新宋体" w:hAnsi="新宋体" w:eastAsia="新宋体" w:cs="新宋体"/>
          <w:bCs/>
          <w:color w:val="auto"/>
          <w:sz w:val="22"/>
          <w:szCs w:val="22"/>
          <w:highlight w:val="none"/>
        </w:rPr>
        <w:t>②按类别搜车</w:t>
      </w:r>
      <w:bookmarkEnd w:id="103"/>
      <w:bookmarkEnd w:id="104"/>
      <w:bookmarkEnd w:id="105"/>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选择输入车辆的类别、品牌、颜色、时间段等信息，系统即可检索出满足条件的所有车辆。</w:t>
      </w:r>
    </w:p>
    <w:p>
      <w:pPr>
        <w:spacing w:line="460" w:lineRule="exact"/>
        <w:ind w:firstLine="539" w:firstLineChars="245"/>
        <w:rPr>
          <w:rFonts w:hint="eastAsia" w:ascii="新宋体" w:hAnsi="新宋体" w:eastAsia="新宋体" w:cs="新宋体"/>
          <w:bCs/>
          <w:color w:val="auto"/>
          <w:sz w:val="22"/>
          <w:szCs w:val="22"/>
          <w:highlight w:val="none"/>
        </w:rPr>
      </w:pPr>
      <w:bookmarkStart w:id="106" w:name="_Toc480204129"/>
      <w:bookmarkStart w:id="107" w:name="_Toc21220"/>
      <w:bookmarkStart w:id="108" w:name="_Toc29533"/>
      <w:bookmarkStart w:id="109" w:name="_Toc23515"/>
      <w:bookmarkStart w:id="110" w:name="_Toc480204133"/>
      <w:r>
        <w:rPr>
          <w:rFonts w:hint="eastAsia" w:ascii="新宋体" w:hAnsi="新宋体" w:eastAsia="新宋体" w:cs="新宋体"/>
          <w:bCs/>
          <w:color w:val="auto"/>
          <w:sz w:val="22"/>
          <w:szCs w:val="22"/>
          <w:highlight w:val="none"/>
        </w:rPr>
        <w:t>③按车牌搜车</w:t>
      </w:r>
      <w:bookmarkEnd w:id="106"/>
      <w:bookmarkEnd w:id="107"/>
      <w:bookmarkEnd w:id="108"/>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按车牌搜车提供精确查询与模糊查询、有无车牌等搜索方式。精确查询是指获悉车辆的真实、具体车牌号，根据车牌号精准定位目标车辆；当车牌号有部分字段难以辨认时即可通过模糊查询方式进行检索；当不知道车牌时，可以选择无车牌查询。</w:t>
      </w:r>
    </w:p>
    <w:p>
      <w:pPr>
        <w:spacing w:line="460" w:lineRule="exact"/>
        <w:ind w:firstLine="539" w:firstLineChars="245"/>
        <w:rPr>
          <w:rFonts w:hint="eastAsia" w:ascii="新宋体" w:hAnsi="新宋体" w:eastAsia="新宋体" w:cs="新宋体"/>
          <w:bCs/>
          <w:color w:val="auto"/>
          <w:sz w:val="22"/>
          <w:szCs w:val="22"/>
          <w:highlight w:val="none"/>
        </w:rPr>
      </w:pPr>
      <w:bookmarkStart w:id="111" w:name="_Toc32146"/>
      <w:bookmarkStart w:id="112" w:name="_Toc21729"/>
      <w:bookmarkStart w:id="113" w:name="_Toc480204130"/>
      <w:r>
        <w:rPr>
          <w:rFonts w:hint="eastAsia" w:ascii="新宋体" w:hAnsi="新宋体" w:eastAsia="新宋体" w:cs="新宋体"/>
          <w:bCs/>
          <w:color w:val="auto"/>
          <w:sz w:val="22"/>
          <w:szCs w:val="22"/>
          <w:highlight w:val="none"/>
        </w:rPr>
        <w:t>④同车型搜车</w:t>
      </w:r>
      <w:bookmarkEnd w:id="111"/>
      <w:bookmarkEnd w:id="112"/>
      <w:bookmarkEnd w:id="113"/>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一键上传过车图片后，系统自动识别图片中信息，并与车型库做匹配，搜索在某个范围内与上传图片相同车型的过车记录。</w:t>
      </w:r>
    </w:p>
    <w:p>
      <w:pPr>
        <w:spacing w:line="460" w:lineRule="exact"/>
        <w:ind w:firstLine="539" w:firstLineChars="245"/>
        <w:rPr>
          <w:rFonts w:hint="eastAsia" w:ascii="新宋体" w:hAnsi="新宋体" w:eastAsia="新宋体" w:cs="新宋体"/>
          <w:bCs/>
          <w:color w:val="auto"/>
          <w:sz w:val="22"/>
          <w:szCs w:val="22"/>
          <w:highlight w:val="none"/>
        </w:rPr>
      </w:pPr>
      <w:bookmarkStart w:id="114" w:name="_Toc1284"/>
      <w:bookmarkStart w:id="115" w:name="_Toc480204132"/>
      <w:bookmarkStart w:id="116" w:name="_Toc7900"/>
      <w:r>
        <w:rPr>
          <w:rFonts w:hint="eastAsia" w:ascii="新宋体" w:hAnsi="新宋体" w:eastAsia="新宋体" w:cs="新宋体"/>
          <w:bCs/>
          <w:color w:val="auto"/>
          <w:sz w:val="22"/>
          <w:szCs w:val="22"/>
          <w:highlight w:val="none"/>
        </w:rPr>
        <w:t>⑤以图搜车</w:t>
      </w:r>
      <w:bookmarkEnd w:id="114"/>
      <w:bookmarkEnd w:id="115"/>
      <w:bookmarkEnd w:id="116"/>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通过上传待查询车头/车尾图片后，系统自动快速提取车辆信息特征，并搜索范围内与上传图片车辆信息相似的所有过车图片。</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⑥模糊特征搜车</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通过快速检索车辆信息特征，在过车信息中查找出与车辆特征相似的车辆，并可进行数据导出，深入分析。主要包括按车头特征和按车尾特征搜车。通过车辆特征参考图和特征条件选择模块进行选项对应，帮助用户更直观的定位车辆，精确搜索范围和提高搜索速度。</w:t>
      </w:r>
    </w:p>
    <w:p>
      <w:pPr>
        <w:spacing w:line="460" w:lineRule="exact"/>
        <w:ind w:firstLine="539" w:firstLineChars="245"/>
        <w:rPr>
          <w:rFonts w:hint="eastAsia" w:ascii="新宋体" w:hAnsi="新宋体" w:eastAsia="新宋体" w:cs="新宋体"/>
          <w:bCs/>
          <w:color w:val="auto"/>
          <w:sz w:val="22"/>
          <w:szCs w:val="22"/>
          <w:highlight w:val="none"/>
        </w:rPr>
      </w:pPr>
      <w:bookmarkStart w:id="117" w:name="_Toc6888"/>
      <w:r>
        <w:rPr>
          <w:rFonts w:hint="eastAsia" w:ascii="新宋体" w:hAnsi="新宋体" w:eastAsia="新宋体" w:cs="新宋体"/>
          <w:bCs/>
          <w:color w:val="auto"/>
          <w:sz w:val="22"/>
          <w:szCs w:val="22"/>
          <w:highlight w:val="none"/>
        </w:rPr>
        <w:t>（2）数据研判服务</w:t>
      </w:r>
      <w:bookmarkEnd w:id="117"/>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将大数据技术、公安实战经验与犯罪心理学、犯罪行为学等理论相结合，从海量驳杂无序的数据中，筛选出符合犯罪行为模型的异常行为和特征主体。可在线索极度缺乏的情况下，利用大数据分析对案件进行智能挖掘，找到案件侦破的关键信息和嫌疑对象，快速侦破案件。</w:t>
      </w:r>
    </w:p>
    <w:p>
      <w:pPr>
        <w:spacing w:line="460" w:lineRule="exact"/>
        <w:ind w:firstLine="539" w:firstLineChars="245"/>
        <w:rPr>
          <w:rFonts w:hint="eastAsia" w:ascii="新宋体" w:hAnsi="新宋体" w:eastAsia="新宋体" w:cs="新宋体"/>
          <w:bCs/>
          <w:color w:val="auto"/>
          <w:sz w:val="22"/>
          <w:szCs w:val="22"/>
          <w:highlight w:val="none"/>
        </w:rPr>
      </w:pPr>
      <w:bookmarkStart w:id="118" w:name="_Toc10620"/>
      <w:bookmarkStart w:id="119" w:name="_Toc480204134"/>
      <w:r>
        <w:rPr>
          <w:rFonts w:hint="eastAsia" w:ascii="新宋体" w:hAnsi="新宋体" w:eastAsia="新宋体" w:cs="新宋体"/>
          <w:bCs/>
          <w:color w:val="auto"/>
          <w:sz w:val="22"/>
          <w:szCs w:val="22"/>
          <w:highlight w:val="none"/>
        </w:rPr>
        <w:t>①初次入城</w:t>
      </w:r>
      <w:bookmarkEnd w:id="118"/>
      <w:bookmarkEnd w:id="119"/>
      <w:bookmarkStart w:id="120" w:name="_Toc16630"/>
      <w:bookmarkEnd w:id="120"/>
      <w:bookmarkStart w:id="121" w:name="_Toc471896542"/>
      <w:bookmarkEnd w:id="121"/>
      <w:bookmarkStart w:id="122" w:name="_Toc471896398"/>
      <w:bookmarkEnd w:id="122"/>
      <w:bookmarkStart w:id="123" w:name="_Toc471828143"/>
      <w:bookmarkEnd w:id="123"/>
      <w:bookmarkStart w:id="124" w:name="_Toc2985"/>
      <w:bookmarkEnd w:id="124"/>
      <w:bookmarkStart w:id="125" w:name="_Toc1701"/>
      <w:bookmarkEnd w:id="125"/>
      <w:bookmarkStart w:id="126" w:name="_Toc471896257"/>
      <w:bookmarkEnd w:id="126"/>
      <w:bookmarkStart w:id="127" w:name="_Toc471896828"/>
      <w:bookmarkEnd w:id="127"/>
      <w:bookmarkStart w:id="128" w:name="_Toc471894949"/>
      <w:bookmarkEnd w:id="128"/>
      <w:bookmarkStart w:id="129" w:name="_Toc471895376"/>
      <w:bookmarkEnd w:id="129"/>
      <w:bookmarkStart w:id="130" w:name="_Toc16302"/>
      <w:bookmarkEnd w:id="130"/>
      <w:bookmarkStart w:id="131" w:name="_Toc230"/>
    </w:p>
    <w:p>
      <w:pPr>
        <w:spacing w:line="460" w:lineRule="exact"/>
        <w:ind w:firstLine="539" w:firstLineChars="245"/>
        <w:rPr>
          <w:rFonts w:hint="eastAsia" w:ascii="新宋体" w:hAnsi="新宋体" w:eastAsia="新宋体" w:cs="新宋体"/>
          <w:bCs/>
          <w:color w:val="auto"/>
          <w:sz w:val="22"/>
          <w:szCs w:val="22"/>
          <w:highlight w:val="none"/>
        </w:rPr>
      </w:pPr>
      <w:bookmarkStart w:id="132" w:name="_Toc471895377"/>
      <w:bookmarkEnd w:id="132"/>
      <w:bookmarkStart w:id="133" w:name="_Toc28638"/>
      <w:bookmarkEnd w:id="133"/>
      <w:bookmarkStart w:id="134" w:name="_Toc6410"/>
      <w:bookmarkEnd w:id="134"/>
      <w:bookmarkStart w:id="135" w:name="_Toc471896543"/>
      <w:bookmarkEnd w:id="135"/>
      <w:bookmarkStart w:id="136" w:name="_Toc471896829"/>
      <w:bookmarkEnd w:id="136"/>
      <w:bookmarkStart w:id="137" w:name="_Toc26081"/>
      <w:bookmarkEnd w:id="137"/>
      <w:bookmarkStart w:id="138" w:name="_Toc471894950"/>
      <w:bookmarkEnd w:id="138"/>
      <w:bookmarkStart w:id="139" w:name="_Toc471896258"/>
      <w:bookmarkEnd w:id="139"/>
      <w:bookmarkStart w:id="140" w:name="_Toc471896399"/>
      <w:bookmarkEnd w:id="140"/>
      <w:bookmarkStart w:id="141" w:name="_Toc471828144"/>
      <w:bookmarkEnd w:id="141"/>
      <w:bookmarkStart w:id="142" w:name="_Toc23749"/>
      <w:bookmarkEnd w:id="142"/>
      <w:r>
        <w:rPr>
          <w:rFonts w:hint="eastAsia" w:ascii="新宋体" w:hAnsi="新宋体" w:eastAsia="新宋体" w:cs="新宋体"/>
          <w:bCs/>
          <w:color w:val="auto"/>
          <w:sz w:val="22"/>
          <w:szCs w:val="22"/>
          <w:highlight w:val="none"/>
        </w:rPr>
        <w:t>针对流窜作案，筛选出首次入城的车辆。初次入城指在过去X天内第一次进入选定的区域、且第一次进入选定区域的时间在设定的入城时段内的车辆信息。</w:t>
      </w:r>
    </w:p>
    <w:bookmarkEnd w:id="131"/>
    <w:p>
      <w:pPr>
        <w:spacing w:line="460" w:lineRule="exact"/>
        <w:ind w:firstLine="539" w:firstLineChars="245"/>
        <w:rPr>
          <w:rFonts w:hint="eastAsia" w:ascii="新宋体" w:hAnsi="新宋体" w:eastAsia="新宋体" w:cs="新宋体"/>
          <w:bCs/>
          <w:color w:val="auto"/>
          <w:sz w:val="22"/>
          <w:szCs w:val="22"/>
          <w:highlight w:val="none"/>
        </w:rPr>
      </w:pPr>
      <w:bookmarkStart w:id="143" w:name="_Toc26195"/>
      <w:bookmarkStart w:id="144" w:name="_Toc480204136"/>
      <w:bookmarkStart w:id="145" w:name="_Toc18267"/>
      <w:r>
        <w:rPr>
          <w:rFonts w:hint="eastAsia" w:ascii="新宋体" w:hAnsi="新宋体" w:eastAsia="新宋体" w:cs="新宋体"/>
          <w:bCs/>
          <w:color w:val="auto"/>
          <w:sz w:val="22"/>
          <w:szCs w:val="22"/>
          <w:highlight w:val="none"/>
        </w:rPr>
        <w:t>②落脚点分析</w:t>
      </w:r>
      <w:bookmarkEnd w:id="143"/>
      <w:bookmarkEnd w:id="144"/>
      <w:bookmarkEnd w:id="145"/>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用于找出车辆的落脚位置，或者长时间停留位置。根据车牌号分析该车在一定时间和地点范围内可能的停驻信息。</w:t>
      </w:r>
    </w:p>
    <w:p>
      <w:pPr>
        <w:spacing w:line="460" w:lineRule="exact"/>
        <w:ind w:firstLine="539" w:firstLineChars="245"/>
        <w:rPr>
          <w:rFonts w:hint="eastAsia" w:ascii="新宋体" w:hAnsi="新宋体" w:eastAsia="新宋体" w:cs="新宋体"/>
          <w:bCs/>
          <w:color w:val="auto"/>
          <w:sz w:val="22"/>
          <w:szCs w:val="22"/>
          <w:highlight w:val="none"/>
        </w:rPr>
      </w:pPr>
      <w:bookmarkStart w:id="146" w:name="_Toc30671"/>
      <w:bookmarkStart w:id="147" w:name="_Toc9237"/>
      <w:bookmarkStart w:id="148" w:name="_Toc480204137"/>
      <w:r>
        <w:rPr>
          <w:rFonts w:hint="eastAsia" w:ascii="新宋体" w:hAnsi="新宋体" w:eastAsia="新宋体" w:cs="新宋体"/>
          <w:bCs/>
          <w:color w:val="auto"/>
          <w:sz w:val="22"/>
          <w:szCs w:val="22"/>
          <w:highlight w:val="none"/>
        </w:rPr>
        <w:t>③轨迹重现</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用于发现、掌控、验证某车辆是否有异常行为。轨迹重现功能对车辆在某时段内的过车数据进行智能汇总分析，快速计算绘制行车轨迹，并对异常行车轨迹进行标识预警。</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④同行车辆</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针对团伙作案、尾随作案，筛选出同行、尾随车辆，从而确认同伙、嫌疑人身份。同行车辆可指定被尾随车辆的车牌号码，搜索出符合限定条件的尾随车辆。</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⑤遮挡面部检测</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主要用于查询驾驶人员面部不清晰，故意拉下遮阳板遮挡面部等异常行为。</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⑥相似车牌串并</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相似车牌串并功能可快速锁定使用车贴或其他方式将车牌中部分字符进行篡改的异常行为，在交通管理、公安刑事侦查与社会治安维护等工作中均具有重要的实战意义。</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相似车牌串指定已知车牌号，在一定时间、地点范围内，搜索与该车牌相差1或2位的车辆。</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⑦频繁过车</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针对的是团伙作案、尾随作案，筛选出同行、尾随车辆，从而确认同伙、嫌疑人身份，可快速排查有涉案嫌疑的频繁过车行为；通过对案发区域周边的过车数据进行分析，可以快速锁定在该区域频繁活动疑似踩点的车辆，获得破案线索。用于检索在指定时间段多次出现在指定区域的车辆。</w:t>
      </w:r>
    </w:p>
    <w:bookmarkEnd w:id="146"/>
    <w:bookmarkEnd w:id="147"/>
    <w:bookmarkEnd w:id="148"/>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⑧套牌车筛选</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针对伪造、变造号牌及违法改装车辆外观的情况。支持将系统所识别的车款与该号牌在车管登记信息库中登记的车辆相比较，确认是否为套牌车。</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检索条件：过车时段、地区范围、车辆型号、车牌号码，并支持排除特定车牌。</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检索结果：可显示数据总量、搜索用时，按照车牌、车型、抓拍位置分组，显示满足条件的过车图片、前端设备识别车牌、二次识别车牌、车型、过车时间、卡口位置，另外可使用更多研判功能（落脚点分析、轨迹重现、同行车辆、遮挡面部、相似车牌、加入布控）、快速链接及快速导出功能。</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⑨假牌车筛选</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针对伪造、变造号牌的情况。支持将系统所识别的车款与该号牌在车管登记信息库中登记的车牌号相比较，判断车辆牌号是否在库中有记录来确认是否为假牌车。</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检索条件：过车时段、地区范围、车辆型号、车牌号码，并支持排除特定车牌。</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检索结果：可显示数据总量、搜索用时，按照车牌、车型、抓拍位置分组，显示满足条件的过车图片、前端设备识别车牌、二次识别车牌、车型、过车时间、卡口位置，另外可使用更多研判功能（落脚点分析、轨迹重现、同行车辆、遮挡面部、相似车牌、加入布控）、查看一车一档、纠错信息、快速链接及快速导出功能。</w:t>
      </w:r>
    </w:p>
    <w:p>
      <w:pPr>
        <w:spacing w:line="460" w:lineRule="exact"/>
        <w:ind w:firstLine="541" w:firstLineChars="245"/>
        <w:outlineLvl w:val="5"/>
        <w:rPr>
          <w:rFonts w:hint="eastAsia" w:ascii="新宋体" w:hAnsi="新宋体" w:eastAsia="新宋体" w:cs="新宋体"/>
          <w:b/>
          <w:color w:val="auto"/>
          <w:sz w:val="22"/>
          <w:szCs w:val="22"/>
          <w:highlight w:val="none"/>
        </w:rPr>
      </w:pPr>
      <w:bookmarkStart w:id="149" w:name="_Toc8210"/>
      <w:bookmarkStart w:id="150" w:name="_Toc17579"/>
      <w:bookmarkStart w:id="151" w:name="_Toc27068"/>
      <w:bookmarkStart w:id="152" w:name="_Toc480204135"/>
      <w:r>
        <w:rPr>
          <w:rFonts w:hint="eastAsia" w:ascii="新宋体" w:hAnsi="新宋体" w:eastAsia="新宋体" w:cs="新宋体"/>
          <w:b/>
          <w:color w:val="auto"/>
          <w:sz w:val="22"/>
          <w:szCs w:val="22"/>
          <w:highlight w:val="none"/>
        </w:rPr>
        <w:t>4.1.3预警服务</w:t>
      </w:r>
      <w:bookmarkEnd w:id="149"/>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(1)按精确车牌预警</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精确车牌布控功能可对数个精确车牌进行预警，提交布控后，当卡口抓拍到这些车辆，系统便立即对用户发送系统通知或短信通知的功能。</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(2)按模糊车牌预警通知</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在自定义布控的时限、区域内，对多个车牌模糊预警。</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(3)按车型预警通知</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在自定义布控的时限、区域内，按品牌、型号、年款等车型信息进行预警通知。</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(4)按类别预警通知</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主要用于解决大货车违章入城，大客车夜间违章行驶等交通管理难题。</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在自定义布控的时限、区域内，按车辆类别及细化品牌进行预警通知。</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(5)预警管理</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通过流程化的步骤实现对需要预警信息多角度管理。针对拥有预警审批权限的用户可对提交预警的项目进行审批。</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(6)告警台</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告警台用于展示预警单的告警信息，只有预警单的接收人才能接收预警告警信息。显示实时、历史告警信息。</w:t>
      </w:r>
    </w:p>
    <w:bookmarkEnd w:id="109"/>
    <w:bookmarkEnd w:id="110"/>
    <w:bookmarkEnd w:id="150"/>
    <w:bookmarkEnd w:id="151"/>
    <w:bookmarkEnd w:id="152"/>
    <w:p>
      <w:pPr>
        <w:spacing w:line="460" w:lineRule="exact"/>
        <w:ind w:firstLine="541" w:firstLineChars="245"/>
        <w:outlineLvl w:val="5"/>
        <w:rPr>
          <w:rFonts w:hint="eastAsia" w:ascii="新宋体" w:hAnsi="新宋体" w:eastAsia="新宋体" w:cs="新宋体"/>
          <w:b/>
          <w:color w:val="auto"/>
          <w:sz w:val="22"/>
          <w:szCs w:val="22"/>
          <w:highlight w:val="none"/>
        </w:rPr>
      </w:pPr>
      <w:bookmarkStart w:id="153" w:name="_Toc21174"/>
      <w:bookmarkStart w:id="154" w:name="_Toc494532048"/>
      <w:bookmarkStart w:id="155" w:name="_Toc495319403"/>
      <w:r>
        <w:rPr>
          <w:rFonts w:hint="eastAsia" w:ascii="新宋体" w:hAnsi="新宋体" w:eastAsia="新宋体" w:cs="新宋体"/>
          <w:b/>
          <w:color w:val="auto"/>
          <w:sz w:val="22"/>
          <w:szCs w:val="22"/>
          <w:highlight w:val="none"/>
        </w:rPr>
        <w:t>4.1.4系统管理</w:t>
      </w:r>
      <w:bookmarkEnd w:id="153"/>
      <w:bookmarkEnd w:id="154"/>
      <w:bookmarkEnd w:id="155"/>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后台管理系统具有：用户管理、卡口电警点位管理、操作日志、白名单管理、布控手机号设置等功能。</w:t>
      </w:r>
    </w:p>
    <w:p>
      <w:pPr>
        <w:spacing w:line="460" w:lineRule="exact"/>
        <w:ind w:firstLine="539" w:firstLineChars="245"/>
        <w:rPr>
          <w:rFonts w:hint="eastAsia" w:ascii="新宋体" w:hAnsi="新宋体" w:eastAsia="新宋体" w:cs="新宋体"/>
          <w:bCs/>
          <w:color w:val="auto"/>
          <w:sz w:val="22"/>
          <w:szCs w:val="22"/>
          <w:highlight w:val="none"/>
        </w:rPr>
      </w:pPr>
      <w:bookmarkStart w:id="156" w:name="_Toc494532049"/>
      <w:bookmarkStart w:id="157" w:name="_Toc17810"/>
      <w:bookmarkStart w:id="158" w:name="_Toc495319404"/>
      <w:r>
        <w:rPr>
          <w:rFonts w:hint="eastAsia" w:ascii="新宋体" w:hAnsi="新宋体" w:eastAsia="新宋体" w:cs="新宋体"/>
          <w:bCs/>
          <w:color w:val="auto"/>
          <w:sz w:val="22"/>
          <w:szCs w:val="22"/>
          <w:highlight w:val="none"/>
        </w:rPr>
        <w:t>(1)用户管理</w:t>
      </w:r>
      <w:bookmarkEnd w:id="156"/>
      <w:bookmarkEnd w:id="157"/>
      <w:bookmarkEnd w:id="158"/>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对用户添加、部门管理、权限设置、信息修改、删除、查询、批量导入用户等操作功能。</w:t>
      </w:r>
    </w:p>
    <w:p>
      <w:pPr>
        <w:spacing w:line="460" w:lineRule="exact"/>
        <w:ind w:firstLine="539" w:firstLineChars="245"/>
        <w:rPr>
          <w:rFonts w:hint="eastAsia" w:ascii="新宋体" w:hAnsi="新宋体" w:eastAsia="新宋体" w:cs="新宋体"/>
          <w:bCs/>
          <w:color w:val="auto"/>
          <w:sz w:val="22"/>
          <w:szCs w:val="22"/>
          <w:highlight w:val="none"/>
        </w:rPr>
      </w:pPr>
      <w:bookmarkStart w:id="159" w:name="_Toc494532050"/>
      <w:bookmarkStart w:id="160" w:name="_Toc495319405"/>
      <w:bookmarkStart w:id="161" w:name="_Toc6420"/>
      <w:r>
        <w:rPr>
          <w:rFonts w:hint="eastAsia" w:ascii="新宋体" w:hAnsi="新宋体" w:eastAsia="新宋体" w:cs="新宋体"/>
          <w:bCs/>
          <w:color w:val="auto"/>
          <w:sz w:val="22"/>
          <w:szCs w:val="22"/>
          <w:highlight w:val="none"/>
        </w:rPr>
        <w:t>(2)卡口电警点位管理</w:t>
      </w:r>
      <w:bookmarkEnd w:id="159"/>
      <w:bookmarkEnd w:id="160"/>
      <w:bookmarkEnd w:id="161"/>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对口卡口电警点位添加、修改、删除、查询、单个点位添加、批量位置修改、批量导入点位等操作。</w:t>
      </w:r>
    </w:p>
    <w:p>
      <w:pPr>
        <w:spacing w:line="460" w:lineRule="exact"/>
        <w:ind w:firstLine="539" w:firstLineChars="245"/>
        <w:rPr>
          <w:rFonts w:hint="eastAsia" w:ascii="新宋体" w:hAnsi="新宋体" w:eastAsia="新宋体" w:cs="新宋体"/>
          <w:bCs/>
          <w:color w:val="auto"/>
          <w:sz w:val="22"/>
          <w:szCs w:val="22"/>
          <w:highlight w:val="none"/>
        </w:rPr>
      </w:pPr>
      <w:bookmarkStart w:id="162" w:name="_Toc495319406"/>
      <w:bookmarkStart w:id="163" w:name="_Toc494532051"/>
      <w:bookmarkStart w:id="164" w:name="_Toc29946"/>
      <w:r>
        <w:rPr>
          <w:rFonts w:hint="eastAsia" w:ascii="新宋体" w:hAnsi="新宋体" w:eastAsia="新宋体" w:cs="新宋体"/>
          <w:bCs/>
          <w:color w:val="auto"/>
          <w:sz w:val="22"/>
          <w:szCs w:val="22"/>
          <w:highlight w:val="none"/>
        </w:rPr>
        <w:t>(3)操作日志</w:t>
      </w:r>
      <w:bookmarkEnd w:id="162"/>
      <w:bookmarkEnd w:id="163"/>
      <w:bookmarkEnd w:id="164"/>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查看日志界面显示日志的序号、账号、姓名、模块、部门、登录系统的IP地址、操作时间，并可以通过时间段、操作者账号、登录IP条件查询。</w:t>
      </w:r>
    </w:p>
    <w:p>
      <w:pPr>
        <w:spacing w:line="460" w:lineRule="exact"/>
        <w:ind w:firstLine="539" w:firstLineChars="245"/>
        <w:rPr>
          <w:rFonts w:hint="eastAsia" w:ascii="新宋体" w:hAnsi="新宋体" w:eastAsia="新宋体" w:cs="新宋体"/>
          <w:bCs/>
          <w:color w:val="auto"/>
          <w:sz w:val="22"/>
          <w:szCs w:val="22"/>
          <w:highlight w:val="none"/>
        </w:rPr>
      </w:pPr>
      <w:bookmarkStart w:id="165" w:name="_Toc494532053"/>
      <w:bookmarkStart w:id="166" w:name="_Toc3575"/>
      <w:bookmarkStart w:id="167" w:name="_Toc495319408"/>
      <w:r>
        <w:rPr>
          <w:rFonts w:hint="eastAsia" w:ascii="新宋体" w:hAnsi="新宋体" w:eastAsia="新宋体" w:cs="新宋体"/>
          <w:bCs/>
          <w:color w:val="auto"/>
          <w:sz w:val="22"/>
          <w:szCs w:val="22"/>
          <w:highlight w:val="none"/>
        </w:rPr>
        <w:t>(4)系统提示</w:t>
      </w:r>
      <w:bookmarkEnd w:id="165"/>
      <w:bookmarkEnd w:id="166"/>
      <w:bookmarkEnd w:id="167"/>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该模块可作为系统内部的一个信息发送端，用户通过该模块可以将编辑后的文字信息或图片信息共享到系统登录用户。</w:t>
      </w:r>
    </w:p>
    <w:p>
      <w:pPr>
        <w:spacing w:line="460" w:lineRule="exact"/>
        <w:ind w:firstLine="541" w:firstLineChars="245"/>
        <w:outlineLvl w:val="4"/>
        <w:rPr>
          <w:rFonts w:hint="eastAsia" w:ascii="新宋体" w:hAnsi="新宋体" w:eastAsia="新宋体" w:cs="新宋体"/>
          <w:b/>
          <w:color w:val="auto"/>
          <w:sz w:val="22"/>
          <w:szCs w:val="22"/>
          <w:highlight w:val="none"/>
        </w:rPr>
      </w:pPr>
      <w:bookmarkStart w:id="168" w:name="_Toc38273455"/>
      <w:r>
        <w:rPr>
          <w:rFonts w:hint="eastAsia" w:ascii="新宋体" w:hAnsi="新宋体" w:eastAsia="新宋体" w:cs="新宋体"/>
          <w:b/>
          <w:color w:val="auto"/>
          <w:sz w:val="22"/>
          <w:szCs w:val="22"/>
          <w:highlight w:val="none"/>
        </w:rPr>
        <w:t>4.2人脸识别系统扩容</w:t>
      </w:r>
      <w:bookmarkEnd w:id="168"/>
    </w:p>
    <w:p>
      <w:pPr>
        <w:rPr>
          <w:color w:val="auto"/>
          <w:highlight w:val="none"/>
        </w:rPr>
      </w:pPr>
      <w:r>
        <w:rPr>
          <w:rFonts w:hint="eastAsia" w:ascii="仿宋" w:hAnsi="仿宋" w:eastAsia="仿宋" w:cs="仿宋"/>
          <w:color w:val="auto"/>
          <w:highlight w:val="none"/>
        </w:rPr>
        <w:drawing>
          <wp:inline distT="0" distB="0" distL="114300" distR="114300">
            <wp:extent cx="5262880" cy="2233930"/>
            <wp:effectExtent l="0" t="0" r="13970" b="13970"/>
            <wp:docPr id="7" name="图片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96"/>
                    <pic:cNvPicPr>
                      <a:picLocks noChangeAspect="1"/>
                    </pic:cNvPicPr>
                  </pic:nvPicPr>
                  <pic:blipFill>
                    <a:blip r:embed="rId13"/>
                    <a:stretch>
                      <a:fillRect/>
                    </a:stretch>
                  </pic:blipFill>
                  <pic:spPr>
                    <a:xfrm>
                      <a:off x="0" y="0"/>
                      <a:ext cx="5262880" cy="2233930"/>
                    </a:xfrm>
                    <a:prstGeom prst="rect">
                      <a:avLst/>
                    </a:prstGeom>
                    <a:noFill/>
                    <a:ln>
                      <a:noFill/>
                    </a:ln>
                  </pic:spPr>
                </pic:pic>
              </a:graphicData>
            </a:graphic>
          </wp:inline>
        </w:drawing>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4.2.1人脸结构化</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人脸图片解析</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支持对图片中的人脸进行特征识别、建模、比对预警。</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人脸特征识别</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支持性别、年龄段、是否戴眼镜等人脸特征的识别。</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人脸建模</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对人脸图片中的目标人脸进行建模，便于后期通过人脸模型实现以脸搜脸应用，即通过搜索图像文本或者视觉特征，在检索系统中通过类似信息的对比，获取目标图片的一种智能搜索方法，可广泛应用于嫌疑人踪迹查询、身份核查等业务场景。</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模型比对、预警</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支持对黑名单人员的人脸模型进行比对、预警。</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4.2.2人员踪迹查询</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基于人脸图片中解析出的年龄段、性别等属性结构化数据，以及人脸模型半结构化数据，采用大数据技术，快速从海量人像数据中筛选出相似的人脸信息，还可按时间段、抓拍区域等条件进行组合查询，协助公安机关获取有价值案件信息，锁定人员踪迹，缩短线索查找时间。</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4.2.2.1人脸查询</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人脸查询是对动态抓拍库、静态名单库进行统一按条件检索，获取案件相关的可疑人员，从而进行进一步研判。</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功能点：</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支持以过人时段、过人区域、人脸特征属性（包括年龄段、性别、戴眼镜、微笑）、高危人群为查询条件，对案发时间附近的可疑人员进行单一或组合条件的信息搜索；</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按姓名或证件号查询人证库信息；</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查找历史人脸图片，并可关联录像查看具体情况；</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过人区域支持按目录树选择前端点位，并支持与地理信息系统结合，在地图上选择区域范围，进行人员信息搜索；</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4.2.2.2人证库查询</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用于人证信息的统一验证，可以直接在抓拍库里照片与人证进行比对。</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功能点：</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支持抓拍库结构化信息检索，按姓名、性别证件号、民族、相似度等条件查询；</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人证库一张证件照可以对应多张个人抓拍照片；</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支持抓拍图片展示，直接以脸搜脸；</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支持抓拍详情包括背景图和抓拍点位的查看；</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支持人脸照片可以通过地图展示定位，支持上传案件库。</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4.2.2.3实时过人查看</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实时过人查看是通过选择人脸卡口，实时查看前端点位人员抓拍信息情况。</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功能点：</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支持按树形目标选择抓拍通道，并同时查看一路或多路实时人脸图片抓拍信息；</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支持查看抓拍大图，并可以对背景图及小图的下载；</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鼠标滚轮操作可进行缩放展示人脸的结构化信息；</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支持以抓拍机为过滤条件的告警信息、详情展示和转发功能；</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支持对接共享平台通过直连和转发进行视频预览。</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4.2.2.4以脸搜脸</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针对海量的人脸图片难以通过人工识别方式进行快速分析、检索的问题，系统满足根据人脸图片自动进行识别、解析，支持一键上传照片，快速识别建模比对，筛选出人脸匹配度高的人像资源库中相似人员实时及历史人脸信息。</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功能点：</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待比对的图片可以本地上传，也可以是抓拍图片或者是静态图片；</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支持过人时段、过人区域、相似度作为辅助条件排序；</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支持同时采用同一人员的多张照片作为检索条件；</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在以图搜图的结果中的图片支持一键再次作为以脸搜脸的检索条件。</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4.2.2.5人员轨迹分析</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针对公安民警重点关注的人员或涉案、涉恐人员，可利用已有的人脸图片或者系统检索出的人脸图片，搜索出一定时间段及监控范围内的相似人脸图片，选择目标人员人脸图片，结合电子地图刻画出人员轨迹，分析目标人员“从哪里来、到哪里去、沿途经过哪里”。</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功能点：</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用户可以在抓拍库中选择多张人脸图像确定其采集的时间和地点作为轨迹的暂存图片；</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系统会根据暂存架中的多张人脸图像，自动在系统地图上描绘出人员轨迹；</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支持在地图轨迹上显示图片和运动顺序序号以及点位名称；</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4.2.3人员身份研判</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系统设计将人脸识别、大数据、云计算技术与公安二代身份证库、在逃人员库等业务数据相结合，形成公安人像资源库，依托人像资源库中海量的人员身份信息，实现目标人员的身份核查、确认，带动传统的“由案到人”单一侦防模式向“由案到人、由人到身份、由身份到人”的多元作战方式转变。</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4.2.3.1身份信息确认</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在侦查办案或者需要确认嫌疑人员身份时，可利用已有的人脸图片从名单库快速确认目标身份信息。</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功能点：</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支持导入公安业务数据库的人员身份信息或民警自建名单库；</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自建的名单库可设置人员姓名、性别、所在省份、城市，以及证件类型、证件号、生日等信息；</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上传人脸照片，支持选择人脸库、生日、性别、证件号等条件进行身份信息查询；</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支持身份信息详情展示；</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4.2.3.2 人脸1V1比对</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一般犯罪嫌疑人在作案前后，会对自身进行化妆，尽量避免留下相同的影像踪迹。为快速帮助公安机关分析两张嫌疑人人脸图片的相似度，系统支持同时对两张已有的人脸图片进行建模、比对，返回相似度比对值。</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4.2.3.3 人脸区域碰撞</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区域人脸碰撞是在相同区域不同时间或不同区域不同时间段，设定相似度值查找交集出现的人员，实现对某个人出现的次数可以进行比较，精确到某个人。</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功能点：</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支持在一个区域多个时间段的人脸抓拍碰撞；</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支持多个区域不同时间段抓拍的图片进行碰撞；</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满足相似度要求的为一组人员。</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4.2.3.4人脸库碰撞</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针对一些惯犯或历史在逃人员，为隐藏自身的真实身份，嫌疑人可能会设法获得多个身份信息，本系统支持对一个或两个人员库进行身份查重分析，反馈一人多重身份的排查结果，便于对一人持有多证的人员进行重点关注、排查，深挖背后隐藏信息。</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功能点：</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支持针对单个人员库或两个人员库之间的重复人员查询；</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在查重任务进行过程中，可查看任务状态、相关信息等；</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对已完成的查重任务进行查看、删除等操作。</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4.2.3.5身份核验</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身份验证是配合身份证阅读器对实时抓拍人脸与身份证信息进行核验，便于基层***对辖区内服刑人员、**人员等特殊人群的管理，特殊人群定期前往***进行身份核验，一旦人证不匹配或者过期未进行验证，则可能该人员已不在辖区内，便于及时发现不稳定因素。</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功能点：</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系统支持外接人脸抓拍单元、身份证读卡器，实现人证比对应用；</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提供抓拍图片与身份证图片的相似度，支持对身份核验结果的保存。</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4.2.3.6频繁过人</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频繁过人是统计一定时间内指定人员出现次数，针对多次、高频率出现的人员研判的技战法。</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功能点：</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支持建立频繁过人任务并展示任务状态和详情信息；</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统计在指定的时间段内、指定区域内，频繁出现的人员信息；</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统计人员信息出现次数进行过滤，只显示达到一定次数的人员。</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4.2.3.7数据统计分析</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数据统计分析是对人脸系统涉及的人员库建模情况、抓拍数据、预警数据、以及按时间段统计的数据分析功能，给用户提供辅助决策参考。</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功能点：</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支持统计黑名单库、静态库的建模总量、建模成功数量、建模失败数量；</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分时段统计抓拍数据、预警数据；</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支持列表方式展示各时段的抓拍、预警详情数量。</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4.2.4人员布控预警</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基于人脸结构化系统建立的人脸模型，结合公安民警的黑名单库，实现对特定人员的实时布控预警，为指挥调度、案件侦破提供数据支撑。</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4.2.4.1人员布控</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针对在逃、涉恐、涉案等人员的重点管控需求，系统可按布控对象、布控范围、有效期、预警阈值、预警时段提供实时布控，一旦在布控范围内出现关注人员，系统立刻产生报警，便于民警展开实时抓捕行动。</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功能点：</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支持添加、编辑、撤销布控任务；</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可添加含布控名称、布控对象、布控范围（可地图选点）、分时段阈值、布控原因的布控任务；</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支持输入关键字对人脸布控进行检索；</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若系统配置中已添加下级，则可以把布控下发到下级平台进行布控；</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4.2.4.2实时预警</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系统支持接收、显示实时预警信息，通过系统显示具体预警信息的报警详情，并能将报警详情转发至对应民警的手机中。</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功能点：</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支持抓拍图片与黑名单库的实时比对；</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支持报警详细信息的查看，包括抓拍图片信息和黑名单图像信息；</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支持预警接收设置，可选择预警接收的布控任务和布控范围；</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在最小化模式下或者切换到其他标签，在右下角会有报警提示框显示，并且有报警声音；</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4.2.4.3历史预警</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历史预警是查看抓拍图片与黑名单库比对后产生的预警记录，方便用户按条件查询、研判。</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功能点：</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支持按布控任务、布控范围、布控对象、相似度、时间、报警确认情况为条件，进行单一或组合的历史预警信息查询；</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支持查询结果按相似度/时间/地点/目标进行分组显示；</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可查看预警记录的详细信息，包括抓拍图片信息和黑名单图像信息；</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查询结果支持关联视频回放，结果导出。</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4.2.5人脸的聚类归档</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对人脸数据可以根据人脸相识度逻辑规则进行归档，形成人脸档案，并可以不断累积优化准确度。对人脸数据归档可以按照摄像头进行聚类。对人脸轨迹信息和人脸档案信息提供数据接口，用于数据的融合计算应用，</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4.2.6系统安全管理</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4.2.6.1用户管理</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用户管理是对系统使用的用户进行管理。</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功能点：</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支持系统所有用户的登记注册功能，并针对任意用户进行精细化权限设置；</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支持对用户的鉴权认证，以保证接入的安全性；</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所有用户操作都采用令牌机制，并对令牌进行加密；</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兼容公安PKI证书登录。</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4.2.6.2名单库管理</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名单库是对系统内使用的名单库及库内人员名单进行管理。</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功能点：</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支持名单库新增、修改、删除，库名的修改；</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支持对库内人员名单进行新增、修改、删除等动作以及查看批量任务；</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支持批量导入人像资源，并能对导入任务信息进行查看，删除建模失败的任务；</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可显示上传图片的记录，并按姓名、证件号和建模状态查询查看建模的黑名单、总数、成功数和失败数；</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支持黑名单库内直接撤控；</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在新建任务或编辑任务时，可设置名单库查看权限，且支持黑名单库级联，上级平台将指定的黑名单库级联到下级平台。</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4.2.6.3资源与服务管理</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资源服务管理对系统所涉及的前端人脸卡口设备进行注册登记、合法性认证与管理和中心服务器的配置与管理。</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功能点：</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支持抓拍机信息级联上报，抓拍机信息批量导入和导出；</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对布控点及布控点内的抓拍机进行管理，可添加，修改，删除抓拍机；</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可同步视频基础集成平台的组织区域和前端信息，支持按IP或名称查询已存在的抓拍机；</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可同步视频流解析的监控点、录像和离线视频的结构化信息；</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对已有服务平台进行管理，支持将平台IP地址一键下发给服务器集群。</w:t>
      </w:r>
    </w:p>
    <w:p>
      <w:pPr>
        <w:spacing w:line="460" w:lineRule="exact"/>
        <w:ind w:firstLine="541" w:firstLineChars="245"/>
        <w:outlineLvl w:val="4"/>
        <w:rPr>
          <w:rFonts w:hint="eastAsia" w:ascii="新宋体" w:hAnsi="新宋体" w:eastAsia="新宋体" w:cs="新宋体"/>
          <w:b/>
          <w:color w:val="auto"/>
          <w:sz w:val="22"/>
          <w:szCs w:val="22"/>
          <w:highlight w:val="none"/>
        </w:rPr>
      </w:pPr>
      <w:bookmarkStart w:id="169" w:name="_Toc38273456"/>
      <w:r>
        <w:rPr>
          <w:rFonts w:hint="eastAsia" w:ascii="新宋体" w:hAnsi="新宋体" w:eastAsia="新宋体" w:cs="新宋体"/>
          <w:b/>
          <w:color w:val="auto"/>
          <w:sz w:val="22"/>
          <w:szCs w:val="22"/>
          <w:highlight w:val="none"/>
        </w:rPr>
        <w:t>4.3视频监控基础服务平台扩容</w:t>
      </w:r>
      <w:bookmarkEnd w:id="169"/>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4.3.1系统功能</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(1)视频资源分布式接入</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提供多协议、大容量、分布式的视频接入能力，将需要互联共享的视频资源可靠、高效的接入平台。平台可实现对异构异源设备的接入层，支持GB28181、ONVIF、 厂商 SDK 以及其他定制开发方式接入。</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(2)集中视频资源的管理</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对接入的视频资源进行统一管理、调度，根据来源、用途、区域分门别类管理，按照不同的权限、规则管理资源。具备用户注册、身份认证、权限管理、访问控制等功能，支持平台间的用户身份传递和审计；完成对摄像头、服务器、各类视频平台等接入设备的身份标识和认证；具备数字证书发放、视频密钥管理功能，实现对视频流数据的校验以及视频加解密等功能。</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(3)视频基础服务功能</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为子平台提供视频实时点播、云镜控制、录像检索回放与下载、信息检索查询、预置位回望位管理等基础业务服务功能。</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(4)媒体分发</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平台内部媒体服务统一采用集群化，支持平台内部的负载均衡，动态切换，内部级联应用等，支持用户掉线后视频恢复，视频服务宕机后自动切换等容错业务功能；</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媒体调度集群需同时按TCP和UDP两种码流传输方式的进和出，且支持两种传输方式见的转换应用；</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媒体云集群需支持标准协议对接时的平台互联互通应用，应支持DB33码流转国标码流的业务应用。</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(5)平台联网监测</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联网运行监测主要通过建立区域内运行监测系统和联网运行监测系统实现对各级平台内部设备运行情况和各级平台联网运行情况的管理，提高设备运行的正常率和在线率，为域内设备运行和跨区域联网运行考核提供基础数据。通过对接入总平台的监控摄像机基础信息进行采集建档，加强对设备的信息规范化维护与管理。</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(6)平台运行监测</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平台运行情况监测、前端运行状态监测、视频质量诊断等功能，具备监测结果实时可视化功能，实现视频监控、视图资源运行状况可视、可控、可管理的目标，保证系统对外可靠共享资源。</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(7)一机一档系统</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系统应具有对接入视频图像资源档案的手工录入、批量导入、外部系统接口同步等建档采集功能；</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实现设备信息的更新和维护，完成信息编辑、校验、保存，并提交审核；</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系统应具有对设备档案信息的更新和维护、完成信息编辑、校验、保存，并提交审核功能；</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系统应具有对实现设备档案信息的审核功能，确保录入信息的正确性和完整性，审核通过的设备档案信息才能正式生效；</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系统应具有对本地“一机一档”数据库中设备信息的查询检索，可根据设备属性信息进行组合查询，并以列表形式返回查询结果。可查看单个设备的详细信息；</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系统应具有设备信息的批量导入导出功能，可按固定模板实现excel格式数据的批量导入并完成数据校验，能够将设备 查询结果以excel格式文件导出；</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系统应具有设备档案信息同步上传功能，接收并汇聚下级“一机一档”系统数据的规范化接口，应具有向上级“一机一档”系统的数据主动增量上传功能；</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系统应具有统计分析功能，以图表形式对设备数量按照按地区、按属性分类、数据填报质量等不同维度进行统计和分析；</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县（市、区）级、市级“一机一档”系统按统一按省级的接口要求逐级上报“一机一档”数据，上报接口要求按公安部发布的《“一机一档”系统建设技术方案》执行；</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10.“一机一档”系统的摄像机属性及字典项要求按公安部发布的《“一机一档”系统建设技术方案》执行。</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(8)时钟管理</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在每一个网络部署时钟同步服务器，并建设时钟管理系统，监测各设备的时钟状态，保证系统运行时钟的一致性。</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(9)日志管理</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包括记录系统运行状态的运行日志以及记录操作人员操作情况的操作日志，支持日志信息查询、分析、报表制作等功能。</w:t>
      </w:r>
    </w:p>
    <w:p>
      <w:pPr>
        <w:spacing w:line="460" w:lineRule="exact"/>
        <w:ind w:firstLine="541" w:firstLineChars="245"/>
        <w:outlineLvl w:val="4"/>
        <w:rPr>
          <w:rFonts w:hint="eastAsia" w:ascii="新宋体" w:hAnsi="新宋体" w:eastAsia="新宋体" w:cs="新宋体"/>
          <w:b/>
          <w:color w:val="auto"/>
          <w:sz w:val="22"/>
          <w:szCs w:val="22"/>
          <w:highlight w:val="none"/>
        </w:rPr>
      </w:pPr>
      <w:bookmarkStart w:id="170" w:name="_Toc38273457"/>
      <w:r>
        <w:rPr>
          <w:rFonts w:hint="eastAsia" w:ascii="新宋体" w:hAnsi="新宋体" w:eastAsia="新宋体" w:cs="新宋体"/>
          <w:b/>
          <w:color w:val="auto"/>
          <w:sz w:val="22"/>
          <w:szCs w:val="22"/>
          <w:highlight w:val="none"/>
        </w:rPr>
        <w:t>4.4社会视频资源接入平台扩容</w:t>
      </w:r>
      <w:bookmarkEnd w:id="170"/>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4.4.1视频资源分类</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视频资源根据经济社会发展实际需要和社会治安现状分为三类：一类视频资源的监控点位，主要安装在重要公共区域，覆盖主要道路、重点区域、重点部位、重点场所等；二类视频资源的监控点位，主要安装在重点行业、领域，以及覆盖次要部位、次要场所等；三类视频资源的监控点位，主要安装在一般企业事业单位、住宅小区，以及覆盖一般部位、普通场所等。</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4.4.2视频资源建设与管理</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一类视频资源一类视频资源的监控点通常由政府出资统一建设，由公安进行监控与管理，布点应符合“确保重点”“兼顾一般”“预留未来”的基本原则，宜采用“大圈控制、分块隔离、网格封闭、沿线可循，重点管控”为原则的“圈块格线点”的宏观选点布局方法。</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(2)二、三类视频资源二、三类视频资源的监控点由相关政府部门或企事业单位出资建设，按照“谁使用、谁建设”原则进行管理。</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4.4.3前端视频资源接入</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(1)一类视频资源接入</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一类视频资源的监控点需经数字编码后，应全部统一温州视频监控基础平台，接入技术标准应采用GB/T28181-2016相关标准的要求。</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(2)二、三类视频资源接入</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二、三类视频资源的监控点可通过前端数字编码后，采用直接接入、DVR/CVS/NVR接入或者平台接入等三种方式，横向接入温州视频监控基础平台。其中政府投资建设的二、三类点位应全部接入，企事业单位建设的二、三类点位可根据需要把公共区域的监控点位选择性接入，接入技术标准应采用GB/T28181-2016相关标准的要求。</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(3)社会面资源接入</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社会单位存在着大量的社会面资源监控系统，如学校、医院、超市、银行、机场、地铁、商铺、酒店、能源等维护社会治安稳定关系紧密的诸多社会重点单位的图像资源未纳入到共享平台中，为使社会面监控资源在日常防控和应急指挥方面的重要作用得到充分发挥，需进行国标化改造。改造包括：</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信令协议的转换：将非标前端或平台的控制协议与标准中规定的会话初始协议（SIP）、会话描述协议（SDP）、控制描述协议（MACSCDP）和媒体回放控制协议（MANSRTSP）进行双向协议转换；</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设备ID转换：将非标平台的设备ID与国标GB/T28181-2016附录Ｄ１中规定的设备ID进行双向转换；</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媒体传输协议转换：将非标平台的媒体传输协议和数据封装格式，与国标GB/T28181-2016规定的媒体传输协议和数据封装格式进行协议转换。准备的媒体传输协议应采用国标规定的RTP协议实现媒体传输。</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4.4.4时钟同步与管理</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按照国标GB/T28181-2016要求，公共安全视频图像信息共享平台应采用NTP协议或SIP协议进行时钟同步。各级平台均应配备可以接收GPS或北斗等系统授时的NTP时间服务器，时钟误差应小于100ms。</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(1)平台设备时钟同步。平台内各服务器、存储等设备应直接与平台内ＮＴＰ时间服务器进行时钟同步。</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(2)前端设备时钟同步。</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前端设备可按照国标GB/T28181-2016要求，通过信令服务器获取时间信息来校时；也可以采用NTP协议，直接与接入平台的NTP时间服务器进行时钟同步。</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(3)平台间时钟同步。</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需要时，上下级平台间应逐级进行时钟同步，上级时钟源作为下级时钟源的备份。</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(4)时钟管理与检查</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对需要时钟同步的设备建立时钟同步档案，及时发现时钟同步异常或者实时时钟异常设备，对各种设备的时钟情况进行统计、分析。</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4.4.5字符叠加规范</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各地前端摄像机字符叠加应当遵循《视频图像文字标注规范》（GA/T7551-2008），且必须包含地点信息和时间信息。各地新制定标注规范时必须符合标准GA/T751-2008要求，已有标注规范与标准冲突的，应在今后逐步予以修订和调整。</w:t>
      </w:r>
    </w:p>
    <w:p>
      <w:pPr>
        <w:spacing w:line="460" w:lineRule="exact"/>
        <w:ind w:firstLine="541" w:firstLineChars="245"/>
        <w:outlineLvl w:val="4"/>
        <w:rPr>
          <w:rFonts w:hint="eastAsia" w:ascii="新宋体" w:hAnsi="新宋体" w:eastAsia="新宋体" w:cs="新宋体"/>
          <w:b/>
          <w:color w:val="auto"/>
          <w:sz w:val="22"/>
          <w:szCs w:val="22"/>
          <w:highlight w:val="none"/>
        </w:rPr>
      </w:pPr>
      <w:bookmarkStart w:id="171" w:name="_Toc38273458"/>
      <w:r>
        <w:rPr>
          <w:rFonts w:hint="eastAsia" w:ascii="新宋体" w:hAnsi="新宋体" w:eastAsia="新宋体" w:cs="新宋体"/>
          <w:b/>
          <w:color w:val="auto"/>
          <w:sz w:val="22"/>
          <w:szCs w:val="22"/>
          <w:highlight w:val="none"/>
        </w:rPr>
        <w:t>4.5公安视频图像信息共享平台性能提升</w:t>
      </w:r>
      <w:bookmarkEnd w:id="171"/>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依托于温州市民安视频共享平台并将此平台改造为雪亮公安分平台，从温州视频监控基础平台上共享资源，整合一类重点区域点位与二、三类点位中的重要点位资源，为公安部门的抢险救灾、安全保卫、打击防范等工作提供服务。</w:t>
      </w:r>
    </w:p>
    <w:p>
      <w:pPr>
        <w:spacing w:line="460" w:lineRule="exact"/>
        <w:ind w:firstLine="541" w:firstLineChars="245"/>
        <w:outlineLvl w:val="5"/>
        <w:rPr>
          <w:rFonts w:hint="eastAsia" w:ascii="新宋体" w:hAnsi="新宋体" w:eastAsia="新宋体" w:cs="新宋体"/>
          <w:b/>
          <w:color w:val="auto"/>
          <w:sz w:val="22"/>
          <w:szCs w:val="22"/>
          <w:highlight w:val="none"/>
        </w:rPr>
      </w:pPr>
      <w:bookmarkStart w:id="172" w:name="_Toc527010564"/>
      <w:bookmarkStart w:id="173" w:name="OLE_LINK6"/>
      <w:bookmarkStart w:id="174" w:name="OLE_LINK7"/>
      <w:r>
        <w:rPr>
          <w:rFonts w:hint="eastAsia" w:ascii="新宋体" w:hAnsi="新宋体" w:eastAsia="新宋体" w:cs="新宋体"/>
          <w:b/>
          <w:color w:val="auto"/>
          <w:sz w:val="22"/>
          <w:szCs w:val="22"/>
          <w:highlight w:val="none"/>
        </w:rPr>
        <w:t>4.5.1视频转发能力</w:t>
      </w:r>
      <w:bookmarkEnd w:id="172"/>
      <w:r>
        <w:rPr>
          <w:rFonts w:hint="eastAsia" w:ascii="新宋体" w:hAnsi="新宋体" w:eastAsia="新宋体" w:cs="新宋体"/>
          <w:b/>
          <w:color w:val="auto"/>
          <w:sz w:val="22"/>
          <w:szCs w:val="22"/>
          <w:highlight w:val="none"/>
        </w:rPr>
        <w:t>提升</w:t>
      </w:r>
    </w:p>
    <w:bookmarkEnd w:id="173"/>
    <w:bookmarkEnd w:id="174"/>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(1)对高清视频处理的提升。针对视频高清化的发展，增加对大于300K的I帧的视频的分发处理能力，实现超高清视频的稳定、高效、可靠分发。</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采用流转发云技术，流媒体服务支持堆叠部署，可多台服务器集中起来作为整体，提供媒体转发服务，具备负载均衡和故障冗余特性，媒体转发服务在多台服务器之间动态分配，增强可靠性和系统伸缩性，满足在任何网络条件下图像看得快，窄带情况下看得清晰，看得流畅的诸多需求。</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目前平台接入点位数量为8万，双网双平台所有的分发服务器分布在各个区域每个区域大概3-4台分发服务器，承担日常视频业务的应用，根据双网双平台分发服务器数量确定目前可同时支持8000路转发。雪亮工程平台点位数可能达到20万线或更多，专网侧各区再增加2台分发服务器内网侧再增加1台分发服务器以便确保在增量的同时业务也可正常转发，以便能更好的适用雪亮工程的体量。</w:t>
      </w:r>
    </w:p>
    <w:p>
      <w:pPr>
        <w:spacing w:line="460" w:lineRule="exact"/>
        <w:ind w:firstLine="541" w:firstLineChars="245"/>
        <w:outlineLvl w:val="5"/>
        <w:rPr>
          <w:rFonts w:hint="eastAsia" w:ascii="新宋体" w:hAnsi="新宋体" w:eastAsia="新宋体" w:cs="新宋体"/>
          <w:b/>
          <w:color w:val="auto"/>
          <w:sz w:val="22"/>
          <w:szCs w:val="22"/>
          <w:highlight w:val="none"/>
        </w:rPr>
      </w:pPr>
      <w:bookmarkStart w:id="175" w:name="_Toc527010570"/>
      <w:bookmarkStart w:id="176" w:name="OLE_LINK3"/>
      <w:r>
        <w:rPr>
          <w:rFonts w:hint="eastAsia" w:ascii="新宋体" w:hAnsi="新宋体" w:eastAsia="新宋体" w:cs="新宋体"/>
          <w:b/>
          <w:color w:val="auto"/>
          <w:sz w:val="22"/>
          <w:szCs w:val="22"/>
          <w:highlight w:val="none"/>
        </w:rPr>
        <w:t>4.5.2视频解码输出能力提升</w:t>
      </w:r>
      <w:bookmarkEnd w:id="175"/>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鉴于原V3平台视频应用解码展现时都是基于前端设备厂家提供的解码插件进行解码，存在解码插件种类多，各个解码插件依赖底层库版本不同步，各个厂家插件存在重复调用等现象，直接导致了视频解码应用时，出现后期开发维护困难，导致解码应用中出现客户端不稳定，经常宕机，卡死，画面卡顿，不流畅等一系列问题。因此要开发完成一套具备完全自主知识产权的解码插件，适应现网不同设备厂家的不同类型的前端设备的实时流，录像流，本地文件等的解码应用。同时可提供PC端、移动端视频解码后实时呈现，YUV各种规格格式的输出；并且能够提供PC端、移动端视频解码二次开发接口，方便其他厂家进行调用开发。</w:t>
      </w:r>
    </w:p>
    <w:bookmarkEnd w:id="176"/>
    <w:p>
      <w:pPr>
        <w:spacing w:line="460" w:lineRule="exact"/>
        <w:ind w:firstLine="541" w:firstLineChars="245"/>
        <w:outlineLvl w:val="5"/>
        <w:rPr>
          <w:rFonts w:hint="eastAsia" w:ascii="新宋体" w:hAnsi="新宋体" w:eastAsia="新宋体" w:cs="新宋体"/>
          <w:b/>
          <w:color w:val="auto"/>
          <w:sz w:val="22"/>
          <w:szCs w:val="22"/>
          <w:highlight w:val="none"/>
        </w:rPr>
      </w:pPr>
      <w:bookmarkStart w:id="177" w:name="_Toc527010573"/>
      <w:bookmarkStart w:id="178" w:name="OLE_LINK4"/>
      <w:bookmarkStart w:id="179" w:name="OLE_LINK5"/>
      <w:r>
        <w:rPr>
          <w:rFonts w:hint="eastAsia" w:ascii="新宋体" w:hAnsi="新宋体" w:eastAsia="新宋体" w:cs="新宋体"/>
          <w:b/>
          <w:color w:val="auto"/>
          <w:sz w:val="22"/>
          <w:szCs w:val="22"/>
          <w:highlight w:val="none"/>
        </w:rPr>
        <w:t>4.5.3点位推送共享提升</w:t>
      </w:r>
      <w:bookmarkEnd w:id="177"/>
    </w:p>
    <w:bookmarkEnd w:id="178"/>
    <w:bookmarkEnd w:id="179"/>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(1)点位推送能力升级</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可根据不同上级平台自定义共享的组织目录树，并自定义选择性推送不同的本级或下级平台的点位。按照业务分组进行设备树展示使用业务分组、虚拟组织、设备目录类型。</w:t>
      </w:r>
    </w:p>
    <w:p>
      <w:pPr>
        <w:spacing w:line="460" w:lineRule="exact"/>
        <w:ind w:firstLine="539" w:firstLineChars="245"/>
        <w:rPr>
          <w:rFonts w:hint="eastAsia" w:ascii="新宋体" w:hAnsi="新宋体" w:eastAsia="新宋体" w:cs="新宋体"/>
          <w:bCs/>
          <w:color w:val="auto"/>
          <w:sz w:val="22"/>
          <w:szCs w:val="22"/>
          <w:highlight w:val="none"/>
        </w:rPr>
      </w:pPr>
      <w:bookmarkStart w:id="180" w:name="OLE_LINK38"/>
      <w:bookmarkStart w:id="181" w:name="OLE_LINK37"/>
      <w:r>
        <w:rPr>
          <w:rFonts w:hint="eastAsia" w:ascii="新宋体" w:hAnsi="新宋体" w:eastAsia="新宋体" w:cs="新宋体"/>
          <w:bCs/>
          <w:color w:val="auto"/>
          <w:sz w:val="22"/>
          <w:szCs w:val="22"/>
          <w:highlight w:val="none"/>
        </w:rPr>
        <w:t>(2)媒体传输并发能力升级</w:t>
      </w:r>
      <w:bookmarkEnd w:id="180"/>
      <w:bookmarkEnd w:id="181"/>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支持推送共享媒体服务器并行部署应用模式，支持动态扩展，按域调度，实现负载均衡应用，解决互联互通应用时仅适用于小规模应用的问题。</w:t>
      </w:r>
    </w:p>
    <w:p>
      <w:pPr>
        <w:spacing w:line="460" w:lineRule="exact"/>
        <w:ind w:firstLine="539" w:firstLineChars="245"/>
        <w:rPr>
          <w:rFonts w:hint="eastAsia" w:ascii="新宋体" w:hAnsi="新宋体" w:eastAsia="新宋体" w:cs="新宋体"/>
          <w:bCs/>
          <w:color w:val="auto"/>
          <w:sz w:val="22"/>
          <w:szCs w:val="22"/>
          <w:highlight w:val="none"/>
        </w:rPr>
      </w:pPr>
      <w:bookmarkStart w:id="182" w:name="OLE_LINK42"/>
      <w:bookmarkStart w:id="183" w:name="OLE_LINK41"/>
      <w:r>
        <w:rPr>
          <w:rFonts w:hint="eastAsia" w:ascii="新宋体" w:hAnsi="新宋体" w:eastAsia="新宋体" w:cs="新宋体"/>
          <w:bCs/>
          <w:color w:val="auto"/>
          <w:sz w:val="22"/>
          <w:szCs w:val="22"/>
          <w:highlight w:val="none"/>
        </w:rPr>
        <w:t>(3)多种网络环境应用</w:t>
      </w:r>
    </w:p>
    <w:bookmarkEnd w:id="182"/>
    <w:bookmarkEnd w:id="183"/>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扩展互联互通服务器的网络适应性，实现多个网络间的平台的互联互通，同时支持通过防火墙进行异构网络的互联互通应用。</w:t>
      </w:r>
    </w:p>
    <w:p>
      <w:pPr>
        <w:spacing w:line="460" w:lineRule="exact"/>
        <w:ind w:firstLine="541" w:firstLineChars="245"/>
        <w:outlineLvl w:val="5"/>
        <w:rPr>
          <w:rFonts w:hint="eastAsia" w:ascii="新宋体" w:hAnsi="新宋体" w:eastAsia="新宋体" w:cs="新宋体"/>
          <w:b/>
          <w:color w:val="auto"/>
          <w:sz w:val="22"/>
          <w:szCs w:val="22"/>
          <w:highlight w:val="none"/>
        </w:rPr>
      </w:pPr>
      <w:bookmarkStart w:id="184" w:name="_Toc527010576"/>
      <w:r>
        <w:rPr>
          <w:rFonts w:hint="eastAsia" w:ascii="新宋体" w:hAnsi="新宋体" w:eastAsia="新宋体" w:cs="新宋体"/>
          <w:b/>
          <w:color w:val="auto"/>
          <w:sz w:val="22"/>
          <w:szCs w:val="22"/>
          <w:highlight w:val="none"/>
        </w:rPr>
        <w:t>4.5.4多网闸协调容错能力</w:t>
      </w:r>
      <w:bookmarkEnd w:id="184"/>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在一个网闸出现故障的情况下，动态切换为使用另外一个网闸进行业务服务。需要对网闸进行定制化开发，调度协议存在私有化问题，且不适用国标协议。该功能的实现需要网闸厂商做相应的调测。</w:t>
      </w:r>
    </w:p>
    <w:p>
      <w:pPr>
        <w:spacing w:line="460" w:lineRule="exact"/>
        <w:ind w:firstLine="541" w:firstLineChars="245"/>
        <w:outlineLvl w:val="5"/>
        <w:rPr>
          <w:rFonts w:hint="eastAsia" w:ascii="新宋体" w:hAnsi="新宋体" w:eastAsia="新宋体" w:cs="新宋体"/>
          <w:b/>
          <w:color w:val="auto"/>
          <w:sz w:val="22"/>
          <w:szCs w:val="22"/>
          <w:highlight w:val="none"/>
        </w:rPr>
      </w:pPr>
      <w:bookmarkStart w:id="185" w:name="______5"/>
      <w:bookmarkEnd w:id="185"/>
      <w:bookmarkStart w:id="186" w:name="______4"/>
      <w:bookmarkEnd w:id="186"/>
      <w:bookmarkStart w:id="187" w:name="_Toc527010579"/>
      <w:r>
        <w:rPr>
          <w:rFonts w:hint="eastAsia" w:ascii="新宋体" w:hAnsi="新宋体" w:eastAsia="新宋体" w:cs="新宋体"/>
          <w:b/>
          <w:color w:val="auto"/>
          <w:sz w:val="22"/>
          <w:szCs w:val="22"/>
          <w:highlight w:val="none"/>
        </w:rPr>
        <w:t>4.5.5丰富客户端应用功能</w:t>
      </w:r>
      <w:bookmarkEnd w:id="187"/>
      <w:bookmarkStart w:id="188" w:name="_______"/>
      <w:bookmarkEnd w:id="188"/>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(1)数据库表结构中增加高位监控点位字段，并在客户端地图上针对这类点位指定特定图标予以标注，便于同其他点位进行区分。</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(2)为原有点位添加朝向字段属性，并定制设计带有朝向的点位推表在客户端地图上进行标注，用户可以轻松地在地图上根据相机图标来判断当前摄像机的朝向。</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为便于用户快速便捷地筛选、定位出客户端地图上有用的点位信息，在地图页面增加高级选项，用户可以根据摄像机类型、个人收藏、点位方位等复选相关信息，待筛选条件确定后，地图上仅加载相应的点位信息地图上同步。设计思路之一，在地图页面上设计隐形的复选框，只在用户点击时才显示加载，:一级目录选项:高清/标清枪机、高清/标清球机、高位、卡口、车载、个人收藏。二级目录选项:点位朝向(东、西、南、北、东南、东北、西北、西南。)或者个人收藏中的各个子分组。</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(4)客户端地图可根据后续的用户定制化需求开发,有针对性地加载显示结果，更好地应用在一些应急保障等场景下指挥调度，做到把握全局、控制局部、易于展示。</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4.5.6平台与应用的平滑过渡</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升级改造过程必须充分考虑目前运行情况，在实施时要确保相关应用不中断，相关系统应用平稳过渡。</w:t>
      </w:r>
    </w:p>
    <w:p>
      <w:pPr>
        <w:spacing w:line="460" w:lineRule="exact"/>
        <w:ind w:firstLine="541" w:firstLineChars="245"/>
        <w:outlineLvl w:val="5"/>
        <w:rPr>
          <w:rFonts w:hint="eastAsia" w:ascii="新宋体" w:hAnsi="新宋体" w:eastAsia="新宋体" w:cs="新宋体"/>
          <w:b/>
          <w:color w:val="auto"/>
          <w:sz w:val="22"/>
          <w:szCs w:val="22"/>
          <w:highlight w:val="none"/>
        </w:rPr>
      </w:pPr>
      <w:bookmarkStart w:id="189" w:name="________2"/>
      <w:bookmarkEnd w:id="189"/>
      <w:bookmarkStart w:id="190" w:name="______6"/>
      <w:bookmarkEnd w:id="190"/>
      <w:r>
        <w:rPr>
          <w:rFonts w:hint="eastAsia" w:ascii="新宋体" w:hAnsi="新宋体" w:eastAsia="新宋体" w:cs="新宋体"/>
          <w:b/>
          <w:color w:val="auto"/>
          <w:sz w:val="22"/>
          <w:szCs w:val="22"/>
          <w:highlight w:val="none"/>
        </w:rPr>
        <w:t>4.5.7平台性能要求</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支持摄像机管理能力不低于300000路；域间保活≤30s；报警接收能力≥1024条/秒；前端设备接入平台的信息延迟≤2s。支持4000路不同视频资源的并发，媒体转发性能总体不低于4000路。</w:t>
      </w:r>
    </w:p>
    <w:p>
      <w:pPr>
        <w:spacing w:line="460" w:lineRule="exact"/>
        <w:ind w:firstLine="541" w:firstLineChars="245"/>
        <w:outlineLvl w:val="4"/>
        <w:rPr>
          <w:rFonts w:hint="eastAsia" w:ascii="新宋体" w:hAnsi="新宋体" w:eastAsia="新宋体" w:cs="新宋体"/>
          <w:b/>
          <w:color w:val="auto"/>
          <w:sz w:val="22"/>
          <w:szCs w:val="22"/>
          <w:highlight w:val="none"/>
        </w:rPr>
      </w:pPr>
      <w:bookmarkStart w:id="191" w:name="_Toc38273459"/>
      <w:r>
        <w:rPr>
          <w:rFonts w:hint="eastAsia" w:ascii="新宋体" w:hAnsi="新宋体" w:eastAsia="新宋体" w:cs="新宋体"/>
          <w:b/>
          <w:color w:val="auto"/>
          <w:sz w:val="22"/>
          <w:szCs w:val="22"/>
          <w:highlight w:val="none"/>
        </w:rPr>
        <w:t>4.6平台扩容要求</w:t>
      </w:r>
      <w:bookmarkEnd w:id="191"/>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本次基础平台扩容均在市雪亮工程的基础上进行扩容，瓯江口负责本区雪亮工程建设所需要的板卡、硬件、授权等进行扩容，配置等标准参照市雪亮工程建设项目的标准进行采购。</w:t>
      </w:r>
    </w:p>
    <w:p>
      <w:pPr>
        <w:spacing w:line="460" w:lineRule="exact"/>
        <w:ind w:firstLine="541" w:firstLineChars="245"/>
        <w:outlineLvl w:val="3"/>
        <w:rPr>
          <w:rFonts w:hint="eastAsia" w:ascii="新宋体" w:hAnsi="新宋体" w:eastAsia="新宋体" w:cs="新宋体"/>
          <w:b/>
          <w:color w:val="auto"/>
          <w:sz w:val="22"/>
          <w:szCs w:val="22"/>
          <w:highlight w:val="none"/>
        </w:rPr>
      </w:pPr>
      <w:bookmarkStart w:id="192" w:name="_Toc38273460"/>
      <w:r>
        <w:rPr>
          <w:rFonts w:hint="eastAsia" w:ascii="新宋体" w:hAnsi="新宋体" w:eastAsia="新宋体" w:cs="新宋体"/>
          <w:b/>
          <w:color w:val="auto"/>
          <w:sz w:val="22"/>
          <w:szCs w:val="22"/>
          <w:highlight w:val="none"/>
        </w:rPr>
        <w:t>5、运维支撑</w:t>
      </w:r>
      <w:bookmarkEnd w:id="192"/>
    </w:p>
    <w:p>
      <w:pPr>
        <w:spacing w:line="460" w:lineRule="exact"/>
        <w:ind w:firstLine="541" w:firstLineChars="245"/>
        <w:outlineLvl w:val="4"/>
        <w:rPr>
          <w:rFonts w:hint="eastAsia" w:ascii="新宋体" w:hAnsi="新宋体" w:eastAsia="新宋体" w:cs="新宋体"/>
          <w:b/>
          <w:color w:val="auto"/>
          <w:sz w:val="22"/>
          <w:szCs w:val="22"/>
          <w:highlight w:val="none"/>
        </w:rPr>
      </w:pPr>
      <w:bookmarkStart w:id="193" w:name="_Toc38273461"/>
      <w:bookmarkStart w:id="194" w:name="_Toc23930"/>
      <w:r>
        <w:rPr>
          <w:rFonts w:hint="eastAsia" w:ascii="新宋体" w:hAnsi="新宋体" w:eastAsia="新宋体" w:cs="新宋体"/>
          <w:b/>
          <w:color w:val="auto"/>
          <w:sz w:val="22"/>
          <w:szCs w:val="22"/>
          <w:highlight w:val="none"/>
        </w:rPr>
        <w:t>5.1运维管理体系建设</w:t>
      </w:r>
      <w:bookmarkEnd w:id="193"/>
      <w:bookmarkEnd w:id="194"/>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zh-CN"/>
        </w:rPr>
        <w:t>通过建立运维管理体系，</w:t>
      </w:r>
      <w:bookmarkStart w:id="195" w:name="_Hlk28004310"/>
      <w:r>
        <w:rPr>
          <w:rFonts w:hint="eastAsia" w:ascii="新宋体" w:hAnsi="新宋体" w:eastAsia="新宋体" w:cs="新宋体"/>
          <w:bCs/>
          <w:color w:val="auto"/>
          <w:sz w:val="22"/>
          <w:szCs w:val="22"/>
          <w:highlight w:val="none"/>
          <w:lang w:val="zh-CN"/>
        </w:rPr>
        <w:t>规定各单位按照运维管理体系进行组织活动，并协调工作，各单位按照协议要求提供不同级别的运维服务</w:t>
      </w:r>
      <w:bookmarkEnd w:id="195"/>
      <w:r>
        <w:rPr>
          <w:rFonts w:hint="eastAsia" w:ascii="新宋体" w:hAnsi="新宋体" w:eastAsia="新宋体" w:cs="新宋体"/>
          <w:bCs/>
          <w:color w:val="auto"/>
          <w:sz w:val="22"/>
          <w:szCs w:val="22"/>
          <w:highlight w:val="none"/>
          <w:lang w:val="zh-CN"/>
        </w:rPr>
        <w:t>。</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5.1.1运维人员要求</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配备运维人员的目标是为了</w:t>
      </w:r>
      <w:r>
        <w:rPr>
          <w:rFonts w:hint="eastAsia" w:ascii="新宋体" w:hAnsi="新宋体" w:eastAsia="新宋体" w:cs="新宋体"/>
          <w:bCs/>
          <w:color w:val="auto"/>
          <w:sz w:val="22"/>
          <w:szCs w:val="22"/>
          <w:highlight w:val="none"/>
          <w:lang w:val="zh-CN"/>
        </w:rPr>
        <w:t>实现</w:t>
      </w:r>
      <w:r>
        <w:rPr>
          <w:rFonts w:hint="eastAsia" w:ascii="新宋体" w:hAnsi="新宋体" w:eastAsia="新宋体" w:cs="新宋体"/>
          <w:bCs/>
          <w:color w:val="auto"/>
          <w:sz w:val="22"/>
          <w:szCs w:val="22"/>
          <w:highlight w:val="none"/>
        </w:rPr>
        <w:t>雪亮工程视频平台的维护和管理工作的系统化、规范化和制度化，便于维护团队持续的知识积累和做好预防性维护工作，便于维护成员能及时、有效、快速的定位问题和处理故障，确保系统安全、稳定的运行。</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具体要求如下：</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按照温州“雪亮工程”平台结构、GB28181协议标准、温州市安全防范视频监控联网系统中的前端设备接入、存储节点接入、网管接入、视频平台、业务应用等五层构架，为多网络方式视频点位接入、存储节点挂载、 数据推送、各类平台的级联等方面提供技术支持和解决方案。</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根据视频监控的前端点位-汇聚平台、平台-平台之间的级联关系及原理，运用网络命令、抓包、端口扫描等工具准确定位视频无法播放、点位状态异常、视频不流畅等故障并迅速排除。</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利用相关的工具软件，在设备上下线状态、画面质量、动力环境监测、服务器性能指标、网络流量检测、机房管理流程、资产管理等各方面提供完整的数据记录和分析，为考核评分提供可靠依据。</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本次配备2人3年的驻点运维服务。</w:t>
      </w:r>
    </w:p>
    <w:p>
      <w:pPr>
        <w:spacing w:line="460" w:lineRule="exact"/>
        <w:ind w:firstLine="541" w:firstLineChars="245"/>
        <w:outlineLvl w:val="4"/>
        <w:rPr>
          <w:rFonts w:hint="eastAsia" w:ascii="新宋体" w:hAnsi="新宋体" w:eastAsia="新宋体" w:cs="新宋体"/>
          <w:b/>
          <w:color w:val="auto"/>
          <w:sz w:val="22"/>
          <w:szCs w:val="22"/>
          <w:highlight w:val="none"/>
        </w:rPr>
      </w:pPr>
      <w:bookmarkStart w:id="196" w:name="_Toc1153"/>
      <w:bookmarkStart w:id="197" w:name="_Toc38273462"/>
      <w:r>
        <w:rPr>
          <w:rFonts w:hint="eastAsia" w:ascii="新宋体" w:hAnsi="新宋体" w:eastAsia="新宋体" w:cs="新宋体"/>
          <w:b/>
          <w:color w:val="auto"/>
          <w:sz w:val="22"/>
          <w:szCs w:val="22"/>
          <w:highlight w:val="none"/>
        </w:rPr>
        <w:t>5.2运维中心建设方案</w:t>
      </w:r>
      <w:bookmarkEnd w:id="196"/>
      <w:bookmarkEnd w:id="197"/>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运维中心是“雪亮工程”建设项目运行的支撑部分，</w:t>
      </w:r>
      <w:bookmarkStart w:id="198" w:name="_Hlk28004360"/>
      <w:r>
        <w:rPr>
          <w:rFonts w:hint="eastAsia" w:ascii="新宋体" w:hAnsi="新宋体" w:eastAsia="新宋体" w:cs="新宋体"/>
          <w:bCs/>
          <w:color w:val="auto"/>
          <w:sz w:val="22"/>
          <w:szCs w:val="22"/>
          <w:highlight w:val="none"/>
        </w:rPr>
        <w:t>实现对城市公共安全视频监控资源的统一运维管理。</w:t>
      </w:r>
      <w:bookmarkEnd w:id="198"/>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本次运维中心建设面积大概为40平米左右（需要进行简单的装修），具备公安网、视频专网和政务服务网基础网络设施，配备2*4块55寸液晶拼接屏以及6个工位（4个常用工位和2个备用工位），还包括了音视频、办公电脑、办公用品等设备的购置与部署。</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5.2.1系统构成</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运维中心是整个“雪亮工程”运行管理核心部分，全网所有的前端设备、服务器及其属性，运行状态等信息均可在中心平台进行统一展现、调度管理，中心由综合控制系统、图像显示系统、监控工位及必备的中心网络设备等组成。</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5.2.2功能框架</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根据雪亮工程开展的需要，运维中心将维护框架分为13个具体组成部分，分别为：客服管理、技术支撑管理、资产管理、巡检管理、订单管理、故障处理管理、值班保障管理、考核管理、统计报告管理、应用系统日常管理、知识库管理、信息网络安全管理、网络安全设备管理等子项。而且整个运维流程将以此为依据开展工作。</w:t>
      </w:r>
    </w:p>
    <w:p>
      <w:pPr>
        <w:pStyle w:val="204"/>
        <w:ind w:firstLine="0" w:firstLineChars="0"/>
        <w:rPr>
          <w:color w:val="auto"/>
          <w:highlight w:val="none"/>
        </w:rPr>
      </w:pP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5.2.3故障处理流程</w:t>
      </w:r>
    </w:p>
    <w:p>
      <w:pPr>
        <w:jc w:val="center"/>
        <w:rPr>
          <w:color w:val="auto"/>
          <w:highlight w:val="none"/>
        </w:rPr>
      </w:pPr>
      <w:r>
        <w:rPr>
          <w:rFonts w:hint="eastAsia"/>
          <w:color w:val="auto"/>
          <w:highlight w:val="none"/>
        </w:rPr>
        <w:drawing>
          <wp:inline distT="0" distB="0" distL="114300" distR="114300">
            <wp:extent cx="4745355" cy="6467475"/>
            <wp:effectExtent l="0" t="0" r="17145" b="9525"/>
            <wp:docPr id="8" name="图片 905" descr="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05" descr="流程图"/>
                    <pic:cNvPicPr>
                      <a:picLocks noChangeAspect="1"/>
                    </pic:cNvPicPr>
                  </pic:nvPicPr>
                  <pic:blipFill>
                    <a:blip r:embed="rId14"/>
                    <a:stretch>
                      <a:fillRect/>
                    </a:stretch>
                  </pic:blipFill>
                  <pic:spPr>
                    <a:xfrm>
                      <a:off x="0" y="0"/>
                      <a:ext cx="4745355" cy="6467475"/>
                    </a:xfrm>
                    <a:prstGeom prst="rect">
                      <a:avLst/>
                    </a:prstGeom>
                    <a:noFill/>
                    <a:ln>
                      <a:noFill/>
                    </a:ln>
                  </pic:spPr>
                </pic:pic>
              </a:graphicData>
            </a:graphic>
          </wp:inline>
        </w:drawing>
      </w:r>
    </w:p>
    <w:bookmarkEnd w:id="40"/>
    <w:bookmarkEnd w:id="58"/>
    <w:bookmarkEnd w:id="59"/>
    <w:bookmarkEnd w:id="60"/>
    <w:bookmarkEnd w:id="61"/>
    <w:bookmarkEnd w:id="62"/>
    <w:p>
      <w:pPr>
        <w:spacing w:line="460" w:lineRule="exact"/>
        <w:ind w:firstLine="541" w:firstLineChars="245"/>
        <w:outlineLvl w:val="4"/>
        <w:rPr>
          <w:rFonts w:hint="eastAsia" w:ascii="新宋体" w:hAnsi="新宋体" w:eastAsia="新宋体" w:cs="新宋体"/>
          <w:b/>
          <w:color w:val="auto"/>
          <w:sz w:val="22"/>
          <w:szCs w:val="22"/>
          <w:highlight w:val="none"/>
        </w:rPr>
      </w:pPr>
      <w:bookmarkStart w:id="199" w:name="_Toc38273463"/>
      <w:r>
        <w:rPr>
          <w:rFonts w:hint="eastAsia" w:ascii="新宋体" w:hAnsi="新宋体" w:eastAsia="新宋体" w:cs="新宋体"/>
          <w:b/>
          <w:color w:val="auto"/>
          <w:sz w:val="22"/>
          <w:szCs w:val="22"/>
          <w:highlight w:val="none"/>
        </w:rPr>
        <w:t>5.3机房建设</w:t>
      </w:r>
      <w:bookmarkEnd w:id="199"/>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作为本次瓯江口雪亮工程建设项目本地运行环境支持，结合本地原有资源，建议对原管委会三楼指挥中心旁边的小型机房进行整理改造成雪亮工程的本地运维机房。</w:t>
      </w:r>
    </w:p>
    <w:p>
      <w:pPr>
        <w:spacing w:line="460" w:lineRule="exact"/>
        <w:ind w:firstLine="541" w:firstLineChars="245"/>
        <w:outlineLvl w:val="4"/>
        <w:rPr>
          <w:rFonts w:hint="eastAsia" w:ascii="新宋体" w:hAnsi="新宋体" w:eastAsia="新宋体" w:cs="新宋体"/>
          <w:b/>
          <w:color w:val="auto"/>
          <w:sz w:val="22"/>
          <w:szCs w:val="22"/>
          <w:highlight w:val="none"/>
        </w:rPr>
      </w:pPr>
      <w:bookmarkStart w:id="200" w:name="_Toc38273464"/>
      <w:r>
        <w:rPr>
          <w:rFonts w:hint="eastAsia" w:ascii="新宋体" w:hAnsi="新宋体" w:eastAsia="新宋体" w:cs="新宋体"/>
          <w:b/>
          <w:color w:val="auto"/>
          <w:sz w:val="22"/>
          <w:szCs w:val="22"/>
          <w:highlight w:val="none"/>
        </w:rPr>
        <w:t>5.4智能运维管理平台服务</w:t>
      </w:r>
      <w:bookmarkEnd w:id="200"/>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5.4.1平台概述</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智能运维管理平台建设旨在全面整合相关应用系统资源，实现有效的浏览、查询检索机制，整体数据通过规范化的元数据管理机制，实现有效的梳理存储，为今后资源的整合奠定基础。不仅如此，在实际项目建设中还将引入人工智能应用模块，实现对共享资源的智能化分析，从而为设备维护、决策预警等提供有力依据。</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大型的应用工程项目的建设必须遵照严格的标准体系建设规范，根据本次项目实际需求，我们通过三个规范体系对项目进行合理的保障，具体包括了安全标准管理系统、标准规范体系以及运行管理体系。通过相关标准的制定、安全架构的保障以及管理规范的建设可以保障整体应用系统的设计、搭建、运维等全流程性工作。</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5.4.2系统架构部署</w:t>
      </w:r>
    </w:p>
    <w:p>
      <w:pPr>
        <w:spacing w:line="460" w:lineRule="exact"/>
        <w:ind w:firstLine="539" w:firstLineChars="245"/>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zh-CN"/>
        </w:rPr>
        <w:t>智能一体化监管运维系统部署于视频专网内，通过以太网方式与视频平台、人像卡口平台、车辆卡口平台等系统平台进行对接</w:t>
      </w:r>
      <w:r>
        <w:rPr>
          <w:rFonts w:hint="eastAsia" w:ascii="新宋体" w:hAnsi="新宋体" w:eastAsia="新宋体" w:cs="新宋体"/>
          <w:bCs/>
          <w:color w:val="auto"/>
          <w:sz w:val="22"/>
          <w:szCs w:val="22"/>
          <w:highlight w:val="none"/>
        </w:rPr>
        <w:t>.</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1）前端各类监控物联感知设备，通过视频监控专网接入汇聚端视频监控管理平台；下级视频监控管理平台通过平台级联至汇聚端视频监控管理平台；</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2）智能运维系统服务器部署于视频专网内，通过国标或私有SDK方式与汇聚端视频监控管理平台对接；</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3）运维系统PC客户端之间通过IE浏览器进行访问；</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4）移动APP运维客户端通过运营商网络接入网关防火墙后，授权访问运维服务器；</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5）运维系统服务器包含WEB应用、数据库、巡检、流媒体、智能算法、算法训练学习等内容。</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5.4.3系统功能</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5.4.3.1平台基础功能</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系统管理主要维护组织机构（如公司、单位、部门等）、用户、角色及权限、日志审计等，平台支持分级授权管理，角色权限管理支持功能权限管理、数据权限管理。支持组织机构数管理，用户可在授权情况下维护本级部门信息及用户信息，本级用户则有权限看到本级部门及子部门所拥有的数据，对于未授权的上级部门或其他同级部门的数据权限和功能权限，该级用户则无权查询。</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后台配置管理，包括设备数据筛选人员管理、通用字典管理、故障原因分类管理、故障上报接口服务管理、业务流转策略管理、经纬度维护等。</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权限控制管理，操作级权限设置，任意组合角色控制权限。包括人员管理、组织管理、角色管理和权限分配等。</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5.4.3.2设备接入</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与视频监控管理平台对接，实现所有前端点位接入，包括治安监控、人脸卡口、车辆卡口。</w:t>
      </w:r>
    </w:p>
    <w:p>
      <w:pPr>
        <w:spacing w:line="460" w:lineRule="exact"/>
        <w:ind w:firstLine="539" w:firstLineChars="245"/>
        <w:rPr>
          <w:rFonts w:hint="eastAsia" w:ascii="新宋体" w:hAnsi="新宋体" w:eastAsia="新宋体" w:cs="新宋体"/>
          <w:bCs/>
          <w:color w:val="auto"/>
          <w:sz w:val="22"/>
          <w:szCs w:val="22"/>
          <w:highlight w:val="none"/>
          <w:lang w:val="zh-CN"/>
        </w:rPr>
      </w:pPr>
      <w:bookmarkStart w:id="201" w:name="_Toc26572"/>
      <w:r>
        <w:rPr>
          <w:rFonts w:hint="eastAsia" w:ascii="新宋体" w:hAnsi="新宋体" w:eastAsia="新宋体" w:cs="新宋体"/>
          <w:bCs/>
          <w:color w:val="auto"/>
          <w:sz w:val="22"/>
          <w:szCs w:val="22"/>
          <w:highlight w:val="none"/>
        </w:rPr>
        <w:t>(</w:t>
      </w:r>
      <w:r>
        <w:rPr>
          <w:rFonts w:hint="eastAsia" w:ascii="新宋体" w:hAnsi="新宋体" w:eastAsia="新宋体" w:cs="新宋体"/>
          <w:bCs/>
          <w:color w:val="auto"/>
          <w:sz w:val="22"/>
          <w:szCs w:val="22"/>
          <w:highlight w:val="none"/>
          <w:lang w:val="zh-CN"/>
        </w:rPr>
        <w:t>1</w:t>
      </w:r>
      <w:r>
        <w:rPr>
          <w:rFonts w:hint="eastAsia" w:ascii="新宋体" w:hAnsi="新宋体" w:eastAsia="新宋体" w:cs="新宋体"/>
          <w:bCs/>
          <w:color w:val="auto"/>
          <w:sz w:val="22"/>
          <w:szCs w:val="22"/>
          <w:highlight w:val="none"/>
        </w:rPr>
        <w:t>)</w:t>
      </w:r>
      <w:r>
        <w:rPr>
          <w:rFonts w:hint="eastAsia" w:ascii="新宋体" w:hAnsi="新宋体" w:eastAsia="新宋体" w:cs="新宋体"/>
          <w:bCs/>
          <w:color w:val="auto"/>
          <w:sz w:val="22"/>
          <w:szCs w:val="22"/>
          <w:highlight w:val="none"/>
          <w:lang w:val="zh-CN"/>
        </w:rPr>
        <w:t>平台对接策略</w:t>
      </w:r>
      <w:bookmarkEnd w:id="201"/>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针对采用GB/T28181标准协议进行平台间流媒体通信的前端设备（如，视频监控、人像卡口、车辆卡口等），系统可以提供实时预览图片功能，可通过该系统的web界面图片预览功能进行实时查看各个点位设备所拍摄的画面信息。</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针对某些采用GB/T28181标准的前端设备（如高清网络摄像头），可以不通过视频联网共享平台，而直接接入到系统，并且系统可对其进行状态巡检，从而实现前端设备跨平台直联，可以通过第三方的流媒体服务软件（如EasyNVR），实现RTSP视频流到RTMP/HLS视频流的转码，并提供了一套API和一个可视化管理平台来供平台程序调用，从而实现前端设备与系统之间的跨平台直联。</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为了提高系统对前端设备的巡检效率和巡检质量，系统采用了并发与安全防护机制，设备并发巡检取流路数大于20路，同时对应取流路数进行的并发图像质量检测也超过20路，取流策略可灵活配置。</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针对程序调用可能遇到的死锁问题，首先采用死锁预防、死锁检测、资源剥夺、撤销进程等方式来预防和解决程序死锁问题。</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在容灾性策略方面，采用应用层容灾和数据层容灾相结合，应用层容灾考虑双机备份部署，实现快速切换，数据层的容灾相对比较复杂，采用高性能的key-value存储系统Redis作为数据缓存系统。</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新增流程引擎组件作为底层支撑平台，该流程引擎组件为其他功能模块提供Web Service接口，供它们灵活调用，以实现各功能模块的业务流转。</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平台业务通过提供restful API给前台程序调用方式， restful API只定义资源操作，很少参与业务逻辑，而且restful API更简洁，更有层次，更易于实现缓存等机制，因此可以实现平台业务逻辑与应用程序的剥离，提高系统的可扩展性和可维护性。</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系统支持实时视频取流，解码回调获取的数据，取消以往的加锁处理做法，采用视频取流和视频解码相分离方式，降低视频取流程序和视频解码程序之间的依赖性和耦合度，从而提高程序的执行效率。</w:t>
      </w:r>
    </w:p>
    <w:p>
      <w:pPr>
        <w:spacing w:line="460" w:lineRule="exact"/>
        <w:ind w:firstLine="539" w:firstLineChars="245"/>
        <w:rPr>
          <w:rFonts w:hint="eastAsia" w:ascii="新宋体" w:hAnsi="新宋体" w:eastAsia="新宋体" w:cs="新宋体"/>
          <w:bCs/>
          <w:color w:val="auto"/>
          <w:sz w:val="22"/>
          <w:szCs w:val="22"/>
          <w:highlight w:val="none"/>
          <w:lang w:val="zh-CN"/>
        </w:rPr>
      </w:pPr>
      <w:bookmarkStart w:id="202" w:name="_Toc2905"/>
      <w:r>
        <w:rPr>
          <w:rFonts w:hint="eastAsia" w:ascii="新宋体" w:hAnsi="新宋体" w:eastAsia="新宋体" w:cs="新宋体"/>
          <w:bCs/>
          <w:color w:val="auto"/>
          <w:sz w:val="22"/>
          <w:szCs w:val="22"/>
          <w:highlight w:val="none"/>
        </w:rPr>
        <w:t>(</w:t>
      </w:r>
      <w:r>
        <w:rPr>
          <w:rFonts w:hint="eastAsia" w:ascii="新宋体" w:hAnsi="新宋体" w:eastAsia="新宋体" w:cs="新宋体"/>
          <w:bCs/>
          <w:color w:val="auto"/>
          <w:sz w:val="22"/>
          <w:szCs w:val="22"/>
          <w:highlight w:val="none"/>
          <w:lang w:val="zh-CN"/>
        </w:rPr>
        <w:t>2</w:t>
      </w:r>
      <w:r>
        <w:rPr>
          <w:rFonts w:hint="eastAsia" w:ascii="新宋体" w:hAnsi="新宋体" w:eastAsia="新宋体" w:cs="新宋体"/>
          <w:bCs/>
          <w:color w:val="auto"/>
          <w:sz w:val="22"/>
          <w:szCs w:val="22"/>
          <w:highlight w:val="none"/>
        </w:rPr>
        <w:t>)</w:t>
      </w:r>
      <w:r>
        <w:rPr>
          <w:rFonts w:hint="eastAsia" w:ascii="新宋体" w:hAnsi="新宋体" w:eastAsia="新宋体" w:cs="新宋体"/>
          <w:bCs/>
          <w:color w:val="auto"/>
          <w:sz w:val="22"/>
          <w:szCs w:val="22"/>
          <w:highlight w:val="none"/>
          <w:lang w:val="zh-CN"/>
        </w:rPr>
        <w:t>多类型平台接入</w:t>
      </w:r>
      <w:bookmarkEnd w:id="202"/>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系统支持多种类型的网络接口对接，可接入包括视频监控、车辆卡口、人像卡口、超级卡口、设备一机一档平台、省厅日志审计等设备平台，并实时获取所对接的平台推送或开放的共享信息，接着对获取的共享数据进行巡检和统计，并作进一步分析和计算，将分析结果进行图形化展示。</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1）视频监控平台对接：通过调用第三方视频监控平台的SDK接口方式获取设备平台自定义分组、设备点位详细信息，平台视频流也是通过调用SDK接口方式获取，取流的同时对平台取流耗时进行统计，基于线程池，对线程内的执行逻辑尽可能快地处理，使用完后立即放回线程池中，防止线程占用带来的线程暴涨问题，提高内存使用率。除了获取以上信息外，平台还会获取监控设备的国标编码GBID、设备平台编号、IP地址、端口地址、设备类型、视频解码库标识及其他国标信息。针对前端视频监控设备的设备清单变更情况，系统会定时对所级联的第三方视频监控平台中的数据进行同步服务，以保证系统一直能获取前端监控设备的最新数据。</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2）车辆卡口平台对接：获取设备清单，具体信息包括设备名称、品牌、型号、配置参数等字段，并获取车辆卡口抓拍的全量过车记录、及过车图像数据信息。针对前端车辆卡口设备的设备清单变更情况，系统会定时对所级联的第三方车辆卡口平台中的数据进行同步服务，以保证系统一直能获取车辆卡口中的最新数据。</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3）人像卡口平台对接： 获取设备清单（如设备名称、品牌、型号、配置参数等字段信息）与组织机构信息，获取人像抓拍记录和人像抓拍图像数据。针对前端人像卡口设备的设备清单变更情况，系统会定时对所级联的第三方人像卡口平台中的数据进行同步服务，以保证系统一直能获取人像卡口中的最新数据。</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5.4.4巡检任务管理</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设备巡检以联机任务调度为核心，开展故障巡检及维修复检，完成前端设备的轮巡检测及故障上报，并形成巡检任务汇总。</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建立智能的巡检任务规则配置，支持智能交通设备巡检，任务配置规则可以按照巡检任务时段、场景规则、巡检内容、设备组巡检频率、巡检设备等多种组合形式进行无障碍监测。</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可灵活设置故障判定标准，包括对图像质量阀值（包括：视频丢失、黑屏、蓝屏、角度异常、条纹雪花、清晰度异常、色偏、过亮、过暗、树叶遮挡）、录像存储故障判定标准（录像丢失、存储故障、录像存储时长）、电子警察与车辆卡口判定标准（图片数量、过车数量、图像质量）进行设置。</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5.4.5视频图像质量诊断</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基于人工智能算法对前端视频监控设备图像质量进行诊断分析，准确判断故障类型。目前已支持各种类型监控视频画面模糊、角度异常、清晰度异常、画面蓝屏、树叶遮挡、雪花条纹、画面过亮、过暗等十几种视频异常检测，同时支持卡口图片清晰度异常、色偏，过亮、过暗、画面异常等多种故障类型检测。</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同时，通过与第三方平台的对接联网，可进行设备在线、离线、取流超时、卡口数据异常、录像存储异常等运维指标检测。</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通过人像卡口、车辆卡口管理平台提供的访问接口，检测人卡抓拍数据、车卡过车数据是否异常。</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5.4.6设备管理</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 xml:space="preserve">从设备基础信息、建设、使用、维保等角度出发，多方面维护设备信息，以资料变更、故障维修、设备停用和设备恢复业务操作为中心，形成设备关键资料变更档案，使得针对设备建设、平台接入、故障维保、移位停用拆除等的业务操作都有据可查，实现全生命周期的设备管理。 </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根据故障频率等相关参数，对设备的健康状况进行评价，为设备报废等决策提供参考依据。</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5.4.6.1基础信息管理</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系统支持“一机一档”设备信息的管理功能,对设备进行全生命周期的监管。具体包括信息录入、修改、查询、导入\导出,支持GB/T28181标准大于100个属性录入和导入,同时可根据需求扩展多个设备属性信息。</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设备信息管理功能模块支持“一机一档”设备信息的录入操作,完成信息录入、修改、校验、保存,批量确认、批量导入功能(按照不同设备类型划分不同模板)、支持设备信息的自定义导出功能，可批量导出设备信息，导入的设备信息，会先提交审核，通过审核后，方可将录入设备的设备信息导入到数据库中。</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(1)</w:t>
      </w:r>
      <w:r>
        <w:rPr>
          <w:rFonts w:hint="eastAsia" w:ascii="新宋体" w:hAnsi="新宋体" w:eastAsia="新宋体" w:cs="新宋体"/>
          <w:bCs/>
          <w:color w:val="auto"/>
          <w:sz w:val="22"/>
          <w:szCs w:val="22"/>
          <w:highlight w:val="none"/>
          <w:lang w:val="zh-CN"/>
        </w:rPr>
        <w:t>系统支持设备信息的查询功能，可对“一机一档”的设备信息进行查询检索操作，检索信息时，可根据设备名称、设备编码、设备点位等属性信息进行组合查询,也可以进行模糊查询，还可根据开头和结尾关键字组合进行查询，查询条件多样化，在形式上，查询条件可实现收起/展开功能，查询条件类别可在下拉框选择，检索结果最终以列表形式展示。除了支持以上常规操作外，系统还支持列表页面查询、组织树查询、高级查询，而且还可对设备的停用、拆除、报废、恢复等状态信息进行查询，针对特定点位的设备信息，可进行隐藏、显示等快捷操作，可选择查看单个设备的详细信息，系统还可根据不同设备类型，来显示不同的信息内容。</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(2)</w:t>
      </w:r>
      <w:r>
        <w:rPr>
          <w:rFonts w:hint="eastAsia" w:ascii="新宋体" w:hAnsi="新宋体" w:eastAsia="新宋体" w:cs="新宋体"/>
          <w:bCs/>
          <w:color w:val="auto"/>
          <w:sz w:val="22"/>
          <w:szCs w:val="22"/>
          <w:highlight w:val="none"/>
          <w:lang w:val="zh-CN"/>
        </w:rPr>
        <w:t>支持设备信息的导入/导出功能，可同步支持设备信息的批量导入导出功能,导入导出格式可按固定模板以EXCEL格式进行操作，并且会对到收入的数据完成数据校验，并能够支持将设备查询结果以EXCEL格式文件导出，系统还支持数据同步上传功能。</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5.4.6.2设备审核</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系统支持设备信息的审核功能,通过具有审核权限的账户，对录入的设备信息进行审核,确保录入信息的正确性和完整性,审核通过的设备信息进入设备档案，审核的内容包括：工单编号、表单类型、申请单位、联系电话、申请时间、申请状态、审核状态等内容信息。设备信息以表格形式进行展示，可对一条或多条设备信息进行审核操作。</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5.4.6.3健康档案</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对设备的状况进行档案化的管理，支持一键查询“设备健康状况”，系统支持查看详细信息、批量导出、生命周期、变更记录功能；关联组织树查询、高级查询功能优化。</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5.4.7故障运维管理</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 xml:space="preserve">以故障上报、运维响应、完成反馈、系统复检、返工与通过等关键节点为依托，形成统一的维修流程。 </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可配式维修流程设计，贴近公安部门及各维保单位的实际维修业务。重点拓展运维流程节点管理，并支持多个维保单位同时进行维修处理，做维修计时，包括设备硬件故障、网络故障、监控平台故障和电力故障等维保操作。</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5.4.8运维考核管理</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在统计分析的基础上，结合设备维保单位的维修情况，对维修服务进行科学且有效地考核。从而有效的提高警用设备的完好率与维保维修效率。主要考核统计的内如如下：</w:t>
      </w:r>
    </w:p>
    <w:p>
      <w:pPr>
        <w:numPr>
          <w:ilvl w:val="0"/>
          <w:numId w:val="5"/>
        </w:numPr>
        <w:spacing w:line="460" w:lineRule="exact"/>
        <w:ind w:left="0" w:firstLine="640"/>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设备建设与使用状况统计报表；</w:t>
      </w:r>
    </w:p>
    <w:p>
      <w:pPr>
        <w:numPr>
          <w:ilvl w:val="0"/>
          <w:numId w:val="5"/>
        </w:numPr>
        <w:spacing w:line="460" w:lineRule="exact"/>
        <w:ind w:left="0" w:firstLine="640"/>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设备故障率、完好率统计报表；</w:t>
      </w:r>
    </w:p>
    <w:p>
      <w:pPr>
        <w:numPr>
          <w:ilvl w:val="0"/>
          <w:numId w:val="5"/>
        </w:numPr>
        <w:spacing w:line="460" w:lineRule="exact"/>
        <w:ind w:left="0" w:firstLine="640"/>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设备维修情况统计报表；</w:t>
      </w:r>
    </w:p>
    <w:p>
      <w:pPr>
        <w:numPr>
          <w:ilvl w:val="0"/>
          <w:numId w:val="5"/>
        </w:numPr>
        <w:spacing w:line="460" w:lineRule="exact"/>
        <w:ind w:left="0" w:firstLine="640"/>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设备存储、录像故障统计报表；</w:t>
      </w:r>
    </w:p>
    <w:p>
      <w:pPr>
        <w:numPr>
          <w:ilvl w:val="0"/>
          <w:numId w:val="5"/>
        </w:numPr>
        <w:spacing w:line="460" w:lineRule="exact"/>
        <w:ind w:left="0" w:firstLine="640"/>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设备各类故障统计报表；</w:t>
      </w:r>
    </w:p>
    <w:p>
      <w:pPr>
        <w:numPr>
          <w:ilvl w:val="0"/>
          <w:numId w:val="5"/>
        </w:numPr>
        <w:spacing w:line="460" w:lineRule="exact"/>
        <w:ind w:left="0" w:firstLine="640"/>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对接设备报备需求，形成报备统计表</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运维考核统计报表：对监控设备维护过程中的各项指标进行管理，可针对不同的所属单位、不同的设备类型、不同的维保单位建立指标体系。</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5.4.9运维概况</w:t>
      </w:r>
    </w:p>
    <w:p>
      <w:pPr>
        <w:spacing w:line="460" w:lineRule="exact"/>
        <w:ind w:firstLine="541" w:firstLineChars="245"/>
        <w:outlineLvl w:val="6"/>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5.4.9.1数据看板</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数据看板模块主要是对各区县责任单位的设备运维情况进行统计和图表化展示，页面顶部从左侧依次是接入平台的一类监控、二类监控、人像设备、车辆卡口、超级卡口等设备的数据展示，还包括视频监控离线数、人像卡口异常数、车辆卡口异常数、超级卡口异常数等设备异常状态的数据展示，结合文字、数字和形象化图标对每种设备和状态进行展示，并用箭头标识数量变化。</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页面顶部最右侧是日常巡检进度条，表示本周接入平台的设备日常巡检进度，进度条右侧时日常巡检总数标识，进度条下方是当前已完成复检的占比数据，闪烁字体不断提醒。当日常巡检完成后，即进度条到达100%时，会进入故障复检监听状态，并开始对已人工完成修复的故障设备进行系统复检。</w:t>
      </w:r>
    </w:p>
    <w:p>
      <w:pPr>
        <w:spacing w:line="460" w:lineRule="exact"/>
        <w:ind w:firstLine="541" w:firstLineChars="245"/>
        <w:outlineLvl w:val="6"/>
        <w:rPr>
          <w:rFonts w:hint="eastAsia" w:ascii="新宋体" w:hAnsi="新宋体" w:eastAsia="新宋体" w:cs="新宋体"/>
          <w:b/>
          <w:color w:val="auto"/>
          <w:sz w:val="22"/>
          <w:szCs w:val="22"/>
          <w:highlight w:val="none"/>
          <w:lang w:val="zh-CN"/>
        </w:rPr>
      </w:pPr>
      <w:r>
        <w:rPr>
          <w:rFonts w:hint="eastAsia" w:ascii="新宋体" w:hAnsi="新宋体" w:eastAsia="新宋体" w:cs="新宋体"/>
          <w:b/>
          <w:color w:val="auto"/>
          <w:sz w:val="22"/>
          <w:szCs w:val="22"/>
          <w:highlight w:val="none"/>
        </w:rPr>
        <w:t>5.4.9.2</w:t>
      </w:r>
      <w:r>
        <w:rPr>
          <w:rFonts w:hint="eastAsia" w:ascii="新宋体" w:hAnsi="新宋体" w:eastAsia="新宋体" w:cs="新宋体"/>
          <w:b/>
          <w:color w:val="auto"/>
          <w:sz w:val="22"/>
          <w:szCs w:val="22"/>
          <w:highlight w:val="none"/>
          <w:lang w:val="zh-CN"/>
        </w:rPr>
        <w:t>平台概况</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系统以大数据为基础，提供数据分析的集约化展现，基于“一页面”对运维的概况进行集中可视化的展示。运维概况主要的内容包括有设备建设概览、使用状态概览、运维亮灯预警、运维趋势分析、责任主体完好率排名、维修耗时排名、维修返工排名等。</w:t>
      </w:r>
    </w:p>
    <w:p>
      <w:pPr>
        <w:spacing w:line="460" w:lineRule="exact"/>
        <w:ind w:firstLine="541" w:firstLineChars="245"/>
        <w:outlineLvl w:val="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5.4.10系统日志</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用户日志页面用于记录所有用户在该系统上的操作（包括PC端和移动端），包括用户登入登出、用户操作（操作时间、功能模块、操作内容）等，以表格形式记录，表格内容包括：序号、用户账号、操作过程、操作时间等信息，支持用户根据用户账号等关键字和操作时间进行查询，此外，系统还支持一键删除和批量导出功能。</w:t>
      </w:r>
    </w:p>
    <w:p>
      <w:pPr>
        <w:spacing w:line="460" w:lineRule="exact"/>
        <w:ind w:firstLine="539" w:firstLineChars="245"/>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lang w:val="zh-CN"/>
        </w:rPr>
        <w:t>平台运行日志用于记录平台中各主要服务的运行状况，比如设备巡检服务、维修复检服务、图像识别服务等，通过选择起始、结束时间进行任务筛选，服务运行统计列表包括操作人ID、操作人、服务名称、开始时间、预计结束时间等字段信息，点击橙色按钮，进入详情弹框页面，可查看包括操作人ID、操作人、服务名称、开始时间、预计结束时间、巡检任务、已巡检数、任务创建时间、备注等字段信息</w:t>
      </w:r>
    </w:p>
    <w:p>
      <w:pPr>
        <w:spacing w:line="460" w:lineRule="exact"/>
        <w:ind w:firstLine="541" w:firstLineChars="245"/>
        <w:outlineLvl w:val="2"/>
        <w:rPr>
          <w:rFonts w:hint="eastAsia" w:ascii="新宋体" w:hAnsi="新宋体" w:eastAsia="新宋体" w:cs="新宋体"/>
          <w:b/>
          <w:color w:val="auto"/>
          <w:sz w:val="22"/>
          <w:szCs w:val="22"/>
          <w:highlight w:val="none"/>
        </w:rPr>
      </w:pPr>
      <w:bookmarkStart w:id="203" w:name="_Toc117214067"/>
      <w:r>
        <w:rPr>
          <w:rFonts w:hint="eastAsia" w:ascii="新宋体" w:hAnsi="新宋体" w:eastAsia="新宋体" w:cs="新宋体"/>
          <w:b/>
          <w:color w:val="auto"/>
          <w:sz w:val="22"/>
          <w:szCs w:val="22"/>
          <w:highlight w:val="none"/>
        </w:rPr>
        <w:t>七、采购内容及要求</w:t>
      </w:r>
      <w:bookmarkEnd w:id="203"/>
    </w:p>
    <w:p>
      <w:pPr>
        <w:spacing w:line="438" w:lineRule="exact"/>
        <w:ind w:firstLine="552" w:firstLineChars="250"/>
        <w:outlineLvl w:val="4"/>
        <w:rPr>
          <w:rFonts w:hint="eastAsia" w:ascii="新宋体" w:hAnsi="新宋体" w:eastAsia="新宋体"/>
          <w:color w:val="auto"/>
          <w:sz w:val="22"/>
          <w:highlight w:val="none"/>
        </w:rPr>
      </w:pPr>
      <w:r>
        <w:rPr>
          <w:rFonts w:hint="eastAsia" w:ascii="新宋体" w:hAnsi="新宋体" w:eastAsia="新宋体"/>
          <w:b/>
          <w:bCs/>
          <w:color w:val="auto"/>
          <w:sz w:val="22"/>
          <w:highlight w:val="none"/>
        </w:rPr>
        <w:t>标段一：瓯江口雪亮工程建设项目-公安监控建设</w:t>
      </w:r>
    </w:p>
    <w:p>
      <w:pPr>
        <w:spacing w:line="460" w:lineRule="exact"/>
        <w:ind w:firstLine="541" w:firstLineChars="245"/>
        <w:rPr>
          <w:rFonts w:hint="eastAsia"/>
          <w:color w:val="auto"/>
          <w:highlight w:val="none"/>
        </w:rPr>
      </w:pPr>
      <w:r>
        <w:rPr>
          <w:rFonts w:hint="eastAsia" w:ascii="新宋体" w:hAnsi="新宋体" w:eastAsia="新宋体"/>
          <w:b/>
          <w:color w:val="auto"/>
          <w:sz w:val="22"/>
          <w:szCs w:val="22"/>
          <w:highlight w:val="none"/>
        </w:rPr>
        <w:t>财政预算:</w:t>
      </w:r>
      <w:r>
        <w:rPr>
          <w:rFonts w:hint="eastAsia" w:ascii="新宋体" w:hAnsi="新宋体" w:eastAsia="新宋体"/>
          <w:b/>
          <w:color w:val="auto"/>
          <w:sz w:val="22"/>
          <w:highlight w:val="none"/>
          <w:u w:val="single"/>
        </w:rPr>
        <w:t>人民币壹仟零伍拾玖万壹仟肆佰元整（¥10591400.00元），</w:t>
      </w:r>
      <w:r>
        <w:rPr>
          <w:rFonts w:hint="eastAsia" w:ascii="新宋体" w:hAnsi="新宋体" w:eastAsia="新宋体" w:cs="新宋体"/>
          <w:b/>
          <w:color w:val="auto"/>
          <w:sz w:val="22"/>
          <w:szCs w:val="22"/>
          <w:highlight w:val="none"/>
        </w:rPr>
        <w:t>如投标人报价超过财政预算按无效标处理。</w:t>
      </w:r>
    </w:p>
    <w:tbl>
      <w:tblPr>
        <w:tblStyle w:val="52"/>
        <w:tblW w:w="9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1258"/>
        <w:gridCol w:w="5813"/>
        <w:gridCol w:w="709"/>
        <w:gridCol w:w="711"/>
        <w:gridCol w:w="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11" w:type="dxa"/>
            <w:gridSpan w:val="6"/>
            <w:noWrap w:val="0"/>
            <w:vAlign w:val="center"/>
          </w:tcPr>
          <w:p>
            <w:pPr>
              <w:spacing w:line="460" w:lineRule="exact"/>
              <w:ind w:right="26"/>
              <w:jc w:val="left"/>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一、点位网络优化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序号</w:t>
            </w:r>
          </w:p>
        </w:tc>
        <w:tc>
          <w:tcPr>
            <w:tcW w:w="1258"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项目内容</w:t>
            </w:r>
          </w:p>
        </w:tc>
        <w:tc>
          <w:tcPr>
            <w:tcW w:w="5813"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主要设备的型号、规格</w:t>
            </w:r>
          </w:p>
        </w:tc>
        <w:tc>
          <w:tcPr>
            <w:tcW w:w="709"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数量</w:t>
            </w:r>
          </w:p>
        </w:tc>
        <w:tc>
          <w:tcPr>
            <w:tcW w:w="711"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单位</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网络设备</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实现前端链路所需网络设备</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211</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系统集成费</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原有建设视频监控改造，含前端施工调试及机房服务器平台软件调试等内容，改造符合公安视频专网接入标准规范。</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211</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路</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专网网络</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与视频专网中心机房互联互通的上行速率不低于100M视频专网专线电路（与互联网物理隔离）的光纤链路租费和维护费。</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211</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路</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运维费</w:t>
            </w:r>
          </w:p>
        </w:tc>
        <w:tc>
          <w:tcPr>
            <w:tcW w:w="581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前端运维费</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211</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路</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11" w:type="dxa"/>
            <w:gridSpan w:val="6"/>
            <w:noWrap w:val="0"/>
            <w:vAlign w:val="center"/>
          </w:tcPr>
          <w:p>
            <w:pPr>
              <w:spacing w:line="460" w:lineRule="exact"/>
              <w:ind w:right="26"/>
              <w:jc w:val="left"/>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二、治安监控建设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序号</w:t>
            </w:r>
          </w:p>
        </w:tc>
        <w:tc>
          <w:tcPr>
            <w:tcW w:w="1258"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项目内容</w:t>
            </w:r>
          </w:p>
        </w:tc>
        <w:tc>
          <w:tcPr>
            <w:tcW w:w="5813"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主要设备的型号、规格</w:t>
            </w:r>
          </w:p>
        </w:tc>
        <w:tc>
          <w:tcPr>
            <w:tcW w:w="709"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数量</w:t>
            </w:r>
          </w:p>
        </w:tc>
        <w:tc>
          <w:tcPr>
            <w:tcW w:w="711"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单位</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智能球机</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r>
              <w:rPr>
                <w:rFonts w:hint="eastAsia" w:ascii="仿宋" w:hAnsi="仿宋" w:eastAsia="仿宋"/>
                <w:color w:val="auto"/>
                <w:highlight w:val="none"/>
              </w:rPr>
              <w:t>★</w:t>
            </w:r>
            <w:r>
              <w:rPr>
                <w:rFonts w:hint="eastAsia" w:ascii="新宋体" w:hAnsi="新宋体" w:eastAsia="新宋体" w:cs="新宋体"/>
                <w:color w:val="auto"/>
                <w:kern w:val="0"/>
                <w:sz w:val="22"/>
                <w:szCs w:val="22"/>
                <w:highlight w:val="none"/>
              </w:rPr>
              <w:t>含400万8寸星光级全高清无球罩球机（无半球形透明罩），安装附件。</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2、不小于1/1.8英寸靶面CMOS 传感器，宽动态范围大于120db，信噪比不小于60db，支持强光抑制、透雾，支持8行OSD字符叠加，可支持字体大小调整，字体颜色修改。超低照度彩色 0.0002Lux/F1.5、黑白0.0001Lux/F1.5；自带红外夜视距离不少于500米</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3、符合最新GB/T 28181标准及补充规定，通过省厅规范检测，必须兼容温州公安现有视频监控系统及设备，必须符合《温州市安全防范视频监控联网系统信息传输交换控制技术要求》，10M/100M自适应电口，支持H.265、H.264/MJPEG编码协议，分辨率及帧率；支持5路码流同时输出，支持同时输出不少于2路高清视频图像，高清视频图像分辨率与帧率不小于2560×1440、60帧/s，支持SNMP网管协议远程监测、管理，支持标准NTP校时，支持远程升级。</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4、室外球机应具备较好防护性能，支持IP67；具备较好的电磁兼容性，支持空气放电20KV，接触放电10KV，15KV防浪涌。  具备较好的电源适应性，电压在AC24V±25%或DC24V±25%范围内变化时，设备可正常工作 。</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摄像机内置镜头，支持不小于32倍光学变倍，镜头最大焦距不小于192mm。支持快速聚焦功能，当设备跟踪行人或机动车等移动目标并录像时，单帧回放录像文件，每1帧画面均应清晰可见。可对距设备100米处的人脸进行抓拍。</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支持水平手控速度不小于800°/S，垂直手控速度不小于300°/s。水平旋转范围为360°连续旋转，垂直旋转范围为-45°~90°。支持300个预置位，可按照所设置的预置位完成不小于8条巡航路径，每条巡航路径可设置不小于32个预置点。</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w:t>
            </w:r>
            <w:r>
              <w:rPr>
                <w:rFonts w:hint="eastAsia" w:ascii="仿宋" w:hAnsi="仿宋" w:eastAsia="仿宋"/>
                <w:color w:val="auto"/>
                <w:highlight w:val="none"/>
              </w:rPr>
              <w:t>★</w:t>
            </w:r>
            <w:r>
              <w:rPr>
                <w:rFonts w:hint="eastAsia" w:ascii="新宋体" w:hAnsi="新宋体" w:eastAsia="新宋体" w:cs="新宋体"/>
                <w:color w:val="auto"/>
                <w:kern w:val="0"/>
                <w:sz w:val="22"/>
                <w:szCs w:val="22"/>
                <w:highlight w:val="none"/>
              </w:rPr>
              <w:t>内置GPU智能处理芯片，具备人脸、人体抓拍并关联输出功能，支持指哪抓哪、多场景轮巡抓拍、远距离卡口抓拍模式。支持人脸人体车辆同时抓拍，人脸人体关联输出，并实现对人脸、人体、车辆结构化属性特征信息提取。（以</w:t>
            </w:r>
            <w:r>
              <w:rPr>
                <w:rFonts w:hint="eastAsia" w:ascii="新宋体" w:hAnsi="新宋体" w:eastAsia="新宋体" w:cs="新宋体"/>
                <w:color w:val="auto"/>
                <w:kern w:val="0"/>
                <w:sz w:val="22"/>
                <w:szCs w:val="22"/>
                <w:highlight w:val="none"/>
                <w:lang w:val="en-US" w:eastAsia="zh-CN"/>
              </w:rPr>
              <w:t>第三方权威</w:t>
            </w:r>
            <w:r>
              <w:rPr>
                <w:rFonts w:hint="eastAsia" w:ascii="新宋体" w:hAnsi="新宋体" w:eastAsia="新宋体" w:cs="新宋体"/>
                <w:color w:val="auto"/>
                <w:kern w:val="0"/>
                <w:sz w:val="22"/>
                <w:szCs w:val="22"/>
                <w:highlight w:val="none"/>
              </w:rPr>
              <w:t>检验报告为准）</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在混合目标检测模式下，可同时对行人、非机动车、机动车进行分类计数。在混合目标检测模式下，对监视区域中的行人、非机动车和机动车的目标捕获率不低于99%，可支持人脸与人体、车牌与车辆的关联显示。设备可显示行人、非机动车的属性。（以</w:t>
            </w:r>
            <w:r>
              <w:rPr>
                <w:rFonts w:hint="eastAsia" w:ascii="新宋体" w:hAnsi="新宋体" w:eastAsia="新宋体" w:cs="新宋体"/>
                <w:color w:val="auto"/>
                <w:kern w:val="0"/>
                <w:sz w:val="22"/>
                <w:szCs w:val="22"/>
                <w:highlight w:val="none"/>
                <w:lang w:val="en-US" w:eastAsia="zh-CN"/>
              </w:rPr>
              <w:t>第三方权威</w:t>
            </w:r>
            <w:r>
              <w:rPr>
                <w:rFonts w:hint="eastAsia" w:ascii="新宋体" w:hAnsi="新宋体" w:eastAsia="新宋体" w:cs="新宋体"/>
                <w:color w:val="auto"/>
                <w:kern w:val="0"/>
                <w:sz w:val="22"/>
                <w:szCs w:val="22"/>
                <w:highlight w:val="none"/>
              </w:rPr>
              <w:t>检验报告为准）</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9、支持7路报警输入接口，2路报警输出接口，支持1路音频输入和输出接口。最大支持512GB的SD卡。</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92</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5年质保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智能枪机</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r>
              <w:rPr>
                <w:rFonts w:hint="eastAsia" w:ascii="仿宋" w:hAnsi="仿宋" w:eastAsia="仿宋"/>
                <w:color w:val="auto"/>
                <w:highlight w:val="none"/>
              </w:rPr>
              <w:t>★</w:t>
            </w:r>
            <w:r>
              <w:rPr>
                <w:rFonts w:hint="eastAsia" w:ascii="新宋体" w:hAnsi="新宋体" w:eastAsia="新宋体" w:cs="新宋体"/>
                <w:color w:val="auto"/>
                <w:kern w:val="0"/>
                <w:sz w:val="22"/>
                <w:szCs w:val="22"/>
                <w:highlight w:val="none"/>
              </w:rPr>
              <w:t>含400万星光级全高清网络摄像机、全天候护罩、高清镜头（11－40mm）、安装附件。</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2、不小于1/1.8英寸靶面CMOS 传感器，像元尺寸不小于2.9um×2.9um。宽动态范围不小于120db，信噪比不小于60db，支持强光抑制，最低照度彩色不大于0.0002 lx，黑白不大于0.0001 lx。</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3、符合最新GB/T 28181-2016标准及补充规定，通过省厅规范检测，必须兼容温州公安现有视频监控系统及设备，必须符合《温州市安全防范视频监控联网系统信息传输交换控制技术要求》，10M/100M自适应电口，支持H.265、H.264/MJPEG编码协议，需支持四码流技术，主码流分辨率不小于2560x1440@25fps，子码流不小于704x576@25fps，第三码流不小于1920x1080@25fps，第四码流不小于704x576@25fps。支持网络自适应，10％丢包网络环境下图像效果良好，支持SNMP网管协议远程监测、管理，支持标准NTP校时，支持远程升级。</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4、支持AC220V、DC12V、AC24V或POE供电，支持长时间±10％宽范围电压输入；支持电源及信号输入端防浪涌（GB/T17626.5-2008 1.2/50微秒模型）电源输入端不小于共模电压2KV 差模不小于1KV 网口不小于2KV；在-20～60℃环境温度下长时间稳定工作。</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5、</w:t>
            </w:r>
            <w:r>
              <w:rPr>
                <w:rFonts w:hint="eastAsia" w:ascii="仿宋" w:hAnsi="仿宋" w:eastAsia="仿宋"/>
                <w:color w:val="auto"/>
                <w:highlight w:val="none"/>
              </w:rPr>
              <w:t>★</w:t>
            </w:r>
            <w:r>
              <w:rPr>
                <w:rFonts w:hint="eastAsia" w:ascii="新宋体" w:hAnsi="新宋体" w:eastAsia="新宋体" w:cs="新宋体"/>
                <w:color w:val="auto"/>
                <w:kern w:val="0"/>
                <w:sz w:val="22"/>
                <w:szCs w:val="22"/>
                <w:highlight w:val="none"/>
              </w:rPr>
              <w:t>设备通信报文中不存在明文格式的用户身份鉴别信息。支持https通信协议，且https协议不存在已公布的漏洞。设备默认不开启telnet、ftp和tftp服务，对未使用的服务及端口应默认关闭。（以</w:t>
            </w:r>
            <w:r>
              <w:rPr>
                <w:rFonts w:hint="eastAsia" w:ascii="新宋体" w:hAnsi="新宋体" w:eastAsia="新宋体" w:cs="新宋体"/>
                <w:color w:val="auto"/>
                <w:kern w:val="0"/>
                <w:sz w:val="22"/>
                <w:szCs w:val="22"/>
                <w:highlight w:val="none"/>
                <w:lang w:val="en-US" w:eastAsia="zh-CN"/>
              </w:rPr>
              <w:t>第三方权威</w:t>
            </w:r>
            <w:r>
              <w:rPr>
                <w:rFonts w:hint="eastAsia" w:ascii="新宋体" w:hAnsi="新宋体" w:eastAsia="新宋体" w:cs="新宋体"/>
                <w:color w:val="auto"/>
                <w:kern w:val="0"/>
                <w:sz w:val="22"/>
                <w:szCs w:val="22"/>
                <w:highlight w:val="none"/>
              </w:rPr>
              <w:t>检验报告为准）</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内置GPU智能处理芯片，支持同时检测并且抓拍30张人脸，支持对运动人脸进行检测、跟踪、抓拍、评分、筛选输出最优的人脸抓图，支持最佳抓拍，快速抓拍。支持前端人脸比对，支持最多3个人脸库的管理，支持最多9万张人脸的导入。支持背向行驶车辆抓拍，支持车牌、子品牌、车身颜色、车辆类型。支持行人、非机动车、机动车的混行检测。</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w:t>
            </w:r>
            <w:r>
              <w:rPr>
                <w:rFonts w:hint="eastAsia" w:ascii="仿宋" w:hAnsi="仿宋" w:eastAsia="仿宋"/>
                <w:color w:val="auto"/>
                <w:highlight w:val="none"/>
              </w:rPr>
              <w:t>★</w:t>
            </w:r>
            <w:r>
              <w:rPr>
                <w:rFonts w:hint="eastAsia" w:ascii="新宋体" w:hAnsi="新宋体" w:eastAsia="新宋体" w:cs="新宋体"/>
                <w:color w:val="auto"/>
                <w:kern w:val="0"/>
                <w:sz w:val="22"/>
                <w:szCs w:val="22"/>
                <w:highlight w:val="none"/>
              </w:rPr>
              <w:t>需具有1个RJ45网络接口、1路CVBS视频输出、1路报警输入、1路报警输出接口、1个音频输入、1个音频输出接口、1个RS485接口、1个RS232接口、1个SD卡槽。需支持本地SD卡存储，最大支持512G，并支持存储卡可使用时长显示。支持对存储卡进行读写锁定，锁定后的存储卡在移动终端需要密码才能访问。（以</w:t>
            </w:r>
            <w:r>
              <w:rPr>
                <w:rFonts w:hint="eastAsia" w:ascii="新宋体" w:hAnsi="新宋体" w:eastAsia="新宋体" w:cs="新宋体"/>
                <w:color w:val="auto"/>
                <w:kern w:val="0"/>
                <w:sz w:val="22"/>
                <w:szCs w:val="22"/>
                <w:highlight w:val="none"/>
                <w:lang w:val="en-US" w:eastAsia="zh-CN"/>
              </w:rPr>
              <w:t>第三方权威</w:t>
            </w:r>
            <w:r>
              <w:rPr>
                <w:rFonts w:hint="eastAsia" w:ascii="新宋体" w:hAnsi="新宋体" w:eastAsia="新宋体" w:cs="新宋体"/>
                <w:color w:val="auto"/>
                <w:kern w:val="0"/>
                <w:sz w:val="22"/>
                <w:szCs w:val="22"/>
                <w:highlight w:val="none"/>
              </w:rPr>
              <w:t>检验报告为准）</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5年质保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枪球一体机</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r>
              <w:rPr>
                <w:rFonts w:hint="eastAsia" w:ascii="仿宋" w:hAnsi="仿宋" w:eastAsia="仿宋"/>
                <w:color w:val="auto"/>
                <w:highlight w:val="none"/>
              </w:rPr>
              <w:t>★</w:t>
            </w:r>
            <w:r>
              <w:rPr>
                <w:rFonts w:hint="eastAsia" w:ascii="新宋体" w:hAnsi="新宋体" w:eastAsia="新宋体" w:cs="新宋体"/>
                <w:color w:val="auto"/>
                <w:kern w:val="0"/>
                <w:sz w:val="22"/>
                <w:szCs w:val="22"/>
                <w:highlight w:val="none"/>
              </w:rPr>
              <w:t>枪球一体摄像机采用一体化设计，由400万枪机、400万球机和扬声器组成。枪机靶面尺寸不小于1/1.8英寸；球机靶面尺寸不小于1/1.8英寸。枪机内置镜头，支持不少于4倍光学变倍，焦距范围不少于13-52mm。球机内置镜头，支持不低于37倍光学变倍，镜头最大焦距不小于208mm。枪球一体机内置不少于2个GPU芯片，可输出不少于两路视频图像。（以</w:t>
            </w:r>
            <w:r>
              <w:rPr>
                <w:rFonts w:hint="eastAsia" w:ascii="新宋体" w:hAnsi="新宋体" w:eastAsia="新宋体" w:cs="新宋体"/>
                <w:color w:val="auto"/>
                <w:kern w:val="0"/>
                <w:sz w:val="22"/>
                <w:szCs w:val="22"/>
                <w:highlight w:val="none"/>
                <w:lang w:val="en-US" w:eastAsia="zh-CN"/>
              </w:rPr>
              <w:t>第三方权威</w:t>
            </w:r>
            <w:r>
              <w:rPr>
                <w:rFonts w:hint="eastAsia" w:ascii="新宋体" w:hAnsi="新宋体" w:eastAsia="新宋体" w:cs="新宋体"/>
                <w:color w:val="auto"/>
                <w:kern w:val="0"/>
                <w:sz w:val="22"/>
                <w:szCs w:val="22"/>
                <w:highlight w:val="none"/>
              </w:rPr>
              <w:t>检验报告为准）</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w:t>
            </w:r>
            <w:r>
              <w:rPr>
                <w:rFonts w:hint="eastAsia" w:ascii="仿宋" w:hAnsi="仿宋" w:eastAsia="仿宋"/>
                <w:color w:val="auto"/>
                <w:highlight w:val="none"/>
              </w:rPr>
              <w:t>★</w:t>
            </w:r>
            <w:r>
              <w:rPr>
                <w:rFonts w:hint="eastAsia" w:ascii="新宋体" w:hAnsi="新宋体" w:eastAsia="新宋体" w:cs="新宋体"/>
                <w:color w:val="auto"/>
                <w:kern w:val="0"/>
                <w:sz w:val="22"/>
                <w:szCs w:val="22"/>
                <w:highlight w:val="none"/>
              </w:rPr>
              <w:t>宽动态范围大于120db，信噪比不小于60db。支持最低照度可达彩色0.0002Lux，黑白0.0001Lux。视频分辨率与帧率不小于2560×1440、60帧/秒。球机红外距离不小于500米。（以</w:t>
            </w:r>
            <w:r>
              <w:rPr>
                <w:rFonts w:hint="eastAsia" w:ascii="新宋体" w:hAnsi="新宋体" w:eastAsia="新宋体" w:cs="新宋体"/>
                <w:color w:val="auto"/>
                <w:kern w:val="0"/>
                <w:sz w:val="22"/>
                <w:szCs w:val="22"/>
                <w:highlight w:val="none"/>
                <w:lang w:val="en-US" w:eastAsia="zh-CN"/>
              </w:rPr>
              <w:t>第三方权威</w:t>
            </w:r>
            <w:r>
              <w:rPr>
                <w:rFonts w:hint="eastAsia" w:ascii="新宋体" w:hAnsi="新宋体" w:eastAsia="新宋体" w:cs="新宋体"/>
                <w:color w:val="auto"/>
                <w:kern w:val="0"/>
                <w:sz w:val="22"/>
                <w:szCs w:val="22"/>
                <w:highlight w:val="none"/>
              </w:rPr>
              <w:t>检验报告为准）</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3、可通过客户端软件控制枪机上/下/左/右运动，枪机水平旋转范围：-45°~45°，垂直旋转范围：-5°-30°。球机支持水平旋转范围为360°连续旋转，垂直旋转范围为-20°~90°。语音联动功能，当有停车、逆行、压线、变道、掉头、拥堵、机动车占用非机动车道现象被触发时，样机可分别发出不同的语言提示。（以</w:t>
            </w:r>
            <w:r>
              <w:rPr>
                <w:rFonts w:hint="eastAsia" w:ascii="新宋体" w:hAnsi="新宋体" w:eastAsia="新宋体" w:cs="新宋体"/>
                <w:color w:val="auto"/>
                <w:kern w:val="0"/>
                <w:sz w:val="22"/>
                <w:szCs w:val="22"/>
                <w:highlight w:val="none"/>
                <w:lang w:val="en-US" w:eastAsia="zh-CN"/>
              </w:rPr>
              <w:t>第三方权威</w:t>
            </w:r>
            <w:r>
              <w:rPr>
                <w:rFonts w:hint="eastAsia" w:ascii="新宋体" w:hAnsi="新宋体" w:eastAsia="新宋体" w:cs="新宋体"/>
                <w:color w:val="auto"/>
                <w:kern w:val="0"/>
                <w:sz w:val="22"/>
                <w:szCs w:val="22"/>
                <w:highlight w:val="none"/>
              </w:rPr>
              <w:t>检验报告为准）</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4、枪机和球机通道同时支持违章取证、交通事件检测、交通数据采集、车辆检测功能。支持违法停车抓拍功能，且白天和晚上违法停车捕获率、捕获有效率均大于99%。支持违法停车抓拍、道路拥堵检测、掉头检测、压线抓拍、违法变道、逆行抓拍、机占非抓拍。支持抛洒物报警、施工报警、锥形路障检测抓拍、交通数据采集查询。球机通道需自带白光灯，支持针对车牌进行白光补光，提升产品适应范围。（以</w:t>
            </w:r>
            <w:r>
              <w:rPr>
                <w:rFonts w:hint="eastAsia" w:ascii="新宋体" w:hAnsi="新宋体" w:eastAsia="新宋体" w:cs="新宋体"/>
                <w:color w:val="auto"/>
                <w:kern w:val="0"/>
                <w:sz w:val="22"/>
                <w:szCs w:val="22"/>
                <w:highlight w:val="none"/>
                <w:lang w:val="en-US" w:eastAsia="zh-CN"/>
              </w:rPr>
              <w:t>第三方权威</w:t>
            </w:r>
            <w:r>
              <w:rPr>
                <w:rFonts w:hint="eastAsia" w:ascii="新宋体" w:hAnsi="新宋体" w:eastAsia="新宋体" w:cs="新宋体"/>
                <w:color w:val="auto"/>
                <w:kern w:val="0"/>
                <w:sz w:val="22"/>
                <w:szCs w:val="22"/>
                <w:highlight w:val="none"/>
              </w:rPr>
              <w:t>检验报告为准）</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5、具备自动标定功能，可通过客户端软件对枪机进行一键自动标定，实现枪机与球机之间检测区域的定位，标定点的数量不小于6个。（以</w:t>
            </w:r>
            <w:r>
              <w:rPr>
                <w:rFonts w:hint="eastAsia" w:ascii="新宋体" w:hAnsi="新宋体" w:eastAsia="新宋体" w:cs="新宋体"/>
                <w:color w:val="auto"/>
                <w:kern w:val="0"/>
                <w:sz w:val="22"/>
                <w:szCs w:val="22"/>
                <w:highlight w:val="none"/>
                <w:lang w:val="en-US" w:eastAsia="zh-CN"/>
              </w:rPr>
              <w:t>第三方权威</w:t>
            </w:r>
            <w:r>
              <w:rPr>
                <w:rFonts w:hint="eastAsia" w:ascii="新宋体" w:hAnsi="新宋体" w:eastAsia="新宋体" w:cs="新宋体"/>
                <w:color w:val="auto"/>
                <w:kern w:val="0"/>
                <w:sz w:val="22"/>
                <w:szCs w:val="22"/>
                <w:highlight w:val="none"/>
              </w:rPr>
              <w:t>检验报告为准）</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6、电压在DC36V±25%范围内变化时，设备可正常工作。工作温度范围可达-40℃-70℃，支持IP67。支持IK10防暴等级。</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7、采用一体化设计，单IP、单网线、单电源、免服务器，安装便捷。</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5年质保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立杆、支架</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1、立杆，基础符合DB33/T 502—2004，一般4-6米挑3-4.5米，立杆需防锈、镀锌，特殊环境根据现场情况定制。</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2、由采购人根据实际环境决定是否安装，结算按实际安装数量计量。</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 xml:space="preserve">3、杆件的使用权全权在甲方，3年到期后，还可以继续使用的杆件其使用权仍在甲方，需要拆改需征得采购人同意。 </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98</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网络设备</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1.实现前端链路所需网络设备</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98</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补光灯</w:t>
            </w:r>
          </w:p>
        </w:tc>
        <w:tc>
          <w:tcPr>
            <w:tcW w:w="5813" w:type="dxa"/>
            <w:noWrap w:val="0"/>
            <w:vAlign w:val="center"/>
          </w:tcPr>
          <w:p>
            <w:pPr>
              <w:spacing w:line="460" w:lineRule="exact"/>
              <w:ind w:right="26"/>
              <w:jc w:val="left"/>
              <w:rPr>
                <w:rFonts w:hint="default" w:ascii="新宋体" w:hAnsi="新宋体" w:eastAsia="新宋体" w:cs="新宋体"/>
                <w:color w:val="auto"/>
                <w:kern w:val="0"/>
                <w:sz w:val="22"/>
                <w:szCs w:val="22"/>
                <w:highlight w:val="none"/>
                <w:lang w:val="en-US" w:eastAsia="zh-CN"/>
              </w:rPr>
            </w:pPr>
            <w:r>
              <w:rPr>
                <w:rFonts w:hint="eastAsia" w:ascii="新宋体" w:hAnsi="新宋体" w:eastAsia="新宋体" w:cs="新宋体"/>
                <w:color w:val="auto"/>
                <w:kern w:val="0"/>
                <w:sz w:val="22"/>
                <w:szCs w:val="22"/>
                <w:highlight w:val="none"/>
              </w:rPr>
              <w:t>1.高效led白光补光灯灯具，采用led白光芯片，光效&gt;130LM/W，灯具出光角度30~120度，额定功率&lt;30W;</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2.支持常亮模式</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3.支持远程亮度调节、远程参数监测、故障报警、远程开关、中心校时万年历时控（根据不同月份实现精准控制开关灯时间）接口；</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4.灯具防护等级不小于IP66，提供AC220v电源输入口，支持长时间±10%宽范围电压输入；支持电源及信号输入端防浪涌（GB/T17626.5-2008 1.2/50微型模型）电源输入端不小于共模电压2kv差模不小于1kv信号口不小于2kv；在-20~60℃环境温度下长时间稳定工作;电源跟灯体之间以及电源输入端要求采用防水对接头；</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5.产品通过公安部三所检验合格</w:t>
            </w:r>
            <w:r>
              <w:rPr>
                <w:rFonts w:hint="eastAsia" w:ascii="新宋体" w:hAnsi="新宋体" w:eastAsia="新宋体" w:cs="新宋体"/>
                <w:color w:val="auto"/>
                <w:kern w:val="0"/>
                <w:sz w:val="22"/>
                <w:szCs w:val="22"/>
                <w:highlight w:val="none"/>
                <w:lang w:eastAsia="zh-CN"/>
              </w:rPr>
              <w:t>，</w:t>
            </w:r>
            <w:r>
              <w:rPr>
                <w:rFonts w:hint="eastAsia" w:ascii="新宋体" w:hAnsi="新宋体" w:eastAsia="新宋体" w:cs="新宋体"/>
                <w:color w:val="auto"/>
                <w:kern w:val="0"/>
                <w:sz w:val="22"/>
                <w:szCs w:val="22"/>
                <w:highlight w:val="none"/>
                <w:lang w:val="en-US" w:eastAsia="zh-CN"/>
              </w:rPr>
              <w:t>提供检测证书</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98</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台</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5年质保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智能网络箱</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1.箱门检测：箱门状态检测；</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2.远程控制：可远程开关或重启设备供电；</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3.异常告警：当设备电流/电压等数据超出设定范围时、机箱门处于开启状态时，具有报警功能，报警包上传；</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4.管理功能：设备具有直接接入网络功能，可单独设置IP，并可通过IE浏览器或客户端软件登录管理设备，远程修改配置各项参数；</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5.远程升级:远程管理功能、远程升级功能、远程校时功能;</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6.采用304不锈钢，至少5年内不得出现明显的锈蚀或老化现象；机箱内部结构按照上面所列设备的规格进行定制，提供定制的光纤盘位、电源防护设备位、隔热、散热、防护良好，布局合理、模块化清晰，提供标准的固定导轨,竣工后出线口用防火泥封堵，预留两个电源插口，进线电源线≥3*1.5MM，机箱底部开网状散热口；包含空气开关、防浪涌保护器（40KA），配备一个备用插座；一路AC220V输入，最大电流20A；机箱防护等级不低于IP54，机箱正面警徽、民安工程、网络箱编号的颜色鲜艳、清晰，保证5年内雨淋、日晒不脱落、不会明显褪色。</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98</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5年质保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施工费</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含前端设备安装，立杆基础的开挖、做模、浇筑、路面平整、修补、回填、废土清运等工作及材料，设备调测，辅材、附件、工具、人工等的全部费用。</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98</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专网网络</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服务费</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与视频专网中心机房互联互通的上行速率不低于100M视频专网专线电路（与互联网物理隔离）的光纤链路租费和维护费。</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98</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路</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运维费</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含日常清洁、巡检、维修、抢修的全部费用。</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98</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路</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11</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前端设备电费</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含摄像机、补光灯、网络设备、智能网络箱等前端设备的电费。</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98</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路</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11" w:type="dxa"/>
            <w:gridSpan w:val="6"/>
            <w:noWrap w:val="0"/>
            <w:vAlign w:val="center"/>
          </w:tcPr>
          <w:p>
            <w:pPr>
              <w:spacing w:line="460" w:lineRule="exact"/>
              <w:ind w:right="26"/>
              <w:jc w:val="left"/>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三、高位治安监控建设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序号</w:t>
            </w:r>
          </w:p>
        </w:tc>
        <w:tc>
          <w:tcPr>
            <w:tcW w:w="1258"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项目内容</w:t>
            </w:r>
          </w:p>
        </w:tc>
        <w:tc>
          <w:tcPr>
            <w:tcW w:w="5813"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主要设备的型号、规格</w:t>
            </w:r>
          </w:p>
        </w:tc>
        <w:tc>
          <w:tcPr>
            <w:tcW w:w="709"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数量</w:t>
            </w:r>
          </w:p>
        </w:tc>
        <w:tc>
          <w:tcPr>
            <w:tcW w:w="711"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单位</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智能球机（高位)</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r>
              <w:rPr>
                <w:rFonts w:hint="eastAsia" w:ascii="仿宋" w:hAnsi="仿宋" w:eastAsia="仿宋"/>
                <w:color w:val="auto"/>
                <w:highlight w:val="none"/>
              </w:rPr>
              <w:t>★</w:t>
            </w:r>
            <w:r>
              <w:rPr>
                <w:rFonts w:hint="eastAsia" w:ascii="新宋体" w:hAnsi="新宋体" w:eastAsia="新宋体" w:cs="新宋体"/>
                <w:color w:val="auto"/>
                <w:kern w:val="0"/>
                <w:sz w:val="22"/>
                <w:szCs w:val="22"/>
                <w:highlight w:val="none"/>
              </w:rPr>
              <w:t>2400万270°全景网络高清智能球机，采用一体化设计，自带镜头，另配不少于6个图像采集模块，可输出1路主视频图像和6路辅视频图像。可将辅视频图像进行无缝拼接，拼接后的辅视频图像：水平视场角为270°，垂直视场角为80°。</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w:t>
            </w:r>
            <w:r>
              <w:rPr>
                <w:rFonts w:hint="eastAsia" w:ascii="仿宋" w:hAnsi="仿宋" w:eastAsia="仿宋"/>
                <w:color w:val="auto"/>
                <w:highlight w:val="none"/>
              </w:rPr>
              <w:t>★</w:t>
            </w:r>
            <w:r>
              <w:rPr>
                <w:rFonts w:hint="eastAsia" w:ascii="新宋体" w:hAnsi="新宋体" w:eastAsia="新宋体" w:cs="新宋体"/>
                <w:color w:val="auto"/>
                <w:kern w:val="0"/>
                <w:sz w:val="22"/>
                <w:szCs w:val="22"/>
                <w:highlight w:val="none"/>
              </w:rPr>
              <w:t>全景摄像机采用6个靶面尺寸不小于 1/1.8英寸，特写球型摄像机采用1个靶面尺寸不小于 1/1.8英寸。主视频图像：2560×1440@25fps，辅视频图像：8160×2400@25fps，其中主视频图像分辨力不小于1600线。主视频支持不小于40倍光学变倍；（以</w:t>
            </w:r>
            <w:r>
              <w:rPr>
                <w:rFonts w:hint="eastAsia" w:ascii="新宋体" w:hAnsi="新宋体" w:eastAsia="新宋体" w:cs="新宋体"/>
                <w:color w:val="auto"/>
                <w:kern w:val="0"/>
                <w:sz w:val="22"/>
                <w:szCs w:val="22"/>
                <w:highlight w:val="none"/>
                <w:lang w:val="en-US" w:eastAsia="zh-CN"/>
              </w:rPr>
              <w:t>第三方权威</w:t>
            </w:r>
            <w:r>
              <w:rPr>
                <w:rFonts w:hint="eastAsia" w:ascii="新宋体" w:hAnsi="新宋体" w:eastAsia="新宋体" w:cs="新宋体"/>
                <w:color w:val="auto"/>
                <w:kern w:val="0"/>
                <w:sz w:val="22"/>
                <w:szCs w:val="22"/>
                <w:highlight w:val="none"/>
              </w:rPr>
              <w:t>检验报告为准）</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3、彩色≤0.0003lux；黑白≤0.0001lux；支持宽动态不小于106dB。支持水平手控速度不小于240°/S，云台定位精度为不大于0.1°。垂直手控速度不小于200°/S；水平连续360°旋转，垂直旋转范围为-20°~90°；  支持500个预置位，支持32条巡航扫描，每条巡航路径可设置16个预置点。</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4、</w:t>
            </w:r>
            <w:r>
              <w:rPr>
                <w:rFonts w:hint="eastAsia" w:ascii="仿宋" w:hAnsi="仿宋" w:eastAsia="仿宋"/>
                <w:color w:val="auto"/>
                <w:highlight w:val="none"/>
              </w:rPr>
              <w:t>★</w:t>
            </w:r>
            <w:r>
              <w:rPr>
                <w:rFonts w:hint="eastAsia" w:ascii="新宋体" w:hAnsi="新宋体" w:eastAsia="新宋体" w:cs="新宋体"/>
                <w:color w:val="auto"/>
                <w:kern w:val="0"/>
                <w:sz w:val="22"/>
                <w:szCs w:val="22"/>
                <w:highlight w:val="none"/>
              </w:rPr>
              <w:t>产品支持定位联动、自动跟踪、手动跟踪、混合跟踪功能，在辅视频图像中跟踪目标的灵敏度及时间可设；并且自动跟踪模式下，最多对60个目标进行检测并抓拍。产品支持畸变调整功能，支持通过客户端对辅助视频图像的全景画面进行远，中，近3种畸变调整。产品支持画面调整功能，支持通过客户端对辅助视频图像的全景画面进行上，下，左，右平移和三维空间旋转，进而调整视场画面。产品支持全景剪裁功能，支持对辅助图像的全景画面进行框选裁剪，只显示框选内的画面，且检测框可拖拽。剪裁分辨率根子据主码流，子码流和第三码流进行设置。（以</w:t>
            </w:r>
            <w:r>
              <w:rPr>
                <w:rFonts w:hint="eastAsia" w:ascii="新宋体" w:hAnsi="新宋体" w:eastAsia="新宋体" w:cs="新宋体"/>
                <w:color w:val="auto"/>
                <w:kern w:val="0"/>
                <w:sz w:val="22"/>
                <w:szCs w:val="22"/>
                <w:highlight w:val="none"/>
                <w:lang w:val="en-US" w:eastAsia="zh-CN"/>
              </w:rPr>
              <w:t>第三方权威</w:t>
            </w:r>
            <w:r>
              <w:rPr>
                <w:rFonts w:hint="eastAsia" w:ascii="新宋体" w:hAnsi="新宋体" w:eastAsia="新宋体" w:cs="新宋体"/>
                <w:color w:val="auto"/>
                <w:kern w:val="0"/>
                <w:sz w:val="22"/>
                <w:szCs w:val="22"/>
                <w:highlight w:val="none"/>
              </w:rPr>
              <w:t>检验报告为准）</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5、</w:t>
            </w:r>
            <w:r>
              <w:rPr>
                <w:rFonts w:hint="eastAsia" w:ascii="仿宋" w:hAnsi="仿宋" w:eastAsia="仿宋"/>
                <w:color w:val="auto"/>
                <w:highlight w:val="none"/>
              </w:rPr>
              <w:t>★</w:t>
            </w:r>
            <w:r>
              <w:rPr>
                <w:rFonts w:hint="eastAsia" w:ascii="新宋体" w:hAnsi="新宋体" w:eastAsia="新宋体" w:cs="新宋体"/>
                <w:color w:val="auto"/>
                <w:kern w:val="0"/>
                <w:sz w:val="22"/>
                <w:szCs w:val="22"/>
                <w:highlight w:val="none"/>
              </w:rPr>
              <w:t>内置GPU芯片，可对距设备100米处的人脸进行抓拍。产品支持人员密度功能，支持通过IE浏览器对辅助视频的全景画面设备不少于6个检测框，检测区域人数可通过OSD叠加的形式显示，并且可设置3个等级的人数，当检测框中的人数在3个等级之间变化时可触发报警。支持车辆拥堵检测功能；全景通道可对监控画面中多边形区域内的车辆拥堵情况进行检测，当车辆所占面积超过设定的阈值时，会产生拥堵报警提示，当拥堵报警持续时间超过设定阈值时，可抓拍图片；报警持续时间阈值可设定。（以</w:t>
            </w:r>
            <w:r>
              <w:rPr>
                <w:rFonts w:hint="eastAsia" w:ascii="新宋体" w:hAnsi="新宋体" w:eastAsia="新宋体" w:cs="新宋体"/>
                <w:color w:val="auto"/>
                <w:kern w:val="0"/>
                <w:sz w:val="22"/>
                <w:szCs w:val="22"/>
                <w:highlight w:val="none"/>
                <w:lang w:val="en-US" w:eastAsia="zh-CN"/>
              </w:rPr>
              <w:t>第三方权威</w:t>
            </w:r>
            <w:r>
              <w:rPr>
                <w:rFonts w:hint="eastAsia" w:ascii="新宋体" w:hAnsi="新宋体" w:eastAsia="新宋体" w:cs="新宋体"/>
                <w:color w:val="auto"/>
                <w:kern w:val="0"/>
                <w:sz w:val="22"/>
                <w:szCs w:val="22"/>
                <w:highlight w:val="none"/>
              </w:rPr>
              <w:t>检验报告为准）</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6、电源具有较强适应性，电源电压在DC36V±47%范围内变化时，摄像机可以正常工作。具备较好防护性能和环境适应性，支持IP67，10KV防浪涌，工作温度范围可达-45℃-75℃。</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7、支持7路报警输入接口，2路报警输出接口，支持1路音频输入，1路输出接口。</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5年质保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支架</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定制</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网络设备</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实现前端链路所需网络设备</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智能网络箱</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1.箱门检测：箱门状态检测；</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2.远程控制：可远程开关或重启设备供电；</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3.异常告警：当设备电流/电压等数据超出设定范围时、机箱门处于开启状态时，具有报警功能，报警包上传；</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4.管理功能：设备具有直接接入网络功能，可单独设置IP，并可通过IE浏览器或客户端软件登录管理设备，远程修改配置各项参数；</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5.远程升级:远程管理功能、远程升级功能、远程校时功能;</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6.采用304不锈钢，至少5年内不得出现明显的锈蚀或老化现象；机箱内部结构按照上面所列设备的规格进行定制，提供定制的光纤盘位、电源防护设备位、隔热、散热、防护良好，布局合理、模块化清晰，提供标准的固定导轨,竣工后出线口用防火泥封堵，预留两个电源插口，进线电源线≥3*1.5MM，机箱底部开网状散热口；包含空气开关、防浪涌保护器（40KA），配备一个备用插座；一路AC220V输入，最大电流20A；机箱防护等级不低于IP54，机箱正面警徽、民安工程、网络箱编号的颜色鲜艳、清晰，保证5年内雨淋、日晒不脱落、不会明显褪色。</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5年质保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施工费</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含前端设备安装，立杆基础的开挖、做模、浇筑、路面平整、修补、回填、废土清运等工作及材料，设备调测，辅材、附件、工具、人工等的全部费用。</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专网网络</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服务费</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与视频专网中心机房互联互通的上行速率不低于100M视频专网专线电路（与互联网物理隔离）的光纤链路租费和维护费。</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路</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运维费</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含日常清洁、巡检、维修、抢修的全部费用。</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路</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前端设备电费</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含摄像机、补光灯、网络设备、智能网络箱等前端设备的电费。</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路</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11" w:type="dxa"/>
            <w:gridSpan w:val="6"/>
            <w:noWrap w:val="0"/>
            <w:vAlign w:val="center"/>
          </w:tcPr>
          <w:p>
            <w:pPr>
              <w:spacing w:line="460" w:lineRule="exact"/>
              <w:ind w:right="26"/>
              <w:jc w:val="left"/>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四、卡口建设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序号</w:t>
            </w:r>
          </w:p>
        </w:tc>
        <w:tc>
          <w:tcPr>
            <w:tcW w:w="1258"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名称</w:t>
            </w:r>
          </w:p>
        </w:tc>
        <w:tc>
          <w:tcPr>
            <w:tcW w:w="5813"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技术规格</w:t>
            </w:r>
          </w:p>
        </w:tc>
        <w:tc>
          <w:tcPr>
            <w:tcW w:w="709"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单位</w:t>
            </w:r>
          </w:p>
        </w:tc>
        <w:tc>
          <w:tcPr>
            <w:tcW w:w="711"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数量</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900万卡口抓拍单元</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1、包含高清一体化嵌入式摄像机、高清镜头（25mm）、室外防护罩、相机内置网络信号防雷器、电源适配器等。</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2、图像传感器：采用1英寸全局曝光CMOS，最大图像尺寸：≥4096×2160像素；字符叠加时最大可支持4096×2800。支持强光抑制，超低照度彩色≤ 0.01Lux、黑白≤0.001Lux。</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3、视频帧率：在1～25fps可调。支持在25%丢包率的网络环境下，正常显示监控画面。视频压缩支持H.265、H.264、M-JPEG。（以</w:t>
            </w:r>
            <w:r>
              <w:rPr>
                <w:rFonts w:hint="eastAsia" w:ascii="新宋体" w:hAnsi="新宋体" w:eastAsia="新宋体" w:cs="新宋体"/>
                <w:color w:val="auto"/>
                <w:kern w:val="0"/>
                <w:sz w:val="22"/>
                <w:szCs w:val="22"/>
                <w:highlight w:val="none"/>
                <w:lang w:val="en-US" w:eastAsia="zh-CN"/>
              </w:rPr>
              <w:t>第三方权威</w:t>
            </w:r>
            <w:r>
              <w:rPr>
                <w:rFonts w:hint="eastAsia" w:ascii="新宋体" w:hAnsi="新宋体" w:eastAsia="新宋体" w:cs="新宋体"/>
                <w:color w:val="auto"/>
                <w:kern w:val="0"/>
                <w:sz w:val="22"/>
                <w:szCs w:val="22"/>
                <w:highlight w:val="none"/>
              </w:rPr>
              <w:t>检验报告为准）</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4、</w:t>
            </w:r>
            <w:r>
              <w:rPr>
                <w:rFonts w:hint="eastAsia" w:ascii="仿宋" w:hAnsi="仿宋" w:eastAsia="仿宋"/>
                <w:color w:val="auto"/>
                <w:highlight w:val="none"/>
              </w:rPr>
              <w:t>★</w:t>
            </w:r>
            <w:r>
              <w:rPr>
                <w:rFonts w:hint="eastAsia" w:ascii="新宋体" w:hAnsi="新宋体" w:eastAsia="新宋体" w:cs="新宋体"/>
                <w:color w:val="auto"/>
                <w:kern w:val="0"/>
                <w:sz w:val="22"/>
                <w:szCs w:val="22"/>
                <w:highlight w:val="none"/>
              </w:rPr>
              <w:t>支持机动车、二轮车（摩托车、自行车、电动二轮车）、三轮车和行人分类检测。  支持车前窗挂坠、年检标识、抽烟、驾驶员人脸识别、驾驶室人脸抠图、遮阳板识别等检测功能 。护罩玻璃透光率≥99%。（以</w:t>
            </w:r>
            <w:r>
              <w:rPr>
                <w:rFonts w:hint="eastAsia" w:ascii="新宋体" w:hAnsi="新宋体" w:eastAsia="新宋体" w:cs="新宋体"/>
                <w:color w:val="auto"/>
                <w:kern w:val="0"/>
                <w:sz w:val="22"/>
                <w:szCs w:val="22"/>
                <w:highlight w:val="none"/>
                <w:lang w:val="en-US" w:eastAsia="zh-CN"/>
              </w:rPr>
              <w:t>第三方权威</w:t>
            </w:r>
            <w:r>
              <w:rPr>
                <w:rFonts w:hint="eastAsia" w:ascii="新宋体" w:hAnsi="新宋体" w:eastAsia="新宋体" w:cs="新宋体"/>
                <w:color w:val="auto"/>
                <w:kern w:val="0"/>
                <w:sz w:val="22"/>
                <w:szCs w:val="22"/>
                <w:highlight w:val="none"/>
              </w:rPr>
              <w:t>检验报告为准）</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5、设备应采用深度学习芯片，支持车辆捕获抓拍功能，在天气晴朗无雾，号牌无遮挡、无污损，白天环境光照度不低于200lx，晚上辅助光照度不高于30lx的条件下测试，白天和晚上的捕获率均≥99%。支持车牌识别功能，在天气晴朗无雾，号牌无遮挡、无污损，白天环境光照度不低于200lx，晚上辅助光照度不高于30lx的条件下测试，白天和晚上的识别准确率均≥99%。（以</w:t>
            </w:r>
            <w:r>
              <w:rPr>
                <w:rFonts w:hint="eastAsia" w:ascii="新宋体" w:hAnsi="新宋体" w:eastAsia="新宋体" w:cs="新宋体"/>
                <w:color w:val="auto"/>
                <w:kern w:val="0"/>
                <w:sz w:val="22"/>
                <w:szCs w:val="22"/>
                <w:highlight w:val="none"/>
                <w:lang w:val="en-US" w:eastAsia="zh-CN"/>
              </w:rPr>
              <w:t>第三方权威</w:t>
            </w:r>
            <w:r>
              <w:rPr>
                <w:rFonts w:hint="eastAsia" w:ascii="新宋体" w:hAnsi="新宋体" w:eastAsia="新宋体" w:cs="新宋体"/>
                <w:color w:val="auto"/>
                <w:kern w:val="0"/>
                <w:sz w:val="22"/>
                <w:szCs w:val="22"/>
                <w:highlight w:val="none"/>
              </w:rPr>
              <w:t>检验报告为准）</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6、支持人体着装颜色、运动方向、年龄段、性别、是否戴眼镜、是否骑车、是否背包、是否拎东西识别。支持人体特征识别，包括上下身颜色、年龄段、性别、戴眼镜、戴帽子、戴口罩、是否骑车、背包、拎东西、衣袖（长袖、短袖）、裙裤、骑车、朝向、骑车人数、发型（长发、短发）。支持三轮车/二轮车载人、非机动车逆行、摩托车/非机动车不带头盔等功能检测。（以</w:t>
            </w:r>
            <w:r>
              <w:rPr>
                <w:rFonts w:hint="eastAsia" w:ascii="新宋体" w:hAnsi="新宋体" w:eastAsia="新宋体" w:cs="新宋体"/>
                <w:color w:val="auto"/>
                <w:kern w:val="0"/>
                <w:sz w:val="22"/>
                <w:szCs w:val="22"/>
                <w:highlight w:val="none"/>
                <w:lang w:val="en-US" w:eastAsia="zh-CN"/>
              </w:rPr>
              <w:t>第三方权威</w:t>
            </w:r>
            <w:r>
              <w:rPr>
                <w:rFonts w:hint="eastAsia" w:ascii="新宋体" w:hAnsi="新宋体" w:eastAsia="新宋体" w:cs="新宋体"/>
                <w:color w:val="auto"/>
                <w:kern w:val="0"/>
                <w:sz w:val="22"/>
                <w:szCs w:val="22"/>
                <w:highlight w:val="none"/>
              </w:rPr>
              <w:t>检验报告为准）</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7、</w:t>
            </w:r>
            <w:r>
              <w:rPr>
                <w:rFonts w:hint="eastAsia" w:ascii="仿宋" w:hAnsi="仿宋" w:eastAsia="仿宋"/>
                <w:color w:val="auto"/>
                <w:highlight w:val="none"/>
              </w:rPr>
              <w:t>★</w:t>
            </w:r>
            <w:r>
              <w:rPr>
                <w:rFonts w:hint="eastAsia" w:ascii="新宋体" w:hAnsi="新宋体" w:eastAsia="新宋体" w:cs="新宋体"/>
                <w:color w:val="auto"/>
                <w:kern w:val="0"/>
                <w:sz w:val="22"/>
                <w:szCs w:val="22"/>
                <w:highlight w:val="none"/>
              </w:rPr>
              <w:t>支持对设定区域内的机动车、非机动车是否悬挂车牌的情况进行检测并显示。支持多拍过滤功能，可设置多拍过滤时间段为0-320000ms，在此时间段内多次经过的车辆只抓拍一次。支持可对监控画面中经过行人道未减速至设定阈值的机动车进行图片抓拍。（以</w:t>
            </w:r>
            <w:r>
              <w:rPr>
                <w:rFonts w:hint="eastAsia" w:ascii="新宋体" w:hAnsi="新宋体" w:eastAsia="新宋体" w:cs="新宋体"/>
                <w:color w:val="auto"/>
                <w:kern w:val="0"/>
                <w:sz w:val="22"/>
                <w:szCs w:val="22"/>
                <w:highlight w:val="none"/>
                <w:lang w:val="en-US" w:eastAsia="zh-CN"/>
              </w:rPr>
              <w:t>第三方权威</w:t>
            </w:r>
            <w:r>
              <w:rPr>
                <w:rFonts w:hint="eastAsia" w:ascii="新宋体" w:hAnsi="新宋体" w:eastAsia="新宋体" w:cs="新宋体"/>
                <w:color w:val="auto"/>
                <w:kern w:val="0"/>
                <w:sz w:val="22"/>
                <w:szCs w:val="22"/>
                <w:highlight w:val="none"/>
              </w:rPr>
              <w:t>检验报告为准）</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8、配置64GB TF存储卡，支持断网续传功能。可支持视频、线圈、雷达、地磁等车辆检测联动功能。（以</w:t>
            </w:r>
            <w:r>
              <w:rPr>
                <w:rFonts w:hint="eastAsia" w:ascii="新宋体" w:hAnsi="新宋体" w:eastAsia="新宋体" w:cs="新宋体"/>
                <w:color w:val="auto"/>
                <w:kern w:val="0"/>
                <w:sz w:val="22"/>
                <w:szCs w:val="22"/>
                <w:highlight w:val="none"/>
                <w:lang w:val="en-US" w:eastAsia="zh-CN"/>
              </w:rPr>
              <w:t>第三方权威</w:t>
            </w:r>
            <w:r>
              <w:rPr>
                <w:rFonts w:hint="eastAsia" w:ascii="新宋体" w:hAnsi="新宋体" w:eastAsia="新宋体" w:cs="新宋体"/>
                <w:color w:val="auto"/>
                <w:kern w:val="0"/>
                <w:sz w:val="22"/>
                <w:szCs w:val="22"/>
                <w:highlight w:val="none"/>
              </w:rPr>
              <w:t>检验报告为准）</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9、工作电压：100VAC～240VAC；频率：48Hz～52Hz设备能正常工作。通讯接口：≥1个RJ45 100M/1000M自适应网口，≥2个RS485接口，≥1个RS232接口。外部接口：≥4路外部触发输入，≥6路(光耦隔离2500VAC)输出，可作为闪光灯同步输出控制，支持信号灯电源频率同步。防护等级不低于IP65。</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10、符合《GB/T 28181-2016 公共安全视频监控联网系统信息传输、交换、控制技术要求》中的相关规定。</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3车道/台</w:t>
            </w:r>
          </w:p>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b/>
                <w:bCs/>
                <w:color w:val="auto"/>
                <w:kern w:val="0"/>
                <w:sz w:val="22"/>
                <w:szCs w:val="22"/>
                <w:highlight w:val="none"/>
              </w:rPr>
              <w:t>5年质保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双光融合球机</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1、含200万8寸双光融合球机（无半球形透明罩），安装附件。</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w:t>
            </w:r>
            <w:r>
              <w:rPr>
                <w:rFonts w:hint="eastAsia" w:ascii="仿宋" w:hAnsi="仿宋" w:eastAsia="仿宋"/>
                <w:color w:val="auto"/>
                <w:highlight w:val="none"/>
              </w:rPr>
              <w:t>★</w:t>
            </w:r>
            <w:r>
              <w:rPr>
                <w:rFonts w:hint="eastAsia" w:ascii="新宋体" w:hAnsi="新宋体" w:eastAsia="新宋体" w:cs="新宋体"/>
                <w:color w:val="auto"/>
                <w:kern w:val="0"/>
                <w:sz w:val="22"/>
                <w:szCs w:val="22"/>
                <w:highlight w:val="none"/>
              </w:rPr>
              <w:t>具备双路视频融合功能。同一镜头内具有2个Sensor传感器，一个Sensor传感器采集黑白信息，一个Sensor传感器采集色彩信息，球机对采集后的视频信息进行融合。设备内置混合补光灯（每个由红外灯、白光灯组成），可对红外灯及白光灯功率进行调节。（以</w:t>
            </w:r>
            <w:r>
              <w:rPr>
                <w:rFonts w:hint="eastAsia" w:ascii="新宋体" w:hAnsi="新宋体" w:eastAsia="新宋体" w:cs="新宋体"/>
                <w:color w:val="auto"/>
                <w:kern w:val="0"/>
                <w:sz w:val="22"/>
                <w:szCs w:val="22"/>
                <w:highlight w:val="none"/>
                <w:lang w:val="en-US" w:eastAsia="zh-CN"/>
              </w:rPr>
              <w:t>第三方权威</w:t>
            </w:r>
            <w:r>
              <w:rPr>
                <w:rFonts w:hint="eastAsia" w:ascii="新宋体" w:hAnsi="新宋体" w:eastAsia="新宋体" w:cs="新宋体"/>
                <w:color w:val="auto"/>
                <w:kern w:val="0"/>
                <w:sz w:val="22"/>
                <w:szCs w:val="22"/>
                <w:highlight w:val="none"/>
              </w:rPr>
              <w:t>检验报告为准）</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2、宽动态范围大于120db，信噪比不小于60db，超低照度彩色 0.0002Lux、黑白0.0001Lux；自带红外夜视距离不少于500米。</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3、符合最新GB/T 28181标准及补充规定，通过省厅规范检测，必须兼容温州公安现有视频监控系统及设备，必须符合《温州市安全防范视频监控联网系统信息传输交换控制技术要求》，10M/100M自适应电口，支持H.265、H.264/MJPEG编码协议，分辨率及帧率。支持同时输出不少于2路分辨率1920×1080高清图像。支持SNMP网管协议远程监测、管理，支持标准NTP校时，支持远程升级。</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4、室外球机应具备较好防护性能，支持IP67；具备较好的电磁兼容性，支持空气放电20KV，接触放电10KV，15KV防浪涌。 具备较好的电源适应性，电压在AC24V±47%或DC24V±47%范围内变化时，设备可正常工作 。</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5、摄像机内置镜头，支持不小于25倍光学变倍，镜头最大焦距不小于120mm。支持快速聚焦功能，当设备跟踪行人或机动车等移动目标并录像时，单帧回放录像文件，每1帧画面均应清晰可见。</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6、支持水平手控速度不小于800°/S，垂直手控速度不小于300°/s。水平旋转范围为360°连续旋转，垂直旋转范围为-45°~90°。支持300个预置位，可按照所设置的预置位完成不小于8条巡航路径，每条巡航路径可设置不小于32个预置点。</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7、内置GPU智能处理芯片。（以</w:t>
            </w:r>
            <w:r>
              <w:rPr>
                <w:rFonts w:hint="eastAsia" w:ascii="新宋体" w:hAnsi="新宋体" w:eastAsia="新宋体" w:cs="新宋体"/>
                <w:color w:val="auto"/>
                <w:kern w:val="0"/>
                <w:sz w:val="22"/>
                <w:szCs w:val="22"/>
                <w:highlight w:val="none"/>
                <w:lang w:val="en-US" w:eastAsia="zh-CN"/>
              </w:rPr>
              <w:t>第三方权威</w:t>
            </w:r>
            <w:r>
              <w:rPr>
                <w:rFonts w:hint="eastAsia" w:ascii="新宋体" w:hAnsi="新宋体" w:eastAsia="新宋体" w:cs="新宋体"/>
                <w:color w:val="auto"/>
                <w:kern w:val="0"/>
                <w:sz w:val="22"/>
                <w:szCs w:val="22"/>
                <w:highlight w:val="none"/>
              </w:rPr>
              <w:t>检验报告为准）</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8、支持7路报警输入接口，2路报警输出接口，支持1路音频输入和输出接口。最大支持512GB的SD卡。</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1台/方向</w:t>
            </w:r>
          </w:p>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b/>
                <w:bCs/>
                <w:color w:val="auto"/>
                <w:kern w:val="0"/>
                <w:sz w:val="22"/>
                <w:szCs w:val="22"/>
                <w:highlight w:val="none"/>
              </w:rPr>
              <w:t>5年质保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电警专用补光灯（频闪爆闪）</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1、高效大功率LED频爆闪灯：补光距离18～25m；爆闪峰值功率不小于200W。</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2、支持常亮模式、频闪模式、爆闪模式，三种模式可远程独立PWM调光。</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3、支持智能时控、固定时间等多种开关模式，支持远程校时。</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4、支持RS-485级联，支持在线参数配置，如日夜功能开启阈值、频闪/爆闪脉宽设置。</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5、支持远程亮度调节、远程电压、电流参数监测、故障告警、远程开关。</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1台/车道</w:t>
            </w:r>
          </w:p>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b/>
                <w:bCs/>
                <w:color w:val="auto"/>
                <w:kern w:val="0"/>
                <w:sz w:val="22"/>
                <w:szCs w:val="22"/>
                <w:highlight w:val="none"/>
              </w:rPr>
              <w:t>5年质保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支架、抱箍</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摄像机、频闪灯安装支架</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32</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智能终端管理设备</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1.嵌入式操作系统；</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2.内置1块3.5寸2T硬盘；支持12路IPC接入；双网卡，内置8个100M以太网接口及2个1000M网络接口；</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3.支持VGA输出；1个RS485、2个RS232、2个USB、4路报警输入\报警输出、1个eSATA接口；电源:DC12V；</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4.支持对通行车辆的信息（记录和图片）存储；</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5.支持录像存储功能；</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6.可配置多种字符叠加、图片合成模式；</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7.支持区间测速功能；</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8.支持配置增加GPS校时模块；</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b/>
                <w:bCs/>
                <w:color w:val="auto"/>
                <w:kern w:val="0"/>
                <w:sz w:val="22"/>
                <w:szCs w:val="22"/>
                <w:highlight w:val="none"/>
              </w:rPr>
              <w:t>5年质保</w:t>
            </w: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后端存储</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图片存储180天、视频按照4M码流存储1个月</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路</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光网设备</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1.实现前端链路所需网络设备</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网络交换机</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8口百兆</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台</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智能机箱</w:t>
            </w:r>
          </w:p>
        </w:tc>
        <w:tc>
          <w:tcPr>
            <w:tcW w:w="5813" w:type="dxa"/>
            <w:noWrap w:val="0"/>
            <w:vAlign w:val="center"/>
          </w:tcPr>
          <w:p>
            <w:pPr>
              <w:spacing w:line="460" w:lineRule="exact"/>
              <w:ind w:right="26"/>
              <w:jc w:val="left"/>
              <w:rPr>
                <w:rFonts w:hint="default" w:ascii="新宋体" w:hAnsi="新宋体" w:eastAsia="新宋体" w:cs="新宋体"/>
                <w:color w:val="auto"/>
                <w:kern w:val="0"/>
                <w:sz w:val="22"/>
                <w:szCs w:val="22"/>
                <w:highlight w:val="none"/>
                <w:lang w:val="en-US" w:eastAsia="zh-CN"/>
              </w:rPr>
            </w:pPr>
            <w:r>
              <w:rPr>
                <w:rFonts w:hint="eastAsia" w:ascii="新宋体" w:hAnsi="新宋体" w:eastAsia="新宋体" w:cs="新宋体"/>
                <w:color w:val="auto"/>
                <w:kern w:val="0"/>
                <w:sz w:val="22"/>
                <w:szCs w:val="22"/>
                <w:highlight w:val="none"/>
              </w:rPr>
              <w:t>1.专业定制网络机箱，采用304不锈钢材质，外壳防护等级不低于IP54，机箱表面进行白色喷涂处理，机箱正面警徽、网络箱编号的颜色鲜艳、清晰，保证5年内雨淋、日晒不脱落、不会明显褪色；提供定制的光纤盘位；隔热、散热、防护良好，布局合理、模块化清晰，配备三眼插座；机箱门采用天地连杆锁；</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2.CPU主频不低于600MHz、DDR不少于64MB、NOR Flash不少于16MB；</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3.大数据采集（2.4G） MS-2116系列采集板，2412MHz-2482MHz：1~13，符合温州市公安局大数据平台规范；</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 xml:space="preserve">4.支持北斗/GPS双模定位授时模块； </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5.支持电压、电流采集；温湿度采集；</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6.不少于3路可控电源、3路补光灯远程调光接口、1路RS232、 1路WAN、1路LAN、7个可扩展插槽；</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7.支持参数及告警信息的自动上传和控制指令的远程下发。</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8.产品尺寸：尺寸 mm (410宽x550高x272厚)</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9.产品通过公安部三所检验合格</w:t>
            </w:r>
            <w:r>
              <w:rPr>
                <w:rFonts w:hint="eastAsia" w:ascii="新宋体" w:hAnsi="新宋体" w:eastAsia="新宋体" w:cs="新宋体"/>
                <w:color w:val="auto"/>
                <w:kern w:val="0"/>
                <w:sz w:val="22"/>
                <w:szCs w:val="22"/>
                <w:highlight w:val="none"/>
                <w:lang w:eastAsia="zh-CN"/>
              </w:rPr>
              <w:t>，</w:t>
            </w:r>
            <w:r>
              <w:rPr>
                <w:rFonts w:hint="eastAsia" w:ascii="新宋体" w:hAnsi="新宋体" w:eastAsia="新宋体" w:cs="新宋体"/>
                <w:color w:val="auto"/>
                <w:kern w:val="0"/>
                <w:sz w:val="22"/>
                <w:szCs w:val="22"/>
                <w:highlight w:val="none"/>
                <w:lang w:val="en-US" w:eastAsia="zh-CN"/>
              </w:rPr>
              <w:t>提供检测证书</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b/>
                <w:bCs/>
                <w:color w:val="auto"/>
                <w:kern w:val="0"/>
                <w:sz w:val="22"/>
                <w:szCs w:val="22"/>
                <w:highlight w:val="none"/>
              </w:rPr>
              <w:t>5年质保</w:t>
            </w: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L型立杆</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八角杆含基础件（高6挑10-12米）</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11</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工程线缆及辅材</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电力线缆、杆件上电源线缆、红绿灯信号线、网络信号线、摄像机触发线等辅材</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项</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管道施工</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埋地敷设、路面或人行道土方开挖、素土回填并压实、余土清运等</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项</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13</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专网网络</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服务费</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含网络维护等费用</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项</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14</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前端设备电费</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含摄像机、补光灯、网络设备、智能网络箱等前端设备的电费。</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项</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后端施工、调试</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后端实施调试费</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项</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16</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维护费</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含日常清洁、巡检、维修、抢修的全部费用。</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项</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11" w:type="dxa"/>
            <w:gridSpan w:val="6"/>
            <w:noWrap w:val="0"/>
            <w:vAlign w:val="center"/>
          </w:tcPr>
          <w:p>
            <w:pPr>
              <w:spacing w:line="460" w:lineRule="exact"/>
              <w:ind w:right="26"/>
              <w:jc w:val="left"/>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五、人脸建设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序号</w:t>
            </w:r>
          </w:p>
        </w:tc>
        <w:tc>
          <w:tcPr>
            <w:tcW w:w="1258"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项目内容</w:t>
            </w:r>
          </w:p>
        </w:tc>
        <w:tc>
          <w:tcPr>
            <w:tcW w:w="5813"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主要设备的型号、规格</w:t>
            </w:r>
          </w:p>
        </w:tc>
        <w:tc>
          <w:tcPr>
            <w:tcW w:w="709"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数量</w:t>
            </w:r>
          </w:p>
        </w:tc>
        <w:tc>
          <w:tcPr>
            <w:tcW w:w="711"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单位</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智能枪机</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1、含400万星光级全高清网络摄像机、全天候护罩、高清镜头（11－40mm）、安装附件。</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2、不小于1/1.8英寸靶面CMOS 传感器，像元尺寸不小于2.9um×2.9um。宽动态范围不小于120db，信噪比不小于60db，支持强光抑制，最低照度彩色不大于0.0002 lx，黑白不大于0.0001 lx。</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3、符合最新GB/T 28181-2016标准及补充规定，通过省厅规范检测，必须兼容温州公安现有视频监控系统及设备，必须符合《温州市安全防范视频监控联网系统信息传输交换控制技术要求》，10M/100M自适应电口，支持H.265、H.264/MJPEG编码协议，需支持四码流技术，主码流分辨率不小于2560x1440@25fps，子码流不小于704x576@25fps，第三码流不小于1920x1080@25fps，第四码流不小于704x576@25fps。支持网络自适应，10％丢包网络环境下图像效果良好，支持SNMP网管协议远程监测、管理，支持标准NTP校时，支持远程升级。</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4、支持AC220V、DC12V、AC24V或POE供电，支持长时间±10％宽范围电压输入；支持电源及信号输入端防浪涌（GB/T17626.5-2008 1.2/50微秒模型）电源输入端不小于共模电压2KV 差模不小于1KV 网口不小于2KV；在-20～60℃环境温度下长时间稳定工作。</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5、设备通信报文中不存在明文格式的用户身份鉴别信息。支持https通信协议，且https协议不存在已公布的漏洞。设备默认不开启telnet、ftp和tftp服务，对未使用的服务及端口应默认关闭。（以</w:t>
            </w:r>
            <w:r>
              <w:rPr>
                <w:rFonts w:hint="eastAsia" w:ascii="新宋体" w:hAnsi="新宋体" w:eastAsia="新宋体" w:cs="新宋体"/>
                <w:color w:val="auto"/>
                <w:kern w:val="0"/>
                <w:sz w:val="22"/>
                <w:szCs w:val="22"/>
                <w:highlight w:val="none"/>
                <w:lang w:val="en-US" w:eastAsia="zh-CN"/>
              </w:rPr>
              <w:t>第三方权威</w:t>
            </w:r>
            <w:r>
              <w:rPr>
                <w:rFonts w:hint="eastAsia" w:ascii="新宋体" w:hAnsi="新宋体" w:eastAsia="新宋体" w:cs="新宋体"/>
                <w:color w:val="auto"/>
                <w:kern w:val="0"/>
                <w:sz w:val="22"/>
                <w:szCs w:val="22"/>
                <w:highlight w:val="none"/>
              </w:rPr>
              <w:t>检验报告为准）</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6、</w:t>
            </w:r>
            <w:r>
              <w:rPr>
                <w:rFonts w:hint="eastAsia" w:ascii="仿宋" w:hAnsi="仿宋" w:eastAsia="仿宋"/>
                <w:color w:val="auto"/>
                <w:highlight w:val="none"/>
              </w:rPr>
              <w:t>★</w:t>
            </w:r>
            <w:r>
              <w:rPr>
                <w:rFonts w:hint="eastAsia" w:ascii="新宋体" w:hAnsi="新宋体" w:eastAsia="新宋体" w:cs="新宋体"/>
                <w:color w:val="auto"/>
                <w:kern w:val="0"/>
                <w:sz w:val="22"/>
                <w:szCs w:val="22"/>
                <w:highlight w:val="none"/>
              </w:rPr>
              <w:t>内置GPU智能处理芯片，支持同时检测并且抓拍30张人脸，支持对运动人脸进行检测、跟踪、抓拍、评分、筛选输出最优的人脸抓图，支持最佳抓拍，快速抓拍。支持前端人脸比对，支持最多3个人脸库的管理，支持最多9万张人脸的导入。支持背向行驶车辆抓拍，支持车牌、子品牌、车身颜色、车辆类型。支持行人、非机动车、机动车的混行检测。（以</w:t>
            </w:r>
            <w:r>
              <w:rPr>
                <w:rFonts w:hint="eastAsia" w:ascii="新宋体" w:hAnsi="新宋体" w:eastAsia="新宋体" w:cs="新宋体"/>
                <w:color w:val="auto"/>
                <w:kern w:val="0"/>
                <w:sz w:val="22"/>
                <w:szCs w:val="22"/>
                <w:highlight w:val="none"/>
                <w:lang w:val="en-US" w:eastAsia="zh-CN"/>
              </w:rPr>
              <w:t>第三方权威</w:t>
            </w:r>
            <w:r>
              <w:rPr>
                <w:rFonts w:hint="eastAsia" w:ascii="新宋体" w:hAnsi="新宋体" w:eastAsia="新宋体" w:cs="新宋体"/>
                <w:color w:val="auto"/>
                <w:kern w:val="0"/>
                <w:sz w:val="22"/>
                <w:szCs w:val="22"/>
                <w:highlight w:val="none"/>
              </w:rPr>
              <w:t>检验报告为准）</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7、需具有1个RJ45网络接口、1路CVBS视频输出、1路报警输入、1路报警输出接口、1个音频输入、1个音频输出接口、1个RS485接口、1个RS232接口、1个SD卡槽。需支持本地SD卡存储，最大支持512G，并支持存储卡可使用时长显示。支持对存储卡进行读写锁定，锁定后的存储卡在移动终端需要密码才能访问。（以</w:t>
            </w:r>
            <w:r>
              <w:rPr>
                <w:rFonts w:hint="eastAsia" w:ascii="新宋体" w:hAnsi="新宋体" w:eastAsia="新宋体" w:cs="新宋体"/>
                <w:color w:val="auto"/>
                <w:kern w:val="0"/>
                <w:sz w:val="22"/>
                <w:szCs w:val="22"/>
                <w:highlight w:val="none"/>
                <w:lang w:val="en-US" w:eastAsia="zh-CN"/>
              </w:rPr>
              <w:t>第三方权威</w:t>
            </w:r>
            <w:r>
              <w:rPr>
                <w:rFonts w:hint="eastAsia" w:ascii="新宋体" w:hAnsi="新宋体" w:eastAsia="新宋体" w:cs="新宋体"/>
                <w:color w:val="auto"/>
                <w:kern w:val="0"/>
                <w:sz w:val="22"/>
                <w:szCs w:val="22"/>
                <w:highlight w:val="none"/>
              </w:rPr>
              <w:t>检验报告为准）</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76</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个</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5年质保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多摄摄像机</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r>
              <w:rPr>
                <w:rFonts w:hint="eastAsia" w:ascii="仿宋" w:hAnsi="仿宋" w:eastAsia="仿宋"/>
                <w:color w:val="auto"/>
                <w:highlight w:val="none"/>
              </w:rPr>
              <w:t>★</w:t>
            </w:r>
            <w:r>
              <w:rPr>
                <w:rFonts w:hint="eastAsia" w:ascii="新宋体" w:hAnsi="新宋体" w:eastAsia="新宋体" w:cs="新宋体"/>
                <w:color w:val="auto"/>
                <w:kern w:val="0"/>
                <w:sz w:val="22"/>
                <w:szCs w:val="22"/>
                <w:highlight w:val="none"/>
              </w:rPr>
              <w:t>具有双镜头、双通道一体化设计，镜头支持垂直角度调节功能。上通道镜头焦距不少于10-50mm，下通道镜头不低于定焦4mm；上下通道均具有不小于400万像素、1/1.8英寸靶面CMOS传感器。</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2、动态范围不小于120dB，信噪比不小于60db。最低照度彩色不大于0.0002 lx，黑白不大于0.0001 lx。内置混合补光灯，可对红外灯及白光灯功率进行调节。</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3、符合最新GB/T 28181-2016标准及补充规定，通过省厅规范检测，必须兼容温州公安现有视频监控系统及设备，必须符合《温州市安全防范视频监控联网系统信息传输交换控制技术要求》，10M/100M自适应电口，支持H.265、H.264/MJPEG编码协议，在分辨率1920x1080 @ 25fps，延时不大于70ms。通道1和通道2在2560x1440 @ 25fps下，清晰度均不小于1400TVL。支持SNMP网管协议远程监测、管理，支持标准NTP校时，支持远程升级。</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4、支持DC24V或AC24V供电，支持长时间±10％宽范围电压输入；支持电源及信号输入端防浪涌（GB/T17626.5-2008 1.2/50微秒模型）电源输入端不小于共模电压2KV 差模不小于1KV 网口不小于2KV；在-20～60℃环境温度下长时间稳定工作。支持对镜头前盖玻璃加热，去除玻璃上的冰状和水状附着物。</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5、</w:t>
            </w:r>
            <w:r>
              <w:rPr>
                <w:rFonts w:hint="eastAsia" w:ascii="仿宋" w:hAnsi="仿宋" w:eastAsia="仿宋"/>
                <w:color w:val="auto"/>
                <w:highlight w:val="none"/>
              </w:rPr>
              <w:t>★</w:t>
            </w:r>
            <w:r>
              <w:rPr>
                <w:rFonts w:hint="eastAsia" w:ascii="新宋体" w:hAnsi="新宋体" w:eastAsia="新宋体" w:cs="新宋体"/>
                <w:color w:val="auto"/>
                <w:kern w:val="0"/>
                <w:sz w:val="22"/>
                <w:szCs w:val="22"/>
                <w:highlight w:val="none"/>
              </w:rPr>
              <w:t>设备通信报文中不存在明文格式的用户身份鉴别信息。支持https通信协议，且https协议不存在已公布的漏洞。设备默认不开启telnet、ftp和tftp服务，对未使用的服务及端口应默认关闭。（以</w:t>
            </w:r>
            <w:r>
              <w:rPr>
                <w:rFonts w:hint="eastAsia" w:ascii="新宋体" w:hAnsi="新宋体" w:eastAsia="新宋体" w:cs="新宋体"/>
                <w:color w:val="auto"/>
                <w:kern w:val="0"/>
                <w:sz w:val="22"/>
                <w:szCs w:val="22"/>
                <w:highlight w:val="none"/>
                <w:lang w:val="en-US" w:eastAsia="zh-CN"/>
              </w:rPr>
              <w:t>第三方权威</w:t>
            </w:r>
            <w:r>
              <w:rPr>
                <w:rFonts w:hint="eastAsia" w:ascii="新宋体" w:hAnsi="新宋体" w:eastAsia="新宋体" w:cs="新宋体"/>
                <w:color w:val="auto"/>
                <w:kern w:val="0"/>
                <w:sz w:val="22"/>
                <w:szCs w:val="22"/>
                <w:highlight w:val="none"/>
              </w:rPr>
              <w:t>检验报告为准）</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6、内置GPU智能处理芯片，支持混合抓拍模式，可同时对行人、非机动车、机动车进行检测、跟踪及抓拍。支持行人、非机动车和机动车的分类计数。支持将人脸与人体、车牌与车辆进行关联。支持行人、非机动车属性提取。支持行人轨迹跟踪功能，可在抓拍图片上叠加行进轨迹和行进方向。  人脸检出率不小于99%。支持人脸比对，比对准确率不低于99%。车辆品牌识别白天准确率不小于99%，晚上准确率不小于97%。支持捕获、识别新能源汽车专用号牌。（以</w:t>
            </w:r>
            <w:r>
              <w:rPr>
                <w:rFonts w:hint="eastAsia" w:ascii="新宋体" w:hAnsi="新宋体" w:eastAsia="新宋体" w:cs="新宋体"/>
                <w:color w:val="auto"/>
                <w:kern w:val="0"/>
                <w:sz w:val="22"/>
                <w:szCs w:val="22"/>
                <w:highlight w:val="none"/>
                <w:lang w:val="en-US" w:eastAsia="zh-CN"/>
              </w:rPr>
              <w:t>第三方权威</w:t>
            </w:r>
            <w:r>
              <w:rPr>
                <w:rFonts w:hint="eastAsia" w:ascii="新宋体" w:hAnsi="新宋体" w:eastAsia="新宋体" w:cs="新宋体"/>
                <w:color w:val="auto"/>
                <w:kern w:val="0"/>
                <w:sz w:val="22"/>
                <w:szCs w:val="22"/>
                <w:highlight w:val="none"/>
              </w:rPr>
              <w:t>检验报告为准）</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7、</w:t>
            </w:r>
            <w:r>
              <w:rPr>
                <w:rFonts w:hint="eastAsia" w:ascii="仿宋" w:hAnsi="仿宋" w:eastAsia="仿宋"/>
                <w:color w:val="auto"/>
                <w:highlight w:val="none"/>
              </w:rPr>
              <w:t>★</w:t>
            </w:r>
            <w:r>
              <w:rPr>
                <w:rFonts w:hint="eastAsia" w:ascii="新宋体" w:hAnsi="新宋体" w:eastAsia="新宋体" w:cs="新宋体"/>
                <w:color w:val="auto"/>
                <w:kern w:val="0"/>
                <w:sz w:val="22"/>
                <w:szCs w:val="22"/>
                <w:highlight w:val="none"/>
              </w:rPr>
              <w:t>设备需具备BDS和GPS定位功能，水平定位精度需小于6米，热启动定位时间小于8秒，并能在监控画面叠加设备所在的经纬度信息。（以</w:t>
            </w:r>
            <w:r>
              <w:rPr>
                <w:rFonts w:hint="eastAsia" w:ascii="新宋体" w:hAnsi="新宋体" w:eastAsia="新宋体" w:cs="新宋体"/>
                <w:color w:val="auto"/>
                <w:kern w:val="0"/>
                <w:sz w:val="22"/>
                <w:szCs w:val="22"/>
                <w:highlight w:val="none"/>
                <w:lang w:val="en-US" w:eastAsia="zh-CN"/>
              </w:rPr>
              <w:t>第三方权威</w:t>
            </w:r>
            <w:r>
              <w:rPr>
                <w:rFonts w:hint="eastAsia" w:ascii="新宋体" w:hAnsi="新宋体" w:eastAsia="新宋体" w:cs="新宋体"/>
                <w:color w:val="auto"/>
                <w:kern w:val="0"/>
                <w:sz w:val="22"/>
                <w:szCs w:val="22"/>
                <w:highlight w:val="none"/>
              </w:rPr>
              <w:t>检验报告为准）</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8、需具有1个RJ45网络接口、1路报警输入、1路报警输出接口、1个音频输入、1个音频输出接口、1个RS485接口、1个SD卡槽。需支持本地SD卡存储，最大支持256G。不低于IP66防护等级、IK10防暴等级。</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个</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全局摄像机</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具有定焦（全景）、变焦（特写）双镜头、双通道一体化设计，上通道定焦镜头不低于6mm，下通道变焦镜头不低于13-52mm，近摄距不低于10-1500mm、水平范围不低于0-210°、垂直范围不低于-15°-22°；上下通道均具有不小于400万像素、1/1.8英寸靶面CMOS传感器。设备具有1个RJ45网络接口，可输出两路视频图像：通道1、通道2。</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w:t>
            </w:r>
            <w:r>
              <w:rPr>
                <w:rFonts w:hint="eastAsia" w:ascii="仿宋" w:hAnsi="仿宋" w:eastAsia="仿宋"/>
                <w:color w:val="auto"/>
                <w:highlight w:val="none"/>
              </w:rPr>
              <w:t>★</w:t>
            </w:r>
            <w:r>
              <w:rPr>
                <w:rFonts w:hint="eastAsia" w:ascii="新宋体" w:hAnsi="新宋体" w:eastAsia="新宋体" w:cs="新宋体"/>
                <w:color w:val="auto"/>
                <w:kern w:val="0"/>
                <w:sz w:val="22"/>
                <w:szCs w:val="22"/>
                <w:highlight w:val="none"/>
              </w:rPr>
              <w:t>动态范围不小于120dB，信噪比不小于60db。最低照度彩色不大于0.0002 lx，黑白不大于0.0001 lx。设备共具有8个补光灯，其中特写摄像机的每个补光灯均包含红外补光模块和白光补光模块。设备支持混合补光，可对红外灯及白光灯进行选择性开启。（以</w:t>
            </w:r>
            <w:r>
              <w:rPr>
                <w:rFonts w:hint="eastAsia" w:ascii="新宋体" w:hAnsi="新宋体" w:eastAsia="新宋体" w:cs="新宋体"/>
                <w:color w:val="auto"/>
                <w:kern w:val="0"/>
                <w:sz w:val="22"/>
                <w:szCs w:val="22"/>
                <w:highlight w:val="none"/>
                <w:lang w:val="en-US" w:eastAsia="zh-CN"/>
              </w:rPr>
              <w:t>第三方权威</w:t>
            </w:r>
            <w:r>
              <w:rPr>
                <w:rFonts w:hint="eastAsia" w:ascii="新宋体" w:hAnsi="新宋体" w:eastAsia="新宋体" w:cs="新宋体"/>
                <w:color w:val="auto"/>
                <w:kern w:val="0"/>
                <w:sz w:val="22"/>
                <w:szCs w:val="22"/>
                <w:highlight w:val="none"/>
              </w:rPr>
              <w:t>检验报告为准）</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3、符合最新GB/T 28181-2016标准及补充规定，通过省厅规范检测，必须兼容温州公安现有视频监控系统及设备，必须符合《温州市安全防范视频监控联网系统信息传输交换控制技术要求》，10M/100M自适应电口，支持H.265、H.264/MJPEG编码协议，两路视频输出分别支持分辨率设置为2560x1440，帧率设置为25fps，分辨力不小于1500线。支持SNMP网管协议远程监测、管理，支持标准NTP校时，支持远程升级。</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4、电压在DC36V±30%范围内变化时，设备可正常工作，工作温度范围可达-50℃-80℃，支持IP67。支持对镜头前盖玻璃加热，去除玻璃上的冰状和水状附着物。</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5、支持水平、垂直旋转，水平手控速度不小于300°/s，定位准确度不大于0.1°。通道1检测到且框出移动目标至通道2摄像机开始转动的时间不大于0.2秒。支持快速聚焦功能，设备对监控区域内的移动目标进行跟踪录像，录像通过单帧回放时应能保证每帧画面清晰稳定。设备细节画面支持快速聚焦，从聚焦开始到聚焦结束用时不超过0.01s。</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6、</w:t>
            </w:r>
            <w:r>
              <w:rPr>
                <w:rFonts w:hint="eastAsia" w:ascii="仿宋" w:hAnsi="仿宋" w:eastAsia="仿宋"/>
                <w:color w:val="auto"/>
                <w:highlight w:val="none"/>
              </w:rPr>
              <w:t>★</w:t>
            </w:r>
            <w:r>
              <w:rPr>
                <w:rFonts w:hint="eastAsia" w:ascii="新宋体" w:hAnsi="新宋体" w:eastAsia="新宋体" w:cs="新宋体"/>
                <w:color w:val="auto"/>
                <w:kern w:val="0"/>
                <w:sz w:val="22"/>
                <w:szCs w:val="22"/>
                <w:highlight w:val="none"/>
              </w:rPr>
              <w:t>内置不少于2个GPU芯片。设备可同时对行人、非机动车、机动车进行检测、跟踪及抓拍；可支持人脸、车牌的抠图及人脸与人体、车牌与车辆的关联显示。可在监控画面实时显示行人、车辆的信息。在距离设备40米处，人脸抓拍准确率不小于99%，人体抓拍准确率不小于99%。（以</w:t>
            </w:r>
            <w:r>
              <w:rPr>
                <w:rFonts w:hint="eastAsia" w:ascii="新宋体" w:hAnsi="新宋体" w:eastAsia="新宋体" w:cs="新宋体"/>
                <w:color w:val="auto"/>
                <w:kern w:val="0"/>
                <w:sz w:val="22"/>
                <w:szCs w:val="22"/>
                <w:highlight w:val="none"/>
                <w:lang w:val="en-US" w:eastAsia="zh-CN"/>
              </w:rPr>
              <w:t>第三方权威</w:t>
            </w:r>
            <w:r>
              <w:rPr>
                <w:rFonts w:hint="eastAsia" w:ascii="新宋体" w:hAnsi="新宋体" w:eastAsia="新宋体" w:cs="新宋体"/>
                <w:color w:val="auto"/>
                <w:kern w:val="0"/>
                <w:sz w:val="22"/>
                <w:szCs w:val="22"/>
                <w:highlight w:val="none"/>
              </w:rPr>
              <w:t>检验报告为准）</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7、</w:t>
            </w:r>
            <w:r>
              <w:rPr>
                <w:rFonts w:hint="eastAsia" w:ascii="仿宋" w:hAnsi="仿宋" w:eastAsia="仿宋"/>
                <w:color w:val="auto"/>
                <w:highlight w:val="none"/>
              </w:rPr>
              <w:t>★</w:t>
            </w:r>
            <w:r>
              <w:rPr>
                <w:rFonts w:hint="eastAsia" w:ascii="新宋体" w:hAnsi="新宋体" w:eastAsia="新宋体" w:cs="新宋体"/>
                <w:color w:val="auto"/>
                <w:kern w:val="0"/>
                <w:sz w:val="22"/>
                <w:szCs w:val="22"/>
                <w:highlight w:val="none"/>
              </w:rPr>
              <w:t>设备可将细节通道中抓拍的人脸图片和全景通道中的人体图片进行关联比对，可对同一目标进行双画面关联显示。设备支持人脸抓拍去重功能，去重后在所有人脸抓拍图片中，同一人脸抓拍图的数量占比应≤1%。（以</w:t>
            </w:r>
            <w:r>
              <w:rPr>
                <w:rFonts w:hint="eastAsia" w:ascii="新宋体" w:hAnsi="新宋体" w:eastAsia="新宋体" w:cs="新宋体"/>
                <w:color w:val="auto"/>
                <w:kern w:val="0"/>
                <w:sz w:val="22"/>
                <w:szCs w:val="22"/>
                <w:highlight w:val="none"/>
                <w:lang w:val="en-US" w:eastAsia="zh-CN"/>
              </w:rPr>
              <w:t>第三方权威</w:t>
            </w:r>
            <w:r>
              <w:rPr>
                <w:rFonts w:hint="eastAsia" w:ascii="新宋体" w:hAnsi="新宋体" w:eastAsia="新宋体" w:cs="新宋体"/>
                <w:color w:val="auto"/>
                <w:kern w:val="0"/>
                <w:sz w:val="22"/>
                <w:szCs w:val="22"/>
                <w:highlight w:val="none"/>
              </w:rPr>
              <w:t>检验报告为准）</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8、需具有1个RJ45网络接口、1路报警输入、1路报警输出接口、1个音频输入、1个音频输出接口、1个RS485接口、1个SD卡槽。需支持本地SD卡存储，最大支持512G。不低于IP66防护等级、IK10防暴等级。</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个</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b/>
                <w:bCs/>
                <w:color w:val="auto"/>
                <w:kern w:val="0"/>
                <w:sz w:val="22"/>
                <w:szCs w:val="22"/>
                <w:highlight w:val="none"/>
              </w:rPr>
              <w:t>5年质保</w:t>
            </w: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补光灯</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1.高效无极灯，通过国家3C认证及整灯CQC认证无眩目检测报告、有在线检测功能，支持远程亮度调节；</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2.有效补光区域：15m*10m，补光区域内任意点最低照度≥3Lux；平均功耗率＜60W；</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3.支持远程参数监测、故障报警、远程开关、中心校时万年历时控（根据不同月份实现精准控制开关灯时间）接口；</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4.灯具防护等级不小于IP66，提供AC220v电源输入口，支持长时间±10%宽范围电压输入；支持电源及信号输入端防浪涌（GB/T17626.5-2008 1.2/50微型模型）；</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5.能在-20~60℃环境温度下长时间稳定工作；电源跟灯体之间以及电源输入端要求采用防水对接头。</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97</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个</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b/>
                <w:bCs/>
                <w:color w:val="auto"/>
                <w:kern w:val="0"/>
                <w:sz w:val="22"/>
                <w:szCs w:val="22"/>
                <w:highlight w:val="none"/>
              </w:rPr>
              <w:t>5年质保</w:t>
            </w: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立杆、支架</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1、立杆，基础符合DB33/T 502—2004，一般4-6米挑3-4.5米，立杆需防锈、镀锌，特殊环境根据现场情况定制。</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2、由采购人根据实际环境决定是否安装，结算按实际安装数量计量。</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 xml:space="preserve">3、杆件的使用权全权在甲方，3年到期后，还可以继续使用的杆件其使用权仍在甲方，需要拆改需征得采购人同意。 </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97</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智能网络箱</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1.箱门检测：箱门状态检测；</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2.远程控制：可远程开关或重启设备供电；</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3.异常告警：当设备电流/电压等数据超出设定范围时、机箱门处于开启状态时，具有报警功能，报警包上传；</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4.管理功能：设备具有直接接入网络功能，可单独设置IP，并可通过IE浏览器或客户端软件登录管理设备，远程修改配置各项参数；</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5.远程升级:远程管理功能、远程升级功能、远程校时功能;</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6.采用304不锈钢，至少5年内不得出现明显的锈蚀或老化现象；机箱内部结构按照上面所列设备的规格进行定制，提供定制的光纤盘位、电源防护设备位、隔热、散热、防护良好，布局合理、模块化清晰，提供标准的固定导轨,竣工后出线口用防火泥封堵，预留两个电源插口，进线电源线≥3*1.5MM，机箱底部开网状散热口；包含空气开关、防浪涌保护器（40KA），配备一个备用插座；一路AC220V输入，最大电流20A；机箱防护等级不低于IP54，机箱正面警徽、民安工程、网络箱编号的颜色鲜艳、清晰，保证5年内雨淋、日晒不脱落、不会明显褪色。</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97</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个</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b/>
                <w:bCs/>
                <w:color w:val="auto"/>
                <w:kern w:val="0"/>
                <w:sz w:val="22"/>
                <w:szCs w:val="22"/>
                <w:highlight w:val="none"/>
              </w:rPr>
              <w:t>5年质保</w:t>
            </w: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网络设备</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实现前端链路所需网络设备</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97</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个</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施工费</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含前端设备安装，立杆基础的开挖、做模、浇筑、路面平整、修补、回填、废土清运等工作及材料，设备调测，辅材、附件、工具、人工等的全部费用。</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97</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路</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专网网络</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服务费</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与视频专网中心机房互联互通的上行速率不低于100M视频专网专线电路（与互联网物理隔离）的光纤链路租费和维护费。</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97</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路</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运维费</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含日常清洁、巡检、维修、抢修的全部费用。</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97</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路</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11</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前端设备电费</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含摄像机、补光灯、网络设备、智能网络箱等前端设备的电费。</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97</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路</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11" w:type="dxa"/>
            <w:gridSpan w:val="6"/>
            <w:noWrap/>
            <w:vAlign w:val="center"/>
          </w:tcPr>
          <w:p>
            <w:pPr>
              <w:spacing w:line="460" w:lineRule="exact"/>
              <w:ind w:right="26"/>
              <w:jc w:val="left"/>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六、AR全景监控建设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序号</w:t>
            </w:r>
          </w:p>
        </w:tc>
        <w:tc>
          <w:tcPr>
            <w:tcW w:w="1258"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项目内容</w:t>
            </w:r>
          </w:p>
        </w:tc>
        <w:tc>
          <w:tcPr>
            <w:tcW w:w="5813"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主要设备的型号、规格</w:t>
            </w:r>
          </w:p>
        </w:tc>
        <w:tc>
          <w:tcPr>
            <w:tcW w:w="709"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数量</w:t>
            </w:r>
          </w:p>
        </w:tc>
        <w:tc>
          <w:tcPr>
            <w:tcW w:w="711"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单位</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1258" w:type="dxa"/>
            <w:noWrap/>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AR全景球型摄像机</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r>
              <w:rPr>
                <w:rFonts w:hint="eastAsia" w:ascii="仿宋" w:hAnsi="仿宋" w:eastAsia="仿宋"/>
                <w:color w:val="auto"/>
                <w:highlight w:val="none"/>
              </w:rPr>
              <w:t>★</w:t>
            </w:r>
            <w:r>
              <w:rPr>
                <w:rFonts w:hint="eastAsia" w:ascii="新宋体" w:hAnsi="新宋体" w:eastAsia="新宋体" w:cs="新宋体"/>
                <w:color w:val="auto"/>
                <w:kern w:val="0"/>
                <w:sz w:val="22"/>
                <w:szCs w:val="22"/>
                <w:highlight w:val="none"/>
              </w:rPr>
              <w:t>2400万270°全景网络高清智能球机，采用一体化设计，自带镜头，另配不少于6个图像采集模块，可输出1路主视频图像和6路辅视频图像。可将辅视频图像进行无缝拼接，拼接后的辅视频图像：水平视场角为270°，垂直视场角为80°。（以</w:t>
            </w:r>
            <w:r>
              <w:rPr>
                <w:rFonts w:hint="eastAsia" w:ascii="新宋体" w:hAnsi="新宋体" w:eastAsia="新宋体" w:cs="新宋体"/>
                <w:color w:val="auto"/>
                <w:kern w:val="0"/>
                <w:sz w:val="22"/>
                <w:szCs w:val="22"/>
                <w:highlight w:val="none"/>
                <w:lang w:val="en-US" w:eastAsia="zh-CN"/>
              </w:rPr>
              <w:t>第三方权威</w:t>
            </w:r>
            <w:r>
              <w:rPr>
                <w:rFonts w:hint="eastAsia" w:ascii="新宋体" w:hAnsi="新宋体" w:eastAsia="新宋体" w:cs="新宋体"/>
                <w:color w:val="auto"/>
                <w:kern w:val="0"/>
                <w:sz w:val="22"/>
                <w:szCs w:val="22"/>
                <w:highlight w:val="none"/>
              </w:rPr>
              <w:t>检验报告为准）</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具备AR视频标签添加，修改，删除和标准等系列管理功能，支持全景通道添加不少于800个标签，细节通道添加不少于400个标签；标签类型包括：**站视频标签，建筑物视频标签，卡口视频标签，普通视频标签等。具备添加定点标签，区域标签，矢量标签，方向标签，并支持标签联动操作。</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3、</w:t>
            </w:r>
            <w:r>
              <w:rPr>
                <w:rFonts w:hint="eastAsia" w:ascii="仿宋" w:hAnsi="仿宋" w:eastAsia="仿宋"/>
                <w:color w:val="auto"/>
                <w:highlight w:val="none"/>
              </w:rPr>
              <w:t>★</w:t>
            </w:r>
            <w:r>
              <w:rPr>
                <w:rFonts w:hint="eastAsia" w:ascii="新宋体" w:hAnsi="新宋体" w:eastAsia="新宋体" w:cs="新宋体"/>
                <w:color w:val="auto"/>
                <w:kern w:val="0"/>
                <w:sz w:val="22"/>
                <w:szCs w:val="22"/>
                <w:highlight w:val="none"/>
              </w:rPr>
              <w:t>具备AR标签防漂移功能，设备调教或者转动时，AR标签与标记物体保持相对静止。具备AR视频标签联动功能，并可对高-高，高-低，低-高三种标签的位置的视频图像，进行切换预览。具备标签跟踪功能，可对全景和细节通道的移动标签进行跟踪，移动标签始终位于画面中心，且跟踪时间和倍率可设置。具备标签同步功能，在细节通道添加或删除指定标签时，全景通道应自动添加或删除该标签。（以</w:t>
            </w:r>
            <w:r>
              <w:rPr>
                <w:rFonts w:hint="eastAsia" w:ascii="新宋体" w:hAnsi="新宋体" w:eastAsia="新宋体" w:cs="新宋体"/>
                <w:color w:val="auto"/>
                <w:kern w:val="0"/>
                <w:sz w:val="22"/>
                <w:szCs w:val="22"/>
                <w:highlight w:val="none"/>
                <w:lang w:eastAsia="zh-CN"/>
              </w:rPr>
              <w:t>第三方权威检验报告</w:t>
            </w:r>
            <w:r>
              <w:rPr>
                <w:rFonts w:hint="eastAsia" w:ascii="新宋体" w:hAnsi="新宋体" w:eastAsia="新宋体" w:cs="新宋体"/>
                <w:color w:val="auto"/>
                <w:kern w:val="0"/>
                <w:sz w:val="22"/>
                <w:szCs w:val="22"/>
                <w:highlight w:val="none"/>
              </w:rPr>
              <w:t>为准）</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3、全景摄像机采用6个靶面尺寸不小于 1/1.8英寸，特写球型摄像机采用1个靶面尺寸不小于 1/1.8英寸。主视频图像：2560×1440@25fps，辅视频图像：8160×2400@25fps，其中主视频图像分辨力不小于1600线。主视频支持不小于40倍光学变倍；（以</w:t>
            </w:r>
            <w:r>
              <w:rPr>
                <w:rFonts w:hint="eastAsia" w:ascii="新宋体" w:hAnsi="新宋体" w:eastAsia="新宋体" w:cs="新宋体"/>
                <w:color w:val="auto"/>
                <w:kern w:val="0"/>
                <w:sz w:val="22"/>
                <w:szCs w:val="22"/>
                <w:highlight w:val="none"/>
                <w:lang w:eastAsia="zh-CN"/>
              </w:rPr>
              <w:t>第三方权威检验报告</w:t>
            </w:r>
            <w:r>
              <w:rPr>
                <w:rFonts w:hint="eastAsia" w:ascii="新宋体" w:hAnsi="新宋体" w:eastAsia="新宋体" w:cs="新宋体"/>
                <w:color w:val="auto"/>
                <w:kern w:val="0"/>
                <w:sz w:val="22"/>
                <w:szCs w:val="22"/>
                <w:highlight w:val="none"/>
              </w:rPr>
              <w:t>为准）</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4、彩色≤0.0003lux；黑白≤0.0001lux；支持宽动态不小于106dB。支持水平手控速度不小于240°/S，云台定位精度为不大于0.1°。垂直手控速度不小于200°/S；水平连续360°旋转，垂直旋转范围为-20°~90°；  支持500个预置位，支持32条巡航扫描，每条巡航路径可设置16个预置点。</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5、产品支持定位联动、自动跟踪、手动跟踪、混合跟踪功能，在辅视频图像中跟踪目标的灵敏度及时间可设；并且自动跟踪模式下，最多对60个目标进行检测并抓拍。产品支持畸变调整功能，支持通过客户端对辅助视频图像的全景画面进行远，中，近3种畸变调整。产品支持画面调整功能，支持通过客户端对辅助视频图像的全景画面进行上，下，左，右平移和三维空间旋转，进而调整视场画面。产品支持全景剪裁功能，支持对辅助图像的全景画面进行框选裁剪，只显示框选内的画面，且检测框可拖拽。剪裁分辨率根子据主码流，子码流和第三码流进行设置。</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6、</w:t>
            </w:r>
            <w:r>
              <w:rPr>
                <w:rFonts w:hint="eastAsia" w:ascii="仿宋" w:hAnsi="仿宋" w:eastAsia="仿宋"/>
                <w:color w:val="auto"/>
                <w:highlight w:val="none"/>
              </w:rPr>
              <w:t>★</w:t>
            </w:r>
            <w:r>
              <w:rPr>
                <w:rFonts w:hint="eastAsia" w:ascii="新宋体" w:hAnsi="新宋体" w:eastAsia="新宋体" w:cs="新宋体"/>
                <w:color w:val="auto"/>
                <w:kern w:val="0"/>
                <w:sz w:val="22"/>
                <w:szCs w:val="22"/>
                <w:highlight w:val="none"/>
              </w:rPr>
              <w:t>内置GPU芯片，可对距设备100米处的人脸进行抓拍。产品支持人员密度功能，支持通过IE浏览器对辅助视频的全景画面设备不少于6个检测框，检测区域人数可通过OSD叠加的形式显示，并且可设置3个等级的人数，当检测框中的人数在3个等级之间变化时可触发报警。支持车辆拥堵检测功能；全景通道可对监控画面中多边形区域内的车辆拥堵情况进行检测，当车辆所占面积超过设定的阈值时，会产生拥堵报警提示，当拥堵报警持续时间超过设定阈值时，可抓拍图片；报警持续时间阈值可设定。（以</w:t>
            </w:r>
            <w:r>
              <w:rPr>
                <w:rFonts w:hint="eastAsia" w:ascii="新宋体" w:hAnsi="新宋体" w:eastAsia="新宋体" w:cs="新宋体"/>
                <w:color w:val="auto"/>
                <w:kern w:val="0"/>
                <w:sz w:val="22"/>
                <w:szCs w:val="22"/>
                <w:highlight w:val="none"/>
                <w:lang w:eastAsia="zh-CN"/>
              </w:rPr>
              <w:t>第三方权威检验报告</w:t>
            </w:r>
            <w:r>
              <w:rPr>
                <w:rFonts w:hint="eastAsia" w:ascii="新宋体" w:hAnsi="新宋体" w:eastAsia="新宋体" w:cs="新宋体"/>
                <w:color w:val="auto"/>
                <w:kern w:val="0"/>
                <w:sz w:val="22"/>
                <w:szCs w:val="22"/>
                <w:highlight w:val="none"/>
              </w:rPr>
              <w:t>为准）</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7、电源具有较强适应性，电源电压在DC36V±47%范围内变化时，摄像机可以正常工作。具备较好防护性能和环境适应性，支持IP67，10KV防浪涌，工作温度范围可达-45℃-75℃。</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8、支持7路报警输入接口，2路报警输出接口，支持1路音频输入，1路输出接口。</w:t>
            </w:r>
          </w:p>
        </w:tc>
        <w:tc>
          <w:tcPr>
            <w:tcW w:w="709" w:type="dxa"/>
            <w:noWrap/>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711" w:type="dxa"/>
            <w:noWrap/>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837" w:type="dxa"/>
            <w:noWrap/>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5年质保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1258" w:type="dxa"/>
            <w:noWrap/>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支架</w:t>
            </w:r>
          </w:p>
        </w:tc>
        <w:tc>
          <w:tcPr>
            <w:tcW w:w="5813" w:type="dxa"/>
            <w:noWrap/>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定制</w:t>
            </w:r>
          </w:p>
        </w:tc>
        <w:tc>
          <w:tcPr>
            <w:tcW w:w="709" w:type="dxa"/>
            <w:noWrap/>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711" w:type="dxa"/>
            <w:noWrap/>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837" w:type="dxa"/>
            <w:noWrap/>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p>
        </w:tc>
        <w:tc>
          <w:tcPr>
            <w:tcW w:w="1258" w:type="dxa"/>
            <w:noWrap/>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网络设备</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实现前端链路所需网络设备</w:t>
            </w:r>
          </w:p>
        </w:tc>
        <w:tc>
          <w:tcPr>
            <w:tcW w:w="709" w:type="dxa"/>
            <w:noWrap/>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711" w:type="dxa"/>
            <w:noWrap/>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837" w:type="dxa"/>
            <w:noWrap/>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智能网络箱</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1.箱门检测：箱门状态检测；</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2.远程控制：可远程开关或重启设备供电；</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3.异常告警：当设备电流/电压等数据超出设定范围时、机箱门处于开启状态时，具有报警功能，报警包上传；</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4.管理功能：设备具有直接接入网络功能，可单独设置IP，并可通过IE浏览器或客户端软件登录管理设备，远程修改配置各项参数；</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5.远程升级:远程管理功能、远程升级功能、远程校时功能;</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6.采用304不锈钢，至少5年内不得出现明显的锈蚀或老化现象；机箱内部结构按照上面所列设备的规格进行定制，提供定制的光纤盘位、电源防护设备位、隔热、散热、防护良好，布局合理、模块化清晰，提供标准的固定导轨,竣工后出线口用防火泥封堵，预留两个电源插口，进线电源线≥3*1.5MM，机箱底部开网状散热口；包含空气开关、防浪涌保护器（40KA），配备一个备用插座；一路AC220V输入，最大电流20A；机箱防护等级不低于IP54，机箱正面警徽、民安工程、网络箱编号的颜色鲜艳、清晰，保证5年内雨淋、日晒不脱落、不会明显褪色。</w:t>
            </w:r>
          </w:p>
        </w:tc>
        <w:tc>
          <w:tcPr>
            <w:tcW w:w="709" w:type="dxa"/>
            <w:noWrap/>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711" w:type="dxa"/>
            <w:noWrap/>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837" w:type="dxa"/>
            <w:noWrap/>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5年质保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w:t>
            </w:r>
          </w:p>
        </w:tc>
        <w:tc>
          <w:tcPr>
            <w:tcW w:w="1258" w:type="dxa"/>
            <w:noWrap/>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施工费</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含前端设备安装，立杆基础的开挖、做模、浇筑、路面平整、修补、回填、废土清运等工作及材料，设备调测，辅材、附件、工具、人工等的全部费用。</w:t>
            </w:r>
          </w:p>
        </w:tc>
        <w:tc>
          <w:tcPr>
            <w:tcW w:w="709" w:type="dxa"/>
            <w:noWrap/>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711" w:type="dxa"/>
            <w:noWrap/>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点</w:t>
            </w:r>
          </w:p>
        </w:tc>
        <w:tc>
          <w:tcPr>
            <w:tcW w:w="837" w:type="dxa"/>
            <w:noWrap/>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w:t>
            </w:r>
          </w:p>
        </w:tc>
        <w:tc>
          <w:tcPr>
            <w:tcW w:w="1258" w:type="dxa"/>
            <w:noWrap/>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网络线路</w:t>
            </w:r>
          </w:p>
        </w:tc>
        <w:tc>
          <w:tcPr>
            <w:tcW w:w="5813" w:type="dxa"/>
            <w:noWrap/>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与视频专网中心机房互联互通的上行速率不低于100M视频专网专线电路（与互联网物理隔离）的光纤链路租费和维护费。</w:t>
            </w:r>
          </w:p>
        </w:tc>
        <w:tc>
          <w:tcPr>
            <w:tcW w:w="709" w:type="dxa"/>
            <w:noWrap/>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711" w:type="dxa"/>
            <w:noWrap/>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路</w:t>
            </w:r>
          </w:p>
        </w:tc>
        <w:tc>
          <w:tcPr>
            <w:tcW w:w="837" w:type="dxa"/>
            <w:noWrap/>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w:t>
            </w:r>
          </w:p>
        </w:tc>
        <w:tc>
          <w:tcPr>
            <w:tcW w:w="1258" w:type="dxa"/>
            <w:noWrap/>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维护费</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含日常清洁、巡检、维修、抢修的全部费用。</w:t>
            </w:r>
          </w:p>
        </w:tc>
        <w:tc>
          <w:tcPr>
            <w:tcW w:w="709" w:type="dxa"/>
            <w:noWrap/>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711" w:type="dxa"/>
            <w:noWrap/>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路</w:t>
            </w:r>
          </w:p>
        </w:tc>
        <w:tc>
          <w:tcPr>
            <w:tcW w:w="837" w:type="dxa"/>
            <w:noWrap/>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前端设备电费</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含摄像机、补光灯、网络设备、智能网络箱等前端设备的电费。</w:t>
            </w:r>
          </w:p>
        </w:tc>
        <w:tc>
          <w:tcPr>
            <w:tcW w:w="709" w:type="dxa"/>
            <w:noWrap/>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711" w:type="dxa"/>
            <w:noWrap/>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路</w:t>
            </w:r>
          </w:p>
        </w:tc>
        <w:tc>
          <w:tcPr>
            <w:tcW w:w="837" w:type="dxa"/>
            <w:noWrap/>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系统集成费</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对接市公安局AR平台进行系统联调</w:t>
            </w:r>
          </w:p>
        </w:tc>
        <w:tc>
          <w:tcPr>
            <w:tcW w:w="709" w:type="dxa"/>
            <w:noWrap/>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711" w:type="dxa"/>
            <w:noWrap/>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路</w:t>
            </w:r>
          </w:p>
        </w:tc>
        <w:tc>
          <w:tcPr>
            <w:tcW w:w="837" w:type="dxa"/>
            <w:noWrap/>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11" w:type="dxa"/>
            <w:gridSpan w:val="6"/>
            <w:noWrap w:val="0"/>
            <w:vAlign w:val="center"/>
          </w:tcPr>
          <w:p>
            <w:pPr>
              <w:spacing w:line="460" w:lineRule="exact"/>
              <w:ind w:right="26"/>
              <w:jc w:val="left"/>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七、微功耗监控建设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序号</w:t>
            </w:r>
          </w:p>
        </w:tc>
        <w:tc>
          <w:tcPr>
            <w:tcW w:w="1258"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项目内容</w:t>
            </w:r>
          </w:p>
        </w:tc>
        <w:tc>
          <w:tcPr>
            <w:tcW w:w="5813"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主要设备的型号、规格</w:t>
            </w:r>
          </w:p>
        </w:tc>
        <w:tc>
          <w:tcPr>
            <w:tcW w:w="709"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数量</w:t>
            </w:r>
          </w:p>
        </w:tc>
        <w:tc>
          <w:tcPr>
            <w:tcW w:w="711"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单位</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智能微功率摄像头</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1.200万像素红外4G网络低功耗智能球机；</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2.支持视频移动检测触发自动上传视频到平台</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3.支持V3平台的对接</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4.太阳能电板100Wp，电池100AH；</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5.支持告警触发、配置定时预置位抓图唤醒</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6.支持4G（移动、联通，电信）网络传输，兼容3G（移动、联通、电信）</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7.图像传感器:采用不低于200W像素CMOS传感器</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8.具备不少于1路RJ45接口、1路音频输入接口、1路音频输出、1路报警输入、1路报警输出接口；</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9.内置固态硬盘240G</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5年质保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立杆</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1、立杆，基础符合DB33/T 502—2004，一般4-6米挑3-4.5米，立杆需防锈、镀锌，特殊环境根据现场情况定制。</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2、由采购人根据实际环境决定是否安装，结算按实际安装数量计量。</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 xml:space="preserve">3、杆件的使用权全权在甲方，3年到期后，还可以继续使用的杆件其使用权仍在甲方，需要拆改需征得采购人同意。 </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施工费</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含前端设备安装，立杆基础的开挖、做模、浇筑、路面平整、修补、回填、废土清运等工作及材料，设备调测，辅材、附件、工具、人工等的全部费用。</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专网网络</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服务费</w:t>
            </w:r>
          </w:p>
        </w:tc>
        <w:tc>
          <w:tcPr>
            <w:tcW w:w="5813" w:type="dxa"/>
            <w:noWrap/>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4G无线VPN卡</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路</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运维费</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含日常清洁、巡检、维修、抢修的全部费用。</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路</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11" w:type="dxa"/>
            <w:gridSpan w:val="6"/>
            <w:noWrap/>
            <w:vAlign w:val="center"/>
          </w:tcPr>
          <w:p>
            <w:pPr>
              <w:spacing w:line="460" w:lineRule="exact"/>
              <w:ind w:right="26"/>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八、社会资源联网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序号</w:t>
            </w:r>
          </w:p>
        </w:tc>
        <w:tc>
          <w:tcPr>
            <w:tcW w:w="1258"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项目内容</w:t>
            </w:r>
          </w:p>
        </w:tc>
        <w:tc>
          <w:tcPr>
            <w:tcW w:w="5813"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主要设备的型号、规格</w:t>
            </w:r>
          </w:p>
        </w:tc>
        <w:tc>
          <w:tcPr>
            <w:tcW w:w="709"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数量</w:t>
            </w:r>
          </w:p>
        </w:tc>
        <w:tc>
          <w:tcPr>
            <w:tcW w:w="711"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单位</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前端安全接入设备</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1、产品架构：采用非X86 64位多核高性能处理器和高速存储器；主控模块内存≥1G；1U盒式设备（提供正面产品照片）</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2、性能要求：所投产品防火墙吞吐量≥200M，每秒新建连接数≥1.8万，并发连接数≥10万。IPSec VPN隧道数≥500；IPSEC VPN加密性能≥200M</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3、硬件要求：单台配置千兆以太网电接口≥8个，硬盘槽位≥1个</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4、配置要求：要求单台配置硬盘≥500G； </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5、扩展要求：接口扩展：可扩展4PFC接口卡、4SFP插卡、4SFP+插卡</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6、部署模式：实现路由模式、透明（网桥）模式、混合模式。</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7、路由实现：实现静态路由、策略路由、等价路由、RIP、OSPF、BGP、ISIS、RIPv2等路由协议。</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安全策略：支持一体化安全策略：可基于地址、端口、服务、应用、用户、时间、VRF等属性，配置入侵防御、数据过滤、文件过滤、防病毒、URL过滤、日志记录、会话老化时间等高级访问控制功能；（要求提供配置截图且设备制造厂商必须盖章）</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9、攻击防护：实现安全区域划分，访问控制列表，配置对象及策略，动态包过滤，黑名单，MAC和IP绑定功能，基于MAC的访问控制列表，802.1q VLAN 透传等功能。支持DDoS 攻击防护，可防范多种类型DDoS 攻击，如SYN flood、UDP flood、ICMP flood、HTTP flood、DNS flood、ARP flood 和ARP 欺骗等。支持DDoS流量阈值学习。启用学习功能后，系统将自动分析当前流量并计算出各种攻击类型的防范阈值，管理员可参考学习结果设置阈值。学习功能支持学习时长、学习模式、周期学习及自动应用等功能。（要求提供截图）</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10、入侵检测：实现对黑客攻击、蠕虫/病毒、木马、恶意代码、间谍软件/广告软件、缓冲区溢出、SQL注入、IDS/IPS逃逸等攻击的防御，实现攻击特征库的分类。基于特征检测，支持超过7800 漏洞特征的攻击检测和防御。（要求截图）；基于协议检测，支持协议自识别。基于协议异常检测，支持自定义IPS 签名。</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11、防病毒</w:t>
            </w:r>
            <w:r>
              <w:rPr>
                <w:rFonts w:hint="eastAsia" w:ascii="新宋体" w:hAnsi="新宋体" w:eastAsia="新宋体" w:cs="新宋体"/>
                <w:color w:val="auto"/>
                <w:kern w:val="0"/>
                <w:sz w:val="22"/>
                <w:szCs w:val="22"/>
                <w:highlight w:val="none"/>
              </w:rPr>
              <w:tab/>
            </w:r>
            <w:r>
              <w:rPr>
                <w:rFonts w:hint="eastAsia" w:ascii="新宋体" w:hAnsi="新宋体" w:eastAsia="新宋体" w:cs="新宋体"/>
                <w:color w:val="auto"/>
                <w:kern w:val="0"/>
                <w:sz w:val="22"/>
                <w:szCs w:val="22"/>
                <w:highlight w:val="none"/>
              </w:rPr>
              <w:t>：基于病毒特征进行检测，实现病毒库手动和自动升级，报文流处理模式，实现病毒日志和报表。可检测病毒数量超过37000条。（要求截图）；</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12、URL过滤：支持海量预分类的URL地址库，支持根据URL类别实现URL过滤；</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支持管理者自定义新的URL地址和URL分类；支持联动云端URL地址库进行全面实施核查（提供功能截图）。</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13、应用控制：支持云应用（如百度云、阿里云、七牛云、天翼云等）、移动应用（微信、QQ、百度视频等）、WEB应用（百度贴吧、百合网、1号店等）、网络下载（安卓市场、App Store、360浏览器等）等超过3500种应用协议的识别和控制，可自定义协议类型。</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14、带宽管理：支持通道化的QoS，支持基于源地址、用户、服务、应用、时间进行带宽控制，并支持配置保障带宽、限制带宽、带宽借用、带宽动态均分、带宽优先级等QoS动作，支持4级层次化QoS、支持多级用户/用户组嵌套。</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15、行为审计：基于应用协议识别对各社区软件进行详细审计，可审计应用类型（如百度贴吧、新浪微博），应用账号，应用行为（如登录、评论），操作时间，发布内容，终端类型（Android、IOS）等。</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16、用户行为画像：提供基于用户名（或用户IP地址）实现对用户行为统一分析界面，采用饼状图对访问应用流量、网站访问集中分析展示，包含基于时间轴的访问行为轨迹(应用账号、行为内容等)，关联账号（微信、QQ）等相关用户行为审计内容（要求提供配置截图且设备制造厂商必须盖章）</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17、负载均衡：支持链路负载均衡功能，支持加权轮转、随机、加权最小连接、源IP地址hash、源IP地址和端口hash、目的地址hash、带宽算法、最大带宽算法、动态就近性、基于优先级的调度算法等10种调度算法，要求提供配置截图且设备制造厂商必须盖章；支持服务器负载功能，支持加权轮转、随机、加权最小连接、源ip地址hash、源ip地址和端口hash、目的地址hash、带宽、最大带宽、最小时间等不少于15中服务器负载算法，要求提供配置截图且设备制造厂商必须盖章；</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18、DNS透明代理：实现内网用户访问外网资源时候的对DNS解析的过程的优化，所有DNS请求不受到客户端填写DNS服务器地址的影响，由设备重新解析，并提供web界面配置截图。</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19、虚拟化能力：所投设备须支持虚拟防火墙功能：支持虚拟防火墙的创建、启动、关闭、删除功能，可独立分配CPU/内存等计算资源，虚拟防火墙可独立管理，独立保存配置（要求提供设备配置截图及官网证明截图）；虚拟防火墙具备独立会话管理、NAT、路由等功能。在虚墙之内可配置VRF，支持二级虚拟化技术。（要求设备可测试，如中标后测试结果不满足，造成不利后果，保留法律追究责任）；实现N:1虚拟化技术，利用双机集群式高可靠性技术，融合后可统一管理配置，对外单一节点，实现主备/主主方式转发。（要求提供设备配置截图及官网证明截图）；</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20、安全可视化：支持实时数据数据展示，即时显示设备当前流量的用户、应用、IP等信息，帮助用户把握设备状态，及时调整设备策略。可视化多维度报表呈现，支持用户、应用、内容、时间、流量、威胁、URL 等多维度呈现报表。支持自定义报表和订阅功能。支持按不同业务展示存储空间的使用情况，如审计业务、流量业务、威胁业务、URL过滤业务、文件过滤业务等。</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21、智能管理：要求支持策略命中率检测和策略冗余分析，简化运维。（要求截图）；支持SNMPv1、SNMPv2、SNMPv3、RMON等网络管理协议，并且支持通过网管软件远程进行设备软件升级、配置等。支持通过Web方式管理设备启动文件，简化管理员操作。</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22、报文监控：支持报文捕获功能，可抓取一段时间之内的报文并生成.cap文件，结合Wireshark等软件分析这段时间内的报文情况。AFT</w:t>
            </w:r>
            <w:r>
              <w:rPr>
                <w:rFonts w:hint="eastAsia" w:ascii="新宋体" w:hAnsi="新宋体" w:eastAsia="新宋体" w:cs="新宋体"/>
                <w:color w:val="auto"/>
                <w:kern w:val="0"/>
                <w:sz w:val="22"/>
                <w:szCs w:val="22"/>
                <w:highlight w:val="none"/>
              </w:rPr>
              <w:tab/>
            </w:r>
            <w:r>
              <w:rPr>
                <w:rFonts w:hint="eastAsia" w:ascii="新宋体" w:hAnsi="新宋体" w:eastAsia="新宋体" w:cs="新宋体"/>
                <w:color w:val="auto"/>
                <w:kern w:val="0"/>
                <w:sz w:val="22"/>
                <w:szCs w:val="22"/>
                <w:highlight w:val="none"/>
              </w:rPr>
              <w:t>支持AFT技术，可用于IPv4和IPv6网络边缘设备，使得用户不必改变目前网络中主机的配置即可实现IPv6网络与IPv4网络的通信。（要求提供Web配置截图）</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23、厂商资质：设备制造厂商具备信息安全应急处理一级服务资质，能提供有效证书的复印件；设备制造厂商具备信息安全风险评估一级服务资质，能提供有效证书的复印件</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24、产品资质：所投产品须具备公安部颁发的第二代防火墙《计算机信息系统安全专用产品销售许可证》（增强级），能提供有效证书的复印件；所投产品须具备中国网络安全审查技术与认证中心的IT产品信息安全认证证书（评估保障级为EAL4增强级），能提供有效证书的复印件</w:t>
            </w:r>
          </w:p>
          <w:p>
            <w:pPr>
              <w:spacing w:line="460" w:lineRule="exact"/>
              <w:ind w:right="26"/>
              <w:jc w:val="left"/>
              <w:rPr>
                <w:color w:val="auto"/>
                <w:highlight w:val="none"/>
              </w:rPr>
            </w:pPr>
            <w:r>
              <w:rPr>
                <w:rFonts w:hint="eastAsia" w:ascii="新宋体" w:hAnsi="新宋体" w:eastAsia="新宋体" w:cs="新宋体"/>
                <w:color w:val="auto"/>
                <w:kern w:val="0"/>
                <w:sz w:val="22"/>
                <w:szCs w:val="22"/>
                <w:highlight w:val="none"/>
              </w:rPr>
              <w:t>25、产品能力：所投产品最近连续三年在IDC中国安全市场排名进入前三（名称为防火墙，非UTM产品），能提供IDC数据授权引用书复印件</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50</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台</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b/>
                <w:bCs/>
                <w:color w:val="auto"/>
                <w:kern w:val="0"/>
                <w:sz w:val="22"/>
                <w:szCs w:val="22"/>
                <w:highlight w:val="none"/>
              </w:rPr>
              <w:t>3年质保</w:t>
            </w: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施工、调试费用</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含设备安装、调测、辅材、附件、工具、人工等的全部费用。</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50</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家</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网络链路</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与视频专网中心机房互联互通的上行速率不低于100M视频专网专线电路（与互联网物理隔离）的光纤链路租费和维护费。</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50</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条</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前端运维</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含日常清洁、巡检、维修、抢修的全部费用。</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50</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家</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11" w:type="dxa"/>
            <w:gridSpan w:val="6"/>
            <w:noWrap/>
            <w:vAlign w:val="center"/>
          </w:tcPr>
          <w:p>
            <w:pPr>
              <w:spacing w:line="460" w:lineRule="exact"/>
              <w:ind w:right="26"/>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九、基础服务能力扩容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序号</w:t>
            </w:r>
          </w:p>
        </w:tc>
        <w:tc>
          <w:tcPr>
            <w:tcW w:w="1258"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项目内容</w:t>
            </w:r>
          </w:p>
        </w:tc>
        <w:tc>
          <w:tcPr>
            <w:tcW w:w="5813"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主要设备的型号、规格</w:t>
            </w:r>
          </w:p>
        </w:tc>
        <w:tc>
          <w:tcPr>
            <w:tcW w:w="709"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数量</w:t>
            </w:r>
          </w:p>
        </w:tc>
        <w:tc>
          <w:tcPr>
            <w:tcW w:w="711"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单位</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人脸、车辆应用能力扩容</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1、兼容市公安局现有的人脸识别系统、车辆二次识别系统</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2、系统支持人像照片库管理，可以针对库做增删改查操作；建库照片支持多种类型的图片，支持多种方式上传。</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3、支持选定性别、来源等条件，检索出静态人脸库中相似度高的人脸图片及相关信息，并按相似度由高到底排序；系统支持选定图片中某一人脸目标，并支持选定时间段、位置等条件，检索出动态人脸库中相似度高的人脸图片及相关信息，并按相似度由高到底排序。</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4、1：N 人脸比对：支持上传人脸照片与人脸库中的人脸比对，结果按照相似度高低显示符合条件的人脸身份信息，支持对百万级静态人像库进行布控告警，百万底库下人脸检索比对首位命中率应不低于 95%。</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5、1：1比对：支持通过上传人脸图片与目标人脸进行相似度比对。</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6、系统注册失败率应不大于 1%。</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7、水平转动角±30°～±45°、俯仰角不超过±20°的人脸图片检出率应不小于 95%，非监视名单误报率应不大于 5%。</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8、系统支持上传人脸照片与动态抓拍库中的人脸比对，结果按照相似度高低显示符合条件的人脸出现时空轨迹信息。</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9、系统支持公安部视图库（GA/T 1400 2017）协议，支持与视图库无缝对接，获取包括实名库、关注人员库等数据。</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10、数据存储时间为一年，查询任意7天内的过车数据、过人数据，后台查询时间不超过5秒。</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11、系统支持识别目标的年龄段、性别、发型、是否戴帽子、帽子颜色、是否戴口罩、是否带墨镜等。</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12、在车牌信息清晰可辨的前提下，识别内容如下：号牌类型，包括大型汽车前号牌、大型汽车后号牌、大型汽车-挂车号牌、小型汽车号牌、教练车号牌、警用车号牌等；号牌颜色，包括蓝、黄、绿、白、黑、新能源绿、新能源黄绿渐变色。白天光照正常,夜间补光正常、人眼可清晰辨识号牌号码的情况下,识别正确率白天应不低于95%,夜间应不低于90%。</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13、支持车头照片不少于6000 种车型识别，车尾照片不少于4000种车型识别，识别结果必须精确到品牌、型号、年款；在白天光照正常、夜间补光正常、人眼可清晰辨识车型的情况下，识别正确率白天应不低于95%，夜间应不低于90%。</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14、图片中大于（256×256）像素车辆目标进行车身颜色与类别识别，在车身颜色、类别清晰可辨的前提下，能够识别不低于12种颜色、不低于9种类别。</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15、图片中大于（256×256）像素车辆目标进行物品识别，在物品清晰可辨的前提下，识别内容如下：白天光照正常、夜间补光正常、人眼可清晰辨识车辆局部特征的情况下,系统对车辆是否有天窗、行李架、年检标志、纸巾盒、遮阳板、摆件、挂件等进行识别，识别正确率白天应不低于95%，夜间应不低于90%。</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16、白天光照正常、夜间补光正常、人眼能够清晰辨识驾乘人员的情况下，系统对车辆前排驾乘人员：是否遮挡面部、是否系安全带、是否有开车打电话行为进行识别,白天和夜间的识别正确率均应不低于90%。</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17、白天光照正常、夜间补光正常、人眼可辨识车辆类型特征的情况下，二轮车识别正确率不低于90%，三轮车识别正确率不低于90%。</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项</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公安视频图像信息共享平台软件授权</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 服务模块支持容器化部署，构建微服务架构。设备接入网关集群化，对外提供统一IP，统一接入、统一调度，提升设备接入能力和可靠性，部分接入服务宕机后，接入业务被负载分担到其他服务节点上，快速恢复业务；</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 服务器功能分层清晰，设备接入，媒体调度，信令路由功能独立承载；</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3. 服务器参数配置入库，图表化显示全部资源的运行状态，可输出实时统计与分析数据；</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4. 服务器运行状态和数据实现容灾备份，保障核心数据的安全与服务的高可用性；</w:t>
            </w:r>
            <w:r>
              <w:rPr>
                <w:rFonts w:hint="eastAsia" w:ascii="新宋体" w:hAnsi="新宋体" w:eastAsia="新宋体" w:cs="新宋体"/>
                <w:color w:val="auto"/>
                <w:kern w:val="0"/>
                <w:sz w:val="22"/>
                <w:szCs w:val="22"/>
                <w:highlight w:val="none"/>
              </w:rPr>
              <w:br w:type="textWrapping"/>
            </w:r>
            <w:r>
              <w:rPr>
                <w:rFonts w:ascii="新宋体" w:hAnsi="新宋体" w:eastAsia="新宋体" w:cs="新宋体"/>
                <w:color w:val="auto"/>
                <w:kern w:val="0"/>
                <w:sz w:val="22"/>
                <w:szCs w:val="22"/>
                <w:highlight w:val="none"/>
              </w:rPr>
              <w:t>5</w:t>
            </w:r>
            <w:r>
              <w:rPr>
                <w:rFonts w:hint="eastAsia" w:ascii="新宋体" w:hAnsi="新宋体" w:eastAsia="新宋体" w:cs="新宋体"/>
                <w:color w:val="auto"/>
                <w:kern w:val="0"/>
                <w:sz w:val="22"/>
                <w:szCs w:val="22"/>
                <w:highlight w:val="none"/>
              </w:rPr>
              <w:t>.（GB/T 28181-2016）、DB33（DB 33/T 629.1—2011）等主流协议全兼容；</w:t>
            </w:r>
            <w:r>
              <w:rPr>
                <w:rFonts w:hint="eastAsia" w:ascii="新宋体" w:hAnsi="新宋体" w:eastAsia="新宋体" w:cs="新宋体"/>
                <w:color w:val="auto"/>
                <w:kern w:val="0"/>
                <w:sz w:val="22"/>
                <w:szCs w:val="22"/>
                <w:highlight w:val="none"/>
              </w:rPr>
              <w:br w:type="textWrapping"/>
            </w:r>
            <w:r>
              <w:rPr>
                <w:rFonts w:ascii="新宋体" w:hAnsi="新宋体" w:eastAsia="新宋体" w:cs="新宋体"/>
                <w:color w:val="auto"/>
                <w:kern w:val="0"/>
                <w:sz w:val="22"/>
                <w:szCs w:val="22"/>
                <w:highlight w:val="none"/>
              </w:rPr>
              <w:t>6</w:t>
            </w:r>
            <w:r>
              <w:rPr>
                <w:rFonts w:hint="eastAsia" w:ascii="新宋体" w:hAnsi="新宋体" w:eastAsia="新宋体" w:cs="新宋体"/>
                <w:color w:val="auto"/>
                <w:kern w:val="0"/>
                <w:sz w:val="22"/>
                <w:szCs w:val="22"/>
                <w:highlight w:val="none"/>
              </w:rPr>
              <w:t>.支持标准的H.264、H.265等视频编码格式，并可支持线性扩展；</w:t>
            </w:r>
            <w:r>
              <w:rPr>
                <w:rFonts w:hint="eastAsia" w:ascii="新宋体" w:hAnsi="新宋体" w:eastAsia="新宋体" w:cs="新宋体"/>
                <w:color w:val="auto"/>
                <w:kern w:val="0"/>
                <w:sz w:val="22"/>
                <w:szCs w:val="22"/>
                <w:highlight w:val="none"/>
              </w:rPr>
              <w:br w:type="textWrapping"/>
            </w:r>
            <w:r>
              <w:rPr>
                <w:rFonts w:ascii="新宋体" w:hAnsi="新宋体" w:eastAsia="新宋体" w:cs="新宋体"/>
                <w:color w:val="auto"/>
                <w:kern w:val="0"/>
                <w:sz w:val="22"/>
                <w:szCs w:val="22"/>
                <w:highlight w:val="none"/>
              </w:rPr>
              <w:t>7</w:t>
            </w:r>
            <w:r>
              <w:rPr>
                <w:rFonts w:hint="eastAsia" w:ascii="新宋体" w:hAnsi="新宋体" w:eastAsia="新宋体" w:cs="新宋体"/>
                <w:color w:val="auto"/>
                <w:kern w:val="0"/>
                <w:sz w:val="22"/>
                <w:szCs w:val="22"/>
                <w:highlight w:val="none"/>
              </w:rPr>
              <w:t>.支持对接入的视频资源进行统一管理，按不同需求实现组织划归、权限管理；</w:t>
            </w:r>
            <w:r>
              <w:rPr>
                <w:rFonts w:hint="eastAsia" w:ascii="新宋体" w:hAnsi="新宋体" w:eastAsia="新宋体" w:cs="新宋体"/>
                <w:color w:val="auto"/>
                <w:kern w:val="0"/>
                <w:sz w:val="22"/>
                <w:szCs w:val="22"/>
                <w:highlight w:val="none"/>
              </w:rPr>
              <w:br w:type="textWrapping"/>
            </w:r>
            <w:r>
              <w:rPr>
                <w:rFonts w:ascii="新宋体" w:hAnsi="新宋体" w:eastAsia="新宋体" w:cs="新宋体"/>
                <w:color w:val="auto"/>
                <w:kern w:val="0"/>
                <w:sz w:val="22"/>
                <w:szCs w:val="22"/>
                <w:highlight w:val="none"/>
              </w:rPr>
              <w:t>8</w:t>
            </w:r>
            <w:r>
              <w:rPr>
                <w:rFonts w:hint="eastAsia" w:ascii="新宋体" w:hAnsi="新宋体" w:eastAsia="新宋体" w:cs="新宋体"/>
                <w:color w:val="auto"/>
                <w:kern w:val="0"/>
                <w:sz w:val="22"/>
                <w:szCs w:val="22"/>
                <w:highlight w:val="none"/>
              </w:rPr>
              <w:t>.支持所有节点具备分布式数据缓存功能，可急速响应各种用户需求；</w:t>
            </w:r>
            <w:r>
              <w:rPr>
                <w:rFonts w:hint="eastAsia" w:ascii="新宋体" w:hAnsi="新宋体" w:eastAsia="新宋体" w:cs="新宋体"/>
                <w:color w:val="auto"/>
                <w:kern w:val="0"/>
                <w:sz w:val="22"/>
                <w:szCs w:val="22"/>
                <w:highlight w:val="none"/>
              </w:rPr>
              <w:br w:type="textWrapping"/>
            </w:r>
            <w:r>
              <w:rPr>
                <w:rFonts w:ascii="新宋体" w:hAnsi="新宋体" w:eastAsia="新宋体" w:cs="新宋体"/>
                <w:color w:val="auto"/>
                <w:kern w:val="0"/>
                <w:sz w:val="22"/>
                <w:szCs w:val="22"/>
                <w:highlight w:val="none"/>
              </w:rPr>
              <w:t>9</w:t>
            </w:r>
            <w:r>
              <w:rPr>
                <w:rFonts w:hint="eastAsia" w:ascii="新宋体" w:hAnsi="新宋体" w:eastAsia="新宋体" w:cs="新宋体"/>
                <w:color w:val="auto"/>
                <w:kern w:val="0"/>
                <w:sz w:val="22"/>
                <w:szCs w:val="22"/>
                <w:highlight w:val="none"/>
              </w:rPr>
              <w:t>.支持通过主流协议对接各云存储节点实现录像存储；</w:t>
            </w:r>
            <w:r>
              <w:rPr>
                <w:rFonts w:hint="eastAsia" w:ascii="新宋体" w:hAnsi="新宋体" w:eastAsia="新宋体" w:cs="新宋体"/>
                <w:color w:val="auto"/>
                <w:kern w:val="0"/>
                <w:sz w:val="22"/>
                <w:szCs w:val="22"/>
                <w:highlight w:val="none"/>
              </w:rPr>
              <w:br w:type="textWrapping"/>
            </w:r>
            <w:r>
              <w:rPr>
                <w:rFonts w:ascii="新宋体" w:hAnsi="新宋体" w:eastAsia="新宋体" w:cs="新宋体"/>
                <w:color w:val="auto"/>
                <w:kern w:val="0"/>
                <w:sz w:val="22"/>
                <w:szCs w:val="22"/>
                <w:highlight w:val="none"/>
              </w:rPr>
              <w:t>10</w:t>
            </w:r>
            <w:r>
              <w:rPr>
                <w:rFonts w:hint="eastAsia" w:ascii="新宋体" w:hAnsi="新宋体" w:eastAsia="新宋体" w:cs="新宋体"/>
                <w:color w:val="auto"/>
                <w:kern w:val="0"/>
                <w:sz w:val="22"/>
                <w:szCs w:val="22"/>
                <w:highlight w:val="none"/>
              </w:rPr>
              <w:t>. 提供完善RestFul接口，可实现第三方快速接入分布式业务；</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1</w:t>
            </w:r>
            <w:r>
              <w:rPr>
                <w:rFonts w:ascii="新宋体" w:hAnsi="新宋体" w:eastAsia="新宋体" w:cs="新宋体"/>
                <w:color w:val="auto"/>
                <w:kern w:val="0"/>
                <w:sz w:val="22"/>
                <w:szCs w:val="22"/>
                <w:highlight w:val="none"/>
              </w:rPr>
              <w:t>1</w:t>
            </w:r>
            <w:r>
              <w:rPr>
                <w:rFonts w:hint="eastAsia" w:ascii="新宋体" w:hAnsi="新宋体" w:eastAsia="新宋体" w:cs="新宋体"/>
                <w:color w:val="auto"/>
                <w:kern w:val="0"/>
                <w:sz w:val="22"/>
                <w:szCs w:val="22"/>
                <w:highlight w:val="none"/>
              </w:rPr>
              <w:t>.包含 1个基础平台  2个公安分平台授权</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项</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社会视频资源接入平台扩容</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1、用户身份认证（web端）：系统支持用户名密码及PKI登录方式，用户首次登陆或重置密码后登陆需强制修改密码，支持密码输入自动隐藏明文功能；</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2、门户（web端）：支持用户将个人常用的应用菜单加入到快捷入口栏中，方便用户快速打开相关常用应用；</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3、收藏预案管理：支持创建新的收藏夹分组，并支持编辑、删除收藏夹分组；支持查看收藏夹内点位，支持针对收藏夹内点位进行查看详情、预览及回放，并支持添加及删除收藏夹内点位；支持将创建的分组分享给其他用户并支持统计收藏夹被分享的用户数；支持查看其他用户共享的收藏夹分组，并支持查看分享人及分享时间；</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4、点位资源：支持切换查看基础目录及业务目录，资源以资源树形式展示，点击可查看下层资源及点位；支持点位周边搜索，在地图上自由选择当前等点位周边点位，并支持对所选点位进行预览、回放、收藏、定位到资源树及查看属性；支持根据关键字及拼音字母进行点位模糊搜索，支持对检索点位进行定位到资源树；</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5、视频巡逻：支持画面抓图、录像、电子放大、3D放大、云台控制、视频增强、音频播放、对讲（支持SDK及国标设备级联对讲），抓图时支持上传至暂存架；支持即时回放功能，即时回放过程中支持控制回放时间及画面，支持针对即时回放画面进行抓图、回放、视频增强、音频播放、对讲、录像保存、播放控制、单帧倒退及单帧前进；支持多画面保存为预案，支持多画面同时抓图、同时录像、全部关闭、批量收藏等功能；支持分享点位至指定用户，并支持设置点位分享有效时间。接收到点位的用户可在移动设备上进行点位查看；支持实时视频云台控制及水平扫描，可以在视频上直接控制。支持八方向转动：上、下、左、右、左上、左下、右上、右下；支持高权限用户抢占云台控制权限，并支持云台锁定，可设置云台锁定时长；</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6、录像回放：支持画面抓图、录像、电子放大、视频增强、音频播放等功能，抓图时支持上传至暂存架；支持录像分段回放功能，可以将录像文件等分成多个片段同时回放，通过分割点的图像差异，快速确定回放关键录像时段；支持录像向前定位功能，自动跳转至录像前几秒位置进行播放；支持多画面同步播放，可针对多个画面进行统一的时间控制；也支持多画面异步播放，即多个画面播放时间不一致，可分别控制；支持多屏播放，支持切换画面为1、4、9、16分屏，支持画面以4:3或16:9展示，支持全屏播放；支持设置是否开启回放时连续抓图，可设置连续抓图模式为按帧抓图或按秒抓图及抓图间隔，支持设置连续抓图张数，支持设置录像回放时抓图的保存格式为jpeg或bmp，支持设置保存路径；支持设置是否开启直连云存储高倍速回放，开启后点位可支持32倍、64倍高倍速播放，支持高倍速播放的点位画面上会有图标标明；</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7、电子地图：支持查看基础目录及自定义的业务目录树下，监控点、卡口、探针、报警设备、报警输入/输出、移动探针、车载、单兵、无人机等类型资源，同时支持资源的地图展示，提供时空一体化的指挥与作战能力；支持按照服务、休闲、出行一级分类以及银行、酒吧、车站等二级分类来查询地理信息数据（检索结果资源在左侧列表展示，地图上以字母形式展现并高亮联动）；支持视频预案的添加、删除、编辑、执行，支持设置预案名称、画面数、轮巡间隔；支持在地图上以指定的位置为中心，自动搜索出周边最近的设定监控点数，以数字形式标注，并调用播放器进行视频追踪；</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8、包含硬件升级及软件授权</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项</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500路接入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公安视频图像信息共享平台性能提升</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1、视频转发性能提升：单服务器最大媒体转发能力，最大支持800Mb(网卡为千M网卡).转发I帧300K以内的视频流丢包不高于0.01%,支持堆叠部署,具备负载均衡和故障冗余。</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2、视频解码输出提升：支持解码采用GB28181、DB33、全球眼等国内开放性协议接入设备的视频解码输出，提供丰富的二次开发接口实现公安DB33扩展、公安实战系统扩展、公安高清卡口扩展等。</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3、</w:t>
            </w:r>
            <w:r>
              <w:rPr>
                <w:rFonts w:hint="eastAsia" w:ascii="仿宋" w:hAnsi="仿宋" w:eastAsia="仿宋"/>
                <w:color w:val="auto"/>
                <w:highlight w:val="none"/>
              </w:rPr>
              <w:t>★</w:t>
            </w:r>
            <w:r>
              <w:rPr>
                <w:rFonts w:hint="eastAsia" w:ascii="新宋体" w:hAnsi="新宋体" w:eastAsia="新宋体" w:cs="新宋体"/>
                <w:color w:val="auto"/>
                <w:kern w:val="0"/>
                <w:sz w:val="22"/>
                <w:szCs w:val="22"/>
                <w:highlight w:val="none"/>
              </w:rPr>
              <w:t>平台兼容提升：平台支持符合GB28181协议的级联共享，GB28181支持多上级自定义共享清单，通过符合GB28181协议的平台间融合互通测试，具备相关认证测试报告。</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4、平台接入性能提升：单平台接入能力，同时支持最大256个国标下级平台接入，支持百万级点位数接入；</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5、平台推送性能提升：同时支持最大256个国标上级平台推送共享，支持百万级点位数推送共享.</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支持按GB28181进行点位共享时，对所推送的目录进行完全自定义和按行政自动生成，对共享的点位挂载和选择完全自由和按特定规则自动生成两种模式.</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支持对按标准协议接入的上、下级的服务器状态，接入的点位信息和目录信息进行查看；</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支持对按标准协议进行共享时，对正在进行共享的目录和点位的共享状态和推送情况进行实时监控，查看；</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6、包含3年软件升级、7×24技术支持服务。</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项</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11" w:type="dxa"/>
            <w:gridSpan w:val="6"/>
            <w:noWrap/>
            <w:vAlign w:val="center"/>
          </w:tcPr>
          <w:p>
            <w:pPr>
              <w:spacing w:line="460" w:lineRule="exact"/>
              <w:ind w:right="26"/>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十、运维支撑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11" w:type="dxa"/>
            <w:gridSpan w:val="6"/>
            <w:noWrap/>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1.运维中心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bookmarkStart w:id="204" w:name="RANGE!A154:H182"/>
            <w:r>
              <w:rPr>
                <w:rFonts w:hint="eastAsia" w:ascii="新宋体" w:hAnsi="新宋体" w:eastAsia="新宋体" w:cs="新宋体"/>
                <w:b/>
                <w:bCs/>
                <w:color w:val="auto"/>
                <w:kern w:val="0"/>
                <w:sz w:val="22"/>
                <w:szCs w:val="22"/>
                <w:highlight w:val="none"/>
              </w:rPr>
              <w:t>序号</w:t>
            </w:r>
            <w:bookmarkEnd w:id="204"/>
          </w:p>
        </w:tc>
        <w:tc>
          <w:tcPr>
            <w:tcW w:w="1258"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名称</w:t>
            </w:r>
          </w:p>
        </w:tc>
        <w:tc>
          <w:tcPr>
            <w:tcW w:w="5813"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主要技术参数</w:t>
            </w:r>
          </w:p>
        </w:tc>
        <w:tc>
          <w:tcPr>
            <w:tcW w:w="709"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数量</w:t>
            </w:r>
          </w:p>
        </w:tc>
        <w:tc>
          <w:tcPr>
            <w:tcW w:w="711"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单位</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55寸液晶拼接屏</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1、LCD显示单元为：55“超窄边液晶屏；物理分辨率达到1920×1080，响应时间≤8ms。</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2、LCD显示单元物理拼缝≤1.8mm，亮度达到600cd/㎡，对比度达到1400:1，图像显示清晰度≥950TVL，亮度鉴别等级为11级。（以</w:t>
            </w:r>
            <w:r>
              <w:rPr>
                <w:rFonts w:hint="eastAsia" w:ascii="新宋体" w:hAnsi="新宋体" w:eastAsia="新宋体" w:cs="新宋体"/>
                <w:color w:val="auto"/>
                <w:kern w:val="0"/>
                <w:sz w:val="22"/>
                <w:szCs w:val="22"/>
                <w:highlight w:val="none"/>
                <w:lang w:eastAsia="zh-CN"/>
              </w:rPr>
              <w:t>第三方权威检验报告</w:t>
            </w:r>
            <w:r>
              <w:rPr>
                <w:rFonts w:hint="eastAsia" w:ascii="新宋体" w:hAnsi="新宋体" w:eastAsia="新宋体" w:cs="新宋体"/>
                <w:color w:val="auto"/>
                <w:kern w:val="0"/>
                <w:sz w:val="22"/>
                <w:szCs w:val="22"/>
                <w:highlight w:val="none"/>
              </w:rPr>
              <w:t>为准）</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3、LCD显示单元具备VGA×1，HDMI×1，DVI×1，BNC×1视频输入接口 RJ45×2，USB×1，红外控制接口×1。</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4、输出接口：VGA×1，DVI×1，BNC×1。（以</w:t>
            </w:r>
            <w:r>
              <w:rPr>
                <w:rFonts w:hint="eastAsia" w:ascii="新宋体" w:hAnsi="新宋体" w:eastAsia="新宋体" w:cs="新宋体"/>
                <w:color w:val="auto"/>
                <w:kern w:val="0"/>
                <w:sz w:val="22"/>
                <w:szCs w:val="22"/>
                <w:highlight w:val="none"/>
                <w:lang w:eastAsia="zh-CN"/>
              </w:rPr>
              <w:t>第三方权威检验报告</w:t>
            </w:r>
            <w:r>
              <w:rPr>
                <w:rFonts w:hint="eastAsia" w:ascii="新宋体" w:hAnsi="新宋体" w:eastAsia="新宋体" w:cs="新宋体"/>
                <w:color w:val="auto"/>
                <w:kern w:val="0"/>
                <w:sz w:val="22"/>
                <w:szCs w:val="22"/>
                <w:highlight w:val="none"/>
              </w:rPr>
              <w:t>为准）</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5、液晶显示单元具有色坐标一致性，根据CIE1931标准色度系统，液晶显示单元色坐标误差在±0.01以内。（以</w:t>
            </w:r>
            <w:r>
              <w:rPr>
                <w:rFonts w:hint="eastAsia" w:ascii="新宋体" w:hAnsi="新宋体" w:eastAsia="新宋体" w:cs="新宋体"/>
                <w:color w:val="auto"/>
                <w:kern w:val="0"/>
                <w:sz w:val="22"/>
                <w:szCs w:val="22"/>
                <w:highlight w:val="none"/>
                <w:lang w:eastAsia="zh-CN"/>
              </w:rPr>
              <w:t>第三方权威检验报告</w:t>
            </w:r>
            <w:r>
              <w:rPr>
                <w:rFonts w:hint="eastAsia" w:ascii="新宋体" w:hAnsi="新宋体" w:eastAsia="新宋体" w:cs="新宋体"/>
                <w:color w:val="auto"/>
                <w:kern w:val="0"/>
                <w:sz w:val="22"/>
                <w:szCs w:val="22"/>
                <w:highlight w:val="none"/>
              </w:rPr>
              <w:t>为准）</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6、液晶显示单元的风扇具备良好的散热效果，风扇散热性能≥40%。液晶显示单元客户端具备能力集收集、设备工作状态展示功能。液晶显示单元连续运行24小时，液晶表面中心温度≤50℃，边缘测试点与中心温差≤10℃。</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7、液晶拼接屏必须采用整机设计，严禁使用飞线屏（供货时如果发现飞线屏，业主有权取消中标资格），显示屏具备完整后壳，不得以支架或挡板替代，无任何裸露在外的电路线，整体美观大方。而且产品符合检测规范，可提供国家级检测机构出具的检测报告里的样品照片佐证。</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8、LCD显示单元采用超宽视角液晶屏，视角可达178°。屏幕漏光度小于等于0.006cd/㎡，可抵抗太阳光等强光干扰,照度在95KLux能正常工作。LCD显示单元内置黑白精显模式，可将彩色信号转换成黑白灰度模式并提高图像细节辨认能力。</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9、LCD显示单元支持U盘点播，内置MPEG、JPEG和RealMedia解码器，支持点播U盘、移动硬盘中的视频、图片、音频或文本资源。视频：支持TS、3g2、avi、mkv、mov、mp4、mpg、tp等文件。音频：支持mp3、wma、m4a、wav、aac等文件。图片：支持jpg、bmp、png等文件。文本：支持txt文件。用户可以选择显示默认开机LOGO、定制开机LOGO、不显示LOGO。用户可以任意定制LOGO而无需升级软件,而且具有LOGO拼接技术，可设置15*15，具有自然拼接模式；能实现开机LOGO拼接及开机高清底图拼接。提供封面首页具有CNAS标识的第三方检测报告复印件。（以</w:t>
            </w:r>
            <w:r>
              <w:rPr>
                <w:rFonts w:hint="eastAsia" w:ascii="新宋体" w:hAnsi="新宋体" w:eastAsia="新宋体" w:cs="新宋体"/>
                <w:color w:val="auto"/>
                <w:kern w:val="0"/>
                <w:sz w:val="22"/>
                <w:szCs w:val="22"/>
                <w:highlight w:val="none"/>
                <w:lang w:eastAsia="zh-CN"/>
              </w:rPr>
              <w:t>第三方权威检验报告</w:t>
            </w:r>
            <w:r>
              <w:rPr>
                <w:rFonts w:hint="eastAsia" w:ascii="新宋体" w:hAnsi="新宋体" w:eastAsia="新宋体" w:cs="新宋体"/>
                <w:color w:val="auto"/>
                <w:kern w:val="0"/>
                <w:sz w:val="22"/>
                <w:szCs w:val="22"/>
                <w:highlight w:val="none"/>
              </w:rPr>
              <w:t>为准）</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台</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b/>
                <w:bCs/>
                <w:color w:val="auto"/>
                <w:kern w:val="0"/>
                <w:sz w:val="22"/>
                <w:szCs w:val="22"/>
                <w:highlight w:val="none"/>
              </w:rPr>
              <w:t>5年质保</w:t>
            </w: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拼接屏支架</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定制</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拼接控制器</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1、4U机箱（含主控板和电源），11个槽位（8路DVI输出，12路DVI输入）</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2、接口：支持VGA、DVI、HDMI、DP及IP源多种信号源采集；</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3、解码能力（需配置解码板DS-C10S-SIUT）解码板支持2路800W（2路600w或2路500W或8路1080P或16路720P或32路D1）网络信号解码上墙，且支持本地录像文件回放上墙；</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4、画面分割：单个输出口支持1/4/9/16画面分割（针对LED不支持9/16画面分割）；</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5、图层叠加：支持图层叠加，最大支持6个图层，其中包括一个虚拟LED图层和一个底图图层，虚拟LED字体大小及背景颜色可调，可选择LED滚动方式，底图分辨率可高达8192*8192；</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6、内置矩阵功能，可支持单个信号源开多个窗口同时显示；支持信号开窗、漫游；</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7、支持SADP自动搜索IP，重置管理员密码；</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8、支持显示墙连接调整，可以实现客户端虚拟显示墙窗口和控制器输出口任意对应；</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9、客户端提供上墙信号的预览功能，方便用户调用信号；</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10、客户端支持管理16台设备，电视墙最多可显示4个虚拟电视墙；</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11、支持ipad客户端、安卓客户端、WEB控制；</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台</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b/>
                <w:bCs/>
                <w:color w:val="auto"/>
                <w:kern w:val="0"/>
                <w:sz w:val="22"/>
                <w:szCs w:val="22"/>
                <w:highlight w:val="none"/>
              </w:rPr>
              <w:t>5年质保</w:t>
            </w: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LED条幅屏</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单色P3.75</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平方</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24U网络机柜</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600*600*1200</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个</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网络交换机</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r>
              <w:rPr>
                <w:rFonts w:hint="eastAsia" w:ascii="仿宋" w:hAnsi="仿宋" w:eastAsia="仿宋"/>
                <w:color w:val="auto"/>
                <w:highlight w:val="none"/>
              </w:rPr>
              <w:t>★</w:t>
            </w:r>
            <w:r>
              <w:rPr>
                <w:rFonts w:hint="eastAsia" w:ascii="新宋体" w:hAnsi="新宋体" w:eastAsia="新宋体" w:cs="新宋体"/>
                <w:color w:val="auto"/>
                <w:kern w:val="0"/>
                <w:sz w:val="22"/>
                <w:szCs w:val="22"/>
                <w:highlight w:val="none"/>
              </w:rPr>
              <w:t>设备性能：交换容量≥336Gbps，转发性能≥50Mpps，（以官网低指标为准，官网参数若标注为交换容量“A/B”，以A/B中更小值为准）；</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2、接口要求：≥24个10/100/1000Base-T自适应以太网端口，≥4个千兆SFP口； </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3、VLAN特性：最大VLAN数(不是VLAN ID)&gt;=4094</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4、路由协议：支持IPv4静态路由、RIP V1/V2、OSPF，支持IPv6静态路由、RIPng</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5、CPU防护：实现CPU保护功能，能限制非法报文对CPU的攻击，保护交换机在各种环境下稳定工作，要求提供权威机构颁发的测试报告；</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w:t>
            </w:r>
            <w:r>
              <w:rPr>
                <w:rFonts w:hint="eastAsia" w:ascii="仿宋" w:hAnsi="仿宋" w:eastAsia="仿宋"/>
                <w:color w:val="auto"/>
                <w:highlight w:val="none"/>
              </w:rPr>
              <w:t>★</w:t>
            </w:r>
            <w:r>
              <w:rPr>
                <w:rFonts w:hint="eastAsia" w:ascii="新宋体" w:hAnsi="新宋体" w:eastAsia="新宋体" w:cs="新宋体"/>
                <w:color w:val="auto"/>
                <w:kern w:val="0"/>
                <w:sz w:val="22"/>
                <w:szCs w:val="22"/>
                <w:highlight w:val="none"/>
              </w:rPr>
              <w:t>堆叠：最大堆叠台数≥9，要求提供权威机构颁发的测试报告；支持跨设备链路聚合，单一IP管理，分布式弹性路由；支持完善的堆叠分裂检测机制，堆叠分裂后能自动完成MAC和IP地址的重配置，无需手动干预；支持远程堆叠；</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软件开发能力：为保证厂商的软件开发能力，确保具备承接重大软件项目能力。生产厂商需入围由国家发展改革委、工业和信息化部、商务部、国家税务总局联合审核认定的《国家规划布局内重点软件企业》；</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w:t>
            </w:r>
            <w:r>
              <w:rPr>
                <w:rFonts w:hint="eastAsia" w:ascii="仿宋" w:hAnsi="仿宋" w:eastAsia="仿宋"/>
                <w:color w:val="auto"/>
                <w:highlight w:val="none"/>
              </w:rPr>
              <w:t>★</w:t>
            </w:r>
            <w:r>
              <w:rPr>
                <w:rFonts w:hint="eastAsia" w:ascii="新宋体" w:hAnsi="新宋体" w:eastAsia="新宋体" w:cs="新宋体"/>
                <w:color w:val="auto"/>
                <w:kern w:val="0"/>
                <w:sz w:val="22"/>
                <w:szCs w:val="22"/>
                <w:highlight w:val="none"/>
              </w:rPr>
              <w:t>软件定义网络：通过将网络的控制层和数据转发层进行分离，大幅简化了网络的管理及维护难度，实现了网络流量的灵活控制，为核心网络及应用的创新提供了良好的网络平台，提供官方链接及网站清晰截图；</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9、可靠性：支持RRPP（快速环网保护协议），环网故障恢复时间不超过200ms；通过自主知识产权管理体系认证证书，提供自主知识产权管理体系认证证书；SDN/OPENFLOW，支持OPENFLOW 1.3标准支持普通模式和Openflow 模式切换</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10、绿色节能：符合IEEE 802.3az（EEE）节能标准；支持端口休眠，关闭没有应用的端口，节省能源；提供RoHS节能证书；</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台</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b/>
                <w:bCs/>
                <w:color w:val="auto"/>
                <w:kern w:val="0"/>
                <w:sz w:val="22"/>
                <w:szCs w:val="22"/>
                <w:highlight w:val="none"/>
              </w:rPr>
              <w:t>3年质保</w:t>
            </w: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工作站</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I5、8G、500G、24寸</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台</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光模块</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千兆</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台</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调音台</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8路输入</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台</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音箱</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1、音箱采用两分频设计，重放效果清晰、饱满、柔和，能够很好地表现音乐和还原人声。</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2、箱体采用优质中密度纤维板，表面采用白色撒点喷漆，美观且经久耐用。</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3、音箱外形小巧、简洁美观、箱体线条流畅、具有现代感、安装方便。</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4、网罩采用0.8mm至1.0mm厚的钢网。</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5、音箱自带专用壁挂件，可根据使用要求灵活调整水平、垂直角度。</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 xml:space="preserve">6、额定/峰值功率：        60W / 240 W   </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7、额定阻抗：             8Ω</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 xml:space="preserve">8、特性灵敏度：           89dB/W/m </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 xml:space="preserve">9、输出声压级：           107dB/W/m(Continues)     113dB/W/m(Peak) </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10、额定频率范围:          80~ 18KHz</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台</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11</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功放</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1、两组音源输入，两路话筒输入。</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2、一组前置录音输出及A、B组功率输出。</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3、本机设置反馈、混响功能。</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4、话筒、线路的音量，音调实现独立调节，带话筒中控接口。</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5、话筒插口自带+6V幻像直流电源。　</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 xml:space="preserve">6、额定功率：            立体声2×60W/8Ω </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 xml:space="preserve">7、频率响应：            20Hz-20KHz  +1/-3dB </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 xml:space="preserve">8、额定输入灵敏度：      线路 -12dB±1dB  话筒 -34dB±1dB </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台</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无线话筒</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1、频率范围： 740-787MHz；调制方式：宽带FM；可调范围： 50MHz；信道数目： 200；信道间隔： 250KHz；频率稳定度：±0.005%以内；动态范围： 100dB；最大频偏： ±45KHz；音频响应：80Hz-18KHz(±3dB)；综合信噪比：&gt;105dB；综合失真：≤0.5%</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2、采用UHF超高频段，DPLL数字锁相环多信道频率合成技术；</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3、提供200个信道选择,方便多套机器使用，轻松避开其它干扰；</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4、先进的红外线自动对频技术，发射机自动追锁接收机频率；</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5、金属手持管体，彩色液晶显示屏，处处彰显高贵品质；</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6、发射器采用防摔防滚尾管，有效抵抗外界的摔跌；</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7、特设接收灵敏度调节，高低功率发射转换功能，应对不同环境；</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8、极强的通用性，各通道发射器可对频后互换使用，维护方便；</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9、手持、领夹、头戴式发射器可任意组合，采用两节五号（AA）普通碱性电池供电。</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13</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PDU插座</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台</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14</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KVM切换器</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台</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办公桌</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3600*600，定制</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16</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座椅</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17</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多功能一体机</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1、复印功能：多达99份，缩放比例为30%至400%</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2、扫描功能：平板式，灰阶</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3、打印功能：分辨率高达600*600 dpi（1200dpi有效），打印速度高达18ppm，打印负荷最高8000页</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台</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18</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电话座机</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台</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19</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柜子</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定制</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装修费用</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1、10米DIV线缆</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2、20米DIV线路</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3、CAT5-UTP4网线</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4、BV3*2.5电源线</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5、RVS2*1.0音箱线</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6、RVVP2*0.75音频线</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7、PVC管</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8、门、灯具、隔墙、吊顶、装修设计等费用</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项</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21</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静电地板</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600*600*150</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40</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平方</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22</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集成费</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其他辅材及系统调试费用</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项</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23</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智能运维管理平台</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支持监控摄像机、编码设备、存储设备、卡口设备等物联设备运行状态的采集功能，采集指标项包括但不限于在线状态、录像情况、设备运行信息；单节点在线状态巡检效率不低于1000路/小时；单项目录像情况巡检效率不低于1000路/小时；最大支持10万路编码设备的实时监控管理。</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支持常见摄像机故障的分析、判断和报警功能，检测内容包括信号丢失、图像模糊、对比度、图像过亮、图像偏色、噪声干扰、条纹干扰、视频抖动、视频遮挡等14种常见摄像机故障；单节点诊断效率不低于1000路/小时。</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3、支持网络交换机、服务器、数据库、标准应用等通用IT设备运行情况的采集功能，采集内容包括：CPU、内存、磁盘、进程、上下行流量带宽占比、数据库表空间信息、标准应用协议响应情况等;单节点巡检效率为300个/30分钟；支持云分析设备运行情况的采集功能；支持大数据集群运行状态和业务应用状态的统一采集；支持云储存设备运行情况的统一运维；最大支持2000个节点。</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 xml:space="preserve">4、事件管理：支持对用户报修、故障告警、用户投诉事件、问题事件、配置变更事件进行统一管理的功能；支持故障告警和问题告警功能；支持派单、建单、告警详情查看、事件关闭、投诉回访功能；支持白名单、满意度调查功能； 工单管理：支持派单、催单、自动催办、跟踪、结单等功能；支持历史维修故障查询；提供日常巡检单配置、下发功能；支持能够通过静态地图展现人员和设备位置的功能； 资产管理：支持即将过保以及已过保资产预警、查询、通知功能；支持资产模型定义；支持合同管理的功能；运维统计：支持以图表形式对事件、用户业务受理情况、故障告警、资产数量、资产年限、库存情况、设备故障情况等数据开展的统计功能，能够基于统计数据对服务台人员、维修人员开展统计应用；单节点最大支持500在线用户、100并发用户，支持扩展多节点做负载均衡； 默认包含100个用户授权（注册用户）。 </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5、含平台支撑所需硬件；</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项</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24</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三楼机房调整</w:t>
            </w:r>
          </w:p>
        </w:tc>
        <w:tc>
          <w:tcPr>
            <w:tcW w:w="5813" w:type="dxa"/>
            <w:noWrap w:val="0"/>
            <w:vAlign w:val="center"/>
          </w:tcPr>
          <w:p>
            <w:pPr>
              <w:spacing w:line="460" w:lineRule="exact"/>
              <w:ind w:right="26"/>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根据业主要求对原有汇聚机房设备及线路进行调整。</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项</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11" w:type="dxa"/>
            <w:gridSpan w:val="6"/>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2.运维支撑人员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运维人员</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点位：按照在线率、完好率考核要求进行视频巡检，通过网管平台或人工发现故障点位，判断归类故障原因（如系统平台故障、光纤链路故障、前端设备被盗或损坏、线缆被剪断等），设置不同的恢复时限，及时派单给相关维保单位，并督促其尽快恢复。</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2.每周进行巡查和派单的资料整理，形成报表报。</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3、做好月、季、年度考核任务的相关配合工作。</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个</w:t>
            </w:r>
          </w:p>
        </w:tc>
        <w:tc>
          <w:tcPr>
            <w:tcW w:w="837"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11" w:type="dxa"/>
            <w:gridSpan w:val="6"/>
            <w:noWrap/>
            <w:vAlign w:val="center"/>
          </w:tcPr>
          <w:p>
            <w:pPr>
              <w:spacing w:line="460" w:lineRule="exact"/>
              <w:ind w:right="26"/>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十一、</w:t>
            </w:r>
            <w:r>
              <w:rPr>
                <w:rFonts w:hint="eastAsia" w:ascii="新宋体" w:hAnsi="新宋体" w:eastAsia="新宋体" w:cs="新宋体"/>
                <w:color w:val="auto"/>
                <w:kern w:val="0"/>
                <w:sz w:val="22"/>
                <w:szCs w:val="22"/>
                <w:highlight w:val="none"/>
              </w:rPr>
              <w:t>视频专网机房租赁费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视频专网机房租赁费</w:t>
            </w:r>
          </w:p>
        </w:tc>
        <w:tc>
          <w:tcPr>
            <w:tcW w:w="5813"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公安视频专机柜及附属设备，机房电费、施工费</w:t>
            </w:r>
          </w:p>
        </w:tc>
        <w:tc>
          <w:tcPr>
            <w:tcW w:w="709"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711"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项</w:t>
            </w:r>
          </w:p>
        </w:tc>
        <w:tc>
          <w:tcPr>
            <w:tcW w:w="837"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3年</w:t>
            </w:r>
          </w:p>
        </w:tc>
      </w:tr>
    </w:tbl>
    <w:p>
      <w:pPr>
        <w:rPr>
          <w:rFonts w:hint="eastAsia" w:ascii="新宋体" w:hAnsi="新宋体" w:eastAsia="新宋体"/>
          <w:color w:val="auto"/>
          <w:sz w:val="22"/>
          <w:highlight w:val="none"/>
        </w:rPr>
      </w:pPr>
    </w:p>
    <w:p>
      <w:pPr>
        <w:rPr>
          <w:rFonts w:hint="eastAsia"/>
          <w:color w:val="auto"/>
          <w:highlight w:val="none"/>
        </w:rPr>
      </w:pPr>
    </w:p>
    <w:p>
      <w:pPr>
        <w:spacing w:line="438" w:lineRule="exact"/>
        <w:ind w:firstLine="552" w:firstLineChars="250"/>
        <w:outlineLvl w:val="4"/>
        <w:rPr>
          <w:rFonts w:hint="eastAsia" w:ascii="新宋体" w:hAnsi="新宋体" w:eastAsia="新宋体"/>
          <w:b/>
          <w:bCs/>
          <w:color w:val="auto"/>
          <w:sz w:val="22"/>
          <w:highlight w:val="none"/>
        </w:rPr>
      </w:pPr>
      <w:r>
        <w:rPr>
          <w:rFonts w:hint="eastAsia" w:ascii="新宋体" w:hAnsi="新宋体" w:eastAsia="新宋体"/>
          <w:b/>
          <w:bCs/>
          <w:color w:val="auto"/>
          <w:sz w:val="22"/>
          <w:highlight w:val="none"/>
        </w:rPr>
        <w:t>标段二：瓯江口雪亮工程建设项目-水利等部门可视化工程建设</w:t>
      </w:r>
    </w:p>
    <w:p>
      <w:pPr>
        <w:spacing w:line="460" w:lineRule="exact"/>
        <w:ind w:firstLine="541" w:firstLineChars="245"/>
        <w:rPr>
          <w:rFonts w:hint="eastAsia" w:ascii="新宋体" w:hAnsi="新宋体" w:eastAsia="新宋体"/>
          <w:b/>
          <w:color w:val="auto"/>
          <w:sz w:val="22"/>
          <w:szCs w:val="22"/>
          <w:highlight w:val="none"/>
        </w:rPr>
      </w:pPr>
      <w:r>
        <w:rPr>
          <w:rFonts w:hint="eastAsia" w:ascii="新宋体" w:hAnsi="新宋体" w:eastAsia="新宋体"/>
          <w:b/>
          <w:color w:val="auto"/>
          <w:sz w:val="22"/>
          <w:szCs w:val="22"/>
          <w:highlight w:val="none"/>
        </w:rPr>
        <w:t>财政预算:人民币肆佰玖拾玖万捌仟伍佰元整（¥4998500.00元），</w:t>
      </w:r>
      <w:r>
        <w:rPr>
          <w:rFonts w:hint="eastAsia" w:ascii="新宋体" w:hAnsi="新宋体" w:eastAsia="新宋体" w:cs="新宋体"/>
          <w:b/>
          <w:color w:val="auto"/>
          <w:sz w:val="22"/>
          <w:szCs w:val="22"/>
          <w:highlight w:val="none"/>
        </w:rPr>
        <w:t>如投标人报价超过财政预算按无效标处理。</w:t>
      </w:r>
    </w:p>
    <w:tbl>
      <w:tblPr>
        <w:tblStyle w:val="52"/>
        <w:tblW w:w="10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1258"/>
        <w:gridCol w:w="6432"/>
        <w:gridCol w:w="916"/>
        <w:gridCol w:w="752"/>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35" w:type="dxa"/>
            <w:gridSpan w:val="6"/>
            <w:noWrap w:val="0"/>
            <w:vAlign w:val="center"/>
          </w:tcPr>
          <w:p>
            <w:pPr>
              <w:spacing w:line="460" w:lineRule="exact"/>
              <w:ind w:right="26"/>
              <w:jc w:val="left"/>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一、瓯江口水利堤坝监控项目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序号</w:t>
            </w:r>
          </w:p>
        </w:tc>
        <w:tc>
          <w:tcPr>
            <w:tcW w:w="1258"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项目内容</w:t>
            </w:r>
          </w:p>
        </w:tc>
        <w:tc>
          <w:tcPr>
            <w:tcW w:w="6432"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主要设备的型号、规格</w:t>
            </w:r>
          </w:p>
        </w:tc>
        <w:tc>
          <w:tcPr>
            <w:tcW w:w="916"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数量</w:t>
            </w:r>
          </w:p>
        </w:tc>
        <w:tc>
          <w:tcPr>
            <w:tcW w:w="752"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单位</w:t>
            </w:r>
          </w:p>
        </w:tc>
        <w:tc>
          <w:tcPr>
            <w:tcW w:w="694"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高清高速智能球机摄像机</w:t>
            </w:r>
          </w:p>
        </w:tc>
        <w:tc>
          <w:tcPr>
            <w:tcW w:w="6432"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【200万像素星光级8寸红外网络高清高速智能球机】</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道路监控：支持车辆检测(支持车牌识别,车型/车身颜色/车牌颜色识别)和混行检测，多场景巡航检测、云存储服务功能</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Smart事件：越界侦测,区域入侵侦测,进入/离开区域侦测等智能侦测功能</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可根据网络状态，通过NPQ协议智能调整分辨率和码率，保证第三码流的流畅预览</w:t>
            </w:r>
          </w:p>
          <w:p>
            <w:pPr>
              <w:pStyle w:val="2"/>
              <w:snapToGrid w:val="0"/>
              <w:spacing w:before="0" w:after="0" w:line="240" w:lineRule="auto"/>
              <w:rPr>
                <w:rFonts w:ascii="新宋体" w:hAnsi="新宋体" w:eastAsia="新宋体" w:cs="新宋体"/>
                <w:b w:val="0"/>
                <w:bCs w:val="0"/>
                <w:color w:val="auto"/>
                <w:kern w:val="0"/>
                <w:sz w:val="22"/>
                <w:szCs w:val="22"/>
                <w:highlight w:val="none"/>
              </w:rPr>
            </w:pPr>
            <w:r>
              <w:rPr>
                <w:rFonts w:hint="eastAsia" w:ascii="新宋体" w:hAnsi="新宋体" w:eastAsia="新宋体" w:cs="新宋体"/>
                <w:b w:val="0"/>
                <w:bCs w:val="0"/>
                <w:color w:val="auto"/>
                <w:kern w:val="0"/>
                <w:sz w:val="22"/>
                <w:szCs w:val="22"/>
                <w:highlight w:val="none"/>
              </w:rPr>
              <w:t>★内置GPU芯片</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b/>
                <w:bCs/>
                <w:color w:val="auto"/>
                <w:kern w:val="0"/>
                <w:sz w:val="22"/>
                <w:szCs w:val="22"/>
                <w:highlight w:val="none"/>
              </w:rPr>
              <w:t>★</w:t>
            </w:r>
            <w:r>
              <w:rPr>
                <w:rFonts w:hint="eastAsia" w:ascii="新宋体" w:hAnsi="新宋体" w:eastAsia="新宋体" w:cs="新宋体"/>
                <w:color w:val="auto"/>
                <w:kern w:val="0"/>
                <w:sz w:val="22"/>
                <w:szCs w:val="22"/>
                <w:highlight w:val="none"/>
              </w:rPr>
              <w:t>图像传感器:1/1.8＂ progressive scan CMOS</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最低照度:彩色：0.0005Lux @ (F1.5，AGC ON)；黑白：0.0001Lux @(F1.5，AGC ON)；0 Lux with IR</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分辨率及帧率:主码流 50Hz:50fps(1920×1080) ;60Hz:60fps(1920×1080)</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视频压缩:H.265/H.264/MJPEG</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红外照射距离:200米</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焦距:5.9-188.8mm，32倍光学变倍</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Smart图像增强:120dB超宽动态、透雾、强光抑制、电子防抖、Smart IR</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水平及垂直范围:水平360°；垂直-20°-90°（自动翻转）</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水平速度:水平键控速度：0.1°-210°/s,速度可设;水平预置点速度：280°/s</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垂直速度:垂直键控速度：0.1°-150°/s,速度可设;垂直预置点速度：250°/s</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电源接口:AC24V±25%</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 xml:space="preserve">网络接口:RJ45网口，自适应10M/100M网络数据 </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音频输入/输出:1路音频输入；1路音频输出</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报警输入/输出:7路报警输入；2路报警输出</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CVBS输出接口:BNC头</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具有RS485控制接口</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SD卡接口:内置Micro SD卡插槽，支持Micro SD(即TF卡)/Micro SDHC/Micro SDXC卡（最大支持256G）</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 xml:space="preserve">功耗:60W max（其中加热5Wmax，红外灯15W max）; </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工作温度和湿度:-40℃-70℃；湿度小于95%</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防护等级:IP67（具备一定程度的抵抗海风等侵蚀）</w:t>
            </w:r>
          </w:p>
        </w:tc>
        <w:tc>
          <w:tcPr>
            <w:tcW w:w="916"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39.00 </w:t>
            </w:r>
          </w:p>
        </w:tc>
        <w:tc>
          <w:tcPr>
            <w:tcW w:w="752"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台</w:t>
            </w:r>
          </w:p>
        </w:tc>
        <w:tc>
          <w:tcPr>
            <w:tcW w:w="694"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高清高速智能球机支架</w:t>
            </w:r>
          </w:p>
        </w:tc>
        <w:tc>
          <w:tcPr>
            <w:tcW w:w="6432"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壁装支架/白色/铝合金/尺寸306.3×97.3×182.6mm</w:t>
            </w:r>
          </w:p>
        </w:tc>
        <w:tc>
          <w:tcPr>
            <w:tcW w:w="916"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10.00 </w:t>
            </w:r>
          </w:p>
        </w:tc>
        <w:tc>
          <w:tcPr>
            <w:tcW w:w="752"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台</w:t>
            </w:r>
          </w:p>
        </w:tc>
        <w:tc>
          <w:tcPr>
            <w:tcW w:w="694"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风光互补发电系统</w:t>
            </w:r>
          </w:p>
        </w:tc>
        <w:tc>
          <w:tcPr>
            <w:tcW w:w="6432"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【水平轴风力发电机】</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额定功率：300W；输出电压:12V/24V/48V；叶片直径：1.16米；启动风速：2.5米/秒；切入风速：3米/秒；最大安全风速：25米/秒；叶片材质：玻璃尼龙纤维复合材料；轮毂结构：采用镶嵌式结构，防止高风环境下叶片飞脱；机身全铝合金，SKF耐低温进口轴承，48mm钢管连接。</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【单晶太阳能板】</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转换率：17%以上；最大电压：36V；最大电流：6.94A；最大功率：250W/块；功能特性：利用太阳能转化成电能,并进行后端存储和前端设备供电</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【风光互补控制器】</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蓄电池额定电压：12V/24V自动切换；风机输入功率：300W-600W；太阳能输入功率：400-800W；通讯方式：RS485 ；工作温度：-20℃~+55℃</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功能特性：LCD液晶显示系统工作数据，限压、限流充电方式，完善的系统保护功能，直流最大输出电流10A</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【工频逆变器】</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输入额定电压：24V；输入电压范围：21-32V；额定负载持续功率：300VA；工作温度-20℃~+50℃；防护等级：IP30</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功能特性：完全隔离型逆变技术，采用先进的SPWM技术，纯正弦波输出，频率50Hz±0.2%,自损耗≤5W，最大效率≥89%，具有电子反接保护</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【胶体蓄电池】</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高性能免维护风光互补专用胶体电池，12V，200AH/块；-20℃-60℃温度范围内使用，使用寿命5-7年</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【防水地埋箱】</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400AH蓄电池地埋箱,防水,防腐蚀,电池恒温</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【集成配电箱】</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包含防雷保护系统，过压保护系统，断路保护系统，过流保护系统；含输出端稳压电源，系统电压输出：DC12V及DC24V；含整套系统电缆连接线，RVV及BVR电缆；箱体规格：550*900*200mm/1.2mm；功能特性：冷扎板户外挂杆箱，箱体内置风扇，自带散热功能</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包含上述设备的施工费用</w:t>
            </w:r>
          </w:p>
        </w:tc>
        <w:tc>
          <w:tcPr>
            <w:tcW w:w="916"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4.00 </w:t>
            </w:r>
          </w:p>
        </w:tc>
        <w:tc>
          <w:tcPr>
            <w:tcW w:w="752"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694" w:type="dxa"/>
            <w:noWrap w:val="0"/>
            <w:vAlign w:val="center"/>
          </w:tcPr>
          <w:p>
            <w:pPr>
              <w:spacing w:line="460" w:lineRule="exact"/>
              <w:ind w:right="26"/>
              <w:jc w:val="center"/>
              <w:rPr>
                <w:rFonts w:ascii="新宋体" w:hAnsi="新宋体" w:eastAsia="新宋体" w:cs="新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11</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二合一防雷器</w:t>
            </w:r>
          </w:p>
        </w:tc>
        <w:tc>
          <w:tcPr>
            <w:tcW w:w="6432"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电源/数据二合一防雷器</w:t>
            </w:r>
          </w:p>
        </w:tc>
        <w:tc>
          <w:tcPr>
            <w:tcW w:w="916"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39.00 </w:t>
            </w:r>
          </w:p>
        </w:tc>
        <w:tc>
          <w:tcPr>
            <w:tcW w:w="752"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台</w:t>
            </w:r>
          </w:p>
        </w:tc>
        <w:tc>
          <w:tcPr>
            <w:tcW w:w="694" w:type="dxa"/>
            <w:noWrap w:val="0"/>
            <w:vAlign w:val="center"/>
          </w:tcPr>
          <w:p>
            <w:pPr>
              <w:spacing w:line="460" w:lineRule="exact"/>
              <w:ind w:right="26"/>
              <w:jc w:val="center"/>
              <w:rPr>
                <w:rFonts w:ascii="新宋体" w:hAnsi="新宋体" w:eastAsia="新宋体" w:cs="新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稳压器</w:t>
            </w:r>
          </w:p>
        </w:tc>
        <w:tc>
          <w:tcPr>
            <w:tcW w:w="6432"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单相高精度全自动交流电源稳压器、空气开关、插座电源等。有延时、过压、欠压等保护功能。配置防浪涌和雷击的电源插座，实现三级防雷，并且强弱电走线分离，电源系统防雷技术指标要求：雷电通流量(8/20us)：≤20KA；启动电压：560；接地电阻：≤4Ω</w:t>
            </w:r>
          </w:p>
        </w:tc>
        <w:tc>
          <w:tcPr>
            <w:tcW w:w="916"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39.00 </w:t>
            </w:r>
          </w:p>
        </w:tc>
        <w:tc>
          <w:tcPr>
            <w:tcW w:w="752"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台</w:t>
            </w:r>
          </w:p>
        </w:tc>
        <w:tc>
          <w:tcPr>
            <w:tcW w:w="694" w:type="dxa"/>
            <w:noWrap w:val="0"/>
            <w:vAlign w:val="center"/>
          </w:tcPr>
          <w:p>
            <w:pPr>
              <w:spacing w:line="460" w:lineRule="exact"/>
              <w:ind w:right="26"/>
              <w:jc w:val="center"/>
              <w:rPr>
                <w:rFonts w:ascii="新宋体" w:hAnsi="新宋体" w:eastAsia="新宋体" w:cs="新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13</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监控网络箱</w:t>
            </w:r>
          </w:p>
        </w:tc>
        <w:tc>
          <w:tcPr>
            <w:tcW w:w="6432"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400*500*250,机箱中能够放置电源、网络传输设备、编解码设备、配线架，</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采取底部进线,机箱的防护等级不低于IP65。</w:t>
            </w:r>
          </w:p>
        </w:tc>
        <w:tc>
          <w:tcPr>
            <w:tcW w:w="916"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39.00 </w:t>
            </w:r>
          </w:p>
        </w:tc>
        <w:tc>
          <w:tcPr>
            <w:tcW w:w="752"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694" w:type="dxa"/>
            <w:noWrap w:val="0"/>
            <w:vAlign w:val="center"/>
          </w:tcPr>
          <w:p>
            <w:pPr>
              <w:spacing w:line="460" w:lineRule="exact"/>
              <w:ind w:right="26"/>
              <w:jc w:val="center"/>
              <w:rPr>
                <w:rFonts w:ascii="新宋体" w:hAnsi="新宋体" w:eastAsia="新宋体" w:cs="新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14</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L型立杆</w:t>
            </w:r>
          </w:p>
        </w:tc>
        <w:tc>
          <w:tcPr>
            <w:tcW w:w="6432"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1、立杆，基础符合DB33/T 502—2004，一般4-6米挑3-4.5米，立杆需防锈、镀锌，特殊环境根据现场情况定制。</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2、由采购人根据实际环境决定是否安装，结算按实际安装数量计量。</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 xml:space="preserve">3、杆件的使用权全权在甲方，3年到期后，还可以继续使用的杆件其使用权仍在甲方，需要拆改需征得采购人同意。 </w:t>
            </w:r>
          </w:p>
        </w:tc>
        <w:tc>
          <w:tcPr>
            <w:tcW w:w="916"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23.00 </w:t>
            </w:r>
          </w:p>
        </w:tc>
        <w:tc>
          <w:tcPr>
            <w:tcW w:w="752"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根</w:t>
            </w:r>
          </w:p>
        </w:tc>
        <w:tc>
          <w:tcPr>
            <w:tcW w:w="694" w:type="dxa"/>
            <w:noWrap w:val="0"/>
            <w:vAlign w:val="center"/>
          </w:tcPr>
          <w:p>
            <w:pPr>
              <w:spacing w:line="460" w:lineRule="exact"/>
              <w:ind w:right="26"/>
              <w:jc w:val="center"/>
              <w:rPr>
                <w:rFonts w:ascii="新宋体" w:hAnsi="新宋体" w:eastAsia="新宋体" w:cs="新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17</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电源线</w:t>
            </w:r>
          </w:p>
        </w:tc>
        <w:tc>
          <w:tcPr>
            <w:tcW w:w="6432"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国标，3*2.5（环岛堤坝取电难，预估需要16000米）</w:t>
            </w:r>
          </w:p>
        </w:tc>
        <w:tc>
          <w:tcPr>
            <w:tcW w:w="916"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1.00 </w:t>
            </w:r>
          </w:p>
        </w:tc>
        <w:tc>
          <w:tcPr>
            <w:tcW w:w="752"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项</w:t>
            </w:r>
          </w:p>
        </w:tc>
        <w:tc>
          <w:tcPr>
            <w:tcW w:w="694" w:type="dxa"/>
            <w:noWrap w:val="0"/>
            <w:vAlign w:val="center"/>
          </w:tcPr>
          <w:p>
            <w:pPr>
              <w:spacing w:line="460" w:lineRule="exact"/>
              <w:ind w:right="26"/>
              <w:jc w:val="center"/>
              <w:rPr>
                <w:rFonts w:ascii="新宋体" w:hAnsi="新宋体" w:eastAsia="新宋体" w:cs="新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18</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电源线</w:t>
            </w:r>
          </w:p>
        </w:tc>
        <w:tc>
          <w:tcPr>
            <w:tcW w:w="6432"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国标，2*1.0，设备间电源线，预估300米</w:t>
            </w:r>
          </w:p>
        </w:tc>
        <w:tc>
          <w:tcPr>
            <w:tcW w:w="916"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1.00 </w:t>
            </w:r>
          </w:p>
        </w:tc>
        <w:tc>
          <w:tcPr>
            <w:tcW w:w="752"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项</w:t>
            </w:r>
          </w:p>
        </w:tc>
        <w:tc>
          <w:tcPr>
            <w:tcW w:w="694" w:type="dxa"/>
            <w:noWrap w:val="0"/>
            <w:vAlign w:val="center"/>
          </w:tcPr>
          <w:p>
            <w:pPr>
              <w:spacing w:line="460" w:lineRule="exact"/>
              <w:ind w:right="26"/>
              <w:jc w:val="center"/>
              <w:rPr>
                <w:rFonts w:ascii="新宋体" w:hAnsi="新宋体" w:eastAsia="新宋体" w:cs="新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19</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网线</w:t>
            </w:r>
          </w:p>
        </w:tc>
        <w:tc>
          <w:tcPr>
            <w:tcW w:w="6432"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超五类线，设备间网线，预估300米</w:t>
            </w:r>
          </w:p>
        </w:tc>
        <w:tc>
          <w:tcPr>
            <w:tcW w:w="916"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1.00 </w:t>
            </w:r>
          </w:p>
        </w:tc>
        <w:tc>
          <w:tcPr>
            <w:tcW w:w="752"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项</w:t>
            </w:r>
          </w:p>
        </w:tc>
        <w:tc>
          <w:tcPr>
            <w:tcW w:w="694" w:type="dxa"/>
            <w:noWrap w:val="0"/>
            <w:vAlign w:val="center"/>
          </w:tcPr>
          <w:p>
            <w:pPr>
              <w:spacing w:line="460" w:lineRule="exact"/>
              <w:ind w:right="26"/>
              <w:jc w:val="center"/>
              <w:rPr>
                <w:rFonts w:ascii="新宋体" w:hAnsi="新宋体" w:eastAsia="新宋体" w:cs="新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pe管</w:t>
            </w:r>
          </w:p>
        </w:tc>
        <w:tc>
          <w:tcPr>
            <w:tcW w:w="6432"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线材管，预估16000米。</w:t>
            </w:r>
          </w:p>
        </w:tc>
        <w:tc>
          <w:tcPr>
            <w:tcW w:w="916"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1.00 </w:t>
            </w:r>
          </w:p>
        </w:tc>
        <w:tc>
          <w:tcPr>
            <w:tcW w:w="752"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项</w:t>
            </w:r>
          </w:p>
        </w:tc>
        <w:tc>
          <w:tcPr>
            <w:tcW w:w="694" w:type="dxa"/>
            <w:noWrap w:val="0"/>
            <w:vAlign w:val="center"/>
          </w:tcPr>
          <w:p>
            <w:pPr>
              <w:spacing w:line="460" w:lineRule="exact"/>
              <w:ind w:right="26"/>
              <w:jc w:val="center"/>
              <w:rPr>
                <w:rFonts w:ascii="新宋体" w:hAnsi="新宋体" w:eastAsia="新宋体" w:cs="新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21</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电源线挖沟直埋</w:t>
            </w:r>
          </w:p>
        </w:tc>
        <w:tc>
          <w:tcPr>
            <w:tcW w:w="6432"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（花砖、砂石、草地、绿化路面）</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1、开挖深度50cm以上，穿管保护（PE25）；</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2、包含开挖、回填、恢复、埋管等所有工序的人工、台班费用；</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施工长度预估为5300米。</w:t>
            </w:r>
          </w:p>
        </w:tc>
        <w:tc>
          <w:tcPr>
            <w:tcW w:w="916"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1.00 </w:t>
            </w:r>
          </w:p>
        </w:tc>
        <w:tc>
          <w:tcPr>
            <w:tcW w:w="752"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项</w:t>
            </w:r>
          </w:p>
        </w:tc>
        <w:tc>
          <w:tcPr>
            <w:tcW w:w="694" w:type="dxa"/>
            <w:noWrap w:val="0"/>
            <w:vAlign w:val="center"/>
          </w:tcPr>
          <w:p>
            <w:pPr>
              <w:spacing w:line="460" w:lineRule="exact"/>
              <w:ind w:right="26"/>
              <w:jc w:val="center"/>
              <w:rPr>
                <w:rFonts w:ascii="新宋体" w:hAnsi="新宋体" w:eastAsia="新宋体" w:cs="新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22</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穿放电源线</w:t>
            </w:r>
          </w:p>
        </w:tc>
        <w:tc>
          <w:tcPr>
            <w:tcW w:w="6432"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采用室外穿管布放进行布放电源线（3芯及以下，线径4mm2及以下,自电表至网络箱，预估长度10000米）</w:t>
            </w:r>
          </w:p>
        </w:tc>
        <w:tc>
          <w:tcPr>
            <w:tcW w:w="916"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1.00 </w:t>
            </w:r>
          </w:p>
        </w:tc>
        <w:tc>
          <w:tcPr>
            <w:tcW w:w="752"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项</w:t>
            </w:r>
          </w:p>
        </w:tc>
        <w:tc>
          <w:tcPr>
            <w:tcW w:w="694" w:type="dxa"/>
            <w:noWrap w:val="0"/>
            <w:vAlign w:val="center"/>
          </w:tcPr>
          <w:p>
            <w:pPr>
              <w:spacing w:line="460" w:lineRule="exact"/>
              <w:ind w:right="26"/>
              <w:jc w:val="center"/>
              <w:rPr>
                <w:rFonts w:ascii="新宋体" w:hAnsi="新宋体" w:eastAsia="新宋体" w:cs="新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23</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穿放电源线</w:t>
            </w:r>
          </w:p>
        </w:tc>
        <w:tc>
          <w:tcPr>
            <w:tcW w:w="6432"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须穿PVC软管；（3芯及以下，线径1.5mm2及以下,自网络箱至设备）预估300米</w:t>
            </w:r>
          </w:p>
        </w:tc>
        <w:tc>
          <w:tcPr>
            <w:tcW w:w="916"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1.00 </w:t>
            </w:r>
          </w:p>
        </w:tc>
        <w:tc>
          <w:tcPr>
            <w:tcW w:w="752"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项</w:t>
            </w:r>
          </w:p>
        </w:tc>
        <w:tc>
          <w:tcPr>
            <w:tcW w:w="694" w:type="dxa"/>
            <w:noWrap w:val="0"/>
            <w:vAlign w:val="center"/>
          </w:tcPr>
          <w:p>
            <w:pPr>
              <w:spacing w:line="460" w:lineRule="exact"/>
              <w:ind w:right="26"/>
              <w:jc w:val="center"/>
              <w:rPr>
                <w:rFonts w:ascii="新宋体" w:hAnsi="新宋体" w:eastAsia="新宋体" w:cs="新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24</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布放网线</w:t>
            </w:r>
          </w:p>
        </w:tc>
        <w:tc>
          <w:tcPr>
            <w:tcW w:w="6432"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须穿PVC软管；预估300米</w:t>
            </w:r>
          </w:p>
        </w:tc>
        <w:tc>
          <w:tcPr>
            <w:tcW w:w="916"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1.00 </w:t>
            </w:r>
          </w:p>
        </w:tc>
        <w:tc>
          <w:tcPr>
            <w:tcW w:w="752"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项</w:t>
            </w:r>
          </w:p>
        </w:tc>
        <w:tc>
          <w:tcPr>
            <w:tcW w:w="694" w:type="dxa"/>
            <w:noWrap w:val="0"/>
            <w:vAlign w:val="center"/>
          </w:tcPr>
          <w:p>
            <w:pPr>
              <w:spacing w:line="460" w:lineRule="exact"/>
              <w:ind w:right="26"/>
              <w:jc w:val="center"/>
              <w:rPr>
                <w:rFonts w:ascii="新宋体" w:hAnsi="新宋体" w:eastAsia="新宋体" w:cs="新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25</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前端施工调试费用</w:t>
            </w:r>
          </w:p>
        </w:tc>
        <w:tc>
          <w:tcPr>
            <w:tcW w:w="6432"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含前端设备安装，立杆基础的开挖、做模、浇筑、路面平整、修补、回填、废土清运等工作及材料，设备调测，辅材、附件、工具、人工等的全部费用。</w:t>
            </w:r>
          </w:p>
        </w:tc>
        <w:tc>
          <w:tcPr>
            <w:tcW w:w="916"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23.00 </w:t>
            </w:r>
          </w:p>
        </w:tc>
        <w:tc>
          <w:tcPr>
            <w:tcW w:w="752"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694" w:type="dxa"/>
            <w:noWrap w:val="0"/>
            <w:vAlign w:val="center"/>
          </w:tcPr>
          <w:p>
            <w:pPr>
              <w:spacing w:line="460" w:lineRule="exact"/>
              <w:ind w:right="26"/>
              <w:jc w:val="center"/>
              <w:rPr>
                <w:rFonts w:ascii="新宋体" w:hAnsi="新宋体" w:eastAsia="新宋体" w:cs="新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29</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视频专网链路</w:t>
            </w:r>
          </w:p>
        </w:tc>
        <w:tc>
          <w:tcPr>
            <w:tcW w:w="6432"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10MB VPN链路（所有环岛堤坝点位均采用有线网络），环岛堤坝周围未有网络管道，专网管道均需要重新铺设</w:t>
            </w:r>
          </w:p>
        </w:tc>
        <w:tc>
          <w:tcPr>
            <w:tcW w:w="916"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39.00 </w:t>
            </w:r>
          </w:p>
        </w:tc>
        <w:tc>
          <w:tcPr>
            <w:tcW w:w="752"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条</w:t>
            </w:r>
          </w:p>
        </w:tc>
        <w:tc>
          <w:tcPr>
            <w:tcW w:w="694"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水利视频专网</w:t>
            </w:r>
          </w:p>
        </w:tc>
        <w:tc>
          <w:tcPr>
            <w:tcW w:w="6432"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100MB数字电路</w:t>
            </w:r>
          </w:p>
        </w:tc>
        <w:tc>
          <w:tcPr>
            <w:tcW w:w="916"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3.00 </w:t>
            </w:r>
          </w:p>
        </w:tc>
        <w:tc>
          <w:tcPr>
            <w:tcW w:w="752"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条</w:t>
            </w:r>
          </w:p>
        </w:tc>
        <w:tc>
          <w:tcPr>
            <w:tcW w:w="694"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31</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维护费</w:t>
            </w:r>
          </w:p>
        </w:tc>
        <w:tc>
          <w:tcPr>
            <w:tcW w:w="6432"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前端设备的维护费用</w:t>
            </w:r>
          </w:p>
        </w:tc>
        <w:tc>
          <w:tcPr>
            <w:tcW w:w="916"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39.00 </w:t>
            </w:r>
          </w:p>
        </w:tc>
        <w:tc>
          <w:tcPr>
            <w:tcW w:w="752"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点</w:t>
            </w:r>
          </w:p>
        </w:tc>
        <w:tc>
          <w:tcPr>
            <w:tcW w:w="694"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35" w:type="dxa"/>
            <w:gridSpan w:val="6"/>
            <w:noWrap w:val="0"/>
            <w:vAlign w:val="center"/>
          </w:tcPr>
          <w:p>
            <w:pPr>
              <w:spacing w:line="460" w:lineRule="exact"/>
              <w:ind w:right="26"/>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二、城管局和执法大队视频监控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序号</w:t>
            </w:r>
          </w:p>
        </w:tc>
        <w:tc>
          <w:tcPr>
            <w:tcW w:w="1258"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项目内容</w:t>
            </w:r>
          </w:p>
        </w:tc>
        <w:tc>
          <w:tcPr>
            <w:tcW w:w="6432"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主要设备的型号、规格</w:t>
            </w:r>
          </w:p>
        </w:tc>
        <w:tc>
          <w:tcPr>
            <w:tcW w:w="916"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数量</w:t>
            </w:r>
          </w:p>
        </w:tc>
        <w:tc>
          <w:tcPr>
            <w:tcW w:w="752"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单位</w:t>
            </w:r>
          </w:p>
        </w:tc>
        <w:tc>
          <w:tcPr>
            <w:tcW w:w="694"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智能球机</w:t>
            </w:r>
          </w:p>
        </w:tc>
        <w:tc>
          <w:tcPr>
            <w:tcW w:w="6432"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r>
              <w:rPr>
                <w:rFonts w:hint="eastAsia" w:ascii="仿宋" w:hAnsi="仿宋" w:eastAsia="仿宋"/>
                <w:color w:val="auto"/>
                <w:highlight w:val="none"/>
              </w:rPr>
              <w:t>★</w:t>
            </w:r>
            <w:r>
              <w:rPr>
                <w:rFonts w:hint="eastAsia" w:ascii="新宋体" w:hAnsi="新宋体" w:eastAsia="新宋体" w:cs="新宋体"/>
                <w:color w:val="auto"/>
                <w:kern w:val="0"/>
                <w:sz w:val="22"/>
                <w:szCs w:val="22"/>
                <w:highlight w:val="none"/>
              </w:rPr>
              <w:t>含400万8寸星光级全高清无球罩球机（无半球形透明罩），安装附件。</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2、不小于1/1.8英寸靶面CMOS 传感器，宽动态范围大于120db，信噪比不小于60db，支持强光抑制、透雾，支持8行OSD字符叠加，可支持字体大小调整，字体颜色修改。超低照度彩色 0.0002Lux/F1.5、黑白0.0001Lux/F1.5；自带红外夜视距离不少于500米</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3、符合最新GB/T 28181标准及补充规定，通过省厅规范检测，必须兼容温州公安现有视频监控系统及设备，必须符合《温州市安全防范视频监控联网系统信息传输交换控制技术要求》，10M/100M自适应电口，支持H.265、H.264/MJPEG编码协议，分辨率及帧率；支持5路码流同时输出，支持同时输出不少于2路高清视频图像，高清视频图像分辨率与帧率不小于2560×1440、60帧/s，支持SNMP网管协议远程监测、管理，支持标准NTP校时，支持远程升级。</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4、室外球机应具备较好防护性能，支持IP67；具备较好的电磁兼容性，支持空气放电20KV，接触放电10KV，15KV防浪涌。  具备较好的电源适应性，电压在AC24V±25%或DC24V±25%范围内变化时，设备可正常工作 。</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摄像机内置镜头，支持不小于32倍光学变倍，镜头最大焦距不小于192mm。支持快速聚焦功能，当设备跟踪行人或机动车等移动目标并录像时，单帧回放录像文件，每1帧画面均应清晰可见。可对距设备100米处的人脸进行抓拍。</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支持水平手控速度不小于800°/S，垂直手控速度不小于300°/s。水平旋转范围为360°连续旋转，垂直旋转范围为-45°~90°。支持300个预置位，可按照所设置的预置位完成不小于8条巡航路径，每条巡航路径可设置不小于32个预置点。</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w:t>
            </w:r>
            <w:r>
              <w:rPr>
                <w:rFonts w:hint="eastAsia" w:ascii="仿宋" w:hAnsi="仿宋" w:eastAsia="仿宋"/>
                <w:color w:val="auto"/>
                <w:highlight w:val="none"/>
              </w:rPr>
              <w:t>★</w:t>
            </w:r>
            <w:r>
              <w:rPr>
                <w:rFonts w:hint="eastAsia" w:ascii="新宋体" w:hAnsi="新宋体" w:eastAsia="新宋体" w:cs="新宋体"/>
                <w:color w:val="auto"/>
                <w:kern w:val="0"/>
                <w:sz w:val="22"/>
                <w:szCs w:val="22"/>
                <w:highlight w:val="none"/>
              </w:rPr>
              <w:t>内置GPU智能处理芯片，具备人脸、人体抓拍并关联输出功能，支持指哪抓哪、多场景轮巡抓拍、远距离卡口抓拍模式。支持人脸人体车辆同时抓拍，人脸人体关联输出，并实现对人脸、人体、车辆结构化属性特征信息提取。（以</w:t>
            </w:r>
            <w:r>
              <w:rPr>
                <w:rFonts w:hint="eastAsia" w:ascii="新宋体" w:hAnsi="新宋体" w:eastAsia="新宋体" w:cs="新宋体"/>
                <w:color w:val="auto"/>
                <w:kern w:val="0"/>
                <w:sz w:val="22"/>
                <w:szCs w:val="22"/>
                <w:highlight w:val="none"/>
                <w:lang w:eastAsia="zh-CN"/>
              </w:rPr>
              <w:t>第三方权威检验报告</w:t>
            </w:r>
            <w:r>
              <w:rPr>
                <w:rFonts w:hint="eastAsia" w:ascii="新宋体" w:hAnsi="新宋体" w:eastAsia="新宋体" w:cs="新宋体"/>
                <w:color w:val="auto"/>
                <w:kern w:val="0"/>
                <w:sz w:val="22"/>
                <w:szCs w:val="22"/>
                <w:highlight w:val="none"/>
              </w:rPr>
              <w:t>为准）</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在混合目标检测模式下，可同时对行人、非机动车、机动车进行分类计数。在混合目标检测模式下，对监视区域中的行人、非机动车和机动车的目标捕获率不低于99%，可支持人脸与人体、车牌与车辆的关联显示。设备可显示行人、非机动车的属性。（以</w:t>
            </w:r>
            <w:r>
              <w:rPr>
                <w:rFonts w:hint="eastAsia" w:ascii="新宋体" w:hAnsi="新宋体" w:eastAsia="新宋体" w:cs="新宋体"/>
                <w:color w:val="auto"/>
                <w:kern w:val="0"/>
                <w:sz w:val="22"/>
                <w:szCs w:val="22"/>
                <w:highlight w:val="none"/>
                <w:lang w:eastAsia="zh-CN"/>
              </w:rPr>
              <w:t>第三方权威检验报告</w:t>
            </w:r>
            <w:r>
              <w:rPr>
                <w:rFonts w:hint="eastAsia" w:ascii="新宋体" w:hAnsi="新宋体" w:eastAsia="新宋体" w:cs="新宋体"/>
                <w:color w:val="auto"/>
                <w:kern w:val="0"/>
                <w:sz w:val="22"/>
                <w:szCs w:val="22"/>
                <w:highlight w:val="none"/>
              </w:rPr>
              <w:t>为准）</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9、支持7路报警输入接口，2路报警输出接口，支持1路音频输入和输出接口。最大支持512GB的SD卡。</w:t>
            </w:r>
          </w:p>
        </w:tc>
        <w:tc>
          <w:tcPr>
            <w:tcW w:w="916"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77</w:t>
            </w:r>
          </w:p>
        </w:tc>
        <w:tc>
          <w:tcPr>
            <w:tcW w:w="752"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694"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5年质保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立杆、支架</w:t>
            </w:r>
          </w:p>
        </w:tc>
        <w:tc>
          <w:tcPr>
            <w:tcW w:w="6432"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1、立杆，基础符合DB33/T 502—2004，一般4-6米挑3-4.5米，立杆需防锈、镀锌，特殊环境根据现场情况定制。</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2、由采购人根据实际环境决定是否安装，结算按实际安装数量计量。</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 xml:space="preserve">3、杆件的使用权全权在甲方，3年到期后，还可以继续使用的杆件其使用权仍在甲方，需要拆改需征得采购人同意。 </w:t>
            </w:r>
          </w:p>
        </w:tc>
        <w:tc>
          <w:tcPr>
            <w:tcW w:w="916"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77</w:t>
            </w:r>
          </w:p>
        </w:tc>
        <w:tc>
          <w:tcPr>
            <w:tcW w:w="752"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694"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网络设备</w:t>
            </w:r>
          </w:p>
        </w:tc>
        <w:tc>
          <w:tcPr>
            <w:tcW w:w="6432"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1.实现前端链路所需网络设备</w:t>
            </w:r>
          </w:p>
        </w:tc>
        <w:tc>
          <w:tcPr>
            <w:tcW w:w="916"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77</w:t>
            </w:r>
          </w:p>
        </w:tc>
        <w:tc>
          <w:tcPr>
            <w:tcW w:w="752"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694"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补光灯</w:t>
            </w:r>
          </w:p>
        </w:tc>
        <w:tc>
          <w:tcPr>
            <w:tcW w:w="6432" w:type="dxa"/>
            <w:noWrap w:val="0"/>
            <w:vAlign w:val="center"/>
          </w:tcPr>
          <w:p>
            <w:pPr>
              <w:spacing w:line="460" w:lineRule="exact"/>
              <w:ind w:right="26"/>
              <w:jc w:val="left"/>
              <w:rPr>
                <w:rFonts w:hint="default" w:ascii="新宋体" w:hAnsi="新宋体" w:eastAsia="新宋体" w:cs="新宋体"/>
                <w:color w:val="auto"/>
                <w:kern w:val="0"/>
                <w:sz w:val="22"/>
                <w:szCs w:val="22"/>
                <w:highlight w:val="none"/>
                <w:lang w:val="en-US" w:eastAsia="zh-CN"/>
              </w:rPr>
            </w:pPr>
            <w:r>
              <w:rPr>
                <w:rFonts w:hint="eastAsia" w:ascii="新宋体" w:hAnsi="新宋体" w:eastAsia="新宋体" w:cs="新宋体"/>
                <w:color w:val="auto"/>
                <w:kern w:val="0"/>
                <w:sz w:val="22"/>
                <w:szCs w:val="22"/>
                <w:highlight w:val="none"/>
              </w:rPr>
              <w:t>1.高效led白光补光灯灯具，采用led白光芯片，光效&gt;130LM/W，灯具出光角度30~120度，额定功率&lt;30W;</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2.支持常亮模式</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3.支持远程亮度调节、远程参数监测、故障报警、远程开关、中心校时万年历时控（根据不同月份实现精准控制开关灯时间）接口；</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4.灯具防护等级不小于IP66，提供AC220v电源输入口，支持长时间±10%宽范围电压输入；支持电源及信号输入端防浪涌（GB/T17626.5-2008 1.2/50微型模型）电源输入端不小于共模电压2kv差模不小于1kv信号口不小于2kv；在-20~60℃环境温度下长时间稳定工作;电源跟灯体之间以及电源输入端要求采用防水对接头；</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5.产品通过公安部三所检验合格</w:t>
            </w:r>
            <w:r>
              <w:rPr>
                <w:rFonts w:hint="eastAsia" w:ascii="新宋体" w:hAnsi="新宋体" w:eastAsia="新宋体" w:cs="新宋体"/>
                <w:color w:val="auto"/>
                <w:kern w:val="0"/>
                <w:sz w:val="22"/>
                <w:szCs w:val="22"/>
                <w:highlight w:val="none"/>
                <w:lang w:eastAsia="zh-CN"/>
              </w:rPr>
              <w:t>，</w:t>
            </w:r>
            <w:r>
              <w:rPr>
                <w:rFonts w:hint="eastAsia" w:ascii="新宋体" w:hAnsi="新宋体" w:eastAsia="新宋体" w:cs="新宋体"/>
                <w:color w:val="auto"/>
                <w:kern w:val="0"/>
                <w:sz w:val="22"/>
                <w:szCs w:val="22"/>
                <w:highlight w:val="none"/>
                <w:lang w:val="en-US" w:eastAsia="zh-CN"/>
              </w:rPr>
              <w:t>提供检测证书</w:t>
            </w:r>
          </w:p>
        </w:tc>
        <w:tc>
          <w:tcPr>
            <w:tcW w:w="916"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77</w:t>
            </w:r>
          </w:p>
        </w:tc>
        <w:tc>
          <w:tcPr>
            <w:tcW w:w="752"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台</w:t>
            </w:r>
          </w:p>
        </w:tc>
        <w:tc>
          <w:tcPr>
            <w:tcW w:w="694"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5年质保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智能网络箱</w:t>
            </w:r>
          </w:p>
        </w:tc>
        <w:tc>
          <w:tcPr>
            <w:tcW w:w="6432"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1.箱门检测：箱门状态检测；</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2.远程控制：可远程开关或重启设备供电；</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3.异常告警：当设备电流/电压等数据超出设定范围时、机箱门处于开启状态时，具有报警功能，报警包上传；</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4.管理功能：设备具有直接接入网络功能，可单独设置IP，并可通过IE浏览器或客户端软件登录管理设备，远程修改配置各项参数；</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5.远程升级:远程管理功能、远程升级功能、远程校时功能;</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6.采用304不锈钢，至少5年内不得出现明显的锈蚀或老化现象；机箱内部结构按照上面所列设备的规格进行定制，提供定制的光纤盘位、电源防护设备位、隔热、散热、防护良好，布局合理、模块化清晰，提供标准的固定导轨,竣工后出线口用防火泥封堵，预留两个电源插口，进线电源线≥3*1.5MM，机箱底部开网状散热口；包含空气开关、防浪涌保护器（40KA），配备一个备用插座；一路AC220V输入，最大电流20A；机箱防护等级不低于IP54，机箱正面警徽、民安工程、网络箱编号的颜色鲜艳、清晰，保证5年内雨淋、日晒不脱落、不会明显褪色。</w:t>
            </w:r>
          </w:p>
        </w:tc>
        <w:tc>
          <w:tcPr>
            <w:tcW w:w="916"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37</w:t>
            </w:r>
          </w:p>
        </w:tc>
        <w:tc>
          <w:tcPr>
            <w:tcW w:w="752"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694"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5年质保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网络箱</w:t>
            </w:r>
          </w:p>
        </w:tc>
        <w:tc>
          <w:tcPr>
            <w:tcW w:w="6432"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尺寸定制,机箱中能够放置电源、网络传输设备、配线架，</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采取底部进线,机箱的防护等级不低于IP54。</w:t>
            </w:r>
          </w:p>
        </w:tc>
        <w:tc>
          <w:tcPr>
            <w:tcW w:w="916"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40</w:t>
            </w:r>
          </w:p>
        </w:tc>
        <w:tc>
          <w:tcPr>
            <w:tcW w:w="752"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694"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施工费</w:t>
            </w:r>
          </w:p>
        </w:tc>
        <w:tc>
          <w:tcPr>
            <w:tcW w:w="6432"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含前端设备安装，立杆基础的开挖、做模、浇筑、路面平整、修补、回填、废土清运等工作及材料，设备调测，辅材、附件、工具、人工等的全部费用。</w:t>
            </w:r>
          </w:p>
        </w:tc>
        <w:tc>
          <w:tcPr>
            <w:tcW w:w="916"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77</w:t>
            </w:r>
          </w:p>
        </w:tc>
        <w:tc>
          <w:tcPr>
            <w:tcW w:w="752"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套</w:t>
            </w:r>
          </w:p>
        </w:tc>
        <w:tc>
          <w:tcPr>
            <w:tcW w:w="694"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专网网络</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服务费</w:t>
            </w:r>
          </w:p>
        </w:tc>
        <w:tc>
          <w:tcPr>
            <w:tcW w:w="6432"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与视频专网中心机房互联互通的上行速率不低于100M视频专网专线电路（与互联网物理隔离）的光纤链路租费和维护费。</w:t>
            </w:r>
          </w:p>
        </w:tc>
        <w:tc>
          <w:tcPr>
            <w:tcW w:w="916"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77</w:t>
            </w:r>
          </w:p>
        </w:tc>
        <w:tc>
          <w:tcPr>
            <w:tcW w:w="752"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路</w:t>
            </w:r>
          </w:p>
        </w:tc>
        <w:tc>
          <w:tcPr>
            <w:tcW w:w="694"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11</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运维费</w:t>
            </w:r>
          </w:p>
        </w:tc>
        <w:tc>
          <w:tcPr>
            <w:tcW w:w="6432"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含日常清洁、巡检、维修、抢修的全部费用。</w:t>
            </w:r>
          </w:p>
        </w:tc>
        <w:tc>
          <w:tcPr>
            <w:tcW w:w="916"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77</w:t>
            </w:r>
          </w:p>
        </w:tc>
        <w:tc>
          <w:tcPr>
            <w:tcW w:w="752"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路</w:t>
            </w:r>
          </w:p>
        </w:tc>
        <w:tc>
          <w:tcPr>
            <w:tcW w:w="694"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前端设备电费</w:t>
            </w:r>
          </w:p>
        </w:tc>
        <w:tc>
          <w:tcPr>
            <w:tcW w:w="6432"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含摄像机、补光灯、网络设备、智能网络箱等前端设备的电费。</w:t>
            </w:r>
          </w:p>
        </w:tc>
        <w:tc>
          <w:tcPr>
            <w:tcW w:w="916"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77</w:t>
            </w:r>
          </w:p>
        </w:tc>
        <w:tc>
          <w:tcPr>
            <w:tcW w:w="752"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路</w:t>
            </w:r>
          </w:p>
        </w:tc>
        <w:tc>
          <w:tcPr>
            <w:tcW w:w="694"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35" w:type="dxa"/>
            <w:gridSpan w:val="6"/>
            <w:noWrap/>
            <w:vAlign w:val="center"/>
          </w:tcPr>
          <w:p>
            <w:pPr>
              <w:spacing w:line="460" w:lineRule="exact"/>
              <w:ind w:right="26"/>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三、服务器及网络硬件扩容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序号</w:t>
            </w:r>
          </w:p>
        </w:tc>
        <w:tc>
          <w:tcPr>
            <w:tcW w:w="1258"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项目内容</w:t>
            </w:r>
          </w:p>
        </w:tc>
        <w:tc>
          <w:tcPr>
            <w:tcW w:w="6432"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主要设备的型号、规格</w:t>
            </w:r>
          </w:p>
        </w:tc>
        <w:tc>
          <w:tcPr>
            <w:tcW w:w="916"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数量</w:t>
            </w:r>
          </w:p>
        </w:tc>
        <w:tc>
          <w:tcPr>
            <w:tcW w:w="752"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单位</w:t>
            </w:r>
          </w:p>
        </w:tc>
        <w:tc>
          <w:tcPr>
            <w:tcW w:w="694" w:type="dxa"/>
            <w:noWrap w:val="0"/>
            <w:vAlign w:val="center"/>
          </w:tcPr>
          <w:p>
            <w:pPr>
              <w:spacing w:line="460" w:lineRule="exact"/>
              <w:ind w:right="26"/>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核心交换机背板</w:t>
            </w:r>
          </w:p>
        </w:tc>
        <w:tc>
          <w:tcPr>
            <w:tcW w:w="6432"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 48万兆光口接口板卡，要求与原有核心交换机H3C S10510实现无缝对接，完美兼容；</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 同时配置SFP+多模万兆模块≥36块；</w:t>
            </w:r>
          </w:p>
        </w:tc>
        <w:tc>
          <w:tcPr>
            <w:tcW w:w="916"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752"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个</w:t>
            </w:r>
          </w:p>
        </w:tc>
        <w:tc>
          <w:tcPr>
            <w:tcW w:w="694"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视频专网</w:t>
            </w:r>
          </w:p>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b/>
                <w:bCs/>
                <w:color w:val="auto"/>
                <w:kern w:val="0"/>
                <w:sz w:val="22"/>
                <w:szCs w:val="22"/>
                <w:highlight w:val="none"/>
              </w:rPr>
              <w:t>3年质保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汇聚交换机</w:t>
            </w:r>
          </w:p>
        </w:tc>
        <w:tc>
          <w:tcPr>
            <w:tcW w:w="6432"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1、性能要求：交换容量≥80Tbps、 包转发率≥1600Mpps；整机最大MAC地址表≥280K，提供第三方测试报告；</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2、配置要求：≥48个万兆光口、≥6个QSFP光口、配置模块化热插拔双交流电源，配置热插拔风扇≥3块、 配置≥1套40G QSFP+3m电缆，SFP+万兆模块(850nm,300m,LC)≥32块、 ≥2个带外管理口、≥1个MINI USB管理接口；</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3、三层功能：支持RIP、OSPF、ISIS、BGP等IPv4动态路由协议；支持RIPng、OSPFv3、ISISv6、BGP4+等IPv6动态路由协议；支持IPv6 ND、支持路径MTU发现；支持GRE隧道；</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4、MPLS：支持MPLS、MCE，提供官网截图证明；支持MPLS VPN，提供官网截图证明；支持MPLS TE，提供官网截图证明 ；</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5、QoS：支持SP, WRR,WFQ, SP+WRR, SP+WFQ调度方式；支持L2~L4协议包过滤功能和流分类；</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6、DC特性：实配支持二层、三层Vxlan网关和BGP EVPN特性（非环回方式）；支持FCoE功能，提供第三方权威检测报告证明；</w:t>
            </w:r>
            <w:r>
              <w:rPr>
                <w:rFonts w:hint="eastAsia" w:ascii="新宋体" w:hAnsi="新宋体" w:eastAsia="新宋体" w:cs="新宋体"/>
                <w:color w:val="auto"/>
                <w:kern w:val="0"/>
                <w:sz w:val="22"/>
                <w:szCs w:val="22"/>
                <w:highlight w:val="none"/>
              </w:rPr>
              <w:tab/>
            </w:r>
            <w:r>
              <w:rPr>
                <w:rFonts w:hint="eastAsia" w:ascii="新宋体" w:hAnsi="新宋体" w:eastAsia="新宋体" w:cs="新宋体"/>
                <w:color w:val="auto"/>
                <w:kern w:val="0"/>
                <w:sz w:val="22"/>
                <w:szCs w:val="22"/>
                <w:highlight w:val="none"/>
              </w:rPr>
              <w:t>支持无损网络RoCE，支持PFC、ECN、ETS ；支持Telemetry；支持服务链Service chain功能；</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7、组播：支持PIM-DM、PIM-SM、MLD、IPV6 PIM-DM、IPV6 PIM-SM，提供官网截图证明；支持组播 over VXLAN，提供官网截图证明 ；支持IGMP Snooping、MLD Snooping ；支持IGMP、IGMP Proxy；</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w:t>
            </w:r>
            <w:r>
              <w:rPr>
                <w:rFonts w:hint="eastAsia" w:ascii="仿宋" w:hAnsi="仿宋" w:eastAsia="仿宋"/>
                <w:color w:val="auto"/>
                <w:highlight w:val="none"/>
              </w:rPr>
              <w:t>★</w:t>
            </w:r>
            <w:r>
              <w:rPr>
                <w:rFonts w:hint="eastAsia" w:ascii="新宋体" w:hAnsi="新宋体" w:eastAsia="新宋体" w:cs="新宋体"/>
                <w:color w:val="auto"/>
                <w:kern w:val="0"/>
                <w:sz w:val="22"/>
                <w:szCs w:val="22"/>
                <w:highlight w:val="none"/>
              </w:rPr>
              <w:t>虚拟化：支持多虚一智能弹性架构，能将多台物理设备互相连接起来，使其虚拟为一台逻辑设备，以简化管理，简化业务，弹性扩展，保证网络的高可靠；支持二十虚一特性，提供第三方权威检测报告证明；支持纵向虚拟化技术，能够将接入设备作为远程接口板加入主设备系统，在纵向维度上将核心层设备和接入层设备虚拟为一台逻辑设备，使网络设备进行统一管理，策略统一配置；提供第三方权威检测报告证明；</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w:t>
            </w:r>
            <w:r>
              <w:rPr>
                <w:rFonts w:hint="eastAsia" w:ascii="仿宋" w:hAnsi="仿宋" w:eastAsia="仿宋"/>
                <w:color w:val="auto"/>
                <w:highlight w:val="none"/>
              </w:rPr>
              <w:t>★</w:t>
            </w:r>
            <w:r>
              <w:rPr>
                <w:rFonts w:hint="eastAsia" w:ascii="新宋体" w:hAnsi="新宋体" w:eastAsia="新宋体" w:cs="新宋体"/>
                <w:color w:val="auto"/>
                <w:kern w:val="0"/>
                <w:sz w:val="22"/>
                <w:szCs w:val="22"/>
                <w:highlight w:val="none"/>
              </w:rPr>
              <w:t>运维排错系统：配置一套运维排错系统标准平台（包含200点位设备排错授权）；提供一站式智能运维界面，通过智能运维门户可以提供向导式的网络运维，设备管理、故障排查、维护大全、开局助手、控制台、云图、工具宝箱等功能，提供软件功能截图；提供故障排查及脚本管理功能，可通过选择故障设备、选择故障类型、确定前置条件，然后通过信息收集，信息分析，提供向导式解决方法；提供自定义脚本、公共协议、交换技术、路由技术、无线、安全产品、交换机产品、路由器产品的脚本管理；提供工具宝箱，用户可自定义常用功能界面，提供常用协议号查询、常用端口号查询、MAC厂商查询、FTP客户端查询、FTP服务器查询、TFTP服务器查询、IP地址划分、IP地址归属查询、条件申请查询、设备维保查询、板卡配套查询、快速Ping扫描查询、报文格式查询、日志转读查询、序列号二维码、命令查询、ACL信息查询等，提供软件功能截图；</w:t>
            </w:r>
          </w:p>
          <w:p>
            <w:pPr>
              <w:spacing w:line="460" w:lineRule="exact"/>
              <w:ind w:right="26"/>
              <w:jc w:val="left"/>
              <w:rPr>
                <w:color w:val="auto"/>
                <w:highlight w:val="none"/>
              </w:rPr>
            </w:pPr>
            <w:r>
              <w:rPr>
                <w:rFonts w:hint="eastAsia" w:ascii="新宋体" w:hAnsi="新宋体" w:eastAsia="新宋体" w:cs="新宋体"/>
                <w:color w:val="auto"/>
                <w:kern w:val="0"/>
                <w:sz w:val="22"/>
                <w:szCs w:val="22"/>
                <w:highlight w:val="none"/>
              </w:rPr>
              <w:t>10、资质认证：提供中国节能产品认证证书（CQC），提供中国国家强制性产品认证证书（CCC）；投标产品制造厂商应具有良好服务理念，优秀的售后服务水平，完善的服务流程及配套资源，确保向本项目提供专业、快捷、规范的售后服务。通过五星级商品售后服务评价体系认证，要求提供证书复印件。</w:t>
            </w:r>
          </w:p>
        </w:tc>
        <w:tc>
          <w:tcPr>
            <w:tcW w:w="916"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752"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台</w:t>
            </w:r>
          </w:p>
        </w:tc>
        <w:tc>
          <w:tcPr>
            <w:tcW w:w="694"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专网应用汇聚</w:t>
            </w:r>
          </w:p>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b/>
                <w:bCs/>
                <w:color w:val="auto"/>
                <w:kern w:val="0"/>
                <w:sz w:val="22"/>
                <w:szCs w:val="22"/>
                <w:highlight w:val="none"/>
              </w:rPr>
              <w:t>3年质保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接入交换机</w:t>
            </w:r>
          </w:p>
        </w:tc>
        <w:tc>
          <w:tcPr>
            <w:tcW w:w="6432"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1、性能要求：交换容量≥7.30Tbps，包转发率≥430Mpps；</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2、配置要求：提供≥48个10/100/1000Base-T自适应以太网端口，≥4个万兆SFP+口，配置模块化热插拔双交流电源，配置热插拔双风扇； SFP+多模万兆模块≥2块，SFP+单模万兆模块≥2块，配置虚拟化套件； </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3、扩展性能：为保障未来园区链路升级，配置≥1个扩展插槽；可支持扩展1/2.5/5/10G BASE-T 以太网电接口、25G SFP28端口、40GE QSFP+接口，提供官网链接及选配信息截图证明，并加以标注；</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4、VXLAN：支持创新的VxLAN技术，可以同时支持VxLAN二三层网关，提供官网链接及清晰截图证明；</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5、开放多业务架构：集成包括FW，IPS、负载均衡等高性能OAP模块插卡。提供官网清晰截图并加盖生产厂商原厂公章；</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6、无线功能：集成无线控制功能，实现接入层无线/有线本地转发，消除无线控制带宽瓶颈，扩大无线部署规模，节省用户投资成本，提供官网清晰截图，并加盖生产厂商原厂公章。</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智能管理中心：支持SmartMC功能，解决大量分散的网络设备的集中管理问题，解决小企业以交换机为主的运维任务；交换机可作为SmartMC的管理设备，通过该设备可以登录到SmartMC网络即可对整网进行统一管理，提供第三方测试报告；</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8、MACsec：支持MACsec硬件加密功能，包括用户数据加密、数据帧完整性检查及数据源真实性校验，为用户提供安全的无连接MAC层数据发送和接收服务。</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9、可靠性：支持VRRPv2/v3（虚拟路由冗余协议)；支持RRPP（快速环网保护协议），环网故障恢复时间不超过200ms；通过自主知识产权管理体系认证证书，提供自主知识产权管理体系认证证书</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w:t>
            </w:r>
            <w:r>
              <w:rPr>
                <w:rFonts w:hint="eastAsia" w:ascii="仿宋" w:hAnsi="仿宋" w:eastAsia="仿宋"/>
                <w:color w:val="auto"/>
                <w:highlight w:val="none"/>
              </w:rPr>
              <w:t>★</w:t>
            </w:r>
            <w:r>
              <w:rPr>
                <w:rFonts w:hint="eastAsia" w:ascii="新宋体" w:hAnsi="新宋体" w:eastAsia="新宋体" w:cs="新宋体"/>
                <w:color w:val="auto"/>
                <w:kern w:val="0"/>
                <w:sz w:val="22"/>
                <w:szCs w:val="22"/>
                <w:highlight w:val="none"/>
              </w:rPr>
              <w:t>虚拟化：持多虚一智能弹性架构，能将多台物理设备互相连接起来，使其虚拟为一台逻辑设备，以简化管理，简化业务，弹性扩展，保证网络的高可靠；支持纵向虚拟化技术，能够将接入设备作为远程接口板加入主设备系统，在纵向维度上将核心层设备和接入层设备虚拟为一台逻辑设备，使网络设备进行统一管理，策略统一配置；提供官网链接及清晰截图证明；</w:t>
            </w:r>
          </w:p>
          <w:p>
            <w:pPr>
              <w:spacing w:line="460" w:lineRule="exact"/>
              <w:ind w:right="26"/>
              <w:jc w:val="left"/>
              <w:rPr>
                <w:rFonts w:ascii="新宋体" w:hAnsi="新宋体" w:eastAsia="新宋体" w:cs="新宋体"/>
                <w:color w:val="auto"/>
                <w:kern w:val="0"/>
                <w:sz w:val="22"/>
                <w:szCs w:val="22"/>
                <w:highlight w:val="none"/>
              </w:rPr>
            </w:pPr>
            <w:r>
              <w:rPr>
                <w:rFonts w:ascii="新宋体" w:hAnsi="新宋体" w:eastAsia="新宋体" w:cs="新宋体"/>
                <w:color w:val="auto"/>
                <w:kern w:val="0"/>
                <w:sz w:val="22"/>
                <w:szCs w:val="22"/>
                <w:highlight w:val="none"/>
              </w:rPr>
              <w:t>11</w:t>
            </w:r>
            <w:r>
              <w:rPr>
                <w:rFonts w:hint="eastAsia" w:ascii="新宋体" w:hAnsi="新宋体" w:eastAsia="新宋体" w:cs="新宋体"/>
                <w:color w:val="auto"/>
                <w:kern w:val="0"/>
                <w:sz w:val="22"/>
                <w:szCs w:val="22"/>
                <w:highlight w:val="none"/>
              </w:rPr>
              <w:t>、软件开发能力：为保证厂商的软件开发能力，确保具备承接重大软件项目能力。生产厂商需入围由国家发展改革委、工业和信息化部、商务部、国家税务总局联合审核认定的《国家规划布局内重点软件企业》；</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w:t>
            </w:r>
            <w:r>
              <w:rPr>
                <w:rFonts w:hint="eastAsia" w:ascii="仿宋" w:hAnsi="仿宋" w:eastAsia="仿宋"/>
                <w:color w:val="auto"/>
                <w:highlight w:val="none"/>
              </w:rPr>
              <w:t>★</w:t>
            </w:r>
            <w:r>
              <w:rPr>
                <w:rFonts w:hint="eastAsia" w:ascii="新宋体" w:hAnsi="新宋体" w:eastAsia="新宋体" w:cs="新宋体"/>
                <w:color w:val="auto"/>
                <w:kern w:val="0"/>
                <w:sz w:val="22"/>
                <w:szCs w:val="22"/>
                <w:highlight w:val="none"/>
              </w:rPr>
              <w:t>运维排错系统：配置一套运维排错系统标准平台（包含200点位设备排错授权）；提供一站式智能运维界面，通过智能运维门户可以提供向导式的网络运维，设备管理、故障排查、维护大全、开局助手、控制台、云图、工具宝箱等功能，提供软件功能截图；提供故障排查及脚本管理功能，可通过选择故障设备、选择故障类型、确定前置条件，然后通过信息收集，信息分析，提供向导式解决方法；提供自定义脚本、公共协议、交换技术、路由技术、无线、安全产品、交换机产品、路由器产品的脚本管理；提供工具宝箱，用户可自定义常用功能界面，提供常用协议号查询、常用端口号查询、MAC厂商查询、FTP客户端查询、FTP服务器查询、TFTP服务器查询、IP地址划分、IP地址归属查询、条件申请查询、设备维保查询、板卡配套查询、快速Ping扫描查询、报文格式查询、日志转读查询、序列号二维码、命令查询、ACL信息查询等，提供软件功能截图；</w:t>
            </w:r>
          </w:p>
          <w:p>
            <w:pPr>
              <w:spacing w:line="460" w:lineRule="exact"/>
              <w:ind w:right="26"/>
              <w:jc w:val="left"/>
              <w:rPr>
                <w:color w:val="auto"/>
                <w:highlight w:val="none"/>
              </w:rPr>
            </w:pPr>
            <w:r>
              <w:rPr>
                <w:rFonts w:hint="eastAsia" w:ascii="新宋体" w:hAnsi="新宋体" w:eastAsia="新宋体" w:cs="新宋体"/>
                <w:color w:val="auto"/>
                <w:kern w:val="0"/>
                <w:sz w:val="22"/>
                <w:szCs w:val="22"/>
                <w:highlight w:val="none"/>
              </w:rPr>
              <w:t>13、资质证书：提供工信部入网证书和检测报告；为保障产品代码质量，生产厂商国内研发机构需通过CMMI5认证，其证书必须能在官方网站查询，提供相应证明文件，并加盖生产厂商原厂公章；厂商应具有完善的售后服务体系，专业的售后服务队伍，需提供通过服务体系完善程度七星认证，提供证书复印件</w:t>
            </w:r>
            <w:r>
              <w:rPr>
                <w:rFonts w:hint="eastAsia" w:ascii="仿宋" w:hAnsi="仿宋" w:eastAsia="仿宋"/>
                <w:color w:val="auto"/>
                <w:highlight w:val="none"/>
              </w:rPr>
              <w:t>；</w:t>
            </w:r>
          </w:p>
        </w:tc>
        <w:tc>
          <w:tcPr>
            <w:tcW w:w="916"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p>
        </w:tc>
        <w:tc>
          <w:tcPr>
            <w:tcW w:w="752"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台</w:t>
            </w:r>
          </w:p>
        </w:tc>
        <w:tc>
          <w:tcPr>
            <w:tcW w:w="694"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专网、公安网本地接入</w:t>
            </w:r>
          </w:p>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b/>
                <w:bCs/>
                <w:color w:val="auto"/>
                <w:kern w:val="0"/>
                <w:sz w:val="22"/>
                <w:szCs w:val="22"/>
                <w:highlight w:val="none"/>
              </w:rPr>
              <w:t>3年质保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p>
        </w:tc>
        <w:tc>
          <w:tcPr>
            <w:tcW w:w="1258"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视频网闸</w:t>
            </w:r>
          </w:p>
        </w:tc>
        <w:tc>
          <w:tcPr>
            <w:tcW w:w="6432" w:type="dxa"/>
            <w:noWrap w:val="0"/>
            <w:vAlign w:val="center"/>
          </w:tcPr>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1、系统架构:采用2+1硬件结构并具备自主知识产品的硬件隔离模件，自主研发生产的基于HRI技术的高速数据隔离交换卡，保障系统运行在高安全性和保密性的状态下，不支持通用通讯协议，不可编程。</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2、安全功能：</w:t>
            </w:r>
          </w:p>
          <w:p>
            <w:pPr>
              <w:numPr>
                <w:ilvl w:val="0"/>
                <w:numId w:val="6"/>
              </w:numPr>
              <w:adjustRightInd w:val="0"/>
              <w:snapToGrid w:val="0"/>
              <w:spacing w:line="460" w:lineRule="exact"/>
              <w:ind w:right="26"/>
              <w:jc w:val="left"/>
              <w:rPr>
                <w:rFonts w:ascii="新宋体" w:hAnsi="新宋体" w:eastAsia="新宋体" w:cs="新宋体"/>
                <w:color w:val="auto"/>
                <w:kern w:val="0"/>
                <w:sz w:val="22"/>
                <w:highlight w:val="none"/>
              </w:rPr>
            </w:pPr>
            <w:r>
              <w:rPr>
                <w:rFonts w:hint="eastAsia" w:ascii="新宋体" w:hAnsi="新宋体" w:eastAsia="新宋体" w:cs="新宋体"/>
                <w:color w:val="auto"/>
                <w:kern w:val="0"/>
                <w:sz w:val="22"/>
                <w:highlight w:val="none"/>
              </w:rPr>
              <w:t>视频流安全过滤：能识别和检查视频编码格式和视频传输格式，允许合法的视频流通过。</w:t>
            </w:r>
          </w:p>
          <w:p>
            <w:pPr>
              <w:numPr>
                <w:ilvl w:val="0"/>
                <w:numId w:val="6"/>
              </w:numPr>
              <w:adjustRightInd w:val="0"/>
              <w:snapToGrid w:val="0"/>
              <w:spacing w:line="460" w:lineRule="exact"/>
              <w:ind w:right="26"/>
              <w:jc w:val="left"/>
              <w:rPr>
                <w:rFonts w:ascii="新宋体" w:hAnsi="新宋体" w:eastAsia="新宋体" w:cs="新宋体"/>
                <w:color w:val="auto"/>
                <w:kern w:val="0"/>
                <w:sz w:val="22"/>
                <w:highlight w:val="none"/>
              </w:rPr>
            </w:pPr>
            <w:r>
              <w:rPr>
                <w:rFonts w:hint="eastAsia" w:ascii="新宋体" w:hAnsi="新宋体" w:eastAsia="新宋体" w:cs="新宋体"/>
                <w:color w:val="auto"/>
                <w:kern w:val="0"/>
                <w:sz w:val="22"/>
                <w:highlight w:val="none"/>
              </w:rPr>
              <w:t>动态端口：设备能够识别和分析视频控制信令，并根据控制信令动态开放和关闭视频流传输通道。</w:t>
            </w:r>
          </w:p>
          <w:p>
            <w:pPr>
              <w:numPr>
                <w:ilvl w:val="0"/>
                <w:numId w:val="6"/>
              </w:numPr>
              <w:adjustRightInd w:val="0"/>
              <w:snapToGrid w:val="0"/>
              <w:spacing w:line="460" w:lineRule="exact"/>
              <w:ind w:right="26"/>
              <w:jc w:val="left"/>
              <w:rPr>
                <w:rFonts w:ascii="新宋体" w:hAnsi="新宋体" w:eastAsia="新宋体" w:cs="新宋体"/>
                <w:color w:val="auto"/>
                <w:kern w:val="0"/>
                <w:sz w:val="22"/>
                <w:highlight w:val="none"/>
              </w:rPr>
            </w:pPr>
            <w:r>
              <w:rPr>
                <w:rFonts w:hint="eastAsia" w:ascii="新宋体" w:hAnsi="新宋体" w:eastAsia="新宋体" w:cs="新宋体"/>
                <w:color w:val="auto"/>
                <w:kern w:val="0"/>
                <w:sz w:val="22"/>
                <w:highlight w:val="none"/>
              </w:rPr>
              <w:t>视频信令白名单：能识别和检查包括海康、大华、H3C、上海贝尔、DB33、宇视科技等在内的国内主流厂商视频控制信令协议，允许合法的信令在公安内网与视频专网间传输。</w:t>
            </w:r>
          </w:p>
          <w:p>
            <w:pPr>
              <w:numPr>
                <w:ilvl w:val="0"/>
                <w:numId w:val="6"/>
              </w:numPr>
              <w:adjustRightInd w:val="0"/>
              <w:snapToGrid w:val="0"/>
              <w:spacing w:line="460" w:lineRule="exact"/>
              <w:ind w:right="26"/>
              <w:jc w:val="left"/>
              <w:rPr>
                <w:rFonts w:ascii="新宋体" w:hAnsi="新宋体" w:eastAsia="新宋体" w:cs="新宋体"/>
                <w:color w:val="auto"/>
                <w:kern w:val="0"/>
                <w:sz w:val="22"/>
                <w:highlight w:val="none"/>
              </w:rPr>
            </w:pPr>
            <w:r>
              <w:rPr>
                <w:rFonts w:hint="eastAsia" w:ascii="新宋体" w:hAnsi="新宋体" w:eastAsia="新宋体" w:cs="新宋体"/>
                <w:color w:val="auto"/>
                <w:kern w:val="0"/>
                <w:sz w:val="22"/>
                <w:highlight w:val="none"/>
              </w:rPr>
              <w:t>用户身份认证：具备公安数字证书认证功能，在身份认证的基础上实现用户对视频资源的授权访问，同时具备数字证书、Radius、用户名口令多因素认证功能。</w:t>
            </w:r>
          </w:p>
          <w:p>
            <w:pPr>
              <w:numPr>
                <w:ilvl w:val="0"/>
                <w:numId w:val="6"/>
              </w:numPr>
              <w:adjustRightInd w:val="0"/>
              <w:snapToGrid w:val="0"/>
              <w:spacing w:line="460" w:lineRule="exact"/>
              <w:ind w:right="26"/>
              <w:jc w:val="left"/>
              <w:rPr>
                <w:rFonts w:ascii="新宋体" w:hAnsi="新宋体" w:eastAsia="新宋体" w:cs="新宋体"/>
                <w:color w:val="auto"/>
                <w:kern w:val="0"/>
                <w:sz w:val="22"/>
                <w:highlight w:val="none"/>
              </w:rPr>
            </w:pPr>
            <w:r>
              <w:rPr>
                <w:rFonts w:hint="eastAsia" w:ascii="新宋体" w:hAnsi="新宋体" w:eastAsia="新宋体" w:cs="新宋体"/>
                <w:color w:val="auto"/>
                <w:kern w:val="0"/>
                <w:sz w:val="22"/>
                <w:highlight w:val="none"/>
              </w:rPr>
              <w:t>设备接入认证：提供IP/MAC认证设备接入认证功能，具备跨三层交换机不同网段的IP/MAC认证功能。</w:t>
            </w:r>
          </w:p>
          <w:p>
            <w:pPr>
              <w:numPr>
                <w:ilvl w:val="0"/>
                <w:numId w:val="6"/>
              </w:numPr>
              <w:adjustRightInd w:val="0"/>
              <w:snapToGrid w:val="0"/>
              <w:spacing w:line="460" w:lineRule="exact"/>
              <w:ind w:right="26"/>
              <w:jc w:val="left"/>
              <w:rPr>
                <w:rFonts w:ascii="新宋体" w:hAnsi="新宋体" w:eastAsia="新宋体" w:cs="新宋体"/>
                <w:color w:val="auto"/>
                <w:kern w:val="0"/>
                <w:sz w:val="22"/>
                <w:highlight w:val="none"/>
              </w:rPr>
            </w:pPr>
            <w:r>
              <w:rPr>
                <w:rFonts w:hint="eastAsia" w:ascii="新宋体" w:hAnsi="新宋体" w:eastAsia="新宋体" w:cs="新宋体"/>
                <w:color w:val="auto"/>
                <w:kern w:val="0"/>
                <w:sz w:val="22"/>
                <w:highlight w:val="none"/>
              </w:rPr>
              <w:t>安全访问控制：设备能够对访问视频资源的源、目的IP、服务端口、访问时间等进行安全控制。</w:t>
            </w:r>
          </w:p>
          <w:p>
            <w:pPr>
              <w:numPr>
                <w:ilvl w:val="0"/>
                <w:numId w:val="6"/>
              </w:numPr>
              <w:adjustRightInd w:val="0"/>
              <w:snapToGrid w:val="0"/>
              <w:spacing w:line="460" w:lineRule="exact"/>
              <w:ind w:right="26"/>
              <w:jc w:val="left"/>
              <w:rPr>
                <w:rFonts w:ascii="新宋体" w:hAnsi="新宋体" w:eastAsia="新宋体" w:cs="新宋体"/>
                <w:color w:val="auto"/>
                <w:kern w:val="0"/>
                <w:sz w:val="22"/>
                <w:highlight w:val="none"/>
              </w:rPr>
            </w:pPr>
            <w:r>
              <w:rPr>
                <w:rFonts w:hint="eastAsia" w:ascii="仿宋" w:hAnsi="仿宋" w:eastAsia="仿宋"/>
                <w:color w:val="auto"/>
                <w:highlight w:val="none"/>
              </w:rPr>
              <w:t>★</w:t>
            </w:r>
            <w:r>
              <w:rPr>
                <w:rFonts w:hint="eastAsia" w:ascii="新宋体" w:hAnsi="新宋体" w:eastAsia="新宋体" w:cs="新宋体"/>
                <w:color w:val="auto"/>
                <w:kern w:val="0"/>
                <w:sz w:val="22"/>
                <w:highlight w:val="none"/>
              </w:rPr>
              <w:t>视频流单向传输：能实现视频单向传输控制，视频流由视频专网向公安内网单向传输。</w:t>
            </w:r>
          </w:p>
          <w:p>
            <w:pPr>
              <w:numPr>
                <w:ilvl w:val="0"/>
                <w:numId w:val="6"/>
              </w:numPr>
              <w:adjustRightInd w:val="0"/>
              <w:snapToGrid w:val="0"/>
              <w:spacing w:line="460" w:lineRule="exact"/>
              <w:ind w:right="26"/>
              <w:jc w:val="left"/>
              <w:rPr>
                <w:rFonts w:ascii="新宋体" w:hAnsi="新宋体" w:eastAsia="新宋体" w:cs="新宋体"/>
                <w:color w:val="auto"/>
                <w:kern w:val="0"/>
                <w:sz w:val="22"/>
                <w:highlight w:val="none"/>
              </w:rPr>
            </w:pPr>
            <w:r>
              <w:rPr>
                <w:rFonts w:hint="eastAsia" w:ascii="新宋体" w:hAnsi="新宋体" w:eastAsia="新宋体" w:cs="新宋体"/>
                <w:color w:val="auto"/>
                <w:kern w:val="0"/>
                <w:sz w:val="22"/>
                <w:highlight w:val="none"/>
              </w:rPr>
              <w:t>流量控制：具备流量控制功能，能够针对用户、IP提供带宽保障与带宽限制功能。</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3、可靠性：设备支持负载均衡功能，采用旁路模式工作，不依赖第三方负载均衡设备实现流量负载均衡。</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4、系统管理：</w:t>
            </w:r>
          </w:p>
          <w:p>
            <w:pPr>
              <w:numPr>
                <w:ilvl w:val="0"/>
                <w:numId w:val="7"/>
              </w:numPr>
              <w:adjustRightInd w:val="0"/>
              <w:snapToGrid w:val="0"/>
              <w:spacing w:line="460" w:lineRule="exact"/>
              <w:ind w:right="26"/>
              <w:jc w:val="left"/>
              <w:rPr>
                <w:rFonts w:ascii="新宋体" w:hAnsi="新宋体" w:eastAsia="新宋体" w:cs="新宋体"/>
                <w:color w:val="auto"/>
                <w:kern w:val="0"/>
                <w:sz w:val="22"/>
                <w:highlight w:val="none"/>
              </w:rPr>
            </w:pPr>
            <w:r>
              <w:rPr>
                <w:rFonts w:hint="eastAsia" w:ascii="新宋体" w:hAnsi="新宋体" w:eastAsia="新宋体" w:cs="新宋体"/>
                <w:color w:val="auto"/>
                <w:kern w:val="0"/>
                <w:sz w:val="22"/>
                <w:highlight w:val="none"/>
              </w:rPr>
              <w:t>日志与审计功能：设备具有详细的日志系统，能够记录所有访问视频资源的行为日志、管理与配置日志、报警日志等，支持syslog日志输出。</w:t>
            </w:r>
          </w:p>
          <w:p>
            <w:pPr>
              <w:numPr>
                <w:ilvl w:val="0"/>
                <w:numId w:val="7"/>
              </w:numPr>
              <w:adjustRightInd w:val="0"/>
              <w:snapToGrid w:val="0"/>
              <w:spacing w:line="460" w:lineRule="exact"/>
              <w:ind w:right="26"/>
              <w:jc w:val="left"/>
              <w:rPr>
                <w:rFonts w:ascii="新宋体" w:hAnsi="新宋体" w:eastAsia="新宋体" w:cs="新宋体"/>
                <w:color w:val="auto"/>
                <w:kern w:val="0"/>
                <w:sz w:val="22"/>
                <w:highlight w:val="none"/>
              </w:rPr>
            </w:pPr>
            <w:r>
              <w:rPr>
                <w:rFonts w:hint="eastAsia" w:ascii="新宋体" w:hAnsi="新宋体" w:eastAsia="新宋体" w:cs="新宋体"/>
                <w:color w:val="auto"/>
                <w:kern w:val="0"/>
                <w:sz w:val="22"/>
                <w:highlight w:val="none"/>
              </w:rPr>
              <w:t>实时监控：设备能对并发连接数、CPU负载、内存使用率、接口流量等进行实时监控。</w:t>
            </w:r>
          </w:p>
          <w:p>
            <w:pPr>
              <w:numPr>
                <w:ilvl w:val="0"/>
                <w:numId w:val="7"/>
              </w:numPr>
              <w:adjustRightInd w:val="0"/>
              <w:snapToGrid w:val="0"/>
              <w:spacing w:line="460" w:lineRule="exact"/>
              <w:ind w:right="26"/>
              <w:jc w:val="left"/>
              <w:rPr>
                <w:rFonts w:ascii="新宋体" w:hAnsi="新宋体" w:eastAsia="新宋体" w:cs="新宋体"/>
                <w:color w:val="auto"/>
                <w:kern w:val="0"/>
                <w:sz w:val="22"/>
                <w:highlight w:val="none"/>
              </w:rPr>
            </w:pPr>
            <w:r>
              <w:rPr>
                <w:rFonts w:hint="eastAsia" w:ascii="新宋体" w:hAnsi="新宋体" w:eastAsia="新宋体" w:cs="新宋体"/>
                <w:color w:val="auto"/>
                <w:kern w:val="0"/>
                <w:sz w:val="22"/>
                <w:highlight w:val="none"/>
              </w:rPr>
              <w:t>级联上报：具备通过SNMP、SYSLOG向集中监控系统上报。</w:t>
            </w:r>
          </w:p>
          <w:p>
            <w:pPr>
              <w:numPr>
                <w:ilvl w:val="0"/>
                <w:numId w:val="7"/>
              </w:numPr>
              <w:adjustRightInd w:val="0"/>
              <w:snapToGrid w:val="0"/>
              <w:spacing w:line="460" w:lineRule="exact"/>
              <w:ind w:right="26"/>
              <w:jc w:val="left"/>
              <w:rPr>
                <w:rFonts w:ascii="新宋体" w:hAnsi="新宋体" w:eastAsia="新宋体" w:cs="新宋体"/>
                <w:color w:val="auto"/>
                <w:kern w:val="0"/>
                <w:sz w:val="22"/>
                <w:highlight w:val="none"/>
              </w:rPr>
            </w:pPr>
            <w:r>
              <w:rPr>
                <w:rFonts w:hint="eastAsia" w:ascii="新宋体" w:hAnsi="新宋体" w:eastAsia="新宋体" w:cs="新宋体"/>
                <w:color w:val="auto"/>
                <w:kern w:val="0"/>
                <w:sz w:val="22"/>
                <w:highlight w:val="none"/>
              </w:rPr>
              <w:t>安全管理：管理平台采用SSL加密方式实现对设备的安全管理。</w:t>
            </w:r>
          </w:p>
          <w:p>
            <w:pPr>
              <w:numPr>
                <w:ilvl w:val="0"/>
                <w:numId w:val="8"/>
              </w:numPr>
              <w:adjustRightInd w:val="0"/>
              <w:snapToGrid w:val="0"/>
              <w:spacing w:line="460" w:lineRule="exact"/>
              <w:ind w:right="26"/>
              <w:jc w:val="left"/>
              <w:rPr>
                <w:rFonts w:ascii="新宋体" w:hAnsi="新宋体" w:eastAsia="新宋体" w:cs="新宋体"/>
                <w:color w:val="auto"/>
                <w:kern w:val="0"/>
                <w:sz w:val="22"/>
                <w:highlight w:val="none"/>
              </w:rPr>
            </w:pPr>
            <w:r>
              <w:rPr>
                <w:rFonts w:hint="eastAsia" w:ascii="新宋体" w:hAnsi="新宋体" w:eastAsia="新宋体" w:cs="新宋体"/>
                <w:color w:val="auto"/>
                <w:kern w:val="0"/>
                <w:sz w:val="22"/>
                <w:highlight w:val="none"/>
              </w:rPr>
              <w:t>性能与接口：</w:t>
            </w:r>
          </w:p>
          <w:p>
            <w:pPr>
              <w:numPr>
                <w:ilvl w:val="0"/>
                <w:numId w:val="9"/>
              </w:numPr>
              <w:adjustRightInd w:val="0"/>
              <w:snapToGrid w:val="0"/>
              <w:spacing w:line="460" w:lineRule="exact"/>
              <w:ind w:right="26"/>
              <w:jc w:val="left"/>
              <w:rPr>
                <w:rFonts w:ascii="新宋体" w:hAnsi="新宋体" w:eastAsia="新宋体" w:cs="新宋体"/>
                <w:color w:val="auto"/>
                <w:kern w:val="0"/>
                <w:sz w:val="22"/>
                <w:highlight w:val="none"/>
              </w:rPr>
            </w:pPr>
            <w:r>
              <w:rPr>
                <w:rFonts w:hint="eastAsia" w:ascii="新宋体" w:hAnsi="新宋体" w:eastAsia="新宋体" w:cs="新宋体"/>
                <w:color w:val="auto"/>
                <w:kern w:val="0"/>
                <w:sz w:val="22"/>
                <w:highlight w:val="none"/>
              </w:rPr>
              <w:t>设备接口：安全隔离与信息交换系统端口：8个10/100/1000M以太网络接口，4个千兆光纤接口；</w:t>
            </w:r>
          </w:p>
          <w:p>
            <w:pPr>
              <w:numPr>
                <w:ilvl w:val="0"/>
                <w:numId w:val="9"/>
              </w:numPr>
              <w:adjustRightInd w:val="0"/>
              <w:snapToGrid w:val="0"/>
              <w:spacing w:line="460" w:lineRule="exact"/>
              <w:ind w:right="26"/>
              <w:jc w:val="left"/>
              <w:rPr>
                <w:rFonts w:ascii="新宋体" w:hAnsi="新宋体" w:eastAsia="新宋体" w:cs="新宋体"/>
                <w:color w:val="auto"/>
                <w:kern w:val="0"/>
                <w:sz w:val="22"/>
                <w:highlight w:val="none"/>
              </w:rPr>
            </w:pPr>
            <w:r>
              <w:rPr>
                <w:rFonts w:hint="eastAsia" w:ascii="仿宋" w:hAnsi="仿宋" w:eastAsia="仿宋"/>
                <w:color w:val="auto"/>
                <w:highlight w:val="none"/>
              </w:rPr>
              <w:t>★</w:t>
            </w:r>
            <w:r>
              <w:rPr>
                <w:rFonts w:hint="eastAsia" w:ascii="新宋体" w:hAnsi="新宋体" w:eastAsia="新宋体" w:cs="新宋体"/>
                <w:color w:val="auto"/>
                <w:kern w:val="0"/>
                <w:sz w:val="22"/>
                <w:highlight w:val="none"/>
              </w:rPr>
              <w:t>系统吞吐量：双向&gt;7Gbps，提供权威第三方检测机构报告</w:t>
            </w:r>
          </w:p>
          <w:p>
            <w:pPr>
              <w:numPr>
                <w:ilvl w:val="0"/>
                <w:numId w:val="9"/>
              </w:numPr>
              <w:adjustRightInd w:val="0"/>
              <w:snapToGrid w:val="0"/>
              <w:spacing w:line="460" w:lineRule="exact"/>
              <w:ind w:right="26"/>
              <w:jc w:val="left"/>
              <w:rPr>
                <w:rFonts w:ascii="新宋体" w:hAnsi="新宋体" w:eastAsia="新宋体" w:cs="新宋体"/>
                <w:color w:val="auto"/>
                <w:kern w:val="0"/>
                <w:sz w:val="22"/>
                <w:highlight w:val="none"/>
              </w:rPr>
            </w:pPr>
            <w:r>
              <w:rPr>
                <w:rFonts w:hint="eastAsia" w:ascii="新宋体" w:hAnsi="新宋体" w:eastAsia="新宋体" w:cs="新宋体"/>
                <w:color w:val="auto"/>
                <w:kern w:val="0"/>
                <w:sz w:val="22"/>
                <w:highlight w:val="none"/>
              </w:rPr>
              <w:t>视频并发吞吐量：≥1000Mbps，支持500路D1码流同时并发。</w:t>
            </w:r>
          </w:p>
          <w:p>
            <w:pPr>
              <w:numPr>
                <w:ilvl w:val="0"/>
                <w:numId w:val="9"/>
              </w:numPr>
              <w:adjustRightInd w:val="0"/>
              <w:snapToGrid w:val="0"/>
              <w:spacing w:line="460" w:lineRule="exact"/>
              <w:ind w:right="26"/>
              <w:jc w:val="left"/>
              <w:rPr>
                <w:rFonts w:ascii="新宋体" w:hAnsi="新宋体" w:eastAsia="新宋体" w:cs="新宋体"/>
                <w:color w:val="auto"/>
                <w:kern w:val="0"/>
                <w:sz w:val="22"/>
                <w:highlight w:val="none"/>
              </w:rPr>
            </w:pPr>
            <w:r>
              <w:rPr>
                <w:rFonts w:hint="eastAsia" w:ascii="仿宋" w:hAnsi="仿宋" w:eastAsia="仿宋"/>
                <w:color w:val="auto"/>
                <w:highlight w:val="none"/>
              </w:rPr>
              <w:t>★</w:t>
            </w:r>
            <w:r>
              <w:rPr>
                <w:rFonts w:hint="eastAsia" w:ascii="新宋体" w:hAnsi="新宋体" w:eastAsia="新宋体" w:cs="新宋体"/>
                <w:color w:val="auto"/>
                <w:kern w:val="0"/>
                <w:sz w:val="22"/>
                <w:highlight w:val="none"/>
              </w:rPr>
              <w:t>系统延时：</w:t>
            </w:r>
            <w:r>
              <w:rPr>
                <w:rFonts w:hint="eastAsia" w:ascii="新宋体" w:hAnsi="新宋体" w:eastAsia="新宋体" w:cs="新宋体"/>
                <w:color w:val="auto"/>
                <w:kern w:val="0"/>
                <w:sz w:val="22"/>
                <w:highlight w:val="none"/>
              </w:rPr>
              <w:tab/>
            </w:r>
            <w:r>
              <w:rPr>
                <w:rFonts w:hint="eastAsia" w:ascii="新宋体" w:hAnsi="新宋体" w:eastAsia="新宋体" w:cs="新宋体"/>
                <w:color w:val="auto"/>
                <w:kern w:val="0"/>
                <w:sz w:val="22"/>
                <w:highlight w:val="none"/>
              </w:rPr>
              <w:t>&lt;20us，提供权威第三方检测机构检测报告</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6、资质：</w:t>
            </w:r>
          </w:p>
          <w:p>
            <w:pPr>
              <w:spacing w:line="460" w:lineRule="exact"/>
              <w:ind w:right="26"/>
              <w:jc w:val="left"/>
              <w:rPr>
                <w:rFonts w:ascii="新宋体" w:hAnsi="新宋体" w:eastAsia="新宋体" w:cs="新宋体"/>
                <w:color w:val="auto"/>
                <w:kern w:val="0"/>
                <w:sz w:val="22"/>
                <w:szCs w:val="22"/>
                <w:highlight w:val="none"/>
              </w:rPr>
            </w:pPr>
            <w:r>
              <w:rPr>
                <w:rFonts w:hint="eastAsia" w:ascii="仿宋" w:hAnsi="仿宋" w:eastAsia="仿宋"/>
                <w:color w:val="auto"/>
                <w:highlight w:val="none"/>
              </w:rPr>
              <w:t>★</w:t>
            </w:r>
            <w:r>
              <w:rPr>
                <w:rFonts w:hint="eastAsia" w:ascii="新宋体" w:hAnsi="新宋体" w:eastAsia="新宋体" w:cs="新宋体"/>
                <w:color w:val="auto"/>
                <w:kern w:val="0"/>
                <w:sz w:val="22"/>
                <w:szCs w:val="22"/>
                <w:highlight w:val="none"/>
              </w:rPr>
              <w:t>1）投标厂商必须同时入围公安部边界接入平台安全产品名单中隔离网闸；接入平台厂商入围；视频安全交换产品入围，提供复印件并加盖公章。</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2）视频流单向传输技术，获得国家发明专利，提供专利证书复印件并加盖公章。</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3）安全隔离设备，通过国家保密局技术鉴定，提供鉴定证书复印件并加盖公章。</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4）“吞吐量”和“延时”技术参数，提供权威第三方检测机构报告复印件</w:t>
            </w:r>
          </w:p>
        </w:tc>
        <w:tc>
          <w:tcPr>
            <w:tcW w:w="916"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752"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台</w:t>
            </w:r>
          </w:p>
        </w:tc>
        <w:tc>
          <w:tcPr>
            <w:tcW w:w="694" w:type="dxa"/>
            <w:noWrap w:val="0"/>
            <w:vAlign w:val="center"/>
          </w:tcPr>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专网边界</w:t>
            </w:r>
          </w:p>
          <w:p>
            <w:pPr>
              <w:spacing w:line="460" w:lineRule="exact"/>
              <w:ind w:right="26"/>
              <w:jc w:val="center"/>
              <w:rPr>
                <w:rFonts w:ascii="新宋体" w:hAnsi="新宋体" w:eastAsia="新宋体" w:cs="新宋体"/>
                <w:color w:val="auto"/>
                <w:kern w:val="0"/>
                <w:sz w:val="22"/>
                <w:szCs w:val="22"/>
                <w:highlight w:val="none"/>
              </w:rPr>
            </w:pPr>
            <w:r>
              <w:rPr>
                <w:rFonts w:hint="eastAsia" w:ascii="新宋体" w:hAnsi="新宋体" w:eastAsia="新宋体" w:cs="新宋体"/>
                <w:b/>
                <w:bCs/>
                <w:color w:val="auto"/>
                <w:kern w:val="0"/>
                <w:sz w:val="22"/>
                <w:szCs w:val="22"/>
                <w:highlight w:val="none"/>
              </w:rPr>
              <w:t>3年质保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right="26"/>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right="26"/>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防火墙</w:t>
            </w:r>
          </w:p>
        </w:tc>
        <w:tc>
          <w:tcPr>
            <w:tcW w:w="643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1、产品架构：采用非X86 64位多核高性能处理器和高速存储器；主控模块内存≥8G；≥2U机架式设备（提供正面产品照片）。</w:t>
            </w:r>
          </w:p>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2、性能要求：所投产品防火墙吞吐量≥10Gbps，每秒新建连接数≥14万，并发连接数≥600万。IPSec VPN隧道数≥4000；IPSEC VPN加密性能≥1.2G</w:t>
            </w:r>
          </w:p>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3、硬件要求：单台配置千兆以太网电接口≥16个，千兆光口≥8个，接口卡扩展槽个数≥2个</w:t>
            </w:r>
          </w:p>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4、配置要求：要求单台配置硬盘≥500G，配置1年防病毒、应用识别，实配内置固化双交流电源</w:t>
            </w:r>
          </w:p>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5、扩展要求：接口扩展：可扩展4PFC接口卡、4SFP插卡、4SFP+插卡</w:t>
            </w:r>
          </w:p>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6、部署模式：实现路由模式、透明（网桥）模式、混合模式。</w:t>
            </w:r>
          </w:p>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7、路由实现：实现静态路由、策略路由、等价路由、RIP、OSPF、BGP、ISIS、RIPv2等路由协议。</w:t>
            </w:r>
          </w:p>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安全策略：支持一体化安全策略：可基于地址、端口、服务、应用、用户、时间、VRF等属性，配置入侵防御、数据过滤、文件过滤、防病毒、URL过滤、日志记录、会话老化时间等高级访问控制功能；（要求提供配置截图且设备制造厂商必须盖章）</w:t>
            </w:r>
          </w:p>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9、攻击防护：实现安全区域划分，访问控制列表，配置对象及策略，动态包过滤，黑名单，MAC和IP绑定功能，基于MAC的访问控制列表，802.1q VLAN 透传等功能。支持DDoS 攻击防护，可防范多种类型DDoS 攻击，如SYN flood、UDP flood、ICMP flood、HTTP flood、DNS flood、ARP flood 和ARP 欺骗等。支持DDoS流量阈值学习。启用学习功能后，系统将自动分析当前流量并计算出各种攻击类型的防范阈值，管理员可参考学习结果设置阈值。学习功能支持学习时长、学习模式、周期学习及自动应用等功能。（要求提供截图）</w:t>
            </w:r>
          </w:p>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10、入侵检测：实现对黑客攻击、蠕虫/病毒、木马、恶意代码、间谍软件/广告软件、缓冲区溢出、SQL注入、IDS/IPS逃逸等攻击的防御，实现攻击特征库的分类。基于特征检测，支持超过7800 漏洞特征的攻击检测和防御。（要求截图）；基于协议检测，支持协议自识别。</w:t>
            </w:r>
            <w:r>
              <w:rPr>
                <w:rFonts w:hint="eastAsia" w:ascii="新宋体" w:hAnsi="新宋体" w:eastAsia="新宋体" w:cs="新宋体"/>
                <w:color w:val="auto"/>
                <w:kern w:val="0"/>
                <w:sz w:val="22"/>
                <w:szCs w:val="22"/>
                <w:highlight w:val="none"/>
              </w:rPr>
              <w:tab/>
            </w:r>
            <w:r>
              <w:rPr>
                <w:rFonts w:hint="eastAsia" w:ascii="新宋体" w:hAnsi="新宋体" w:eastAsia="新宋体" w:cs="新宋体"/>
                <w:color w:val="auto"/>
                <w:kern w:val="0"/>
                <w:sz w:val="22"/>
                <w:szCs w:val="22"/>
                <w:highlight w:val="none"/>
              </w:rPr>
              <w:t>基于协议异常检测，支持自定义IPS 签名。</w:t>
            </w:r>
          </w:p>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11、防病毒：基于病毒特征进行检测，实现病毒库手动和自动升级，报文流处理模式，实现病毒日志和报表。可检测病毒数量超过37000条。（要求截图）</w:t>
            </w:r>
          </w:p>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12、URL过滤：支持海量预分类的URL地址库，支持根据URL类别实现URL过滤；支持管理者自定义新的URL地址和URL分类；支持联动云端URL地址库进行全面实施核查（提供功能截图）。</w:t>
            </w:r>
          </w:p>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13、应用控制：支持云应用（如百度云、阿里云、七牛云、天翼云等）、移动应用（微信、QQ、百度视频等）、WEB应用（百度贴吧、百合网、1号店等）、网络下载（安卓市场、App Store、360浏览器等）等超过3500种应用协议的识别和控制，可自定义协议类型。</w:t>
            </w:r>
          </w:p>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14、带宽管理：支持通道化的QoS，支持基于源地址、用户、服务、应用、时间进行带宽控制，并支持配置保障带宽、限制带宽、带宽借用、带宽动态均分、带宽优先级等QoS动作，支持4级层次化QoS、支持多级用户/用户组嵌套。</w:t>
            </w:r>
          </w:p>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行为审计</w:t>
            </w:r>
            <w:r>
              <w:rPr>
                <w:rFonts w:hint="eastAsia" w:ascii="新宋体" w:hAnsi="新宋体" w:eastAsia="新宋体" w:cs="新宋体"/>
                <w:color w:val="auto"/>
                <w:kern w:val="0"/>
                <w:sz w:val="22"/>
                <w:szCs w:val="22"/>
                <w:highlight w:val="none"/>
              </w:rPr>
              <w:tab/>
            </w:r>
            <w:r>
              <w:rPr>
                <w:rFonts w:hint="eastAsia" w:ascii="新宋体" w:hAnsi="新宋体" w:eastAsia="新宋体" w:cs="新宋体"/>
                <w:color w:val="auto"/>
                <w:kern w:val="0"/>
                <w:sz w:val="22"/>
                <w:szCs w:val="22"/>
                <w:highlight w:val="none"/>
              </w:rPr>
              <w:t>基于应用协议识别对各社区软件进行详细审计，可审计应用类型（如百度贴吧、新浪微博），应用账号，应用行为（如登录、评论），操作时间，发布内容，终端类型（Android、IOS）等。</w:t>
            </w:r>
          </w:p>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用户行为画像：提供基于用户名（或用户IP地址）实现对用户行为统一分析界面，采用饼状图对访问应用流量、网站访问集中分析展示，包含基于时间轴的访问行为轨迹(应用账号、行为内容等)，关联账号（微信、QQ）等相关用户行为审计内容（要求提供配置截图且设备制造厂商必须盖章）</w:t>
            </w:r>
          </w:p>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16、负载均衡：支持链路负载均衡功能，支持加权轮转、随机、加权最小连接、源IP地址hash、源IP地址和端口hash、目的地址hash、带宽算法、最大带宽算法、动态就近性、基于优先级的调度算法等10种调度算法，要求提供配置截图且设备制造厂商必须盖章；支持服务器负载功能，支持加权轮转、随机、加权最小连接、源ip地址hash、源ip地址和端口hash、目的地址hash、带宽、最大带宽、最小时间等不少于15中服务器负载算法，要求提供配置截图且设备制造厂商必须盖章；</w:t>
            </w:r>
          </w:p>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17、DNS透明代理：实现内网用户访问外网资源时候的对DNS解析的过程的优化，所有DNS请求不受到客户端填写DNS服务器地址的影响，由设备重新解析，并提供web界面配置截图。</w:t>
            </w:r>
          </w:p>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18、虚拟化能力：所投设备须支持虚拟防火墙功能：支持虚拟防火墙的创建、启动、关闭、删除功能，可独立分配CPU/内存等计算资源，虚拟防火墙可独立管理，独立保存配置（要求提供设备配置截图及官网证明截图）；虚拟防火墙具备独立会话管理、NAT、路由等功能。在虚墙之内可配置VRF，支持二级虚拟化技术。（要求设备可测试，如中标后测试结果不满足，造成不利后果，保留法律追究责任）；实现N:1虚拟化技术，利用双机集群式高可靠性技术，融合后可统一管理配置，对外单一节点，实现主备/主主方式转发。（要求提供设备配置截图及官网证明截图）</w:t>
            </w:r>
          </w:p>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19安全可视化：支持实时数据数据展示，即时显示设备当前流量的用户、应用、IP等信息，帮助用户把握设备状态，及时调整设备策略。可视化多维度报表呈现，支持用户、应用、内容、时间、流量、威胁、URL 等多维度呈现报表。支持自定义报表和订阅功能。支持按不同业务展示存储空间的使用情况，如审计业务、流量业务、威胁业务、URL过滤业务、文件过滤业务等。</w:t>
            </w:r>
          </w:p>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智能管理：要求支持策略命中率检测和策略冗余分析，简化运维。（要求截图）；支持SNMPv1、SNMPv2、SNMPv3、RMON等网络管理协议，并且支持通过网管软件远程进行设备软件升级、配置等。支持通过Web方式管理设备启动文件，简化管理员操作。</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21、报文监控：支持报文捕获功能，可抓取一段时间之内的报文并生成.cap文件，结合Wireshark等软件分析这段时间内的报文情况。AFT</w:t>
            </w:r>
            <w:r>
              <w:rPr>
                <w:rFonts w:hint="eastAsia" w:ascii="新宋体" w:hAnsi="新宋体" w:eastAsia="新宋体" w:cs="新宋体"/>
                <w:color w:val="auto"/>
                <w:kern w:val="0"/>
                <w:sz w:val="22"/>
                <w:szCs w:val="22"/>
                <w:highlight w:val="none"/>
              </w:rPr>
              <w:tab/>
            </w:r>
            <w:r>
              <w:rPr>
                <w:rFonts w:hint="eastAsia" w:ascii="新宋体" w:hAnsi="新宋体" w:eastAsia="新宋体" w:cs="新宋体"/>
                <w:color w:val="auto"/>
                <w:kern w:val="0"/>
                <w:sz w:val="22"/>
                <w:szCs w:val="22"/>
                <w:highlight w:val="none"/>
              </w:rPr>
              <w:t>支持AFT技术，可用于IPv4和IPv6网络边缘设备，使得用户不必改变目前网络中主机的配置即可实现IPv6网络与IPv4网络的通信。（要求提供Web配置截图）</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22、厂商资质：设备制造厂商具备信息安全应急处理一级服务资质，能提供有效证书的复印件；设备制造厂商具备信息安全风险评估一级服务资质，能提供有效证书的复印件</w:t>
            </w:r>
          </w:p>
          <w:p>
            <w:pPr>
              <w:spacing w:line="460" w:lineRule="exact"/>
              <w:ind w:right="26"/>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产品资质</w:t>
            </w:r>
            <w:r>
              <w:rPr>
                <w:rFonts w:hint="eastAsia" w:ascii="新宋体" w:hAnsi="新宋体" w:eastAsia="新宋体" w:cs="新宋体"/>
                <w:color w:val="auto"/>
                <w:kern w:val="0"/>
                <w:sz w:val="22"/>
                <w:szCs w:val="22"/>
                <w:highlight w:val="none"/>
              </w:rPr>
              <w:tab/>
            </w:r>
            <w:r>
              <w:rPr>
                <w:rFonts w:hint="eastAsia" w:ascii="新宋体" w:hAnsi="新宋体" w:eastAsia="新宋体" w:cs="新宋体"/>
                <w:color w:val="auto"/>
                <w:kern w:val="0"/>
                <w:sz w:val="22"/>
                <w:szCs w:val="22"/>
                <w:highlight w:val="none"/>
              </w:rPr>
              <w:t>所投产品须具备公安部颁发的第二代防火墙《计算机信息系统安全专用产品销售许可证》（增强级），能提供有效证书的复印件；所投产品须具备中国网络安全审查技术与认证中心的IT产品信息安全认证证书（评估保障级为EAL4增强级），能提供有效证书的复印件</w:t>
            </w:r>
          </w:p>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23、产品能力：所投产品最近连续三年在IDC中国安全市场排名进入前三（名称为防火墙，非UTM产品），能提供IDC数据授权引用书复印件</w:t>
            </w:r>
          </w:p>
        </w:tc>
        <w:tc>
          <w:tcPr>
            <w:tcW w:w="91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right="26"/>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right="26"/>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台</w:t>
            </w:r>
          </w:p>
        </w:tc>
        <w:tc>
          <w:tcPr>
            <w:tcW w:w="69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right="26"/>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业务单位接入</w:t>
            </w:r>
          </w:p>
          <w:p>
            <w:pPr>
              <w:spacing w:line="460" w:lineRule="exact"/>
              <w:ind w:right="26"/>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3年质保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right="26"/>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right="26"/>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服务器</w:t>
            </w:r>
          </w:p>
        </w:tc>
        <w:tc>
          <w:tcPr>
            <w:tcW w:w="643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1、规格：≤2U。</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2、CPU：支持Intel® Xeon® 4210(2.2GHz/10核/85W)处理器或更高系列处理器； 主频:≥2.2GHz，≥10核。</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3、内存：ECC DDR4  RDIMM /LRDIMM内存插槽，内存配置容量：≥2*32GB。</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4、存储：2 * 960GB SSD</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5、网卡：2*GE+2*10GE（带模块）。</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6、冗余电源</w:t>
            </w:r>
          </w:p>
        </w:tc>
        <w:tc>
          <w:tcPr>
            <w:tcW w:w="91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right="26"/>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right="26"/>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台</w:t>
            </w:r>
          </w:p>
        </w:tc>
        <w:tc>
          <w:tcPr>
            <w:tcW w:w="69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right="26"/>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3年质保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right="26"/>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right="26"/>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视频云存储</w:t>
            </w:r>
          </w:p>
        </w:tc>
        <w:tc>
          <w:tcPr>
            <w:tcW w:w="643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1、19寸标准机柜设备控制器架构，单柜磁盘槽位不小于36盘位，高度≤4U，前面板热插拔易于维护，支持采用交流或直流供电；标配双风扇、单电源（满载700W）、单电池；（其它盘位数规格的按等可靠性、等可用容量折算）； </w:t>
            </w:r>
          </w:p>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2、系统采用Linux（非windows）操作系统，支持7×24小时稳定运行，并且不易受到黑客、病毒的入侵和攻击； </w:t>
            </w:r>
          </w:p>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3、具有不少于5个千兆RJ45网络接口；支持扩展不少于9个千兆RJ45网络接口，支持扩展2或4个万兆光口，并PCI-E3.0、SAS3.0总线技术；可分别设置不同的IP地址，并具有负载均衡、容错模式、链路聚合功能模式 ； </w:t>
            </w:r>
          </w:p>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4、具备不低于64位四核处理器的处理能力，不少于8GB高速缓存，最大可扩容至64GB；</w:t>
            </w:r>
          </w:p>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5、支持接入6T、8T、10T SATA磁盘、SAS磁盘、SSD磁盘；支持不同品牌（希捷、西数、东芝）不同类型磁盘混插；在工作状态下，支持硬盘热插拔；</w:t>
            </w:r>
          </w:p>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6、支持通过数码管、指示灯、蜂鸣器、邮件、短信等告警等方式对硬件和环境进行告警监控； </w:t>
            </w:r>
          </w:p>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7、冗余配件：支持硬盘RAID冗余、双风扇冗余、双电池冗余、双电源冗余；支持电源自动故障切换和在线故障电源的更换；支持电源、风扇、电池的在线热插拔； </w:t>
            </w:r>
          </w:p>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8、支持RAID 0、1、5、6、10、50等 RAID级别，冗余RAID重建过程中对业务不中断、不卡顿；支持磁盘热插拔及在线更新故障磁盘；支持全局热备盘、专用热备； </w:t>
            </w:r>
          </w:p>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9、设备支持提供数据保护功能，设备掉电后存储在缓存中的数据不丢失； </w:t>
            </w:r>
          </w:p>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10、支持数据离散，并发读写，支持视频秒级检索及回放，视频、图片极速下载； </w:t>
            </w:r>
          </w:p>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11、支持云节点负载均衡、故障切换，解决单节点性能瓶颈问题及单节点故障问题，保证业务连续性； </w:t>
            </w:r>
          </w:p>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12、支持图形化管理，环境信息监控，性能监控； </w:t>
            </w:r>
          </w:p>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13、支持防尘、防震、防腐蚀； </w:t>
            </w:r>
          </w:p>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14、符合《温州市安全防范视频监控联网系统信息传输交换控制技术要求》，并且无须外置管理设备，实现存储间资源调度，且能够兼容原有云存储系统。</w:t>
            </w:r>
          </w:p>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15、兼容市公安局云计算存储节点；</w:t>
            </w:r>
          </w:p>
        </w:tc>
        <w:tc>
          <w:tcPr>
            <w:tcW w:w="91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right="26"/>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right="26"/>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台</w:t>
            </w:r>
          </w:p>
        </w:tc>
        <w:tc>
          <w:tcPr>
            <w:tcW w:w="69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right="26"/>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5年质保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right="26"/>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right="26"/>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图片存储</w:t>
            </w:r>
          </w:p>
        </w:tc>
        <w:tc>
          <w:tcPr>
            <w:tcW w:w="643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19英寸标准机柜设备，单柜磁盘槽位不小于48盘位（其它盘位数规格的按等可靠性、等可用容量折算），支持单盘容量不小于8T，配置10GE接口数≥4个（含配套光模块），支持端口链路聚合、负载均衡；支持PCI-E3.0、SAS3.0总线技术。</w:t>
            </w:r>
          </w:p>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2、无须外置管理设备，实现存储间资源调度， 支持云节点负载均衡、故障切换，解决单节点性能瓶颈问题及单节点故障问题，保证业务连续性，云直存架构，支持视频、图片混合直存，支持视频智能结构化数据存储。支持RAID 0、1、5、6、10、50等 RAID级别，冗余RAID重建过程中对业务不中断、不卡顿；支持N＋M纠删码和多副本技术，实现节点间数据保护。支持磁盘热插拔及在线更新故障磁盘；支持全局热备盘、专用热备；支持掉电数据保护。</w:t>
            </w:r>
          </w:p>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3、支持数据离散，并发读写，支持视频秒级检索及回放，视频、图片极速下。</w:t>
            </w:r>
          </w:p>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支持10/100Mbps以太网管理端口，实现管理和业务流的分离，支持冗余电源，风扇，电池，支持磁盘、电源、风扇、电池的热插拔和在线更换，支持数码管、指示灯、蜂鸣器告警方式对故障进行告警，支持IP冲突告警、网口降速、电源故障、风扇故障、电池电量不足、电池故障等告警。支持图形化管理，环境信息监控，性能监控，支持硬件过载保护机制，支持风扇多级调速技术；支持防尘、防震、防腐蚀。</w:t>
            </w:r>
          </w:p>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4、符合《温州市安全防范视频监控联网系统信息传输交换控制技术要求》；提供完善的SDK开发包及示例源代码，免费提供一年内软件功能升级与需求定制服务。</w:t>
            </w:r>
          </w:p>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5、兼容市公安局云计算存储节点；</w:t>
            </w:r>
          </w:p>
        </w:tc>
        <w:tc>
          <w:tcPr>
            <w:tcW w:w="91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right="26"/>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right="26"/>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台</w:t>
            </w:r>
          </w:p>
        </w:tc>
        <w:tc>
          <w:tcPr>
            <w:tcW w:w="69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right="26"/>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公安内网</w:t>
            </w:r>
          </w:p>
          <w:p>
            <w:pPr>
              <w:spacing w:line="460" w:lineRule="exact"/>
              <w:ind w:right="26"/>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5年质保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right="26"/>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right="26"/>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硬盘</w:t>
            </w:r>
          </w:p>
        </w:tc>
        <w:tc>
          <w:tcPr>
            <w:tcW w:w="643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1、一体化企业级SATA 8T硬盘（SATA企业级硬盘 128M缓存 7200转 速率6Gb/s）</w:t>
            </w:r>
          </w:p>
          <w:p>
            <w:pPr>
              <w:spacing w:line="460" w:lineRule="exact"/>
              <w:ind w:right="26"/>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2、1组2块</w:t>
            </w:r>
          </w:p>
        </w:tc>
        <w:tc>
          <w:tcPr>
            <w:tcW w:w="91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right="26"/>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72</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right="26"/>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组</w:t>
            </w:r>
          </w:p>
        </w:tc>
        <w:tc>
          <w:tcPr>
            <w:tcW w:w="69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right="26"/>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5年质保　</w:t>
            </w:r>
          </w:p>
        </w:tc>
      </w:tr>
    </w:tbl>
    <w:p>
      <w:pPr>
        <w:spacing w:line="460" w:lineRule="exact"/>
        <w:ind w:firstLine="541" w:firstLineChars="245"/>
        <w:outlineLvl w:val="2"/>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八  其他要求</w:t>
      </w:r>
    </w:p>
    <w:p>
      <w:pPr>
        <w:spacing w:line="460" w:lineRule="exact"/>
        <w:ind w:firstLine="539" w:firstLineChars="24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1、设备选型</w:t>
      </w:r>
    </w:p>
    <w:p>
      <w:pPr>
        <w:spacing w:line="460" w:lineRule="exact"/>
        <w:ind w:firstLine="539" w:firstLineChars="245"/>
        <w:rPr>
          <w:rFonts w:ascii="新宋体" w:hAnsi="新宋体" w:eastAsia="新宋体" w:cs="新宋体"/>
          <w:b/>
          <w:color w:val="auto"/>
          <w:sz w:val="22"/>
          <w:szCs w:val="22"/>
          <w:highlight w:val="none"/>
          <w:lang w:val="zh-CN"/>
        </w:rPr>
      </w:pPr>
      <w:r>
        <w:rPr>
          <w:rFonts w:hint="eastAsia" w:ascii="新宋体" w:hAnsi="新宋体" w:eastAsia="新宋体" w:cs="新宋体"/>
          <w:color w:val="auto"/>
          <w:sz w:val="22"/>
          <w:szCs w:val="22"/>
          <w:highlight w:val="none"/>
        </w:rPr>
        <w:t>1.1有设备如无特别注明的均为制造厂出厂的标准配置。</w:t>
      </w:r>
      <w:r>
        <w:rPr>
          <w:rFonts w:hint="eastAsia" w:ascii="新宋体" w:hAnsi="新宋体" w:eastAsia="新宋体" w:cs="新宋体"/>
          <w:b/>
          <w:color w:val="auto"/>
          <w:sz w:val="22"/>
          <w:szCs w:val="22"/>
          <w:highlight w:val="none"/>
          <w:lang w:val="zh-CN"/>
        </w:rPr>
        <w:t>投标人可根据以上所列设备的技术配置及技术性能要求</w:t>
      </w:r>
      <w:r>
        <w:rPr>
          <w:rFonts w:hint="eastAsia" w:ascii="新宋体" w:hAnsi="新宋体" w:eastAsia="新宋体" w:cs="新宋体"/>
          <w:b/>
          <w:color w:val="auto"/>
          <w:sz w:val="22"/>
          <w:szCs w:val="22"/>
          <w:highlight w:val="none"/>
        </w:rPr>
        <w:t>作为</w:t>
      </w:r>
      <w:r>
        <w:rPr>
          <w:rFonts w:hint="eastAsia" w:ascii="新宋体" w:hAnsi="新宋体" w:eastAsia="新宋体" w:cs="新宋体"/>
          <w:b/>
          <w:color w:val="auto"/>
          <w:sz w:val="22"/>
          <w:szCs w:val="22"/>
          <w:highlight w:val="none"/>
          <w:lang w:val="zh-CN"/>
        </w:rPr>
        <w:t>参考选用投标产品，但所选投标产品的技术配置及技术性能应相当于或高于招标文件要求，并满足采购需求，否则将可能作出对投标人不利的评定。</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w:t>
      </w:r>
      <w:r>
        <w:rPr>
          <w:rFonts w:ascii="新宋体" w:hAnsi="新宋体" w:eastAsia="新宋体" w:cs="新宋体"/>
          <w:color w:val="auto"/>
          <w:sz w:val="22"/>
          <w:szCs w:val="22"/>
          <w:highlight w:val="none"/>
        </w:rPr>
        <w:t xml:space="preserve"> </w:t>
      </w:r>
      <w:r>
        <w:rPr>
          <w:rFonts w:hint="eastAsia" w:ascii="新宋体" w:hAnsi="新宋体" w:eastAsia="新宋体" w:cs="新宋体"/>
          <w:color w:val="auto"/>
          <w:sz w:val="22"/>
          <w:szCs w:val="22"/>
          <w:highlight w:val="none"/>
        </w:rPr>
        <w:t>所投设备必须为当前最新的主流品牌型号设备，在各项指标符合或高于的情况下，还需考虑设备厂商对设备的技术架构进行改造或升级换代，增加附加功能等，从而保障设备使用年限。</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2、设备的安装、调试和验收</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2.1安装调试时间投标供应商必须在合同规定的工作日内完成设备供货、安装、调试工作，并确保系统的正常运行。</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2.2设备的到货、安装、调试、验收</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2.2.1所供设备在现场进行到货验收时,由卖方负责，买方派员参加,如发现问题应及时处理直至使买方满意,其中费用由卖方负、设备的存放点由买方提供、卖方负责保管。</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2.2.2安装范围包括设备本身及整个系统的安装，安装必须符合有关标准和规范，安装过程中买方和有关部门共同对设备及系统的安装质量进行监理。</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2.2.3安装完毕后，买方可以要求卖方或具有检测资质的第三方用专用仪器进行测试，卖方应负责测试和调试所需的人员、工具、材料、仪器及一切费用，并填写测试报告交由买方存档。</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2.2.4设备经过试运行后达到并符合合同要求，其中故障和隐患均已排除或解决，并使买方满意，所有的技术资料和图纸均已向买方移交并被接受，验收视为合格，由双方签署验收证书后，设备才视为接受。  </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3、质量保证</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3.1需要制定服务计划的，卖方要制订计划并将服务计划送买方确认；具体服务内容按照经确认的计划进行；</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3.2技术服务工程师到达用户现场后，向买方提交本次技术服务内容清单，交用户确认；</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3.3服务过程中形成的服务记录须提交买方签字确认；</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3.4服务完毕，技术服务工程师离开用户之前，必须将本次服务内容完成情况的书面材料交买方签字确认，在买方未签字之前不得擅离服务现场；</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3.5 卖方质检部门应不定期对技术服务工程师的服务水平、服务态度和服务效果及买方满意度进行调查，以便及时发现服务过程中存在的问题并及时解决；</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3.6卖方要设立专门电话，买方随时可就技术服务工程师的服务情况向卖方进行投诉。</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4、售后服务网点</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4.1 卖方应有完整的售后服务网点，确保买方能及时得到满意的售后服务和相应的技术支持。在质保期满后能够方便地购买到所需的备品备件和及时的技术服务。</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4.2 卖方在投标文件中应详细介绍售后服务网点情况。</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5、施工要求</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具体施工时应进行文明施工，及时清理施工垃圾，施工时设置交通导向标志(反光标志)、施工人员穿戴反光背心等。本项目总价中包含安全措施和一切风险责任费用，投标方在工程供货、施工、安装、维护等过程中发生的安全问题均由投标方负责。</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施工过程要严格按照有关规范，杆件、网络箱安装整齐，走线规范、布线整洁，标签标识规范、美观、完整。</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杆件安装要整齐、美观，杆件要保持水平、牢固，整体强度能防御12级以上台风、8级以上地震；</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点位竣工时要提供完整的基础资料，包括网络箱编号、经纬度、摄像机类型、监控目标区域属性、设备清单、网络拓扑、现场照片、摄像机的原始朝向（水平、垂直）角度等；</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投标人承诺本项目中的所有杆件未经甲方允许不安装其它与本项目无关设备。</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6、维保要求</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系统建设完成通过验收后进入为期5年的质保期，质保期内运行维护包括前端设备维护、光纤线路维护、系统监控与维护。运维单位确保治安监控系统的正常运行和维护工作，确保各点分别正常运行率98%以上。如实际运行过程中，未能达到此正常运行率采购方有权不支付相应费用。</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故障恢复时间：对故障在30分钟内响应，4小时以内到现场，8小时以内解决问题；不能当场修复的，必须采取提供备品、备件或备机等措施，12小时内保证系统投入正常使用。</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维护单位建立详实可行运维方案、制度以及应急措施。维护单位建立专业视频监控运维团队，建设完善的系统运行状态监测体系，能实时感知系统出现故障、及时进行处理并形成完整台帐；定期分析系统运行数据，发现系统故障隐患、研究优化方案。每季度各前端巡检和卫生清理、系统微调一次。每半年对各前端系统进行一次全系统调试。建立运行维护汇报制度，每月形成视频监控运维月报和每年形成治安监控运维年报。</w:t>
      </w:r>
    </w:p>
    <w:p>
      <w:pPr>
        <w:tabs>
          <w:tab w:val="left" w:pos="210"/>
        </w:tabs>
        <w:spacing w:line="360" w:lineRule="auto"/>
        <w:rPr>
          <w:rFonts w:hint="eastAsia" w:ascii="宋体" w:hAnsi="宋体" w:cs="新宋体"/>
          <w:color w:val="auto"/>
          <w:szCs w:val="21"/>
          <w:highlight w:val="none"/>
        </w:rPr>
      </w:pPr>
    </w:p>
    <w:p>
      <w:pPr>
        <w:spacing w:line="460" w:lineRule="exact"/>
        <w:ind w:firstLine="552" w:firstLineChars="250"/>
        <w:jc w:val="center"/>
        <w:rPr>
          <w:rFonts w:hint="eastAsia" w:ascii="新宋体" w:hAnsi="新宋体" w:eastAsia="新宋体"/>
          <w:b/>
          <w:bCs/>
          <w:color w:val="auto"/>
          <w:sz w:val="22"/>
          <w:highlight w:val="none"/>
        </w:rPr>
      </w:pPr>
    </w:p>
    <w:p>
      <w:pPr>
        <w:rPr>
          <w:rFonts w:hint="eastAsia" w:ascii="新宋体" w:hAnsi="新宋体" w:eastAsia="新宋体"/>
          <w:b/>
          <w:bCs/>
          <w:color w:val="auto"/>
          <w:sz w:val="22"/>
          <w:highlight w:val="none"/>
        </w:rPr>
      </w:pPr>
    </w:p>
    <w:p>
      <w:pPr>
        <w:rPr>
          <w:rFonts w:hint="eastAsia" w:ascii="新宋体" w:hAnsi="新宋体" w:eastAsia="新宋体"/>
          <w:b/>
          <w:bCs/>
          <w:color w:val="auto"/>
          <w:sz w:val="22"/>
          <w:highlight w:val="none"/>
        </w:rPr>
      </w:pPr>
    </w:p>
    <w:p>
      <w:pPr>
        <w:rPr>
          <w:rFonts w:hint="eastAsia" w:ascii="新宋体" w:hAnsi="新宋体" w:eastAsia="新宋体"/>
          <w:b/>
          <w:bCs/>
          <w:color w:val="auto"/>
          <w:sz w:val="22"/>
          <w:highlight w:val="none"/>
        </w:rPr>
      </w:pPr>
    </w:p>
    <w:p>
      <w:pPr>
        <w:rPr>
          <w:rFonts w:hint="eastAsia" w:ascii="新宋体" w:hAnsi="新宋体" w:eastAsia="新宋体"/>
          <w:b/>
          <w:bCs/>
          <w:color w:val="auto"/>
          <w:sz w:val="22"/>
          <w:highlight w:val="none"/>
        </w:rPr>
      </w:pPr>
    </w:p>
    <w:p>
      <w:pPr>
        <w:rPr>
          <w:rFonts w:hint="eastAsia" w:ascii="新宋体" w:hAnsi="新宋体" w:eastAsia="新宋体"/>
          <w:b/>
          <w:bCs/>
          <w:color w:val="auto"/>
          <w:sz w:val="22"/>
          <w:highlight w:val="none"/>
        </w:rPr>
      </w:pPr>
    </w:p>
    <w:p>
      <w:pPr>
        <w:rPr>
          <w:rFonts w:hint="eastAsia" w:ascii="新宋体" w:hAnsi="新宋体" w:eastAsia="新宋体"/>
          <w:b/>
          <w:bCs/>
          <w:color w:val="auto"/>
          <w:sz w:val="22"/>
          <w:highlight w:val="none"/>
        </w:rPr>
      </w:pPr>
    </w:p>
    <w:p>
      <w:pPr>
        <w:rPr>
          <w:rFonts w:hint="eastAsia" w:ascii="新宋体" w:hAnsi="新宋体" w:eastAsia="新宋体"/>
          <w:b/>
          <w:bCs/>
          <w:color w:val="auto"/>
          <w:sz w:val="22"/>
          <w:highlight w:val="none"/>
        </w:rPr>
      </w:pPr>
    </w:p>
    <w:p>
      <w:pPr>
        <w:rPr>
          <w:rFonts w:hint="eastAsia" w:ascii="新宋体" w:hAnsi="新宋体" w:eastAsia="新宋体"/>
          <w:b/>
          <w:bCs/>
          <w:color w:val="auto"/>
          <w:sz w:val="22"/>
          <w:highlight w:val="none"/>
        </w:rPr>
      </w:pPr>
    </w:p>
    <w:p>
      <w:pPr>
        <w:rPr>
          <w:rFonts w:hint="eastAsia" w:ascii="新宋体" w:hAnsi="新宋体" w:eastAsia="新宋体"/>
          <w:b/>
          <w:bCs/>
          <w:color w:val="auto"/>
          <w:sz w:val="22"/>
          <w:highlight w:val="none"/>
        </w:rPr>
      </w:pPr>
    </w:p>
    <w:p>
      <w:pPr>
        <w:rPr>
          <w:rFonts w:hint="eastAsia" w:ascii="新宋体" w:hAnsi="新宋体" w:eastAsia="新宋体"/>
          <w:b/>
          <w:bCs/>
          <w:color w:val="auto"/>
          <w:sz w:val="22"/>
          <w:highlight w:val="none"/>
        </w:rPr>
      </w:pPr>
    </w:p>
    <w:p>
      <w:pPr>
        <w:rPr>
          <w:rFonts w:hint="eastAsia" w:ascii="新宋体" w:hAnsi="新宋体" w:eastAsia="新宋体"/>
          <w:b/>
          <w:bCs/>
          <w:color w:val="auto"/>
          <w:sz w:val="22"/>
          <w:highlight w:val="none"/>
        </w:rPr>
      </w:pPr>
    </w:p>
    <w:p>
      <w:pPr>
        <w:rPr>
          <w:rFonts w:hint="eastAsia" w:ascii="新宋体" w:hAnsi="新宋体" w:eastAsia="新宋体"/>
          <w:b/>
          <w:bCs/>
          <w:color w:val="auto"/>
          <w:sz w:val="22"/>
          <w:highlight w:val="none"/>
        </w:rPr>
      </w:pPr>
    </w:p>
    <w:p>
      <w:pPr>
        <w:rPr>
          <w:rFonts w:hint="eastAsia" w:ascii="新宋体" w:hAnsi="新宋体" w:eastAsia="新宋体"/>
          <w:b/>
          <w:bCs/>
          <w:color w:val="auto"/>
          <w:sz w:val="22"/>
          <w:highlight w:val="none"/>
        </w:rPr>
      </w:pPr>
    </w:p>
    <w:p>
      <w:pPr>
        <w:spacing w:line="460" w:lineRule="exact"/>
        <w:ind w:firstLine="552" w:firstLineChars="250"/>
        <w:jc w:val="center"/>
        <w:outlineLvl w:val="1"/>
        <w:rPr>
          <w:rFonts w:hint="eastAsia" w:ascii="新宋体" w:hAnsi="新宋体" w:eastAsia="新宋体"/>
          <w:b/>
          <w:bCs/>
          <w:color w:val="auto"/>
          <w:sz w:val="22"/>
          <w:highlight w:val="none"/>
        </w:rPr>
      </w:pPr>
      <w:r>
        <w:rPr>
          <w:rFonts w:hint="eastAsia" w:ascii="新宋体" w:hAnsi="新宋体" w:eastAsia="新宋体"/>
          <w:b/>
          <w:bCs/>
          <w:color w:val="auto"/>
          <w:sz w:val="22"/>
          <w:highlight w:val="none"/>
        </w:rPr>
        <w:t>标段三：项目咨询监理</w:t>
      </w:r>
    </w:p>
    <w:p>
      <w:pPr>
        <w:rPr>
          <w:color w:val="auto"/>
          <w:highlight w:val="none"/>
        </w:rPr>
      </w:pP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本项目财政预算为人民币柒拾伍万伍仟元整（¥755000.00元），如投标人报价超过财政预算按无效标处理。</w:t>
      </w:r>
    </w:p>
    <w:tbl>
      <w:tblPr>
        <w:tblStyle w:val="52"/>
        <w:tblW w:w="10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58"/>
        <w:gridCol w:w="6277"/>
        <w:gridCol w:w="709"/>
        <w:gridCol w:w="923"/>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5" w:type="dxa"/>
            <w:noWrap w:val="0"/>
            <w:vAlign w:val="center"/>
          </w:tcPr>
          <w:p>
            <w:pPr>
              <w:spacing w:line="460" w:lineRule="exact"/>
              <w:ind w:right="26"/>
              <w:jc w:val="center"/>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序号</w:t>
            </w:r>
          </w:p>
        </w:tc>
        <w:tc>
          <w:tcPr>
            <w:tcW w:w="1258" w:type="dxa"/>
            <w:noWrap w:val="0"/>
            <w:vAlign w:val="center"/>
          </w:tcPr>
          <w:p>
            <w:pPr>
              <w:spacing w:line="460" w:lineRule="exact"/>
              <w:ind w:right="26"/>
              <w:jc w:val="center"/>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项目名称</w:t>
            </w:r>
          </w:p>
        </w:tc>
        <w:tc>
          <w:tcPr>
            <w:tcW w:w="6277" w:type="dxa"/>
            <w:noWrap w:val="0"/>
            <w:vAlign w:val="center"/>
          </w:tcPr>
          <w:p>
            <w:pPr>
              <w:spacing w:line="460" w:lineRule="exact"/>
              <w:ind w:right="26"/>
              <w:jc w:val="center"/>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主要设备的型号、规格</w:t>
            </w:r>
          </w:p>
        </w:tc>
        <w:tc>
          <w:tcPr>
            <w:tcW w:w="709" w:type="dxa"/>
            <w:noWrap w:val="0"/>
            <w:vAlign w:val="center"/>
          </w:tcPr>
          <w:p>
            <w:pPr>
              <w:spacing w:line="460" w:lineRule="exact"/>
              <w:ind w:right="26"/>
              <w:jc w:val="center"/>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数量</w:t>
            </w:r>
          </w:p>
        </w:tc>
        <w:tc>
          <w:tcPr>
            <w:tcW w:w="923" w:type="dxa"/>
            <w:noWrap w:val="0"/>
            <w:vAlign w:val="center"/>
          </w:tcPr>
          <w:p>
            <w:pPr>
              <w:spacing w:line="460" w:lineRule="exact"/>
              <w:ind w:right="26"/>
              <w:jc w:val="center"/>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单位</w:t>
            </w:r>
          </w:p>
        </w:tc>
        <w:tc>
          <w:tcPr>
            <w:tcW w:w="910" w:type="dxa"/>
            <w:noWrap w:val="0"/>
            <w:vAlign w:val="center"/>
          </w:tcPr>
          <w:p>
            <w:pPr>
              <w:spacing w:line="460" w:lineRule="exact"/>
              <w:ind w:right="26"/>
              <w:jc w:val="center"/>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ign w:val="center"/>
          </w:tcPr>
          <w:p>
            <w:pPr>
              <w:spacing w:line="460" w:lineRule="exact"/>
              <w:ind w:right="26"/>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1258" w:type="dxa"/>
            <w:noWrap w:val="0"/>
            <w:vAlign w:val="center"/>
          </w:tcPr>
          <w:p>
            <w:pPr>
              <w:spacing w:line="460" w:lineRule="exact"/>
              <w:ind w:right="26"/>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咨询监理</w:t>
            </w:r>
          </w:p>
        </w:tc>
        <w:tc>
          <w:tcPr>
            <w:tcW w:w="6277" w:type="dxa"/>
            <w:noWrap w:val="0"/>
            <w:vAlign w:val="center"/>
          </w:tcPr>
          <w:p>
            <w:pPr>
              <w:spacing w:line="460" w:lineRule="exact"/>
              <w:ind w:right="26"/>
              <w:jc w:val="left"/>
              <w:rPr>
                <w:rFonts w:hint="eastAsia" w:ascii="新宋体" w:hAnsi="新宋体" w:eastAsia="新宋体" w:cs="新宋体"/>
                <w:color w:val="auto"/>
                <w:kern w:val="0"/>
                <w:sz w:val="22"/>
                <w:szCs w:val="22"/>
                <w:highlight w:val="none"/>
              </w:rPr>
            </w:pPr>
            <w:r>
              <w:rPr>
                <w:rFonts w:ascii="新宋体" w:hAnsi="新宋体" w:eastAsia="新宋体" w:cs="新宋体"/>
                <w:color w:val="auto"/>
                <w:kern w:val="0"/>
                <w:sz w:val="22"/>
                <w:szCs w:val="22"/>
                <w:highlight w:val="none"/>
              </w:rPr>
              <w:t>1、项目咨询服务；</w:t>
            </w:r>
            <w:r>
              <w:rPr>
                <w:rFonts w:hint="eastAsia" w:ascii="新宋体" w:hAnsi="新宋体" w:eastAsia="新宋体" w:cs="新宋体"/>
                <w:color w:val="auto"/>
                <w:kern w:val="0"/>
                <w:sz w:val="22"/>
                <w:szCs w:val="22"/>
                <w:highlight w:val="none"/>
              </w:rPr>
              <w:br w:type="textWrapping"/>
            </w:r>
            <w:r>
              <w:rPr>
                <w:rFonts w:hint="eastAsia" w:ascii="新宋体" w:hAnsi="新宋体" w:eastAsia="新宋体" w:cs="新宋体"/>
                <w:color w:val="auto"/>
                <w:kern w:val="0"/>
                <w:sz w:val="22"/>
                <w:szCs w:val="22"/>
                <w:highlight w:val="none"/>
              </w:rPr>
              <w:t>2、工程全过程监理；</w:t>
            </w:r>
          </w:p>
        </w:tc>
        <w:tc>
          <w:tcPr>
            <w:tcW w:w="709" w:type="dxa"/>
            <w:noWrap/>
            <w:vAlign w:val="center"/>
          </w:tcPr>
          <w:p>
            <w:pPr>
              <w:spacing w:line="460" w:lineRule="exact"/>
              <w:ind w:right="26"/>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923" w:type="dxa"/>
            <w:noWrap w:val="0"/>
            <w:vAlign w:val="center"/>
          </w:tcPr>
          <w:p>
            <w:pPr>
              <w:spacing w:line="460" w:lineRule="exact"/>
              <w:ind w:right="26"/>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项</w:t>
            </w:r>
          </w:p>
        </w:tc>
        <w:tc>
          <w:tcPr>
            <w:tcW w:w="910" w:type="dxa"/>
            <w:noWrap/>
            <w:vAlign w:val="center"/>
          </w:tcPr>
          <w:p>
            <w:pPr>
              <w:spacing w:line="460" w:lineRule="exact"/>
              <w:ind w:right="26"/>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ign w:val="center"/>
          </w:tcPr>
          <w:p>
            <w:pPr>
              <w:spacing w:line="460" w:lineRule="exact"/>
              <w:ind w:right="26"/>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1258" w:type="dxa"/>
            <w:noWrap w:val="0"/>
            <w:vAlign w:val="center"/>
          </w:tcPr>
          <w:p>
            <w:pPr>
              <w:spacing w:line="460" w:lineRule="exact"/>
              <w:ind w:right="26"/>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第三方检测</w:t>
            </w:r>
          </w:p>
        </w:tc>
        <w:tc>
          <w:tcPr>
            <w:tcW w:w="6277" w:type="dxa"/>
            <w:noWrap/>
            <w:vAlign w:val="center"/>
          </w:tcPr>
          <w:p>
            <w:pPr>
              <w:spacing w:line="460" w:lineRule="exact"/>
              <w:ind w:right="26"/>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按照GA∕T 1127-2013_安全防范视频监控摄像机通用技术要求对前端进行检测，对本期前新建的323路监控中的30%进行抽检</w:t>
            </w:r>
          </w:p>
        </w:tc>
        <w:tc>
          <w:tcPr>
            <w:tcW w:w="709" w:type="dxa"/>
            <w:noWrap/>
            <w:vAlign w:val="center"/>
          </w:tcPr>
          <w:p>
            <w:pPr>
              <w:spacing w:line="460" w:lineRule="exact"/>
              <w:ind w:right="26"/>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923" w:type="dxa"/>
            <w:noWrap w:val="0"/>
            <w:vAlign w:val="center"/>
          </w:tcPr>
          <w:p>
            <w:pPr>
              <w:spacing w:line="460" w:lineRule="exact"/>
              <w:ind w:right="26"/>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项</w:t>
            </w:r>
          </w:p>
        </w:tc>
        <w:tc>
          <w:tcPr>
            <w:tcW w:w="910" w:type="dxa"/>
            <w:noWrap/>
            <w:vAlign w:val="center"/>
          </w:tcPr>
          <w:p>
            <w:pPr>
              <w:spacing w:line="460" w:lineRule="exact"/>
              <w:ind w:right="26"/>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bl>
    <w:p>
      <w:pPr>
        <w:spacing w:line="460" w:lineRule="exact"/>
        <w:ind w:firstLine="541" w:firstLineChars="245"/>
        <w:outlineLvl w:val="2"/>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一、咨询监理</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监理咨询服务机构是站在政府部门的角度，作为政府在信息化领域的顾问，与政府一起对信息化建设进行全面规划，并结合政府实际业务需求，对信息系统应用现状进行评估分析，提炼出政府信息化需求，并在此基础上形成政府的信息化总体规划，使之成为指导政府实施信息系统的行动指南，然后帮助政府进行可行性研究、整体规划、选型招标、IT实施监理和IT验收评估，伴随多层次的信息化培训和项目管理则贯穿始终。</w:t>
      </w:r>
    </w:p>
    <w:p>
      <w:pPr>
        <w:spacing w:line="460" w:lineRule="exact"/>
        <w:ind w:firstLine="541" w:firstLineChars="245"/>
        <w:outlineLvl w:val="3"/>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1、监理服务目标</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为加速推进公安“雪亮工程”建设，加强该项目管理能力，提高项目实施效率，保证项目管理工作的公开、公正、科学、规范；对“雪亮工程”项目进行全过程监理，监理过程包括：项目前期、项目准备、技术人员培训、项目实施、项目初步验收、项目正式验收、成果汇交、质量保证期等项目全过程。</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监理工作内容主要是：各类项目会议的组织、记录，项目文档、起草、归档、移交等管理工作；针对项目建设情况，向采购人提出合理化的改进改良建议；协助采购单位对项目各方的工作协调、督办等，并提供7*24小时的现场全程监理服务。</w:t>
      </w:r>
    </w:p>
    <w:p>
      <w:pPr>
        <w:spacing w:line="460" w:lineRule="exact"/>
        <w:ind w:firstLine="541" w:firstLineChars="245"/>
        <w:outlineLvl w:val="3"/>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2、监理服务内容</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按照监理规范要求的“四控制、三管理、一协调”的原则，保证“雪亮工程项目”在规定的时间内完成，并实现项目建设的目标。</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协助招标</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1）协助建设单位编制项目招标文件；</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2）评审招标文件；</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3）参与评标与决标辅助工作；</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4）协助建设单位与项目承建单位签订合同。</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bookmarkStart w:id="205" w:name="_Toc397669442"/>
      <w:bookmarkStart w:id="206" w:name="_Toc189558948"/>
      <w:r>
        <w:rPr>
          <w:rFonts w:hint="eastAsia" w:ascii="新宋体" w:hAnsi="新宋体" w:eastAsia="新宋体" w:cs="新宋体"/>
          <w:bCs/>
          <w:color w:val="auto"/>
          <w:sz w:val="22"/>
          <w:szCs w:val="22"/>
          <w:highlight w:val="none"/>
        </w:rPr>
        <w:t>项目组织以及技术总体方案的把关</w:t>
      </w:r>
      <w:bookmarkEnd w:id="205"/>
      <w:bookmarkEnd w:id="206"/>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1）协助建设单位审核和确认承建单位的总体设计方案；</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2）协助建设单位审核和确认项目建设过程中的各种关键技术方案；</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3）协助建设单位审核和确认承建单位的组织和实施方案及《项目计划》；</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4）协助建设单位审核和确认承建单位的质量保证计划、质量控制体系（含质量控制的关键性节点）；</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5）协助建设单位审核和确认承建单位的测试计划；</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6）协助建设单位审核和确认承建单位的项目进度计划和进度控制节点</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7）辅助建设单位负责多家承建单位之间的工作协调安排。</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bookmarkStart w:id="207" w:name="_Toc189558949"/>
      <w:bookmarkStart w:id="208" w:name="_Toc397669443"/>
      <w:r>
        <w:rPr>
          <w:rFonts w:hint="eastAsia" w:ascii="新宋体" w:hAnsi="新宋体" w:eastAsia="新宋体" w:cs="新宋体"/>
          <w:bCs/>
          <w:color w:val="auto"/>
          <w:sz w:val="22"/>
          <w:szCs w:val="22"/>
          <w:highlight w:val="none"/>
        </w:rPr>
        <w:t>项目质量控制</w:t>
      </w:r>
      <w:bookmarkEnd w:id="207"/>
      <w:bookmarkEnd w:id="208"/>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（1）硬件设备质量的控制</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1）建设方案的审核和确认；</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2）采购的硬件设备到货前，按合同要求审核承建单位提交的《设备报审表》；</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3）对采购的硬件设备进行到货审查，（审查内容包括设备外观包装、序列号、出厂日期、保修条款、配置、附件等）；</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4）对设备安装、系统软件的安装调试进行旁站检查，（检查内容包括供电情况、安装过程是否规范、安装位置是否符合原设计方案、理线规范性和标识情况等）；</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5）协助建设单位审核承建单位提交的测试方案和测试计划，由建设单位、监理单位和承建单位一起按照测试方案与计划中的步骤逐一测试；</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6）审核确认承建单位提交的培训计划和用户手册，确保培训对象合同通过，每次培训需填写培训记录；</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7）对设备的使用情况要求建设单位出具用户使用报告。</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（2）应用软件开发质量的控制</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1）应用软件开发的阶段性计划的审核和确认；</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2）协助项目建设单位和承建单位，对项目所建设的各个系统、子系统的详细需求分析、详细设计、编码测试、系统安装调试、系统试运行进行把关；</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3）对承建单位的开发质量进行审核；</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4）对开发文件进行移交验收；</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5）审核确认承建单位的培训计划；</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6）监督承建单位实施其培训计划，并征求用户的反馈意见；</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7）审核确认承建单位的培训总结报告。</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（3）集成建设质量的控制</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1）建设方案的审核和确认；审核的内容包括施工组织计划、勘点报告、施工深化图纸、各系统进度及采购计划、设备清单、质量保证体系、安全保障体系、施工工艺等；</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2）组织现场勘点；</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3）采购的硬件设备到货前，按合同要求审核承建单位提交的《设备报审表》；</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4）对采购的硬件设备进行到货审查，（审查内容包括设备外观包装、序列号、出厂日期、保修条款、配置、附件等）；</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5）做好施工现场管理，主要是施工技术管理，工程质量的检查与监督工作，现场的施工安全工作；</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6）对隐蔽工程进行检查，做好隐蔽工程文档及时归档；</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7）对设备安装、系统软件的安装调试进行旁站检查，（检查内容包括供电情况、安装过程是否规范、安装位置是否符合原设计方案、理线规范性和标识情况等）；</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8）协助建设单位审核承建单位提交的测试方案和测试计划，由建设单位、监理单位和承建单位一起按照测试方案与计划中的步骤逐一测试；</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9）审核确认承建单位提交的培训计划和用户手册，确保培训对象合同通过，每次培训需填写培训记录；</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10）对设备的使用情况要求建设单位出具用户使用报告</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bookmarkStart w:id="209" w:name="_Toc397669444"/>
      <w:bookmarkStart w:id="210" w:name="_Toc189558950"/>
      <w:r>
        <w:rPr>
          <w:rFonts w:hint="eastAsia" w:ascii="新宋体" w:hAnsi="新宋体" w:eastAsia="新宋体" w:cs="新宋体"/>
          <w:bCs/>
          <w:color w:val="auto"/>
          <w:sz w:val="22"/>
          <w:szCs w:val="22"/>
          <w:highlight w:val="none"/>
        </w:rPr>
        <w:t>项目进度控制</w:t>
      </w:r>
      <w:bookmarkEnd w:id="209"/>
      <w:bookmarkEnd w:id="210"/>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1）协助建设单位审核承建单位的进度分解计划，确认分解计划可以保证总体计划目标；</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2）对项目实施进度进行实时跟踪，并要求承建单位及时按项目总进度计划及时进行动态调整，以确保项目的阶段和总体进度目标的实现；</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3）要求承建单位按要求提交项目周报，审核周报建设内容后整理成监理周报并发送给建设单位及相关部门审阅；</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4）每月编写监理月报，向建设单位及相关部门汇报当月各项目建设内容、进度以及存在的问题；</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5）当工期目标严重偏离时，应及时指出，并提出对策建议，同时督促承建单位尽快采取措施。</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bookmarkStart w:id="211" w:name="_Toc189558952"/>
      <w:bookmarkStart w:id="212" w:name="_Toc397669445"/>
      <w:r>
        <w:rPr>
          <w:rFonts w:hint="eastAsia" w:ascii="新宋体" w:hAnsi="新宋体" w:eastAsia="新宋体" w:cs="新宋体"/>
          <w:bCs/>
          <w:color w:val="auto"/>
          <w:sz w:val="22"/>
          <w:szCs w:val="22"/>
          <w:highlight w:val="none"/>
        </w:rPr>
        <w:t>项目变更控制</w:t>
      </w:r>
      <w:bookmarkEnd w:id="211"/>
      <w:bookmarkEnd w:id="212"/>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1）严格按照监理规范建立变更控制系统，通过它对项目计划、流程、预算、进度或可交付成果的变更申请进行评估；</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2）在项目建设过程中，任何一方提出变更，需书面提交《变更报审表》，由监理单位、建设单位和承建单位一起对变更事项进行评估，对于重大变更内容，须召开专题讨论和评审会议；</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3）对项目建设内容的变更，要求“向上变更”（即所变更的内容要高于或优于原建设内容）原则；</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4）及时记录合同变更情况，并经确认。</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bookmarkStart w:id="213" w:name="_Toc189558953"/>
      <w:bookmarkStart w:id="214" w:name="_Toc397669446"/>
      <w:r>
        <w:rPr>
          <w:rFonts w:hint="eastAsia" w:ascii="新宋体" w:hAnsi="新宋体" w:eastAsia="新宋体" w:cs="新宋体"/>
          <w:bCs/>
          <w:color w:val="auto"/>
          <w:sz w:val="22"/>
          <w:szCs w:val="22"/>
          <w:highlight w:val="none"/>
        </w:rPr>
        <w:t>项目合同管理</w:t>
      </w:r>
      <w:bookmarkEnd w:id="213"/>
      <w:bookmarkEnd w:id="214"/>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1）跟踪检查合同的执行情况，确保承建单位按时履约；</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2）对合同工期的延误和延期进行审核确认；</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3）对合同变更、索赔等事宜进行审核确认；</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4）根据合同约定，审核承建单位提交的支付申请。</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bookmarkStart w:id="215" w:name="_Toc397669447"/>
      <w:bookmarkStart w:id="216" w:name="_Toc189558954"/>
      <w:r>
        <w:rPr>
          <w:rFonts w:hint="eastAsia" w:ascii="新宋体" w:hAnsi="新宋体" w:eastAsia="新宋体" w:cs="新宋体"/>
          <w:bCs/>
          <w:color w:val="auto"/>
          <w:sz w:val="22"/>
          <w:szCs w:val="22"/>
          <w:highlight w:val="none"/>
        </w:rPr>
        <w:t>信息管理/项目文档管理</w:t>
      </w:r>
      <w:bookmarkEnd w:id="215"/>
      <w:bookmarkEnd w:id="216"/>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1）做好监理日记及项目大事记；</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2）做好合同批复等各类往来文件的批复和存档；</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3）做好项目协调会、技术专题会的会议纪要；</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4）管理好实施期间的各类技术文档；</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5）项目周报；</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6）监理意见；</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7）监理月报；</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8）各种会议纪要；</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9）阶段性项目总结；</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10）各承建方提交的技术文档。</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bookmarkStart w:id="217" w:name="_Toc189558955"/>
      <w:bookmarkStart w:id="218" w:name="_Toc397669448"/>
      <w:r>
        <w:rPr>
          <w:rFonts w:hint="eastAsia" w:ascii="新宋体" w:hAnsi="新宋体" w:eastAsia="新宋体" w:cs="新宋体"/>
          <w:bCs/>
          <w:color w:val="auto"/>
          <w:sz w:val="22"/>
          <w:szCs w:val="22"/>
          <w:highlight w:val="none"/>
        </w:rPr>
        <w:t>信息安全管理</w:t>
      </w:r>
      <w:bookmarkEnd w:id="217"/>
      <w:bookmarkEnd w:id="218"/>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1）对安全系统的设计更改、安全产品测试规范、安全设计的审核和确认、安全设计评审进行监督管理；</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2）确保各项与验收相关的文档和数据满足验收要求，并保证这些文档和数据真实反映信息系统的安全实际情况；</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3）保证项目过程中的技术文档的准确性、完整性和详细程度等，并对项目文档进行审查、分析；</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bookmarkStart w:id="219" w:name="_Toc189558956"/>
      <w:bookmarkStart w:id="220" w:name="_Toc397669449"/>
      <w:r>
        <w:rPr>
          <w:rFonts w:hint="eastAsia" w:ascii="新宋体" w:hAnsi="新宋体" w:eastAsia="新宋体" w:cs="新宋体"/>
          <w:bCs/>
          <w:color w:val="auto"/>
          <w:sz w:val="22"/>
          <w:szCs w:val="22"/>
          <w:highlight w:val="none"/>
        </w:rPr>
        <w:t>项目知识产权的管理</w:t>
      </w:r>
      <w:bookmarkEnd w:id="219"/>
      <w:bookmarkEnd w:id="220"/>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1）负责项目过程中所产生成果的知识产权保护，保证不被非授权使用；</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2）负责项目建设过程中涉及知识产权的产品和系统的使用审核，保证建设单位及承建单位不在本项目建设中出现违反知识产权的行为；</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3）协助建设单位对项目过程中所产生成果的知识产权进行整理。</w:t>
      </w:r>
    </w:p>
    <w:p>
      <w:pPr>
        <w:numPr>
          <w:ilvl w:val="0"/>
          <w:numId w:val="5"/>
        </w:numPr>
        <w:spacing w:line="460" w:lineRule="exact"/>
        <w:ind w:left="0" w:firstLine="640"/>
        <w:rPr>
          <w:rFonts w:hint="eastAsia" w:ascii="新宋体" w:hAnsi="新宋体" w:eastAsia="新宋体" w:cs="新宋体"/>
          <w:bCs/>
          <w:color w:val="auto"/>
          <w:sz w:val="22"/>
          <w:szCs w:val="22"/>
          <w:highlight w:val="none"/>
        </w:rPr>
      </w:pPr>
      <w:bookmarkStart w:id="221" w:name="_Toc189558957"/>
      <w:bookmarkStart w:id="222" w:name="_Toc397669450"/>
      <w:r>
        <w:rPr>
          <w:rFonts w:hint="eastAsia" w:ascii="新宋体" w:hAnsi="新宋体" w:eastAsia="新宋体" w:cs="新宋体"/>
          <w:bCs/>
          <w:color w:val="auto"/>
          <w:sz w:val="22"/>
          <w:szCs w:val="22"/>
          <w:highlight w:val="none"/>
        </w:rPr>
        <w:t>项目建设的协调</w:t>
      </w:r>
      <w:bookmarkEnd w:id="221"/>
      <w:bookmarkEnd w:id="222"/>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1）辅助业主方协调项目各共建部门之间的工作关系；</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2）辅助业主方协调项目各承建单位之间的工作关系；</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 辅助业主方协调项目建设过程中发生的各类纠纷和问题；</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 监理方应该通过必要的会议制度来实施协调工作，主要包括：</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○项目周例会；</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○项目专题讨论会；</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○项目专家论证会；</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○项目阶段工作总结会；</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○项目问题通报会；</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○项目阶段及最终验收会。</w:t>
      </w:r>
    </w:p>
    <w:p>
      <w:pPr>
        <w:spacing w:line="460" w:lineRule="exact"/>
        <w:ind w:firstLine="541" w:firstLineChars="245"/>
        <w:outlineLvl w:val="2"/>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二、咨询服务</w:t>
      </w:r>
    </w:p>
    <w:p>
      <w:pPr>
        <w:spacing w:line="460" w:lineRule="exact"/>
        <w:ind w:firstLine="514" w:firstLineChars="245"/>
        <w:rPr>
          <w:color w:val="auto"/>
          <w:highlight w:val="none"/>
        </w:rPr>
      </w:pPr>
      <w:r>
        <w:rPr>
          <w:rFonts w:hint="eastAsia"/>
          <w:color w:val="auto"/>
          <w:highlight w:val="none"/>
        </w:rPr>
        <w:t>提供相应拓展业务服务，包括项目的拓展设计到的技术框架，设备询价等相关内容，为下期建设方案做准备。</w:t>
      </w:r>
    </w:p>
    <w:p>
      <w:pPr>
        <w:spacing w:line="460" w:lineRule="exact"/>
        <w:ind w:firstLine="514" w:firstLineChars="245"/>
        <w:rPr>
          <w:rFonts w:hint="eastAsia"/>
          <w:color w:val="auto"/>
          <w:highlight w:val="none"/>
        </w:rPr>
      </w:pPr>
      <w:r>
        <w:rPr>
          <w:rFonts w:hint="eastAsia"/>
          <w:color w:val="auto"/>
          <w:highlight w:val="none"/>
        </w:rPr>
        <w:t>提供相应的审计咨询服务，包括流程与材料的规范整理。</w:t>
      </w:r>
    </w:p>
    <w:p>
      <w:pPr>
        <w:spacing w:line="460" w:lineRule="exact"/>
        <w:ind w:firstLine="541" w:firstLineChars="245"/>
        <w:outlineLvl w:val="2"/>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三、第三方检测</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1、设备进场检测</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1）摄像机检测：数字摄像机的水平中心分辨力、低照度功能、环境适应温度和防护等级等相关参数。</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2）补光灯检测：防护等级应满足建设需求；显色指数和光通量满足相应要求。</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2、系统功能检查</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1）视频监控系统的图像监视、控制、存储、备份及回放功能、联网管理功能、设备管理功能、指挥调度功能、视频诊断功能及其他扩展功能等。</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2）卡口的图像采集功能、识别功能、车辆记录查询功能、布控功能及远程维护功能等。</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3）跨区域联网功能。</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3、运行监测功能检查</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1）区域内运行检测系统的设备状态、运行环境、供电状态监测和远程控制；联网平台服务器、存储设备运行状态的监测；数据审计功能；录像状态和完整性监测；系统具有维护管理系统、联网运行监测等功能。</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2）联网运行监测系统的数据同步监测；服务器状态、CPU、内存、硬盘和主要程序的运行状态监测；级联功能和故障告警等功能。</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4、前端摄像机检测</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系统多画面图像主观评价和系统单画面图像主观评价、图像水平清晰度、亮度鉴别等级、清晰度。</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5、安装工艺、坐标、编码检测</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1）安装工艺：现场机箱中应能放置光端机、电源等设备，采取底部进线、机箱接线应整齐，机箱和立杆统一接地。</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2）坐标：确定前端点位安装的实际位置是否与平台显示的名称相对应。</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3）编码：检查后台编码是否符合相应标准规定的要求。</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6、补光灯检测</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主要测试现场补光灯色温、波长、光照度、显色指数、光色品质、光谱图、色容差及现场真实光照情况。</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7、接地电阻检测</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主要对前端有立杆的点位进行接地电阻的检测，道路照明配电系统中，采用TN或TT系统接零和接地保护，PE线与灯杆、配电箱等金属设备连接成网。</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8、计算机网络系统检测</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前端的摄像机与后台交换机之间传输线路的丢包、时延和吞吐率的测试，测试光纤衰减、长度、连通性。</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9、机房检测</w:t>
      </w:r>
    </w:p>
    <w:p>
      <w:pPr>
        <w:spacing w:line="460" w:lineRule="exact"/>
        <w:ind w:firstLine="539" w:firstLineChars="245"/>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机房的供电、接地电阻、环境要求、地面施工及吊顶检测。</w:t>
      </w:r>
    </w:p>
    <w:p>
      <w:pPr>
        <w:rPr>
          <w:rFonts w:hint="eastAsia"/>
          <w:color w:val="auto"/>
          <w:highlight w:val="none"/>
        </w:rPr>
      </w:pPr>
    </w:p>
    <w:p>
      <w:pPr>
        <w:pStyle w:val="25"/>
        <w:ind w:left="0" w:leftChars="0"/>
        <w:rPr>
          <w:rFonts w:hint="eastAsia" w:ascii="新宋体" w:hAnsi="新宋体" w:eastAsia="新宋体" w:cs="新宋体"/>
          <w:b/>
          <w:bCs/>
          <w:color w:val="auto"/>
          <w:sz w:val="22"/>
          <w:szCs w:val="22"/>
          <w:highlight w:val="none"/>
        </w:rPr>
      </w:pPr>
    </w:p>
    <w:p>
      <w:pPr>
        <w:pStyle w:val="25"/>
        <w:ind w:left="0" w:leftChars="0"/>
        <w:rPr>
          <w:rFonts w:hint="eastAsia" w:ascii="新宋体" w:hAnsi="新宋体" w:eastAsia="新宋体" w:cs="新宋体"/>
          <w:b/>
          <w:bCs/>
          <w:color w:val="auto"/>
          <w:sz w:val="22"/>
          <w:szCs w:val="22"/>
          <w:highlight w:val="none"/>
        </w:rPr>
      </w:pPr>
    </w:p>
    <w:p>
      <w:pPr>
        <w:pStyle w:val="25"/>
        <w:ind w:left="0" w:leftChars="0"/>
        <w:rPr>
          <w:rFonts w:hint="eastAsia" w:ascii="新宋体" w:hAnsi="新宋体" w:eastAsia="新宋体" w:cs="新宋体"/>
          <w:b/>
          <w:bCs/>
          <w:color w:val="auto"/>
          <w:sz w:val="22"/>
          <w:szCs w:val="22"/>
          <w:highlight w:val="none"/>
        </w:rPr>
      </w:pPr>
    </w:p>
    <w:p>
      <w:pPr>
        <w:pStyle w:val="25"/>
        <w:ind w:left="0" w:leftChars="0"/>
        <w:rPr>
          <w:rFonts w:hint="eastAsia" w:ascii="新宋体" w:hAnsi="新宋体" w:eastAsia="新宋体" w:cs="新宋体"/>
          <w:b/>
          <w:bCs/>
          <w:color w:val="auto"/>
          <w:sz w:val="22"/>
          <w:szCs w:val="22"/>
          <w:highlight w:val="none"/>
        </w:rPr>
      </w:pPr>
    </w:p>
    <w:p>
      <w:pPr>
        <w:pStyle w:val="25"/>
        <w:ind w:left="0" w:leftChars="0"/>
        <w:rPr>
          <w:rFonts w:hint="eastAsia" w:ascii="新宋体" w:hAnsi="新宋体" w:eastAsia="新宋体" w:cs="新宋体"/>
          <w:b/>
          <w:bCs/>
          <w:color w:val="auto"/>
          <w:sz w:val="22"/>
          <w:szCs w:val="22"/>
          <w:highlight w:val="none"/>
        </w:rPr>
      </w:pPr>
    </w:p>
    <w:p>
      <w:pPr>
        <w:pStyle w:val="25"/>
        <w:ind w:left="0" w:leftChars="0"/>
        <w:rPr>
          <w:rFonts w:hint="eastAsia" w:ascii="新宋体" w:hAnsi="新宋体" w:eastAsia="新宋体" w:cs="新宋体"/>
          <w:b/>
          <w:bCs/>
          <w:color w:val="auto"/>
          <w:sz w:val="22"/>
          <w:szCs w:val="22"/>
          <w:highlight w:val="none"/>
        </w:rPr>
      </w:pPr>
    </w:p>
    <w:p>
      <w:pPr>
        <w:pStyle w:val="25"/>
        <w:ind w:left="0" w:leftChars="0"/>
        <w:rPr>
          <w:rFonts w:hint="eastAsia" w:ascii="新宋体" w:hAnsi="新宋体" w:eastAsia="新宋体" w:cs="新宋体"/>
          <w:b/>
          <w:bCs/>
          <w:color w:val="auto"/>
          <w:sz w:val="22"/>
          <w:szCs w:val="22"/>
          <w:highlight w:val="none"/>
        </w:rPr>
      </w:pPr>
    </w:p>
    <w:p>
      <w:pPr>
        <w:pStyle w:val="25"/>
        <w:ind w:left="0" w:leftChars="0"/>
        <w:rPr>
          <w:rFonts w:hint="eastAsia" w:ascii="新宋体" w:hAnsi="新宋体" w:eastAsia="新宋体" w:cs="新宋体"/>
          <w:b/>
          <w:bCs/>
          <w:color w:val="auto"/>
          <w:sz w:val="22"/>
          <w:szCs w:val="22"/>
          <w:highlight w:val="none"/>
        </w:rPr>
      </w:pPr>
    </w:p>
    <w:p>
      <w:pPr>
        <w:pStyle w:val="25"/>
        <w:ind w:left="0" w:leftChars="0"/>
        <w:rPr>
          <w:rFonts w:hint="eastAsia" w:ascii="新宋体" w:hAnsi="新宋体" w:eastAsia="新宋体" w:cs="新宋体"/>
          <w:b/>
          <w:bCs/>
          <w:color w:val="auto"/>
          <w:sz w:val="22"/>
          <w:szCs w:val="22"/>
          <w:highlight w:val="none"/>
        </w:rPr>
      </w:pPr>
    </w:p>
    <w:p>
      <w:pPr>
        <w:pStyle w:val="25"/>
        <w:ind w:left="0" w:leftChars="0"/>
        <w:rPr>
          <w:rFonts w:ascii="新宋体" w:hAnsi="新宋体" w:eastAsia="新宋体" w:cs="新宋体"/>
          <w:b/>
          <w:bCs/>
          <w:color w:val="auto"/>
          <w:sz w:val="22"/>
          <w:szCs w:val="22"/>
          <w:highlight w:val="none"/>
        </w:rPr>
      </w:pPr>
    </w:p>
    <w:p>
      <w:pPr>
        <w:pStyle w:val="25"/>
        <w:ind w:left="0" w:leftChars="0"/>
        <w:rPr>
          <w:rFonts w:hint="eastAsia" w:ascii="新宋体" w:hAnsi="新宋体" w:eastAsia="新宋体" w:cs="新宋体"/>
          <w:b/>
          <w:bCs/>
          <w:color w:val="auto"/>
          <w:sz w:val="22"/>
          <w:szCs w:val="22"/>
          <w:highlight w:val="none"/>
        </w:rPr>
      </w:pPr>
    </w:p>
    <w:p>
      <w:pPr>
        <w:pStyle w:val="25"/>
        <w:ind w:left="0" w:leftChars="0"/>
        <w:rPr>
          <w:rFonts w:hint="eastAsia" w:ascii="新宋体" w:hAnsi="新宋体" w:eastAsia="新宋体" w:cs="新宋体"/>
          <w:b/>
          <w:bCs/>
          <w:color w:val="auto"/>
          <w:sz w:val="22"/>
          <w:szCs w:val="22"/>
          <w:highlight w:val="none"/>
        </w:rPr>
      </w:pPr>
    </w:p>
    <w:p>
      <w:pPr>
        <w:pStyle w:val="25"/>
        <w:ind w:left="0" w:leftChars="0"/>
        <w:rPr>
          <w:rFonts w:hint="eastAsia" w:ascii="新宋体" w:hAnsi="新宋体" w:eastAsia="新宋体" w:cs="新宋体"/>
          <w:b/>
          <w:bCs/>
          <w:color w:val="auto"/>
          <w:sz w:val="22"/>
          <w:szCs w:val="22"/>
          <w:highlight w:val="none"/>
        </w:rPr>
      </w:pPr>
    </w:p>
    <w:p>
      <w:pPr>
        <w:pStyle w:val="25"/>
        <w:ind w:left="0" w:leftChars="0"/>
        <w:rPr>
          <w:rFonts w:hint="eastAsia" w:ascii="新宋体" w:hAnsi="新宋体" w:eastAsia="新宋体" w:cs="新宋体"/>
          <w:b/>
          <w:bCs/>
          <w:color w:val="auto"/>
          <w:sz w:val="22"/>
          <w:szCs w:val="22"/>
          <w:highlight w:val="none"/>
        </w:rPr>
      </w:pPr>
    </w:p>
    <w:p>
      <w:pPr>
        <w:pStyle w:val="23"/>
        <w:spacing w:line="460" w:lineRule="exact"/>
        <w:ind w:left="430" w:leftChars="205" w:firstLine="0" w:firstLineChars="0"/>
        <w:jc w:val="center"/>
        <w:outlineLvl w:val="0"/>
        <w:rPr>
          <w:rFonts w:hint="eastAsia" w:ascii="新宋体" w:hAnsi="新宋体" w:eastAsia="新宋体" w:cs="新宋体"/>
          <w:b/>
          <w:color w:val="auto"/>
          <w:sz w:val="30"/>
          <w:highlight w:val="none"/>
        </w:rPr>
      </w:pPr>
      <w:r>
        <w:rPr>
          <w:rFonts w:hint="eastAsia" w:ascii="新宋体" w:hAnsi="新宋体" w:eastAsia="新宋体" w:cs="新宋体"/>
          <w:b/>
          <w:color w:val="auto"/>
          <w:sz w:val="30"/>
          <w:highlight w:val="none"/>
        </w:rPr>
        <w:t>第五部分   评标原则及方法</w:t>
      </w:r>
    </w:p>
    <w:p>
      <w:pPr>
        <w:spacing w:line="460" w:lineRule="exact"/>
        <w:ind w:firstLine="541" w:firstLineChars="24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highlight w:val="none"/>
        </w:rPr>
        <w:t>按照《中华人民共和国政府采购法》、《政府采购货物和服务招标投标管理办法》、《中华人民共和国政府采购法实施条例》和《关于进一步规范政府采购活动的若干意见》等相关法规特制定以下评标办法</w:t>
      </w:r>
      <w:r>
        <w:rPr>
          <w:rFonts w:hint="eastAsia" w:ascii="新宋体" w:hAnsi="新宋体" w:eastAsia="新宋体" w:cs="新宋体"/>
          <w:b/>
          <w:color w:val="auto"/>
          <w:sz w:val="22"/>
          <w:szCs w:val="22"/>
          <w:highlight w:val="none"/>
        </w:rPr>
        <w:t>。</w:t>
      </w:r>
    </w:p>
    <w:p>
      <w:pPr>
        <w:spacing w:line="460" w:lineRule="exact"/>
        <w:ind w:firstLine="541" w:firstLineChars="245"/>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一、总 则</w:t>
      </w:r>
    </w:p>
    <w:p>
      <w:pPr>
        <w:spacing w:line="460" w:lineRule="exact"/>
        <w:ind w:firstLine="539" w:firstLineChars="245"/>
        <w:rPr>
          <w:rFonts w:hint="eastAsia" w:ascii="新宋体" w:hAnsi="新宋体" w:eastAsia="新宋体" w:cs="新宋体"/>
          <w:b/>
          <w:color w:val="auto"/>
          <w:sz w:val="22"/>
          <w:highlight w:val="none"/>
        </w:rPr>
      </w:pPr>
      <w:r>
        <w:rPr>
          <w:rFonts w:hint="eastAsia" w:ascii="新宋体" w:hAnsi="新宋体" w:eastAsia="新宋体" w:cs="新宋体"/>
          <w:color w:val="auto"/>
          <w:sz w:val="22"/>
          <w:szCs w:val="22"/>
          <w:highlight w:val="none"/>
        </w:rPr>
        <w:t>评标工作遵循公平、公正、科学、择优原则和诚实、信誉、效率的服务原则。本着科学、严谨的态度，认真进行评标。择优选用，推进技术进步，确保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pPr>
        <w:spacing w:line="460" w:lineRule="exact"/>
        <w:ind w:firstLine="541" w:firstLineChars="245"/>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二、</w:t>
      </w:r>
      <w:r>
        <w:rPr>
          <w:rFonts w:hint="eastAsia" w:ascii="新宋体" w:hAnsi="新宋体" w:eastAsia="新宋体" w:cs="新宋体"/>
          <w:b/>
          <w:bCs/>
          <w:color w:val="auto"/>
          <w:sz w:val="22"/>
          <w:szCs w:val="22"/>
          <w:highlight w:val="none"/>
        </w:rPr>
        <w:t>评标</w:t>
      </w:r>
      <w:r>
        <w:rPr>
          <w:rFonts w:hint="eastAsia" w:ascii="新宋体" w:hAnsi="新宋体" w:eastAsia="新宋体" w:cs="新宋体"/>
          <w:b/>
          <w:color w:val="auto"/>
          <w:sz w:val="22"/>
          <w:szCs w:val="22"/>
          <w:highlight w:val="none"/>
        </w:rPr>
        <w:t>组织</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评标工作由招标人组建的评标委员会负责，评标全过程由有关部门指导监督。</w:t>
      </w:r>
    </w:p>
    <w:p>
      <w:pPr>
        <w:spacing w:line="460" w:lineRule="exact"/>
        <w:ind w:firstLine="541" w:firstLineChars="245"/>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三、</w:t>
      </w:r>
      <w:r>
        <w:rPr>
          <w:rFonts w:hint="eastAsia" w:ascii="新宋体" w:hAnsi="新宋体" w:eastAsia="新宋体" w:cs="新宋体"/>
          <w:b/>
          <w:bCs/>
          <w:color w:val="auto"/>
          <w:sz w:val="22"/>
          <w:szCs w:val="22"/>
          <w:highlight w:val="none"/>
        </w:rPr>
        <w:t>评标</w:t>
      </w:r>
      <w:r>
        <w:rPr>
          <w:rFonts w:hint="eastAsia" w:ascii="新宋体" w:hAnsi="新宋体" w:eastAsia="新宋体" w:cs="新宋体"/>
          <w:b/>
          <w:color w:val="auto"/>
          <w:sz w:val="22"/>
          <w:szCs w:val="22"/>
          <w:highlight w:val="none"/>
        </w:rPr>
        <w:t>程序</w:t>
      </w:r>
    </w:p>
    <w:p>
      <w:pPr>
        <w:spacing w:line="460" w:lineRule="exact"/>
        <w:ind w:firstLine="539" w:firstLineChars="245"/>
        <w:rPr>
          <w:rFonts w:ascii="新宋体" w:hAnsi="新宋体" w:eastAsia="新宋体"/>
          <w:color w:val="auto"/>
          <w:sz w:val="22"/>
          <w:szCs w:val="22"/>
          <w:highlight w:val="none"/>
        </w:rPr>
      </w:pPr>
      <w:r>
        <w:rPr>
          <w:rFonts w:hint="eastAsia" w:ascii="新宋体" w:hAnsi="新宋体" w:eastAsia="新宋体"/>
          <w:bCs/>
          <w:color w:val="auto"/>
          <w:sz w:val="22"/>
          <w:szCs w:val="22"/>
          <w:highlight w:val="none"/>
        </w:rPr>
        <w:t>1、评标委员按照招标文件中规定的评标方法和标准，对投标文件进行商务和技术评估，综合比较与评价</w:t>
      </w:r>
      <w:r>
        <w:rPr>
          <w:rFonts w:hint="eastAsia" w:ascii="新宋体" w:hAnsi="新宋体" w:eastAsia="新宋体"/>
          <w:color w:val="auto"/>
          <w:sz w:val="22"/>
          <w:szCs w:val="22"/>
          <w:highlight w:val="none"/>
        </w:rPr>
        <w:t>，根据综合评审结果，提交评审报告。</w:t>
      </w:r>
    </w:p>
    <w:p>
      <w:pPr>
        <w:spacing w:line="460" w:lineRule="exact"/>
        <w:ind w:firstLine="541" w:firstLineChars="245"/>
        <w:rPr>
          <w:rFonts w:ascii="新宋体" w:hAnsi="新宋体" w:eastAsia="新宋体"/>
          <w:b/>
          <w:bCs/>
          <w:color w:val="auto"/>
          <w:sz w:val="22"/>
          <w:szCs w:val="22"/>
          <w:highlight w:val="none"/>
          <w:u w:val="single"/>
        </w:rPr>
      </w:pPr>
      <w:r>
        <w:rPr>
          <w:rFonts w:hint="eastAsia" w:ascii="新宋体" w:hAnsi="新宋体" w:eastAsia="新宋体"/>
          <w:b/>
          <w:bCs/>
          <w:color w:val="auto"/>
          <w:sz w:val="22"/>
          <w:szCs w:val="22"/>
          <w:highlight w:val="none"/>
          <w:u w:val="single"/>
        </w:rPr>
        <w:t>2、标段一、二提供相同品牌产品且通过资格审查、符合性审查的不同投标人参加同一合同项下投标的,按一家投标人计算,评审后综合得分最高的同品牌投标人获得中标人推荐资格；综合得分相同的,报价最低一家供应商获得中标人推荐资格；均相同时采取随机抽取方式确认一个投标人获得中标人推荐资格,其他同品牌投标人不作为中标候选人。</w:t>
      </w:r>
    </w:p>
    <w:p>
      <w:pPr>
        <w:spacing w:line="460" w:lineRule="exact"/>
        <w:ind w:firstLine="541" w:firstLineChars="245"/>
        <w:rPr>
          <w:rFonts w:hint="eastAsia" w:ascii="新宋体" w:hAnsi="新宋体" w:eastAsia="新宋体"/>
          <w:color w:val="auto"/>
          <w:sz w:val="22"/>
          <w:szCs w:val="22"/>
          <w:highlight w:val="none"/>
        </w:rPr>
      </w:pPr>
      <w:r>
        <w:rPr>
          <w:rFonts w:hint="eastAsia" w:ascii="新宋体" w:hAnsi="新宋体" w:eastAsia="新宋体"/>
          <w:b/>
          <w:bCs/>
          <w:color w:val="auto"/>
          <w:sz w:val="22"/>
          <w:szCs w:val="22"/>
          <w:highlight w:val="none"/>
          <w:u w:val="single"/>
        </w:rPr>
        <w:t>非单一产品采购项目，应当根据采购项目技术构成、产品价格比重等合理确定核心产品。多家投标人提供的核心产品品牌相同的，按前款规定处理。</w:t>
      </w:r>
    </w:p>
    <w:p>
      <w:pPr>
        <w:spacing w:line="460" w:lineRule="exact"/>
        <w:ind w:firstLine="541" w:firstLineChars="245"/>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四、评标办法</w:t>
      </w:r>
    </w:p>
    <w:p>
      <w:pPr>
        <w:spacing w:line="460" w:lineRule="exact"/>
        <w:ind w:firstLine="539" w:firstLineChars="245"/>
        <w:rPr>
          <w:rFonts w:hint="eastAsia"/>
          <w:color w:val="auto"/>
          <w:highlight w:val="none"/>
        </w:rPr>
      </w:pPr>
      <w:r>
        <w:rPr>
          <w:rFonts w:hint="eastAsia" w:ascii="新宋体" w:hAnsi="新宋体" w:eastAsia="新宋体" w:cs="新宋体"/>
          <w:color w:val="auto"/>
          <w:sz w:val="22"/>
          <w:szCs w:val="22"/>
          <w:highlight w:val="none"/>
        </w:rPr>
        <w:t>本次采购采用百分制综合评分法，即投标人最大限度地满足招标文件实质性要求的基础上，按照招标文件的各项因素进行综合评审后，按评审后得分（即商务技术分与报价分之和）由高到低顺序排序，确定中标候选人的评标方法。根据采购要求，</w:t>
      </w:r>
      <w:r>
        <w:rPr>
          <w:rFonts w:hint="eastAsia" w:ascii="新宋体" w:hAnsi="新宋体" w:eastAsia="新宋体"/>
          <w:b/>
          <w:color w:val="auto"/>
          <w:sz w:val="22"/>
          <w:szCs w:val="22"/>
          <w:highlight w:val="none"/>
        </w:rPr>
        <w:t>总分设定为100分</w:t>
      </w:r>
    </w:p>
    <w:p>
      <w:pPr>
        <w:spacing w:line="460" w:lineRule="exact"/>
        <w:ind w:firstLine="541" w:firstLineChars="245"/>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五、各标段</w:t>
      </w:r>
      <w:r>
        <w:rPr>
          <w:rFonts w:hint="eastAsia" w:ascii="新宋体" w:hAnsi="新宋体" w:eastAsia="新宋体" w:cs="新宋体"/>
          <w:b/>
          <w:bCs/>
          <w:color w:val="auto"/>
          <w:sz w:val="22"/>
          <w:szCs w:val="22"/>
          <w:highlight w:val="none"/>
        </w:rPr>
        <w:t>评分</w:t>
      </w:r>
      <w:r>
        <w:rPr>
          <w:rFonts w:hint="eastAsia" w:ascii="新宋体" w:hAnsi="新宋体" w:eastAsia="新宋体" w:cs="新宋体"/>
          <w:b/>
          <w:color w:val="auto"/>
          <w:sz w:val="22"/>
          <w:szCs w:val="22"/>
          <w:highlight w:val="none"/>
        </w:rPr>
        <w:t>细则</w:t>
      </w:r>
    </w:p>
    <w:p>
      <w:pPr>
        <w:spacing w:line="460" w:lineRule="exact"/>
        <w:ind w:firstLine="541" w:firstLineChars="245"/>
        <w:jc w:val="center"/>
        <w:outlineLvl w:val="2"/>
        <w:rPr>
          <w:rFonts w:hint="eastAsia" w:ascii="新宋体" w:hAnsi="新宋体" w:eastAsia="新宋体"/>
          <w:b/>
          <w:bCs/>
          <w:color w:val="auto"/>
          <w:sz w:val="22"/>
          <w:szCs w:val="22"/>
          <w:highlight w:val="none"/>
        </w:rPr>
      </w:pPr>
      <w:r>
        <w:rPr>
          <w:rFonts w:hint="eastAsia" w:ascii="新宋体" w:hAnsi="新宋体" w:eastAsia="新宋体"/>
          <w:b/>
          <w:bCs/>
          <w:color w:val="auto"/>
          <w:sz w:val="22"/>
          <w:highlight w:val="none"/>
        </w:rPr>
        <w:t>标段一：瓯江口雪亮工程建设项目-公安监控建设</w:t>
      </w:r>
    </w:p>
    <w:p>
      <w:pPr>
        <w:spacing w:line="460" w:lineRule="exact"/>
        <w:ind w:firstLine="541" w:firstLineChars="245"/>
        <w:rPr>
          <w:rFonts w:hint="eastAsia" w:ascii="新宋体" w:hAnsi="新宋体" w:eastAsia="新宋体"/>
          <w:b/>
          <w:color w:val="auto"/>
          <w:sz w:val="22"/>
          <w:szCs w:val="22"/>
          <w:highlight w:val="none"/>
        </w:rPr>
      </w:pPr>
      <w:r>
        <w:rPr>
          <w:rFonts w:hint="eastAsia" w:ascii="新宋体" w:hAnsi="新宋体" w:eastAsia="新宋体"/>
          <w:b/>
          <w:color w:val="auto"/>
          <w:sz w:val="22"/>
          <w:szCs w:val="22"/>
          <w:highlight w:val="none"/>
        </w:rPr>
        <w:t>1、技术分的评定：技术标70分（权值70%）</w:t>
      </w:r>
    </w:p>
    <w:p>
      <w:pPr>
        <w:spacing w:line="46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各评委成员按下列评分项目进行评判，每人一张评分计算票，并记名。投标文件各项评分内容由评标委员会成员各自评分，如某张票的一个因素项目超过规定的范围，则该张票无效。</w:t>
      </w:r>
      <w:r>
        <w:rPr>
          <w:rFonts w:hint="eastAsia" w:ascii="新宋体" w:hAnsi="新宋体" w:eastAsia="新宋体"/>
          <w:color w:val="auto"/>
          <w:sz w:val="22"/>
          <w:highlight w:val="none"/>
        </w:rPr>
        <w:t>各评标委员会成员对各投标人的各项评分内容评分的算术平均值为各投标人技术分得分</w:t>
      </w:r>
      <w:r>
        <w:rPr>
          <w:rFonts w:hint="eastAsia" w:ascii="新宋体" w:hAnsi="新宋体" w:eastAsia="新宋体"/>
          <w:color w:val="auto"/>
          <w:sz w:val="22"/>
          <w:szCs w:val="22"/>
          <w:highlight w:val="none"/>
        </w:rPr>
        <w:t>（小数点后按四舍五入保留2位）。</w:t>
      </w:r>
    </w:p>
    <w:tbl>
      <w:tblPr>
        <w:tblStyle w:val="52"/>
        <w:tblW w:w="9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120"/>
        <w:gridCol w:w="760"/>
        <w:gridCol w:w="6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序号</w:t>
            </w:r>
          </w:p>
        </w:tc>
        <w:tc>
          <w:tcPr>
            <w:tcW w:w="112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项目</w:t>
            </w:r>
          </w:p>
        </w:tc>
        <w:tc>
          <w:tcPr>
            <w:tcW w:w="7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分值</w:t>
            </w:r>
          </w:p>
        </w:tc>
        <w:tc>
          <w:tcPr>
            <w:tcW w:w="6876"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Merge w:val="restart"/>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1120" w:type="dxa"/>
            <w:vMerge w:val="restart"/>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投标人情况</w:t>
            </w:r>
          </w:p>
        </w:tc>
        <w:tc>
          <w:tcPr>
            <w:tcW w:w="7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2分</w:t>
            </w:r>
          </w:p>
        </w:tc>
        <w:tc>
          <w:tcPr>
            <w:tcW w:w="6876" w:type="dxa"/>
            <w:noWrap w:val="0"/>
            <w:vAlign w:val="center"/>
          </w:tcPr>
          <w:p>
            <w:pPr>
              <w:widowControl/>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根据投标人的综合实力，如企业资信、荣誉等，酌情打分，得2-0分；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Merge w:val="continue"/>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p>
        </w:tc>
        <w:tc>
          <w:tcPr>
            <w:tcW w:w="1120" w:type="dxa"/>
            <w:vMerge w:val="continue"/>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p>
        </w:tc>
        <w:tc>
          <w:tcPr>
            <w:tcW w:w="7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2分</w:t>
            </w:r>
          </w:p>
        </w:tc>
        <w:tc>
          <w:tcPr>
            <w:tcW w:w="6876" w:type="dxa"/>
            <w:noWrap w:val="0"/>
            <w:vAlign w:val="center"/>
          </w:tcPr>
          <w:p>
            <w:pPr>
              <w:widowControl/>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lang w:bidi="ar"/>
              </w:rPr>
              <w:t>具有信息安全管理体ISO/IEC27001:2013认证（认证范围包括：为主机托管、带宽租赁、云计算服务）得2分，提供相关证书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Merge w:val="continue"/>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p>
        </w:tc>
        <w:tc>
          <w:tcPr>
            <w:tcW w:w="1120" w:type="dxa"/>
            <w:vMerge w:val="continue"/>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p>
        </w:tc>
        <w:tc>
          <w:tcPr>
            <w:tcW w:w="7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2分</w:t>
            </w:r>
          </w:p>
        </w:tc>
        <w:tc>
          <w:tcPr>
            <w:tcW w:w="6876" w:type="dxa"/>
            <w:noWrap w:val="0"/>
            <w:vAlign w:val="center"/>
          </w:tcPr>
          <w:p>
            <w:pPr>
              <w:widowControl/>
              <w:spacing w:line="460" w:lineRule="exact"/>
              <w:rPr>
                <w:rFonts w:hint="eastAsia" w:ascii="新宋体" w:hAnsi="新宋体" w:eastAsia="新宋体" w:cs="新宋体"/>
                <w:color w:val="auto"/>
                <w:kern w:val="0"/>
                <w:sz w:val="22"/>
                <w:szCs w:val="22"/>
                <w:highlight w:val="none"/>
                <w:lang w:bidi="ar"/>
              </w:rPr>
            </w:pPr>
            <w:r>
              <w:rPr>
                <w:rFonts w:hint="eastAsia" w:ascii="新宋体" w:hAnsi="新宋体" w:eastAsia="新宋体" w:cs="新宋体"/>
                <w:color w:val="auto"/>
                <w:kern w:val="0"/>
                <w:sz w:val="22"/>
                <w:szCs w:val="22"/>
                <w:highlight w:val="none"/>
                <w:lang w:bidi="ar"/>
              </w:rPr>
              <w:t>数据中心云平台机房且已通过国家信息安全等级保护3级及以上测评得2分，提供相关证书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Merge w:val="continue"/>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p>
        </w:tc>
        <w:tc>
          <w:tcPr>
            <w:tcW w:w="1120" w:type="dxa"/>
            <w:vMerge w:val="continue"/>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p>
        </w:tc>
        <w:tc>
          <w:tcPr>
            <w:tcW w:w="7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2分</w:t>
            </w:r>
          </w:p>
        </w:tc>
        <w:tc>
          <w:tcPr>
            <w:tcW w:w="6876" w:type="dxa"/>
            <w:noWrap w:val="0"/>
            <w:vAlign w:val="center"/>
          </w:tcPr>
          <w:p>
            <w:pPr>
              <w:widowControl/>
              <w:spacing w:line="460" w:lineRule="exact"/>
              <w:rPr>
                <w:rFonts w:hint="eastAsia" w:ascii="新宋体" w:hAnsi="新宋体" w:eastAsia="新宋体" w:cs="新宋体"/>
                <w:color w:val="auto"/>
                <w:kern w:val="0"/>
                <w:sz w:val="22"/>
                <w:szCs w:val="22"/>
                <w:highlight w:val="none"/>
                <w:lang w:bidi="ar"/>
              </w:rPr>
            </w:pPr>
            <w:r>
              <w:rPr>
                <w:rFonts w:hint="eastAsia" w:ascii="新宋体" w:hAnsi="新宋体" w:eastAsia="新宋体" w:cs="新宋体"/>
                <w:color w:val="auto"/>
                <w:kern w:val="0"/>
                <w:sz w:val="22"/>
                <w:szCs w:val="22"/>
                <w:highlight w:val="none"/>
                <w:lang w:bidi="ar"/>
              </w:rPr>
              <w:t>具备独立的政务云或私有云平台运营能力，得2分，采用第三方资源得1分。提供相关证明材料。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112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设备配置选型情况</w:t>
            </w:r>
          </w:p>
        </w:tc>
        <w:tc>
          <w:tcPr>
            <w:tcW w:w="7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15分</w:t>
            </w:r>
          </w:p>
        </w:tc>
        <w:tc>
          <w:tcPr>
            <w:tcW w:w="6876" w:type="dxa"/>
            <w:noWrap w:val="0"/>
            <w:vAlign w:val="center"/>
          </w:tcPr>
          <w:p>
            <w:pPr>
              <w:widowControl/>
              <w:spacing w:line="460" w:lineRule="exact"/>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根据所投产品技术指标与招标文件要求的响应程度，综合评分，其中满足招标文件要求的得</w:t>
            </w:r>
            <w:r>
              <w:rPr>
                <w:rFonts w:hint="eastAsia" w:ascii="新宋体" w:hAnsi="新宋体" w:eastAsia="新宋体" w:cs="新宋体"/>
                <w:color w:val="auto"/>
                <w:sz w:val="22"/>
                <w:szCs w:val="22"/>
                <w:highlight w:val="none"/>
                <w:lang w:val="en-US" w:eastAsia="zh-CN"/>
              </w:rPr>
              <w:t>10</w:t>
            </w:r>
            <w:r>
              <w:rPr>
                <w:rFonts w:hint="eastAsia" w:ascii="新宋体" w:hAnsi="新宋体" w:eastAsia="新宋体" w:cs="新宋体"/>
                <w:color w:val="auto"/>
                <w:sz w:val="22"/>
                <w:szCs w:val="22"/>
                <w:highlight w:val="none"/>
              </w:rPr>
              <w:t>分；</w:t>
            </w:r>
          </w:p>
          <w:p>
            <w:pPr>
              <w:widowControl/>
              <w:spacing w:line="460" w:lineRule="exact"/>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重点指标</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标★</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优于招标文件的每项加0.5分，</w:t>
            </w:r>
            <w:r>
              <w:rPr>
                <w:rFonts w:hint="eastAsia" w:ascii="新宋体" w:hAnsi="新宋体" w:eastAsia="新宋体" w:cs="新宋体"/>
                <w:color w:val="auto"/>
                <w:sz w:val="22"/>
                <w:szCs w:val="22"/>
                <w:highlight w:val="none"/>
                <w:lang w:val="en-US" w:eastAsia="zh-CN"/>
              </w:rPr>
              <w:t>最多加5</w:t>
            </w:r>
            <w:r>
              <w:rPr>
                <w:rFonts w:hint="eastAsia" w:ascii="新宋体" w:hAnsi="新宋体" w:eastAsia="新宋体" w:cs="新宋体"/>
                <w:color w:val="auto"/>
                <w:sz w:val="22"/>
                <w:szCs w:val="22"/>
                <w:highlight w:val="none"/>
              </w:rPr>
              <w:t>分；</w:t>
            </w:r>
          </w:p>
          <w:p>
            <w:pPr>
              <w:widowControl/>
              <w:spacing w:line="460" w:lineRule="exact"/>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sz w:val="22"/>
                <w:szCs w:val="22"/>
                <w:highlight w:val="none"/>
              </w:rPr>
              <w:t>不满足招标参数的A档:</w:t>
            </w:r>
            <w:r>
              <w:rPr>
                <w:rFonts w:hint="eastAsia" w:ascii="新宋体" w:hAnsi="新宋体" w:eastAsia="新宋体" w:cs="新宋体"/>
                <w:color w:val="auto"/>
                <w:sz w:val="22"/>
                <w:szCs w:val="22"/>
                <w:highlight w:val="none"/>
                <w:lang w:val="en-US" w:eastAsia="zh-CN"/>
              </w:rPr>
              <w:t>8</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6</w:t>
            </w:r>
            <w:r>
              <w:rPr>
                <w:rFonts w:hint="eastAsia" w:ascii="新宋体" w:hAnsi="新宋体" w:eastAsia="新宋体" w:cs="新宋体"/>
                <w:color w:val="auto"/>
                <w:sz w:val="22"/>
                <w:szCs w:val="22"/>
                <w:highlight w:val="none"/>
              </w:rPr>
              <w:t>分；B档：</w:t>
            </w:r>
            <w:r>
              <w:rPr>
                <w:rFonts w:hint="eastAsia" w:ascii="新宋体" w:hAnsi="新宋体" w:eastAsia="新宋体" w:cs="新宋体"/>
                <w:color w:val="auto"/>
                <w:sz w:val="22"/>
                <w:szCs w:val="22"/>
                <w:highlight w:val="none"/>
                <w:lang w:val="en-US" w:eastAsia="zh-CN"/>
              </w:rPr>
              <w:t>5</w:t>
            </w:r>
            <w:r>
              <w:rPr>
                <w:rFonts w:hint="eastAsia" w:ascii="新宋体" w:hAnsi="新宋体" w:eastAsia="新宋体" w:cs="新宋体"/>
                <w:color w:val="auto"/>
                <w:sz w:val="22"/>
                <w:szCs w:val="22"/>
                <w:highlight w:val="none"/>
              </w:rPr>
              <w:t>.9-</w:t>
            </w: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rPr>
              <w:t>分 ；C档：</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.9-0分</w:t>
            </w:r>
            <w:r>
              <w:rPr>
                <w:rFonts w:hint="eastAsia" w:ascii="新宋体" w:hAnsi="新宋体" w:eastAsia="新宋体" w:cs="新宋体"/>
                <w:bCs/>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p>
        </w:tc>
        <w:tc>
          <w:tcPr>
            <w:tcW w:w="112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lang w:bidi="ar"/>
              </w:rPr>
              <w:t>投标产品情况</w:t>
            </w:r>
          </w:p>
        </w:tc>
        <w:tc>
          <w:tcPr>
            <w:tcW w:w="7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3分</w:t>
            </w:r>
          </w:p>
        </w:tc>
        <w:tc>
          <w:tcPr>
            <w:tcW w:w="6876" w:type="dxa"/>
            <w:noWrap w:val="0"/>
            <w:vAlign w:val="center"/>
          </w:tcPr>
          <w:p>
            <w:pPr>
              <w:widowControl/>
              <w:spacing w:line="460" w:lineRule="exact"/>
              <w:jc w:val="left"/>
              <w:textAlignment w:val="center"/>
              <w:rPr>
                <w:rFonts w:hint="eastAsia" w:ascii="新宋体" w:hAnsi="新宋体" w:eastAsia="新宋体" w:cs="新宋体"/>
                <w:color w:val="auto"/>
                <w:kern w:val="0"/>
                <w:sz w:val="22"/>
                <w:szCs w:val="22"/>
                <w:highlight w:val="none"/>
                <w:lang w:bidi="ar"/>
              </w:rPr>
            </w:pPr>
            <w:r>
              <w:rPr>
                <w:rFonts w:hint="eastAsia" w:ascii="新宋体" w:hAnsi="新宋体" w:eastAsia="新宋体" w:cs="新宋体"/>
                <w:color w:val="auto"/>
                <w:kern w:val="0"/>
                <w:sz w:val="22"/>
                <w:szCs w:val="22"/>
                <w:highlight w:val="none"/>
                <w:lang w:bidi="ar"/>
              </w:rPr>
              <w:t>根据投标设备的品牌形象、产品成熟度、用户美誉度、相关行业测评资料、获得的各种证书、其他特殊要求因素（如安全及环保等）</w:t>
            </w:r>
          </w:p>
          <w:p>
            <w:pPr>
              <w:widowControl/>
              <w:spacing w:line="460" w:lineRule="exact"/>
              <w:jc w:val="left"/>
              <w:textAlignment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A档:3-2分；B档：1.9-1分 ；C档：0.9-0分</w:t>
            </w:r>
            <w:r>
              <w:rPr>
                <w:rFonts w:hint="eastAsia" w:ascii="新宋体" w:hAnsi="新宋体" w:eastAsia="新宋体" w:cs="新宋体"/>
                <w:bCs/>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Merge w:val="restart"/>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p>
        </w:tc>
        <w:tc>
          <w:tcPr>
            <w:tcW w:w="1120" w:type="dxa"/>
            <w:vMerge w:val="restart"/>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技术方案</w:t>
            </w:r>
          </w:p>
        </w:tc>
        <w:tc>
          <w:tcPr>
            <w:tcW w:w="7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5分</w:t>
            </w:r>
          </w:p>
        </w:tc>
        <w:tc>
          <w:tcPr>
            <w:tcW w:w="6876" w:type="dxa"/>
            <w:noWrap w:val="0"/>
            <w:vAlign w:val="center"/>
          </w:tcPr>
          <w:p>
            <w:pPr>
              <w:widowControl/>
              <w:spacing w:line="460" w:lineRule="exact"/>
              <w:rPr>
                <w:rFonts w:hint="eastAsia" w:ascii="新宋体" w:hAnsi="新宋体" w:eastAsia="新宋体" w:cs="新宋体"/>
                <w:color w:val="auto"/>
                <w:kern w:val="0"/>
                <w:sz w:val="22"/>
                <w:szCs w:val="22"/>
                <w:highlight w:val="none"/>
                <w:lang w:bidi="ar"/>
              </w:rPr>
            </w:pPr>
            <w:r>
              <w:rPr>
                <w:rFonts w:hint="eastAsia" w:ascii="新宋体" w:hAnsi="新宋体" w:eastAsia="新宋体" w:cs="新宋体"/>
                <w:color w:val="auto"/>
                <w:kern w:val="0"/>
                <w:sz w:val="22"/>
                <w:szCs w:val="22"/>
                <w:highlight w:val="none"/>
                <w:lang w:bidi="ar"/>
              </w:rPr>
              <w:t>投标人对项目现状和需求的理解程度，并分析项目建设的重点与难点，根据项目整体方案的完备性、合理性进行综合评定打分</w:t>
            </w:r>
          </w:p>
          <w:p>
            <w:pPr>
              <w:widowControl/>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sz w:val="22"/>
                <w:szCs w:val="22"/>
                <w:highlight w:val="none"/>
              </w:rPr>
              <w:t>A档:5-4分；B档：3.9-2分 ；C档：1.9-0分</w:t>
            </w:r>
            <w:r>
              <w:rPr>
                <w:rFonts w:hint="eastAsia" w:ascii="新宋体" w:hAnsi="新宋体" w:eastAsia="新宋体" w:cs="新宋体"/>
                <w:bCs/>
                <w:color w:val="auto"/>
                <w:sz w:val="22"/>
                <w:szCs w:val="22"/>
                <w:highlight w:val="none"/>
              </w:rPr>
              <w:t>。</w:t>
            </w:r>
            <w:r>
              <w:rPr>
                <w:rFonts w:hint="eastAsia" w:ascii="新宋体" w:hAnsi="新宋体" w:eastAsia="新宋体" w:cs="新宋体"/>
                <w:color w:val="auto"/>
                <w:kern w:val="0"/>
                <w:sz w:val="22"/>
                <w:szCs w:val="22"/>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Merge w:val="continue"/>
            <w:noWrap w:val="0"/>
            <w:vAlign w:val="center"/>
          </w:tcPr>
          <w:p>
            <w:pPr>
              <w:widowControl/>
              <w:spacing w:line="460" w:lineRule="exact"/>
              <w:jc w:val="left"/>
              <w:rPr>
                <w:rFonts w:hint="eastAsia" w:ascii="新宋体" w:hAnsi="新宋体" w:eastAsia="新宋体" w:cs="新宋体"/>
                <w:color w:val="auto"/>
                <w:kern w:val="0"/>
                <w:sz w:val="22"/>
                <w:szCs w:val="22"/>
                <w:highlight w:val="none"/>
              </w:rPr>
            </w:pPr>
          </w:p>
        </w:tc>
        <w:tc>
          <w:tcPr>
            <w:tcW w:w="1120" w:type="dxa"/>
            <w:vMerge w:val="continue"/>
            <w:noWrap w:val="0"/>
            <w:vAlign w:val="center"/>
          </w:tcPr>
          <w:p>
            <w:pPr>
              <w:widowControl/>
              <w:spacing w:line="460" w:lineRule="exact"/>
              <w:jc w:val="left"/>
              <w:rPr>
                <w:rFonts w:hint="eastAsia" w:ascii="新宋体" w:hAnsi="新宋体" w:eastAsia="新宋体" w:cs="新宋体"/>
                <w:color w:val="auto"/>
                <w:kern w:val="0"/>
                <w:sz w:val="22"/>
                <w:szCs w:val="22"/>
                <w:highlight w:val="none"/>
              </w:rPr>
            </w:pPr>
          </w:p>
        </w:tc>
        <w:tc>
          <w:tcPr>
            <w:tcW w:w="7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8分</w:t>
            </w:r>
          </w:p>
        </w:tc>
        <w:tc>
          <w:tcPr>
            <w:tcW w:w="6876" w:type="dxa"/>
            <w:noWrap w:val="0"/>
            <w:vAlign w:val="center"/>
          </w:tcPr>
          <w:p>
            <w:pPr>
              <w:widowControl/>
              <w:spacing w:line="460" w:lineRule="exact"/>
              <w:rPr>
                <w:rStyle w:val="91"/>
                <w:rFonts w:hint="default" w:ascii="新宋体" w:hAnsi="新宋体" w:eastAsia="新宋体" w:cs="新宋体"/>
                <w:color w:val="auto"/>
                <w:sz w:val="22"/>
                <w:szCs w:val="22"/>
                <w:highlight w:val="none"/>
                <w:lang w:bidi="ar"/>
              </w:rPr>
            </w:pPr>
            <w:r>
              <w:rPr>
                <w:rFonts w:hint="eastAsia" w:ascii="新宋体" w:hAnsi="新宋体" w:eastAsia="新宋体" w:cs="新宋体"/>
                <w:color w:val="auto"/>
                <w:kern w:val="0"/>
                <w:sz w:val="22"/>
                <w:szCs w:val="22"/>
                <w:highlight w:val="none"/>
                <w:lang w:bidi="ar"/>
              </w:rPr>
              <w:t>针对项目所设计详细设计方案，包含系统理解、架构设计、技术路线、</w:t>
            </w:r>
            <w:r>
              <w:rPr>
                <w:rStyle w:val="91"/>
                <w:rFonts w:hint="default" w:ascii="新宋体" w:hAnsi="新宋体" w:eastAsia="新宋体" w:cs="新宋体"/>
                <w:color w:val="auto"/>
                <w:sz w:val="22"/>
                <w:szCs w:val="22"/>
                <w:highlight w:val="none"/>
                <w:lang w:bidi="ar"/>
              </w:rPr>
              <w:t>现场勘察设计、与温州市本级系统兼容情况等，按照投标人详细设计方案的架构合理性、先进性、技术可靠性</w:t>
            </w:r>
          </w:p>
          <w:p>
            <w:pPr>
              <w:widowControl/>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sz w:val="22"/>
                <w:szCs w:val="22"/>
                <w:highlight w:val="none"/>
              </w:rPr>
              <w:t>A档:8-6分；B档：5.9-3分 ；C档：2.9-0分</w:t>
            </w:r>
            <w:r>
              <w:rPr>
                <w:rFonts w:hint="eastAsia" w:ascii="新宋体" w:hAnsi="新宋体" w:eastAsia="新宋体" w:cs="新宋体"/>
                <w:bCs/>
                <w:color w:val="auto"/>
                <w:sz w:val="22"/>
                <w:szCs w:val="22"/>
                <w:highlight w:val="none"/>
              </w:rPr>
              <w:t>。</w:t>
            </w:r>
            <w:r>
              <w:rPr>
                <w:rFonts w:hint="eastAsia" w:ascii="新宋体" w:hAnsi="新宋体" w:eastAsia="新宋体" w:cs="新宋体"/>
                <w:color w:val="auto"/>
                <w:kern w:val="0"/>
                <w:sz w:val="22"/>
                <w:szCs w:val="22"/>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Merge w:val="restart"/>
            <w:noWrap w:val="0"/>
            <w:vAlign w:val="center"/>
          </w:tcPr>
          <w:p>
            <w:pPr>
              <w:widowControl/>
              <w:spacing w:line="460" w:lineRule="exact"/>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w:t>
            </w:r>
          </w:p>
        </w:tc>
        <w:tc>
          <w:tcPr>
            <w:tcW w:w="1120" w:type="dxa"/>
            <w:vMerge w:val="restart"/>
            <w:noWrap w:val="0"/>
            <w:vAlign w:val="center"/>
          </w:tcPr>
          <w:p>
            <w:pPr>
              <w:widowControl/>
              <w:spacing w:line="460" w:lineRule="exact"/>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实施方案</w:t>
            </w:r>
          </w:p>
        </w:tc>
        <w:tc>
          <w:tcPr>
            <w:tcW w:w="7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2分</w:t>
            </w:r>
          </w:p>
        </w:tc>
        <w:tc>
          <w:tcPr>
            <w:tcW w:w="6876" w:type="dxa"/>
            <w:noWrap w:val="0"/>
            <w:vAlign w:val="center"/>
          </w:tcPr>
          <w:p>
            <w:pPr>
              <w:widowControl/>
              <w:spacing w:line="460" w:lineRule="exact"/>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现有光纤资源（提供现有行政区域光纤资源列表）满足项目建设需求情况(2-0分)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Merge w:val="continue"/>
            <w:noWrap w:val="0"/>
            <w:vAlign w:val="center"/>
          </w:tcPr>
          <w:p>
            <w:pPr>
              <w:widowControl/>
              <w:spacing w:line="460" w:lineRule="exact"/>
              <w:jc w:val="left"/>
              <w:rPr>
                <w:rFonts w:hint="eastAsia" w:ascii="新宋体" w:hAnsi="新宋体" w:eastAsia="新宋体" w:cs="新宋体"/>
                <w:color w:val="auto"/>
                <w:kern w:val="0"/>
                <w:sz w:val="22"/>
                <w:szCs w:val="22"/>
                <w:highlight w:val="none"/>
              </w:rPr>
            </w:pPr>
          </w:p>
        </w:tc>
        <w:tc>
          <w:tcPr>
            <w:tcW w:w="1120" w:type="dxa"/>
            <w:vMerge w:val="continue"/>
            <w:noWrap w:val="0"/>
            <w:vAlign w:val="center"/>
          </w:tcPr>
          <w:p>
            <w:pPr>
              <w:widowControl/>
              <w:spacing w:line="460" w:lineRule="exact"/>
              <w:jc w:val="left"/>
              <w:rPr>
                <w:rFonts w:hint="eastAsia" w:ascii="新宋体" w:hAnsi="新宋体" w:eastAsia="新宋体" w:cs="新宋体"/>
                <w:color w:val="auto"/>
                <w:kern w:val="0"/>
                <w:sz w:val="22"/>
                <w:szCs w:val="22"/>
                <w:highlight w:val="none"/>
              </w:rPr>
            </w:pPr>
          </w:p>
        </w:tc>
        <w:tc>
          <w:tcPr>
            <w:tcW w:w="7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5分</w:t>
            </w:r>
          </w:p>
        </w:tc>
        <w:tc>
          <w:tcPr>
            <w:tcW w:w="6876" w:type="dxa"/>
            <w:noWrap w:val="0"/>
            <w:vAlign w:val="center"/>
          </w:tcPr>
          <w:p>
            <w:pPr>
              <w:widowControl/>
              <w:spacing w:line="460" w:lineRule="exact"/>
              <w:jc w:val="left"/>
              <w:rPr>
                <w:rFonts w:hint="eastAsia" w:ascii="新宋体" w:hAnsi="新宋体" w:eastAsia="新宋体" w:cs="新宋体"/>
                <w:color w:val="auto"/>
                <w:kern w:val="0"/>
                <w:sz w:val="22"/>
                <w:szCs w:val="22"/>
                <w:highlight w:val="none"/>
                <w:lang w:bidi="ar"/>
              </w:rPr>
            </w:pPr>
            <w:r>
              <w:rPr>
                <w:rFonts w:hint="eastAsia" w:ascii="新宋体" w:hAnsi="新宋体" w:eastAsia="新宋体" w:cs="新宋体"/>
                <w:color w:val="auto"/>
                <w:kern w:val="0"/>
                <w:sz w:val="22"/>
                <w:szCs w:val="22"/>
                <w:highlight w:val="none"/>
                <w:lang w:bidi="ar"/>
              </w:rPr>
              <w:t>项目实施方案（包括施工组织计划、安全保证措施、质量保证措施、进度保证措施和环境保证措施）</w:t>
            </w:r>
          </w:p>
          <w:p>
            <w:pPr>
              <w:widowControl/>
              <w:spacing w:line="460" w:lineRule="exact"/>
              <w:jc w:val="left"/>
              <w:rPr>
                <w:rFonts w:hint="eastAsia" w:ascii="新宋体" w:hAnsi="新宋体" w:eastAsia="新宋体" w:cs="新宋体"/>
                <w:color w:val="auto"/>
                <w:kern w:val="0"/>
                <w:sz w:val="22"/>
                <w:szCs w:val="22"/>
                <w:highlight w:val="none"/>
                <w:lang w:bidi="ar"/>
              </w:rPr>
            </w:pPr>
            <w:r>
              <w:rPr>
                <w:rFonts w:hint="eastAsia" w:ascii="新宋体" w:hAnsi="新宋体" w:eastAsia="新宋体" w:cs="新宋体"/>
                <w:color w:val="auto"/>
                <w:sz w:val="22"/>
                <w:szCs w:val="22"/>
                <w:highlight w:val="none"/>
              </w:rPr>
              <w:t>A档:5-4分；B档：3.9-2分 ；C档：1.9-0分</w:t>
            </w:r>
            <w:r>
              <w:rPr>
                <w:rFonts w:hint="eastAsia" w:ascii="新宋体" w:hAnsi="新宋体" w:eastAsia="新宋体" w:cs="新宋体"/>
                <w:bCs/>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Merge w:val="continue"/>
            <w:noWrap w:val="0"/>
            <w:vAlign w:val="center"/>
          </w:tcPr>
          <w:p>
            <w:pPr>
              <w:widowControl/>
              <w:spacing w:line="460" w:lineRule="exact"/>
              <w:jc w:val="left"/>
              <w:rPr>
                <w:rFonts w:hint="eastAsia" w:ascii="新宋体" w:hAnsi="新宋体" w:eastAsia="新宋体" w:cs="新宋体"/>
                <w:color w:val="auto"/>
                <w:kern w:val="0"/>
                <w:sz w:val="22"/>
                <w:szCs w:val="22"/>
                <w:highlight w:val="none"/>
              </w:rPr>
            </w:pPr>
          </w:p>
        </w:tc>
        <w:tc>
          <w:tcPr>
            <w:tcW w:w="1120" w:type="dxa"/>
            <w:vMerge w:val="continue"/>
            <w:noWrap w:val="0"/>
            <w:vAlign w:val="center"/>
          </w:tcPr>
          <w:p>
            <w:pPr>
              <w:widowControl/>
              <w:spacing w:line="460" w:lineRule="exact"/>
              <w:jc w:val="left"/>
              <w:rPr>
                <w:rFonts w:hint="eastAsia" w:ascii="新宋体" w:hAnsi="新宋体" w:eastAsia="新宋体" w:cs="新宋体"/>
                <w:color w:val="auto"/>
                <w:kern w:val="0"/>
                <w:sz w:val="22"/>
                <w:szCs w:val="22"/>
                <w:highlight w:val="none"/>
              </w:rPr>
            </w:pPr>
          </w:p>
        </w:tc>
        <w:tc>
          <w:tcPr>
            <w:tcW w:w="7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3分</w:t>
            </w:r>
          </w:p>
        </w:tc>
        <w:tc>
          <w:tcPr>
            <w:tcW w:w="6876" w:type="dxa"/>
            <w:noWrap w:val="0"/>
            <w:vAlign w:val="center"/>
          </w:tcPr>
          <w:p>
            <w:pPr>
              <w:widowControl/>
              <w:spacing w:line="460" w:lineRule="exact"/>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应急响应能力：对项目实施应急能力处理方案，并提供相应材料证明。</w:t>
            </w:r>
          </w:p>
          <w:p>
            <w:pPr>
              <w:pStyle w:val="2"/>
              <w:spacing w:line="460" w:lineRule="exact"/>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A档:3-2分；B档：1.9-1分 ；C档：0.9-0分。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Merge w:val="continue"/>
            <w:noWrap w:val="0"/>
            <w:vAlign w:val="center"/>
          </w:tcPr>
          <w:p>
            <w:pPr>
              <w:widowControl/>
              <w:spacing w:line="460" w:lineRule="exact"/>
              <w:jc w:val="left"/>
              <w:rPr>
                <w:rFonts w:hint="eastAsia" w:ascii="新宋体" w:hAnsi="新宋体" w:eastAsia="新宋体" w:cs="新宋体"/>
                <w:color w:val="auto"/>
                <w:kern w:val="0"/>
                <w:sz w:val="22"/>
                <w:szCs w:val="22"/>
                <w:highlight w:val="none"/>
              </w:rPr>
            </w:pPr>
          </w:p>
        </w:tc>
        <w:tc>
          <w:tcPr>
            <w:tcW w:w="1120" w:type="dxa"/>
            <w:vMerge w:val="continue"/>
            <w:noWrap w:val="0"/>
            <w:vAlign w:val="center"/>
          </w:tcPr>
          <w:p>
            <w:pPr>
              <w:widowControl/>
              <w:spacing w:line="460" w:lineRule="exact"/>
              <w:jc w:val="left"/>
              <w:rPr>
                <w:rFonts w:hint="eastAsia" w:ascii="新宋体" w:hAnsi="新宋体" w:eastAsia="新宋体" w:cs="新宋体"/>
                <w:color w:val="auto"/>
                <w:kern w:val="0"/>
                <w:sz w:val="22"/>
                <w:szCs w:val="22"/>
                <w:highlight w:val="none"/>
              </w:rPr>
            </w:pPr>
          </w:p>
        </w:tc>
        <w:tc>
          <w:tcPr>
            <w:tcW w:w="7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3分</w:t>
            </w:r>
          </w:p>
        </w:tc>
        <w:tc>
          <w:tcPr>
            <w:tcW w:w="6876" w:type="dxa"/>
            <w:noWrap w:val="0"/>
            <w:vAlign w:val="center"/>
          </w:tcPr>
          <w:p>
            <w:pPr>
              <w:widowControl/>
              <w:spacing w:line="460" w:lineRule="exact"/>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工期8个月：仅满足工期要求的不得分，工期每缩短15天加1分，最多可加3分。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8" w:hRule="atLeast"/>
        </w:trPr>
        <w:tc>
          <w:tcPr>
            <w:tcW w:w="660" w:type="dxa"/>
            <w:vMerge w:val="restart"/>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w:t>
            </w:r>
          </w:p>
        </w:tc>
        <w:tc>
          <w:tcPr>
            <w:tcW w:w="1120" w:type="dxa"/>
            <w:vMerge w:val="restart"/>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技术支持情况与服务支持能力</w:t>
            </w:r>
          </w:p>
        </w:tc>
        <w:tc>
          <w:tcPr>
            <w:tcW w:w="7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6分</w:t>
            </w:r>
          </w:p>
        </w:tc>
        <w:tc>
          <w:tcPr>
            <w:tcW w:w="6876" w:type="dxa"/>
            <w:noWrap w:val="0"/>
            <w:vAlign w:val="center"/>
          </w:tcPr>
          <w:p>
            <w:pPr>
              <w:widowControl/>
              <w:spacing w:line="460" w:lineRule="exact"/>
              <w:rPr>
                <w:rFonts w:hint="default" w:ascii="新宋体" w:hAnsi="新宋体" w:eastAsia="新宋体" w:cs="新宋体"/>
                <w:color w:val="auto"/>
                <w:kern w:val="0"/>
                <w:sz w:val="22"/>
                <w:szCs w:val="22"/>
                <w:highlight w:val="none"/>
                <w:lang w:val="en-US" w:eastAsia="zh-CN" w:bidi="ar"/>
              </w:rPr>
            </w:pPr>
            <w:r>
              <w:rPr>
                <w:rFonts w:hint="eastAsia" w:ascii="新宋体" w:hAnsi="新宋体" w:eastAsia="新宋体" w:cs="新宋体"/>
                <w:color w:val="auto"/>
                <w:kern w:val="0"/>
                <w:sz w:val="22"/>
                <w:szCs w:val="22"/>
                <w:highlight w:val="none"/>
                <w:lang w:val="en-US" w:eastAsia="zh-CN" w:bidi="ar"/>
              </w:rPr>
              <w:t>1、</w:t>
            </w:r>
            <w:r>
              <w:rPr>
                <w:rFonts w:hint="eastAsia" w:ascii="新宋体" w:hAnsi="新宋体" w:eastAsia="新宋体" w:cs="新宋体"/>
                <w:color w:val="auto"/>
                <w:kern w:val="0"/>
                <w:sz w:val="22"/>
                <w:szCs w:val="22"/>
                <w:highlight w:val="none"/>
                <w:lang w:bidi="ar"/>
              </w:rPr>
              <w:t>项目负责人同时具有信息系统项目管理师、ITSS和PMP证书得3分</w:t>
            </w:r>
            <w:r>
              <w:rPr>
                <w:rFonts w:hint="eastAsia" w:ascii="新宋体" w:hAnsi="新宋体" w:eastAsia="新宋体" w:cs="新宋体"/>
                <w:color w:val="auto"/>
                <w:kern w:val="0"/>
                <w:sz w:val="22"/>
                <w:szCs w:val="22"/>
                <w:highlight w:val="none"/>
                <w:lang w:eastAsia="zh-CN" w:bidi="ar"/>
              </w:rPr>
              <w:t>；</w:t>
            </w:r>
            <w:r>
              <w:rPr>
                <w:rFonts w:hint="eastAsia" w:ascii="新宋体" w:hAnsi="新宋体" w:eastAsia="新宋体" w:cs="新宋体"/>
                <w:color w:val="auto"/>
                <w:kern w:val="0"/>
                <w:sz w:val="22"/>
                <w:szCs w:val="22"/>
                <w:highlight w:val="none"/>
                <w:lang w:bidi="ar"/>
              </w:rPr>
              <w:t>具备</w:t>
            </w:r>
            <w:r>
              <w:rPr>
                <w:rFonts w:hint="eastAsia" w:ascii="新宋体" w:hAnsi="新宋体" w:eastAsia="新宋体" w:cs="新宋体"/>
                <w:color w:val="auto"/>
                <w:kern w:val="0"/>
                <w:sz w:val="22"/>
                <w:szCs w:val="22"/>
                <w:highlight w:val="none"/>
                <w:lang w:val="en-US" w:eastAsia="zh-CN" w:bidi="ar"/>
              </w:rPr>
              <w:t>2</w:t>
            </w:r>
            <w:r>
              <w:rPr>
                <w:rFonts w:hint="eastAsia" w:ascii="新宋体" w:hAnsi="新宋体" w:eastAsia="新宋体" w:cs="新宋体"/>
                <w:color w:val="auto"/>
                <w:kern w:val="0"/>
                <w:sz w:val="22"/>
                <w:szCs w:val="22"/>
                <w:highlight w:val="none"/>
                <w:lang w:bidi="ar"/>
              </w:rPr>
              <w:t>个得</w:t>
            </w:r>
            <w:r>
              <w:rPr>
                <w:rFonts w:hint="eastAsia" w:ascii="新宋体" w:hAnsi="新宋体" w:eastAsia="新宋体" w:cs="新宋体"/>
                <w:color w:val="auto"/>
                <w:kern w:val="0"/>
                <w:sz w:val="22"/>
                <w:szCs w:val="22"/>
                <w:highlight w:val="none"/>
                <w:lang w:val="en-US" w:eastAsia="zh-CN" w:bidi="ar"/>
              </w:rPr>
              <w:t>2</w:t>
            </w:r>
            <w:r>
              <w:rPr>
                <w:rFonts w:hint="eastAsia" w:ascii="新宋体" w:hAnsi="新宋体" w:eastAsia="新宋体" w:cs="新宋体"/>
                <w:color w:val="auto"/>
                <w:kern w:val="0"/>
                <w:sz w:val="22"/>
                <w:szCs w:val="22"/>
                <w:highlight w:val="none"/>
                <w:lang w:bidi="ar"/>
              </w:rPr>
              <w:t>分</w:t>
            </w:r>
            <w:r>
              <w:rPr>
                <w:rFonts w:hint="eastAsia" w:ascii="新宋体" w:hAnsi="新宋体" w:eastAsia="新宋体" w:cs="新宋体"/>
                <w:color w:val="auto"/>
                <w:kern w:val="0"/>
                <w:sz w:val="22"/>
                <w:szCs w:val="22"/>
                <w:highlight w:val="none"/>
                <w:lang w:eastAsia="zh-CN" w:bidi="ar"/>
              </w:rPr>
              <w:t>；</w:t>
            </w:r>
            <w:r>
              <w:rPr>
                <w:rFonts w:hint="eastAsia" w:ascii="新宋体" w:hAnsi="新宋体" w:eastAsia="新宋体" w:cs="新宋体"/>
                <w:color w:val="auto"/>
                <w:kern w:val="0"/>
                <w:sz w:val="22"/>
                <w:szCs w:val="22"/>
                <w:highlight w:val="none"/>
                <w:lang w:val="en-US" w:eastAsia="zh-CN" w:bidi="ar"/>
              </w:rPr>
              <w:t>备具1个得1分。</w:t>
            </w:r>
          </w:p>
          <w:p>
            <w:pPr>
              <w:widowControl/>
              <w:spacing w:line="460" w:lineRule="exact"/>
              <w:rPr>
                <w:rFonts w:hint="eastAsia" w:ascii="新宋体" w:hAnsi="新宋体" w:eastAsia="新宋体" w:cs="新宋体"/>
                <w:color w:val="auto"/>
                <w:kern w:val="0"/>
                <w:sz w:val="22"/>
                <w:szCs w:val="22"/>
                <w:highlight w:val="none"/>
                <w:lang w:val="en-US" w:eastAsia="zh-CN" w:bidi="ar"/>
              </w:rPr>
            </w:pPr>
            <w:r>
              <w:rPr>
                <w:rFonts w:hint="eastAsia" w:ascii="新宋体" w:hAnsi="新宋体" w:eastAsia="新宋体" w:cs="新宋体"/>
                <w:color w:val="auto"/>
                <w:kern w:val="0"/>
                <w:sz w:val="22"/>
                <w:szCs w:val="22"/>
                <w:highlight w:val="none"/>
                <w:lang w:val="en-US" w:eastAsia="zh-CN" w:bidi="ar"/>
              </w:rPr>
              <w:t>2、项目设备调试负责人具有与投标主设备原厂认证证书及</w:t>
            </w:r>
            <w:r>
              <w:rPr>
                <w:rFonts w:hint="eastAsia" w:ascii="新宋体" w:hAnsi="新宋体" w:eastAsia="新宋体" w:cs="新宋体"/>
                <w:color w:val="auto"/>
                <w:kern w:val="0"/>
                <w:sz w:val="22"/>
                <w:szCs w:val="22"/>
                <w:highlight w:val="none"/>
                <w:lang w:bidi="ar"/>
              </w:rPr>
              <w:t>PMP证书</w:t>
            </w:r>
            <w:r>
              <w:rPr>
                <w:rFonts w:hint="eastAsia" w:ascii="新宋体" w:hAnsi="新宋体" w:eastAsia="新宋体" w:cs="新宋体"/>
                <w:color w:val="auto"/>
                <w:kern w:val="0"/>
                <w:sz w:val="22"/>
                <w:szCs w:val="22"/>
                <w:highlight w:val="none"/>
                <w:lang w:val="en-US" w:eastAsia="zh-CN" w:bidi="ar"/>
              </w:rPr>
              <w:t>得1分</w:t>
            </w:r>
          </w:p>
          <w:p>
            <w:pPr>
              <w:widowControl/>
              <w:spacing w:line="460" w:lineRule="exact"/>
              <w:rPr>
                <w:rFonts w:hint="eastAsia" w:ascii="新宋体" w:hAnsi="新宋体" w:eastAsia="新宋体" w:cs="新宋体"/>
                <w:color w:val="auto"/>
                <w:kern w:val="0"/>
                <w:sz w:val="22"/>
                <w:szCs w:val="22"/>
                <w:highlight w:val="none"/>
                <w:lang w:val="en-US" w:eastAsia="zh-CN" w:bidi="ar"/>
              </w:rPr>
            </w:pPr>
            <w:r>
              <w:rPr>
                <w:rFonts w:hint="eastAsia" w:ascii="新宋体" w:hAnsi="新宋体" w:eastAsia="新宋体" w:cs="新宋体"/>
                <w:color w:val="auto"/>
                <w:kern w:val="0"/>
                <w:sz w:val="22"/>
                <w:szCs w:val="22"/>
                <w:highlight w:val="none"/>
                <w:lang w:val="en-US" w:eastAsia="zh-CN" w:bidi="ar"/>
              </w:rPr>
              <w:t>3、项目团队成员具有系统分析师证书、CISA（注册信息系统审计师）证书、ITIL认证；拥有其中任何一项得1分，最多得2分。</w:t>
            </w:r>
          </w:p>
          <w:p>
            <w:pPr>
              <w:widowControl/>
              <w:spacing w:line="460" w:lineRule="exact"/>
              <w:rPr>
                <w:rFonts w:hint="eastAsia"/>
                <w:color w:val="auto"/>
                <w:highlight w:val="none"/>
              </w:rPr>
            </w:pPr>
            <w:r>
              <w:rPr>
                <w:rFonts w:hint="eastAsia" w:ascii="新宋体" w:hAnsi="新宋体" w:eastAsia="新宋体" w:cs="新宋体"/>
                <w:color w:val="auto"/>
                <w:kern w:val="0"/>
                <w:sz w:val="22"/>
                <w:szCs w:val="22"/>
                <w:highlight w:val="none"/>
                <w:lang w:bidi="ar"/>
              </w:rPr>
              <w:t>注：人员需提供相关证书提供复印件及所在投标人单位的社保证明。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rPr>
        <w:tc>
          <w:tcPr>
            <w:tcW w:w="660" w:type="dxa"/>
            <w:vMerge w:val="continue"/>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p>
        </w:tc>
        <w:tc>
          <w:tcPr>
            <w:tcW w:w="1120" w:type="dxa"/>
            <w:vMerge w:val="continue"/>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p>
        </w:tc>
        <w:tc>
          <w:tcPr>
            <w:tcW w:w="7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4分</w:t>
            </w:r>
          </w:p>
        </w:tc>
        <w:tc>
          <w:tcPr>
            <w:tcW w:w="6876" w:type="dxa"/>
            <w:noWrap w:val="0"/>
            <w:vAlign w:val="center"/>
          </w:tcPr>
          <w:p>
            <w:pPr>
              <w:widowControl/>
              <w:spacing w:line="460" w:lineRule="exact"/>
              <w:rPr>
                <w:rStyle w:val="91"/>
                <w:rFonts w:hint="default" w:ascii="新宋体" w:hAnsi="新宋体" w:eastAsia="新宋体" w:cs="新宋体"/>
                <w:color w:val="auto"/>
                <w:sz w:val="22"/>
                <w:szCs w:val="22"/>
                <w:highlight w:val="none"/>
                <w:lang w:bidi="ar"/>
              </w:rPr>
            </w:pPr>
            <w:r>
              <w:rPr>
                <w:rFonts w:hint="eastAsia" w:ascii="新宋体" w:hAnsi="新宋体" w:eastAsia="新宋体" w:cs="新宋体"/>
                <w:color w:val="auto"/>
                <w:kern w:val="0"/>
                <w:sz w:val="22"/>
                <w:szCs w:val="22"/>
                <w:highlight w:val="none"/>
                <w:lang w:bidi="ar"/>
              </w:rPr>
              <w:t>售后服务方案满足招标文件要求，服务体系完善，承诺服务内容优越，针对性强，维保队伍的配备、计划安排情况</w:t>
            </w:r>
            <w:r>
              <w:rPr>
                <w:rStyle w:val="91"/>
                <w:rFonts w:hint="default" w:ascii="新宋体" w:hAnsi="新宋体" w:eastAsia="新宋体" w:cs="新宋体"/>
                <w:color w:val="auto"/>
                <w:sz w:val="22"/>
                <w:szCs w:val="22"/>
                <w:highlight w:val="none"/>
                <w:lang w:bidi="ar"/>
              </w:rPr>
              <w:t>、应急预案合理有效，售后服务人员组织结构合理、维护体系健全，技术支持保障到位；培训方案及计划科学合理、培训内容全面、针对性强</w:t>
            </w:r>
          </w:p>
          <w:p>
            <w:pPr>
              <w:widowControl/>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sz w:val="22"/>
                <w:szCs w:val="22"/>
                <w:highlight w:val="none"/>
              </w:rPr>
              <w:t>A档:4-3分；B档：2.9-1分 ；C档：0.9-0分</w:t>
            </w:r>
            <w:r>
              <w:rPr>
                <w:rFonts w:hint="eastAsia" w:ascii="新宋体" w:hAnsi="新宋体" w:eastAsia="新宋体" w:cs="新宋体"/>
                <w:bCs/>
                <w:color w:val="auto"/>
                <w:sz w:val="22"/>
                <w:szCs w:val="22"/>
                <w:highlight w:val="none"/>
              </w:rPr>
              <w:t>。</w:t>
            </w:r>
            <w:r>
              <w:rPr>
                <w:rFonts w:hint="eastAsia" w:ascii="新宋体" w:hAnsi="新宋体" w:eastAsia="新宋体" w:cs="新宋体"/>
                <w:color w:val="auto"/>
                <w:kern w:val="0"/>
                <w:sz w:val="22"/>
                <w:szCs w:val="22"/>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Merge w:val="continue"/>
            <w:noWrap w:val="0"/>
            <w:vAlign w:val="center"/>
          </w:tcPr>
          <w:p>
            <w:pPr>
              <w:widowControl/>
              <w:spacing w:line="460" w:lineRule="exact"/>
              <w:jc w:val="left"/>
              <w:rPr>
                <w:rFonts w:hint="eastAsia" w:ascii="新宋体" w:hAnsi="新宋体" w:eastAsia="新宋体" w:cs="新宋体"/>
                <w:color w:val="auto"/>
                <w:kern w:val="0"/>
                <w:sz w:val="22"/>
                <w:szCs w:val="22"/>
                <w:highlight w:val="none"/>
              </w:rPr>
            </w:pPr>
          </w:p>
        </w:tc>
        <w:tc>
          <w:tcPr>
            <w:tcW w:w="1120" w:type="dxa"/>
            <w:vMerge w:val="continue"/>
            <w:noWrap w:val="0"/>
            <w:vAlign w:val="center"/>
          </w:tcPr>
          <w:p>
            <w:pPr>
              <w:widowControl/>
              <w:spacing w:line="460" w:lineRule="exact"/>
              <w:jc w:val="left"/>
              <w:rPr>
                <w:rFonts w:hint="eastAsia" w:ascii="新宋体" w:hAnsi="新宋体" w:eastAsia="新宋体" w:cs="新宋体"/>
                <w:color w:val="auto"/>
                <w:kern w:val="0"/>
                <w:sz w:val="22"/>
                <w:szCs w:val="22"/>
                <w:highlight w:val="none"/>
              </w:rPr>
            </w:pPr>
          </w:p>
        </w:tc>
        <w:tc>
          <w:tcPr>
            <w:tcW w:w="7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2分</w:t>
            </w:r>
          </w:p>
        </w:tc>
        <w:tc>
          <w:tcPr>
            <w:tcW w:w="6876" w:type="dxa"/>
            <w:noWrap w:val="0"/>
            <w:vAlign w:val="center"/>
          </w:tcPr>
          <w:p>
            <w:pPr>
              <w:widowControl/>
              <w:spacing w:line="460" w:lineRule="exact"/>
              <w:rPr>
                <w:rFonts w:hint="default" w:ascii="新宋体" w:hAnsi="新宋体" w:eastAsia="新宋体" w:cs="新宋体"/>
                <w:color w:val="auto"/>
                <w:kern w:val="0"/>
                <w:sz w:val="22"/>
                <w:szCs w:val="22"/>
                <w:highlight w:val="none"/>
                <w:lang w:val="en-US" w:eastAsia="zh-CN"/>
              </w:rPr>
            </w:pPr>
            <w:r>
              <w:rPr>
                <w:rFonts w:hint="eastAsia" w:ascii="新宋体" w:hAnsi="新宋体" w:eastAsia="新宋体" w:cs="新宋体"/>
                <w:color w:val="auto"/>
                <w:kern w:val="0"/>
                <w:sz w:val="22"/>
                <w:szCs w:val="22"/>
                <w:highlight w:val="none"/>
              </w:rPr>
              <w:t>主要设备厂商（摄像机、存储）在本地区固定服务点的配备情况，得2-0分；</w:t>
            </w:r>
            <w:r>
              <w:rPr>
                <w:rFonts w:hint="eastAsia" w:ascii="新宋体" w:hAnsi="新宋体" w:eastAsia="新宋体" w:cs="新宋体"/>
                <w:color w:val="auto"/>
                <w:kern w:val="0"/>
                <w:sz w:val="22"/>
                <w:szCs w:val="22"/>
                <w:highlight w:val="none"/>
                <w:lang w:val="en-US" w:eastAsia="zh-CN"/>
              </w:rPr>
              <w:t>提供服务点证明材料。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w:t>
            </w:r>
          </w:p>
        </w:tc>
        <w:tc>
          <w:tcPr>
            <w:tcW w:w="112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同类项目业绩</w:t>
            </w:r>
          </w:p>
        </w:tc>
        <w:tc>
          <w:tcPr>
            <w:tcW w:w="7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5分</w:t>
            </w:r>
          </w:p>
        </w:tc>
        <w:tc>
          <w:tcPr>
            <w:tcW w:w="6876" w:type="dxa"/>
            <w:noWrap w:val="0"/>
            <w:vAlign w:val="center"/>
          </w:tcPr>
          <w:p>
            <w:pPr>
              <w:widowControl/>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根据投标人的2017年1月1日以来签署同类项目业绩（业绩内容包括：</w:t>
            </w:r>
            <w:r>
              <w:rPr>
                <w:rStyle w:val="91"/>
                <w:rFonts w:hint="default" w:ascii="新宋体" w:hAnsi="新宋体" w:eastAsia="新宋体" w:cs="新宋体"/>
                <w:color w:val="auto"/>
                <w:sz w:val="22"/>
                <w:szCs w:val="22"/>
                <w:highlight w:val="none"/>
                <w:lang w:bidi="ar"/>
              </w:rPr>
              <w:t>电警或卡口或信号系统）</w:t>
            </w:r>
            <w:r>
              <w:rPr>
                <w:rFonts w:hint="eastAsia" w:ascii="新宋体" w:hAnsi="新宋体" w:eastAsia="新宋体" w:cs="新宋体"/>
                <w:color w:val="auto"/>
                <w:kern w:val="0"/>
                <w:sz w:val="22"/>
                <w:szCs w:val="22"/>
                <w:highlight w:val="none"/>
              </w:rPr>
              <w:t>，每个得1分，本项最高5分（</w:t>
            </w:r>
            <w:r>
              <w:rPr>
                <w:rFonts w:hint="eastAsia" w:ascii="新宋体" w:hAnsi="新宋体" w:eastAsia="新宋体" w:cs="新宋体"/>
                <w:color w:val="auto"/>
                <w:sz w:val="22"/>
                <w:szCs w:val="22"/>
                <w:highlight w:val="none"/>
              </w:rPr>
              <w:t>需提供合同与验收报告复印件，并加盖公章</w:t>
            </w:r>
            <w:r>
              <w:rPr>
                <w:rFonts w:hint="eastAsia" w:ascii="新宋体" w:hAnsi="新宋体" w:eastAsia="新宋体" w:cs="新宋体"/>
                <w:color w:val="auto"/>
                <w:kern w:val="0"/>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w:t>
            </w:r>
          </w:p>
        </w:tc>
        <w:tc>
          <w:tcPr>
            <w:tcW w:w="112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sz w:val="22"/>
                <w:szCs w:val="22"/>
                <w:highlight w:val="none"/>
              </w:rPr>
              <w:t>节能环保</w:t>
            </w:r>
          </w:p>
        </w:tc>
        <w:tc>
          <w:tcPr>
            <w:tcW w:w="7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sz w:val="22"/>
                <w:szCs w:val="22"/>
                <w:highlight w:val="none"/>
              </w:rPr>
              <w:t>1分</w:t>
            </w:r>
          </w:p>
        </w:tc>
        <w:tc>
          <w:tcPr>
            <w:tcW w:w="6876" w:type="dxa"/>
            <w:noWrap w:val="0"/>
            <w:vAlign w:val="center"/>
          </w:tcPr>
          <w:p>
            <w:pPr>
              <w:widowControl/>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产品列入财政部、发展改革委“节能产品政府采购品目清单”（0.5-0分），</w:t>
            </w:r>
          </w:p>
          <w:p>
            <w:pPr>
              <w:widowControl/>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产品列入财政部、生态环境部“环境标志产品政府采购品目清单”（0.5-0分）；</w:t>
            </w:r>
          </w:p>
          <w:p>
            <w:pPr>
              <w:widowControl/>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自行提供证明材料（如标注本次投标产品的清单），由评标委员会根据列入目录清单的产品占比酌情给分。未提供证明材料或不能清楚辨析的不得分。</w:t>
            </w:r>
          </w:p>
        </w:tc>
      </w:tr>
    </w:tbl>
    <w:p>
      <w:pPr>
        <w:pStyle w:val="23"/>
        <w:spacing w:line="460" w:lineRule="exact"/>
        <w:ind w:left="442" w:firstLine="0" w:firstLineChars="0"/>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2、商务评分：</w:t>
      </w:r>
      <w:r>
        <w:rPr>
          <w:rFonts w:hint="eastAsia" w:ascii="新宋体" w:hAnsi="新宋体" w:eastAsia="新宋体"/>
          <w:b/>
          <w:bCs/>
          <w:color w:val="auto"/>
          <w:sz w:val="22"/>
          <w:szCs w:val="22"/>
          <w:highlight w:val="none"/>
        </w:rPr>
        <w:t>30分（权值30%）</w:t>
      </w:r>
    </w:p>
    <w:p>
      <w:pPr>
        <w:spacing w:line="46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满足招标文件要求且投标报价最低的投标报价为评标基准价，其余投标人投标报价与该基准价对比，计算出商务报价评分值（保留小数2位）：</w:t>
      </w:r>
    </w:p>
    <w:p>
      <w:pPr>
        <w:spacing w:line="46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1）有效投标人的投标报价等于评标基准价时其报价分为满分30分；</w:t>
      </w:r>
    </w:p>
    <w:p>
      <w:pPr>
        <w:spacing w:line="46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2）其他投标人的价格分按以下公式计算：</w:t>
      </w:r>
    </w:p>
    <w:p>
      <w:pPr>
        <w:spacing w:line="460" w:lineRule="exact"/>
        <w:ind w:firstLine="539" w:firstLineChars="245"/>
        <w:jc w:val="center"/>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投标报价得分=（评分基准价/投标人投标报价）× 价格权值 ×100（保留小数2位）</w:t>
      </w:r>
    </w:p>
    <w:p>
      <w:pPr>
        <w:spacing w:line="460" w:lineRule="exact"/>
        <w:ind w:firstLine="541" w:firstLineChars="245"/>
        <w:jc w:val="center"/>
        <w:outlineLvl w:val="2"/>
        <w:rPr>
          <w:rFonts w:hint="eastAsia" w:ascii="新宋体" w:hAnsi="新宋体" w:eastAsia="新宋体"/>
          <w:b/>
          <w:bCs/>
          <w:color w:val="auto"/>
          <w:sz w:val="22"/>
          <w:highlight w:val="none"/>
        </w:rPr>
      </w:pPr>
      <w:r>
        <w:rPr>
          <w:rFonts w:hint="eastAsia" w:ascii="新宋体" w:hAnsi="新宋体" w:eastAsia="新宋体"/>
          <w:b/>
          <w:bCs/>
          <w:color w:val="auto"/>
          <w:sz w:val="22"/>
          <w:highlight w:val="none"/>
        </w:rPr>
        <w:t>标段二：瓯江口雪亮工程建设项目-水利等部门可视化工程建设</w:t>
      </w:r>
    </w:p>
    <w:p>
      <w:pPr>
        <w:spacing w:line="460" w:lineRule="exact"/>
        <w:ind w:firstLine="541" w:firstLineChars="245"/>
        <w:rPr>
          <w:rFonts w:hint="eastAsia" w:ascii="新宋体" w:hAnsi="新宋体" w:eastAsia="新宋体"/>
          <w:b/>
          <w:color w:val="auto"/>
          <w:sz w:val="22"/>
          <w:szCs w:val="22"/>
          <w:highlight w:val="none"/>
        </w:rPr>
      </w:pPr>
      <w:r>
        <w:rPr>
          <w:rFonts w:hint="eastAsia" w:ascii="新宋体" w:hAnsi="新宋体" w:eastAsia="新宋体"/>
          <w:b/>
          <w:color w:val="auto"/>
          <w:sz w:val="22"/>
          <w:szCs w:val="22"/>
          <w:highlight w:val="none"/>
        </w:rPr>
        <w:t>1、技术分的评定：技术标70分（权值70%）</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olor w:val="auto"/>
          <w:sz w:val="22"/>
          <w:szCs w:val="22"/>
          <w:highlight w:val="none"/>
        </w:rPr>
        <w:t>各评委成员按下列评分项目进行评判，每人一张评分计算票，并记名。投标文件各项评分内容由评标委员会成员各自评分，如某张票的一个因素项目超过规定的范围，则该张票无效。</w:t>
      </w:r>
      <w:r>
        <w:rPr>
          <w:rFonts w:hint="eastAsia" w:ascii="新宋体" w:hAnsi="新宋体" w:eastAsia="新宋体"/>
          <w:color w:val="auto"/>
          <w:sz w:val="22"/>
          <w:highlight w:val="none"/>
        </w:rPr>
        <w:t>各评标委员会成员对各投标人的各项评分内容评分的算术平均值为各投标人技术分得分</w:t>
      </w:r>
      <w:r>
        <w:rPr>
          <w:rFonts w:hint="eastAsia" w:ascii="新宋体" w:hAnsi="新宋体" w:eastAsia="新宋体"/>
          <w:color w:val="auto"/>
          <w:sz w:val="22"/>
          <w:szCs w:val="22"/>
          <w:highlight w:val="none"/>
        </w:rPr>
        <w:t>（小数点后按四舍五入保留2位）。</w:t>
      </w:r>
    </w:p>
    <w:tbl>
      <w:tblPr>
        <w:tblStyle w:val="52"/>
        <w:tblW w:w="9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120"/>
        <w:gridCol w:w="760"/>
        <w:gridCol w:w="6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序号</w:t>
            </w:r>
          </w:p>
        </w:tc>
        <w:tc>
          <w:tcPr>
            <w:tcW w:w="112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项目</w:t>
            </w:r>
          </w:p>
        </w:tc>
        <w:tc>
          <w:tcPr>
            <w:tcW w:w="7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分值</w:t>
            </w:r>
          </w:p>
        </w:tc>
        <w:tc>
          <w:tcPr>
            <w:tcW w:w="6876"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Merge w:val="restart"/>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1120" w:type="dxa"/>
            <w:vMerge w:val="restart"/>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投标人情况</w:t>
            </w:r>
          </w:p>
        </w:tc>
        <w:tc>
          <w:tcPr>
            <w:tcW w:w="7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2分</w:t>
            </w:r>
          </w:p>
        </w:tc>
        <w:tc>
          <w:tcPr>
            <w:tcW w:w="6876" w:type="dxa"/>
            <w:noWrap w:val="0"/>
            <w:vAlign w:val="center"/>
          </w:tcPr>
          <w:p>
            <w:pPr>
              <w:widowControl/>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根据投标人的综合实力，如企业资信、荣誉等，酌情打分，得2-0分；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Merge w:val="continue"/>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p>
        </w:tc>
        <w:tc>
          <w:tcPr>
            <w:tcW w:w="1120" w:type="dxa"/>
            <w:vMerge w:val="continue"/>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p>
        </w:tc>
        <w:tc>
          <w:tcPr>
            <w:tcW w:w="7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2分</w:t>
            </w:r>
          </w:p>
        </w:tc>
        <w:tc>
          <w:tcPr>
            <w:tcW w:w="6876" w:type="dxa"/>
            <w:noWrap w:val="0"/>
            <w:vAlign w:val="center"/>
          </w:tcPr>
          <w:p>
            <w:pPr>
              <w:widowControl/>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lang w:bidi="ar"/>
              </w:rPr>
              <w:t>具有信息安全管理体ISO/IEC27001:2013认证（认证范围包括：为主机托管、带宽租赁、云计算服务）得2分，提供相关证书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Merge w:val="continue"/>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p>
        </w:tc>
        <w:tc>
          <w:tcPr>
            <w:tcW w:w="1120" w:type="dxa"/>
            <w:vMerge w:val="continue"/>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p>
        </w:tc>
        <w:tc>
          <w:tcPr>
            <w:tcW w:w="7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2分</w:t>
            </w:r>
          </w:p>
        </w:tc>
        <w:tc>
          <w:tcPr>
            <w:tcW w:w="6876" w:type="dxa"/>
            <w:noWrap w:val="0"/>
            <w:vAlign w:val="center"/>
          </w:tcPr>
          <w:p>
            <w:pPr>
              <w:widowControl/>
              <w:spacing w:line="460" w:lineRule="exact"/>
              <w:rPr>
                <w:rFonts w:hint="eastAsia" w:ascii="新宋体" w:hAnsi="新宋体" w:eastAsia="新宋体" w:cs="新宋体"/>
                <w:color w:val="auto"/>
                <w:kern w:val="0"/>
                <w:sz w:val="22"/>
                <w:szCs w:val="22"/>
                <w:highlight w:val="none"/>
                <w:lang w:bidi="ar"/>
              </w:rPr>
            </w:pPr>
            <w:r>
              <w:rPr>
                <w:rFonts w:hint="eastAsia" w:ascii="新宋体" w:hAnsi="新宋体" w:eastAsia="新宋体" w:cs="新宋体"/>
                <w:color w:val="auto"/>
                <w:kern w:val="0"/>
                <w:sz w:val="22"/>
                <w:szCs w:val="22"/>
                <w:highlight w:val="none"/>
                <w:lang w:bidi="ar"/>
              </w:rPr>
              <w:t>数据中心云平台机房且已通过国家信息安全等级保护3级及以上测评得2分，提供相关证书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Merge w:val="continue"/>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p>
        </w:tc>
        <w:tc>
          <w:tcPr>
            <w:tcW w:w="1120" w:type="dxa"/>
            <w:vMerge w:val="continue"/>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p>
        </w:tc>
        <w:tc>
          <w:tcPr>
            <w:tcW w:w="7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2分</w:t>
            </w:r>
          </w:p>
        </w:tc>
        <w:tc>
          <w:tcPr>
            <w:tcW w:w="6876" w:type="dxa"/>
            <w:noWrap w:val="0"/>
            <w:vAlign w:val="center"/>
          </w:tcPr>
          <w:p>
            <w:pPr>
              <w:widowControl/>
              <w:spacing w:line="460" w:lineRule="exact"/>
              <w:rPr>
                <w:rFonts w:hint="eastAsia" w:ascii="新宋体" w:hAnsi="新宋体" w:eastAsia="新宋体" w:cs="新宋体"/>
                <w:color w:val="auto"/>
                <w:kern w:val="0"/>
                <w:sz w:val="22"/>
                <w:szCs w:val="22"/>
                <w:highlight w:val="none"/>
                <w:lang w:bidi="ar"/>
              </w:rPr>
            </w:pPr>
            <w:r>
              <w:rPr>
                <w:rFonts w:hint="eastAsia" w:ascii="新宋体" w:hAnsi="新宋体" w:eastAsia="新宋体" w:cs="新宋体"/>
                <w:color w:val="auto"/>
                <w:kern w:val="0"/>
                <w:sz w:val="22"/>
                <w:szCs w:val="22"/>
                <w:highlight w:val="none"/>
                <w:lang w:bidi="ar"/>
              </w:rPr>
              <w:t>具备独立的政务云或私有云平台运营能力，得2分，采用第三方资源得1分。提供相关证明材料。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112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设备配置选型情况</w:t>
            </w:r>
          </w:p>
        </w:tc>
        <w:tc>
          <w:tcPr>
            <w:tcW w:w="7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15分</w:t>
            </w:r>
          </w:p>
        </w:tc>
        <w:tc>
          <w:tcPr>
            <w:tcW w:w="6876" w:type="dxa"/>
            <w:noWrap w:val="0"/>
            <w:vAlign w:val="center"/>
          </w:tcPr>
          <w:p>
            <w:pPr>
              <w:widowControl/>
              <w:spacing w:line="460" w:lineRule="exact"/>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根据所投产品技术指标与招标文件要求的响应程度，综合评分，其中满足招标文件要求的得</w:t>
            </w:r>
            <w:r>
              <w:rPr>
                <w:rFonts w:hint="eastAsia" w:ascii="新宋体" w:hAnsi="新宋体" w:eastAsia="新宋体" w:cs="新宋体"/>
                <w:color w:val="auto"/>
                <w:sz w:val="22"/>
                <w:szCs w:val="22"/>
                <w:highlight w:val="none"/>
                <w:lang w:val="en-US" w:eastAsia="zh-CN"/>
              </w:rPr>
              <w:t>10</w:t>
            </w:r>
            <w:r>
              <w:rPr>
                <w:rFonts w:hint="eastAsia" w:ascii="新宋体" w:hAnsi="新宋体" w:eastAsia="新宋体" w:cs="新宋体"/>
                <w:color w:val="auto"/>
                <w:sz w:val="22"/>
                <w:szCs w:val="22"/>
                <w:highlight w:val="none"/>
              </w:rPr>
              <w:t>分；</w:t>
            </w:r>
          </w:p>
          <w:p>
            <w:pPr>
              <w:widowControl/>
              <w:spacing w:line="460" w:lineRule="exact"/>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重点指标</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标★</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优于招标文件的每项加0.5分，</w:t>
            </w:r>
            <w:r>
              <w:rPr>
                <w:rFonts w:hint="eastAsia" w:ascii="新宋体" w:hAnsi="新宋体" w:eastAsia="新宋体" w:cs="新宋体"/>
                <w:color w:val="auto"/>
                <w:sz w:val="22"/>
                <w:szCs w:val="22"/>
                <w:highlight w:val="none"/>
                <w:lang w:val="en-US" w:eastAsia="zh-CN"/>
              </w:rPr>
              <w:t>最多加5</w:t>
            </w:r>
            <w:r>
              <w:rPr>
                <w:rFonts w:hint="eastAsia" w:ascii="新宋体" w:hAnsi="新宋体" w:eastAsia="新宋体" w:cs="新宋体"/>
                <w:color w:val="auto"/>
                <w:sz w:val="22"/>
                <w:szCs w:val="22"/>
                <w:highlight w:val="none"/>
              </w:rPr>
              <w:t>分；</w:t>
            </w:r>
          </w:p>
          <w:p>
            <w:pPr>
              <w:widowControl/>
              <w:spacing w:line="460" w:lineRule="exact"/>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sz w:val="22"/>
                <w:szCs w:val="22"/>
                <w:highlight w:val="none"/>
              </w:rPr>
              <w:t>不满足招标参数的A档:</w:t>
            </w:r>
            <w:r>
              <w:rPr>
                <w:rFonts w:hint="eastAsia" w:ascii="新宋体" w:hAnsi="新宋体" w:eastAsia="新宋体" w:cs="新宋体"/>
                <w:color w:val="auto"/>
                <w:sz w:val="22"/>
                <w:szCs w:val="22"/>
                <w:highlight w:val="none"/>
                <w:lang w:val="en-US" w:eastAsia="zh-CN"/>
              </w:rPr>
              <w:t>8</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6</w:t>
            </w:r>
            <w:r>
              <w:rPr>
                <w:rFonts w:hint="eastAsia" w:ascii="新宋体" w:hAnsi="新宋体" w:eastAsia="新宋体" w:cs="新宋体"/>
                <w:color w:val="auto"/>
                <w:sz w:val="22"/>
                <w:szCs w:val="22"/>
                <w:highlight w:val="none"/>
              </w:rPr>
              <w:t>分；B档：</w:t>
            </w:r>
            <w:r>
              <w:rPr>
                <w:rFonts w:hint="eastAsia" w:ascii="新宋体" w:hAnsi="新宋体" w:eastAsia="新宋体" w:cs="新宋体"/>
                <w:color w:val="auto"/>
                <w:sz w:val="22"/>
                <w:szCs w:val="22"/>
                <w:highlight w:val="none"/>
                <w:lang w:val="en-US" w:eastAsia="zh-CN"/>
              </w:rPr>
              <w:t>5</w:t>
            </w:r>
            <w:r>
              <w:rPr>
                <w:rFonts w:hint="eastAsia" w:ascii="新宋体" w:hAnsi="新宋体" w:eastAsia="新宋体" w:cs="新宋体"/>
                <w:color w:val="auto"/>
                <w:sz w:val="22"/>
                <w:szCs w:val="22"/>
                <w:highlight w:val="none"/>
              </w:rPr>
              <w:t>.9-</w:t>
            </w: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rPr>
              <w:t>分 ；C档：</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.9-0分</w:t>
            </w:r>
            <w:r>
              <w:rPr>
                <w:rFonts w:hint="eastAsia" w:ascii="新宋体" w:hAnsi="新宋体" w:eastAsia="新宋体" w:cs="新宋体"/>
                <w:bCs/>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p>
        </w:tc>
        <w:tc>
          <w:tcPr>
            <w:tcW w:w="112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lang w:bidi="ar"/>
              </w:rPr>
              <w:t>投标产品情况</w:t>
            </w:r>
          </w:p>
        </w:tc>
        <w:tc>
          <w:tcPr>
            <w:tcW w:w="7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3分</w:t>
            </w:r>
          </w:p>
        </w:tc>
        <w:tc>
          <w:tcPr>
            <w:tcW w:w="6876" w:type="dxa"/>
            <w:noWrap w:val="0"/>
            <w:vAlign w:val="center"/>
          </w:tcPr>
          <w:p>
            <w:pPr>
              <w:widowControl/>
              <w:spacing w:line="460" w:lineRule="exact"/>
              <w:jc w:val="left"/>
              <w:textAlignment w:val="center"/>
              <w:rPr>
                <w:rFonts w:hint="eastAsia" w:ascii="新宋体" w:hAnsi="新宋体" w:eastAsia="新宋体" w:cs="新宋体"/>
                <w:color w:val="auto"/>
                <w:kern w:val="0"/>
                <w:sz w:val="22"/>
                <w:szCs w:val="22"/>
                <w:highlight w:val="none"/>
                <w:lang w:bidi="ar"/>
              </w:rPr>
            </w:pPr>
            <w:r>
              <w:rPr>
                <w:rFonts w:hint="eastAsia" w:ascii="新宋体" w:hAnsi="新宋体" w:eastAsia="新宋体" w:cs="新宋体"/>
                <w:color w:val="auto"/>
                <w:kern w:val="0"/>
                <w:sz w:val="22"/>
                <w:szCs w:val="22"/>
                <w:highlight w:val="none"/>
                <w:lang w:bidi="ar"/>
              </w:rPr>
              <w:t>根据投标设备的品牌形象、产品成熟度、用户美誉度、相关行业测评资料、获得的各种证书、其他特殊要求因素（如安全及环保等）</w:t>
            </w:r>
          </w:p>
          <w:p>
            <w:pPr>
              <w:widowControl/>
              <w:spacing w:line="460" w:lineRule="exact"/>
              <w:jc w:val="left"/>
              <w:textAlignment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A档:3-2分；B档：1.9-1分 ；C档：0.9-0分</w:t>
            </w:r>
            <w:r>
              <w:rPr>
                <w:rFonts w:hint="eastAsia" w:ascii="新宋体" w:hAnsi="新宋体" w:eastAsia="新宋体" w:cs="新宋体"/>
                <w:bCs/>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Merge w:val="restart"/>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p>
        </w:tc>
        <w:tc>
          <w:tcPr>
            <w:tcW w:w="1120" w:type="dxa"/>
            <w:vMerge w:val="restart"/>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技术方案</w:t>
            </w:r>
          </w:p>
        </w:tc>
        <w:tc>
          <w:tcPr>
            <w:tcW w:w="7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5分</w:t>
            </w:r>
          </w:p>
        </w:tc>
        <w:tc>
          <w:tcPr>
            <w:tcW w:w="6876" w:type="dxa"/>
            <w:noWrap w:val="0"/>
            <w:vAlign w:val="center"/>
          </w:tcPr>
          <w:p>
            <w:pPr>
              <w:widowControl/>
              <w:spacing w:line="460" w:lineRule="exact"/>
              <w:rPr>
                <w:rFonts w:hint="eastAsia" w:ascii="新宋体" w:hAnsi="新宋体" w:eastAsia="新宋体" w:cs="新宋体"/>
                <w:color w:val="auto"/>
                <w:kern w:val="0"/>
                <w:sz w:val="22"/>
                <w:szCs w:val="22"/>
                <w:highlight w:val="none"/>
                <w:lang w:bidi="ar"/>
              </w:rPr>
            </w:pPr>
            <w:r>
              <w:rPr>
                <w:rFonts w:hint="eastAsia" w:ascii="新宋体" w:hAnsi="新宋体" w:eastAsia="新宋体" w:cs="新宋体"/>
                <w:color w:val="auto"/>
                <w:kern w:val="0"/>
                <w:sz w:val="22"/>
                <w:szCs w:val="22"/>
                <w:highlight w:val="none"/>
                <w:lang w:bidi="ar"/>
              </w:rPr>
              <w:t>投标人对项目现状和需求的理解程度，并分析项目建设的重点与难点，根据项目整体方案的完备性、合理性进行综合评定打分</w:t>
            </w:r>
          </w:p>
          <w:p>
            <w:pPr>
              <w:widowControl/>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sz w:val="22"/>
                <w:szCs w:val="22"/>
                <w:highlight w:val="none"/>
              </w:rPr>
              <w:t>A档:5-4分；B档：3.9-2分 ；C档：1.9-0分</w:t>
            </w:r>
            <w:r>
              <w:rPr>
                <w:rFonts w:hint="eastAsia" w:ascii="新宋体" w:hAnsi="新宋体" w:eastAsia="新宋体" w:cs="新宋体"/>
                <w:bCs/>
                <w:color w:val="auto"/>
                <w:sz w:val="22"/>
                <w:szCs w:val="22"/>
                <w:highlight w:val="none"/>
              </w:rPr>
              <w:t>。</w:t>
            </w:r>
            <w:r>
              <w:rPr>
                <w:rFonts w:hint="eastAsia" w:ascii="新宋体" w:hAnsi="新宋体" w:eastAsia="新宋体" w:cs="新宋体"/>
                <w:color w:val="auto"/>
                <w:kern w:val="0"/>
                <w:sz w:val="22"/>
                <w:szCs w:val="22"/>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Merge w:val="continue"/>
            <w:noWrap w:val="0"/>
            <w:vAlign w:val="center"/>
          </w:tcPr>
          <w:p>
            <w:pPr>
              <w:widowControl/>
              <w:spacing w:line="460" w:lineRule="exact"/>
              <w:jc w:val="left"/>
              <w:rPr>
                <w:rFonts w:hint="eastAsia" w:ascii="新宋体" w:hAnsi="新宋体" w:eastAsia="新宋体" w:cs="新宋体"/>
                <w:color w:val="auto"/>
                <w:kern w:val="0"/>
                <w:sz w:val="22"/>
                <w:szCs w:val="22"/>
                <w:highlight w:val="none"/>
              </w:rPr>
            </w:pPr>
          </w:p>
        </w:tc>
        <w:tc>
          <w:tcPr>
            <w:tcW w:w="1120" w:type="dxa"/>
            <w:vMerge w:val="continue"/>
            <w:noWrap w:val="0"/>
            <w:vAlign w:val="center"/>
          </w:tcPr>
          <w:p>
            <w:pPr>
              <w:widowControl/>
              <w:spacing w:line="460" w:lineRule="exact"/>
              <w:jc w:val="left"/>
              <w:rPr>
                <w:rFonts w:hint="eastAsia" w:ascii="新宋体" w:hAnsi="新宋体" w:eastAsia="新宋体" w:cs="新宋体"/>
                <w:color w:val="auto"/>
                <w:kern w:val="0"/>
                <w:sz w:val="22"/>
                <w:szCs w:val="22"/>
                <w:highlight w:val="none"/>
              </w:rPr>
            </w:pPr>
          </w:p>
        </w:tc>
        <w:tc>
          <w:tcPr>
            <w:tcW w:w="7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8分</w:t>
            </w:r>
          </w:p>
        </w:tc>
        <w:tc>
          <w:tcPr>
            <w:tcW w:w="6876" w:type="dxa"/>
            <w:noWrap w:val="0"/>
            <w:vAlign w:val="center"/>
          </w:tcPr>
          <w:p>
            <w:pPr>
              <w:widowControl/>
              <w:spacing w:line="460" w:lineRule="exact"/>
              <w:rPr>
                <w:rStyle w:val="91"/>
                <w:rFonts w:hint="default" w:ascii="新宋体" w:hAnsi="新宋体" w:eastAsia="新宋体" w:cs="新宋体"/>
                <w:color w:val="auto"/>
                <w:sz w:val="22"/>
                <w:szCs w:val="22"/>
                <w:highlight w:val="none"/>
                <w:lang w:bidi="ar"/>
              </w:rPr>
            </w:pPr>
            <w:r>
              <w:rPr>
                <w:rFonts w:hint="eastAsia" w:ascii="新宋体" w:hAnsi="新宋体" w:eastAsia="新宋体" w:cs="新宋体"/>
                <w:color w:val="auto"/>
                <w:kern w:val="0"/>
                <w:sz w:val="22"/>
                <w:szCs w:val="22"/>
                <w:highlight w:val="none"/>
                <w:lang w:bidi="ar"/>
              </w:rPr>
              <w:t>针对项目所设计详细设计方案，包含系统理解、架构设计、技术路线、</w:t>
            </w:r>
            <w:r>
              <w:rPr>
                <w:rStyle w:val="91"/>
                <w:rFonts w:hint="default" w:ascii="新宋体" w:hAnsi="新宋体" w:eastAsia="新宋体" w:cs="新宋体"/>
                <w:color w:val="auto"/>
                <w:sz w:val="22"/>
                <w:szCs w:val="22"/>
                <w:highlight w:val="none"/>
                <w:lang w:bidi="ar"/>
              </w:rPr>
              <w:t>现场勘察设计、与温州市本级系统兼容情况等，按照投标人详细设计方案的架构合理性、先进性、技术可靠性</w:t>
            </w:r>
          </w:p>
          <w:p>
            <w:pPr>
              <w:widowControl/>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sz w:val="22"/>
                <w:szCs w:val="22"/>
                <w:highlight w:val="none"/>
              </w:rPr>
              <w:t>A档:8-6分；B档：5.9-3分 ；C档：2.9-0分</w:t>
            </w:r>
            <w:r>
              <w:rPr>
                <w:rFonts w:hint="eastAsia" w:ascii="新宋体" w:hAnsi="新宋体" w:eastAsia="新宋体" w:cs="新宋体"/>
                <w:bCs/>
                <w:color w:val="auto"/>
                <w:sz w:val="22"/>
                <w:szCs w:val="22"/>
                <w:highlight w:val="none"/>
              </w:rPr>
              <w:t>。</w:t>
            </w:r>
            <w:r>
              <w:rPr>
                <w:rFonts w:hint="eastAsia" w:ascii="新宋体" w:hAnsi="新宋体" w:eastAsia="新宋体" w:cs="新宋体"/>
                <w:color w:val="auto"/>
                <w:kern w:val="0"/>
                <w:sz w:val="22"/>
                <w:szCs w:val="22"/>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Merge w:val="restart"/>
            <w:noWrap w:val="0"/>
            <w:vAlign w:val="center"/>
          </w:tcPr>
          <w:p>
            <w:pPr>
              <w:widowControl/>
              <w:spacing w:line="460" w:lineRule="exact"/>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w:t>
            </w:r>
          </w:p>
        </w:tc>
        <w:tc>
          <w:tcPr>
            <w:tcW w:w="1120" w:type="dxa"/>
            <w:vMerge w:val="restart"/>
            <w:noWrap w:val="0"/>
            <w:vAlign w:val="center"/>
          </w:tcPr>
          <w:p>
            <w:pPr>
              <w:widowControl/>
              <w:spacing w:line="460" w:lineRule="exact"/>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实施方案</w:t>
            </w:r>
          </w:p>
        </w:tc>
        <w:tc>
          <w:tcPr>
            <w:tcW w:w="7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2分</w:t>
            </w:r>
          </w:p>
        </w:tc>
        <w:tc>
          <w:tcPr>
            <w:tcW w:w="6876" w:type="dxa"/>
            <w:noWrap w:val="0"/>
            <w:vAlign w:val="center"/>
          </w:tcPr>
          <w:p>
            <w:pPr>
              <w:widowControl/>
              <w:spacing w:line="460" w:lineRule="exact"/>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现有光纤资源（提供现有行政区域光纤资源列表）满足项目建设需求情况(2-0分)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Merge w:val="continue"/>
            <w:noWrap w:val="0"/>
            <w:vAlign w:val="center"/>
          </w:tcPr>
          <w:p>
            <w:pPr>
              <w:widowControl/>
              <w:spacing w:line="460" w:lineRule="exact"/>
              <w:jc w:val="left"/>
              <w:rPr>
                <w:rFonts w:hint="eastAsia" w:ascii="新宋体" w:hAnsi="新宋体" w:eastAsia="新宋体" w:cs="新宋体"/>
                <w:color w:val="auto"/>
                <w:kern w:val="0"/>
                <w:sz w:val="22"/>
                <w:szCs w:val="22"/>
                <w:highlight w:val="none"/>
              </w:rPr>
            </w:pPr>
          </w:p>
        </w:tc>
        <w:tc>
          <w:tcPr>
            <w:tcW w:w="1120" w:type="dxa"/>
            <w:vMerge w:val="continue"/>
            <w:noWrap w:val="0"/>
            <w:vAlign w:val="center"/>
          </w:tcPr>
          <w:p>
            <w:pPr>
              <w:widowControl/>
              <w:spacing w:line="460" w:lineRule="exact"/>
              <w:jc w:val="left"/>
              <w:rPr>
                <w:rFonts w:hint="eastAsia" w:ascii="新宋体" w:hAnsi="新宋体" w:eastAsia="新宋体" w:cs="新宋体"/>
                <w:color w:val="auto"/>
                <w:kern w:val="0"/>
                <w:sz w:val="22"/>
                <w:szCs w:val="22"/>
                <w:highlight w:val="none"/>
              </w:rPr>
            </w:pPr>
          </w:p>
        </w:tc>
        <w:tc>
          <w:tcPr>
            <w:tcW w:w="7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5分</w:t>
            </w:r>
          </w:p>
        </w:tc>
        <w:tc>
          <w:tcPr>
            <w:tcW w:w="6876" w:type="dxa"/>
            <w:noWrap w:val="0"/>
            <w:vAlign w:val="center"/>
          </w:tcPr>
          <w:p>
            <w:pPr>
              <w:widowControl/>
              <w:spacing w:line="460" w:lineRule="exact"/>
              <w:jc w:val="left"/>
              <w:rPr>
                <w:rFonts w:hint="eastAsia" w:ascii="新宋体" w:hAnsi="新宋体" w:eastAsia="新宋体" w:cs="新宋体"/>
                <w:color w:val="auto"/>
                <w:kern w:val="0"/>
                <w:sz w:val="22"/>
                <w:szCs w:val="22"/>
                <w:highlight w:val="none"/>
                <w:lang w:bidi="ar"/>
              </w:rPr>
            </w:pPr>
            <w:r>
              <w:rPr>
                <w:rFonts w:hint="eastAsia" w:ascii="新宋体" w:hAnsi="新宋体" w:eastAsia="新宋体" w:cs="新宋体"/>
                <w:color w:val="auto"/>
                <w:kern w:val="0"/>
                <w:sz w:val="22"/>
                <w:szCs w:val="22"/>
                <w:highlight w:val="none"/>
                <w:lang w:bidi="ar"/>
              </w:rPr>
              <w:t>项目实施方案（包括施工组织计划、安全保证措施、质量保证措施、进度保证措施和环境保证措施）</w:t>
            </w:r>
          </w:p>
          <w:p>
            <w:pPr>
              <w:widowControl/>
              <w:spacing w:line="460" w:lineRule="exact"/>
              <w:jc w:val="left"/>
              <w:rPr>
                <w:rFonts w:hint="eastAsia" w:ascii="新宋体" w:hAnsi="新宋体" w:eastAsia="新宋体" w:cs="新宋体"/>
                <w:color w:val="auto"/>
                <w:kern w:val="0"/>
                <w:sz w:val="22"/>
                <w:szCs w:val="22"/>
                <w:highlight w:val="none"/>
                <w:lang w:bidi="ar"/>
              </w:rPr>
            </w:pPr>
            <w:r>
              <w:rPr>
                <w:rFonts w:hint="eastAsia" w:ascii="新宋体" w:hAnsi="新宋体" w:eastAsia="新宋体" w:cs="新宋体"/>
                <w:color w:val="auto"/>
                <w:sz w:val="22"/>
                <w:szCs w:val="22"/>
                <w:highlight w:val="none"/>
              </w:rPr>
              <w:t>A档:5-4分；B档：3.9-2分 ；C档：1.9-0分</w:t>
            </w:r>
            <w:r>
              <w:rPr>
                <w:rFonts w:hint="eastAsia" w:ascii="新宋体" w:hAnsi="新宋体" w:eastAsia="新宋体" w:cs="新宋体"/>
                <w:bCs/>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Merge w:val="continue"/>
            <w:noWrap w:val="0"/>
            <w:vAlign w:val="center"/>
          </w:tcPr>
          <w:p>
            <w:pPr>
              <w:widowControl/>
              <w:spacing w:line="460" w:lineRule="exact"/>
              <w:jc w:val="left"/>
              <w:rPr>
                <w:rFonts w:hint="eastAsia" w:ascii="新宋体" w:hAnsi="新宋体" w:eastAsia="新宋体" w:cs="新宋体"/>
                <w:color w:val="auto"/>
                <w:kern w:val="0"/>
                <w:sz w:val="22"/>
                <w:szCs w:val="22"/>
                <w:highlight w:val="none"/>
              </w:rPr>
            </w:pPr>
          </w:p>
        </w:tc>
        <w:tc>
          <w:tcPr>
            <w:tcW w:w="1120" w:type="dxa"/>
            <w:vMerge w:val="continue"/>
            <w:noWrap w:val="0"/>
            <w:vAlign w:val="center"/>
          </w:tcPr>
          <w:p>
            <w:pPr>
              <w:widowControl/>
              <w:spacing w:line="460" w:lineRule="exact"/>
              <w:jc w:val="left"/>
              <w:rPr>
                <w:rFonts w:hint="eastAsia" w:ascii="新宋体" w:hAnsi="新宋体" w:eastAsia="新宋体" w:cs="新宋体"/>
                <w:color w:val="auto"/>
                <w:kern w:val="0"/>
                <w:sz w:val="22"/>
                <w:szCs w:val="22"/>
                <w:highlight w:val="none"/>
              </w:rPr>
            </w:pPr>
          </w:p>
        </w:tc>
        <w:tc>
          <w:tcPr>
            <w:tcW w:w="7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3分</w:t>
            </w:r>
          </w:p>
        </w:tc>
        <w:tc>
          <w:tcPr>
            <w:tcW w:w="6876" w:type="dxa"/>
            <w:noWrap w:val="0"/>
            <w:vAlign w:val="center"/>
          </w:tcPr>
          <w:p>
            <w:pPr>
              <w:widowControl/>
              <w:spacing w:line="460" w:lineRule="exact"/>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应急响应能力：对项目实施应急能力处理方案，并提供相应材料证明。</w:t>
            </w:r>
          </w:p>
          <w:p>
            <w:pPr>
              <w:pStyle w:val="2"/>
              <w:spacing w:line="460" w:lineRule="exact"/>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A档:3-2分；B档：1.9-1分 ；C档：0.9-0分。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Merge w:val="continue"/>
            <w:noWrap w:val="0"/>
            <w:vAlign w:val="center"/>
          </w:tcPr>
          <w:p>
            <w:pPr>
              <w:widowControl/>
              <w:spacing w:line="460" w:lineRule="exact"/>
              <w:jc w:val="left"/>
              <w:rPr>
                <w:rFonts w:hint="eastAsia" w:ascii="新宋体" w:hAnsi="新宋体" w:eastAsia="新宋体" w:cs="新宋体"/>
                <w:color w:val="auto"/>
                <w:kern w:val="0"/>
                <w:sz w:val="22"/>
                <w:szCs w:val="22"/>
                <w:highlight w:val="none"/>
              </w:rPr>
            </w:pPr>
          </w:p>
        </w:tc>
        <w:tc>
          <w:tcPr>
            <w:tcW w:w="1120" w:type="dxa"/>
            <w:vMerge w:val="continue"/>
            <w:noWrap w:val="0"/>
            <w:vAlign w:val="center"/>
          </w:tcPr>
          <w:p>
            <w:pPr>
              <w:widowControl/>
              <w:spacing w:line="460" w:lineRule="exact"/>
              <w:jc w:val="left"/>
              <w:rPr>
                <w:rFonts w:hint="eastAsia" w:ascii="新宋体" w:hAnsi="新宋体" w:eastAsia="新宋体" w:cs="新宋体"/>
                <w:color w:val="auto"/>
                <w:kern w:val="0"/>
                <w:sz w:val="22"/>
                <w:szCs w:val="22"/>
                <w:highlight w:val="none"/>
              </w:rPr>
            </w:pPr>
          </w:p>
        </w:tc>
        <w:tc>
          <w:tcPr>
            <w:tcW w:w="7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3分</w:t>
            </w:r>
          </w:p>
        </w:tc>
        <w:tc>
          <w:tcPr>
            <w:tcW w:w="6876" w:type="dxa"/>
            <w:noWrap w:val="0"/>
            <w:vAlign w:val="center"/>
          </w:tcPr>
          <w:p>
            <w:pPr>
              <w:widowControl/>
              <w:spacing w:line="460" w:lineRule="exact"/>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工期8个月：仅满足工期要求的不得分，工期每缩短15天加1分，最多可加3分。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8" w:hRule="atLeast"/>
        </w:trPr>
        <w:tc>
          <w:tcPr>
            <w:tcW w:w="660" w:type="dxa"/>
            <w:vMerge w:val="restart"/>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w:t>
            </w:r>
          </w:p>
        </w:tc>
        <w:tc>
          <w:tcPr>
            <w:tcW w:w="1120" w:type="dxa"/>
            <w:vMerge w:val="restart"/>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技术支持情况与服务支持能力</w:t>
            </w:r>
          </w:p>
        </w:tc>
        <w:tc>
          <w:tcPr>
            <w:tcW w:w="7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6分</w:t>
            </w:r>
          </w:p>
        </w:tc>
        <w:tc>
          <w:tcPr>
            <w:tcW w:w="6876" w:type="dxa"/>
            <w:noWrap w:val="0"/>
            <w:vAlign w:val="center"/>
          </w:tcPr>
          <w:p>
            <w:pPr>
              <w:widowControl/>
              <w:spacing w:line="460" w:lineRule="exact"/>
              <w:rPr>
                <w:rFonts w:hint="default" w:ascii="新宋体" w:hAnsi="新宋体" w:eastAsia="新宋体" w:cs="新宋体"/>
                <w:color w:val="auto"/>
                <w:kern w:val="0"/>
                <w:sz w:val="22"/>
                <w:szCs w:val="22"/>
                <w:highlight w:val="none"/>
                <w:lang w:val="en-US" w:eastAsia="zh-CN" w:bidi="ar"/>
              </w:rPr>
            </w:pPr>
            <w:r>
              <w:rPr>
                <w:rFonts w:hint="eastAsia" w:ascii="新宋体" w:hAnsi="新宋体" w:eastAsia="新宋体" w:cs="新宋体"/>
                <w:color w:val="auto"/>
                <w:kern w:val="0"/>
                <w:sz w:val="22"/>
                <w:szCs w:val="22"/>
                <w:highlight w:val="none"/>
                <w:lang w:val="en-US" w:eastAsia="zh-CN" w:bidi="ar"/>
              </w:rPr>
              <w:t>1、</w:t>
            </w:r>
            <w:r>
              <w:rPr>
                <w:rFonts w:hint="eastAsia" w:ascii="新宋体" w:hAnsi="新宋体" w:eastAsia="新宋体" w:cs="新宋体"/>
                <w:color w:val="auto"/>
                <w:kern w:val="0"/>
                <w:sz w:val="22"/>
                <w:szCs w:val="22"/>
                <w:highlight w:val="none"/>
                <w:lang w:bidi="ar"/>
              </w:rPr>
              <w:t>项目负责人同时具有信息系统项目管理师、ITSS和PMP证书得3分</w:t>
            </w:r>
            <w:r>
              <w:rPr>
                <w:rFonts w:hint="eastAsia" w:ascii="新宋体" w:hAnsi="新宋体" w:eastAsia="新宋体" w:cs="新宋体"/>
                <w:color w:val="auto"/>
                <w:kern w:val="0"/>
                <w:sz w:val="22"/>
                <w:szCs w:val="22"/>
                <w:highlight w:val="none"/>
                <w:lang w:eastAsia="zh-CN" w:bidi="ar"/>
              </w:rPr>
              <w:t>；</w:t>
            </w:r>
            <w:r>
              <w:rPr>
                <w:rFonts w:hint="eastAsia" w:ascii="新宋体" w:hAnsi="新宋体" w:eastAsia="新宋体" w:cs="新宋体"/>
                <w:color w:val="auto"/>
                <w:kern w:val="0"/>
                <w:sz w:val="22"/>
                <w:szCs w:val="22"/>
                <w:highlight w:val="none"/>
                <w:lang w:bidi="ar"/>
              </w:rPr>
              <w:t>具备</w:t>
            </w:r>
            <w:r>
              <w:rPr>
                <w:rFonts w:hint="eastAsia" w:ascii="新宋体" w:hAnsi="新宋体" w:eastAsia="新宋体" w:cs="新宋体"/>
                <w:color w:val="auto"/>
                <w:kern w:val="0"/>
                <w:sz w:val="22"/>
                <w:szCs w:val="22"/>
                <w:highlight w:val="none"/>
                <w:lang w:val="en-US" w:eastAsia="zh-CN" w:bidi="ar"/>
              </w:rPr>
              <w:t>2</w:t>
            </w:r>
            <w:r>
              <w:rPr>
                <w:rFonts w:hint="eastAsia" w:ascii="新宋体" w:hAnsi="新宋体" w:eastAsia="新宋体" w:cs="新宋体"/>
                <w:color w:val="auto"/>
                <w:kern w:val="0"/>
                <w:sz w:val="22"/>
                <w:szCs w:val="22"/>
                <w:highlight w:val="none"/>
                <w:lang w:bidi="ar"/>
              </w:rPr>
              <w:t>个得</w:t>
            </w:r>
            <w:r>
              <w:rPr>
                <w:rFonts w:hint="eastAsia" w:ascii="新宋体" w:hAnsi="新宋体" w:eastAsia="新宋体" w:cs="新宋体"/>
                <w:color w:val="auto"/>
                <w:kern w:val="0"/>
                <w:sz w:val="22"/>
                <w:szCs w:val="22"/>
                <w:highlight w:val="none"/>
                <w:lang w:val="en-US" w:eastAsia="zh-CN" w:bidi="ar"/>
              </w:rPr>
              <w:t>2</w:t>
            </w:r>
            <w:r>
              <w:rPr>
                <w:rFonts w:hint="eastAsia" w:ascii="新宋体" w:hAnsi="新宋体" w:eastAsia="新宋体" w:cs="新宋体"/>
                <w:color w:val="auto"/>
                <w:kern w:val="0"/>
                <w:sz w:val="22"/>
                <w:szCs w:val="22"/>
                <w:highlight w:val="none"/>
                <w:lang w:bidi="ar"/>
              </w:rPr>
              <w:t>分</w:t>
            </w:r>
            <w:r>
              <w:rPr>
                <w:rFonts w:hint="eastAsia" w:ascii="新宋体" w:hAnsi="新宋体" w:eastAsia="新宋体" w:cs="新宋体"/>
                <w:color w:val="auto"/>
                <w:kern w:val="0"/>
                <w:sz w:val="22"/>
                <w:szCs w:val="22"/>
                <w:highlight w:val="none"/>
                <w:lang w:eastAsia="zh-CN" w:bidi="ar"/>
              </w:rPr>
              <w:t>；</w:t>
            </w:r>
            <w:r>
              <w:rPr>
                <w:rFonts w:hint="eastAsia" w:ascii="新宋体" w:hAnsi="新宋体" w:eastAsia="新宋体" w:cs="新宋体"/>
                <w:color w:val="auto"/>
                <w:kern w:val="0"/>
                <w:sz w:val="22"/>
                <w:szCs w:val="22"/>
                <w:highlight w:val="none"/>
                <w:lang w:val="en-US" w:eastAsia="zh-CN" w:bidi="ar"/>
              </w:rPr>
              <w:t>备具1个得1分。</w:t>
            </w:r>
          </w:p>
          <w:p>
            <w:pPr>
              <w:widowControl/>
              <w:spacing w:line="460" w:lineRule="exact"/>
              <w:rPr>
                <w:rFonts w:hint="eastAsia" w:ascii="新宋体" w:hAnsi="新宋体" w:eastAsia="新宋体" w:cs="新宋体"/>
                <w:color w:val="auto"/>
                <w:kern w:val="0"/>
                <w:sz w:val="22"/>
                <w:szCs w:val="22"/>
                <w:highlight w:val="none"/>
                <w:lang w:val="en-US" w:eastAsia="zh-CN" w:bidi="ar"/>
              </w:rPr>
            </w:pPr>
            <w:r>
              <w:rPr>
                <w:rFonts w:hint="eastAsia" w:ascii="新宋体" w:hAnsi="新宋体" w:eastAsia="新宋体" w:cs="新宋体"/>
                <w:color w:val="auto"/>
                <w:kern w:val="0"/>
                <w:sz w:val="22"/>
                <w:szCs w:val="22"/>
                <w:highlight w:val="none"/>
                <w:lang w:val="en-US" w:eastAsia="zh-CN" w:bidi="ar"/>
              </w:rPr>
              <w:t>2、项目设备调试负责人具有与投标主设备原厂认证证书及</w:t>
            </w:r>
            <w:r>
              <w:rPr>
                <w:rFonts w:hint="eastAsia" w:ascii="新宋体" w:hAnsi="新宋体" w:eastAsia="新宋体" w:cs="新宋体"/>
                <w:color w:val="auto"/>
                <w:kern w:val="0"/>
                <w:sz w:val="22"/>
                <w:szCs w:val="22"/>
                <w:highlight w:val="none"/>
                <w:lang w:bidi="ar"/>
              </w:rPr>
              <w:t>PMP证书</w:t>
            </w:r>
            <w:r>
              <w:rPr>
                <w:rFonts w:hint="eastAsia" w:ascii="新宋体" w:hAnsi="新宋体" w:eastAsia="新宋体" w:cs="新宋体"/>
                <w:color w:val="auto"/>
                <w:kern w:val="0"/>
                <w:sz w:val="22"/>
                <w:szCs w:val="22"/>
                <w:highlight w:val="none"/>
                <w:lang w:val="en-US" w:eastAsia="zh-CN" w:bidi="ar"/>
              </w:rPr>
              <w:t>得1分</w:t>
            </w:r>
          </w:p>
          <w:p>
            <w:pPr>
              <w:widowControl/>
              <w:spacing w:line="460" w:lineRule="exact"/>
              <w:rPr>
                <w:rFonts w:hint="eastAsia" w:ascii="新宋体" w:hAnsi="新宋体" w:eastAsia="新宋体" w:cs="新宋体"/>
                <w:color w:val="auto"/>
                <w:kern w:val="0"/>
                <w:sz w:val="22"/>
                <w:szCs w:val="22"/>
                <w:highlight w:val="none"/>
                <w:lang w:val="en-US" w:eastAsia="zh-CN" w:bidi="ar"/>
              </w:rPr>
            </w:pPr>
            <w:r>
              <w:rPr>
                <w:rFonts w:hint="eastAsia" w:ascii="新宋体" w:hAnsi="新宋体" w:eastAsia="新宋体" w:cs="新宋体"/>
                <w:color w:val="auto"/>
                <w:kern w:val="0"/>
                <w:sz w:val="22"/>
                <w:szCs w:val="22"/>
                <w:highlight w:val="none"/>
                <w:lang w:val="en-US" w:eastAsia="zh-CN" w:bidi="ar"/>
              </w:rPr>
              <w:t>3、项目团队成员具有系统分析师证书、CISA（注册信息系统审计师）证书、ITIL认证；拥有其中任何一项得1分，最多得2分。</w:t>
            </w:r>
          </w:p>
          <w:p>
            <w:pPr>
              <w:widowControl/>
              <w:spacing w:line="460" w:lineRule="exact"/>
              <w:rPr>
                <w:rFonts w:hint="eastAsia"/>
                <w:color w:val="auto"/>
                <w:highlight w:val="none"/>
              </w:rPr>
            </w:pPr>
            <w:r>
              <w:rPr>
                <w:rFonts w:hint="eastAsia" w:ascii="新宋体" w:hAnsi="新宋体" w:eastAsia="新宋体" w:cs="新宋体"/>
                <w:color w:val="auto"/>
                <w:kern w:val="0"/>
                <w:sz w:val="22"/>
                <w:szCs w:val="22"/>
                <w:highlight w:val="none"/>
                <w:lang w:bidi="ar"/>
              </w:rPr>
              <w:t>注：人员需提供相关证书提供复印件及所在投标人单位的社保证明。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rPr>
        <w:tc>
          <w:tcPr>
            <w:tcW w:w="660" w:type="dxa"/>
            <w:vMerge w:val="continue"/>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p>
        </w:tc>
        <w:tc>
          <w:tcPr>
            <w:tcW w:w="1120" w:type="dxa"/>
            <w:vMerge w:val="continue"/>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p>
        </w:tc>
        <w:tc>
          <w:tcPr>
            <w:tcW w:w="7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4分</w:t>
            </w:r>
          </w:p>
        </w:tc>
        <w:tc>
          <w:tcPr>
            <w:tcW w:w="6876" w:type="dxa"/>
            <w:noWrap w:val="0"/>
            <w:vAlign w:val="center"/>
          </w:tcPr>
          <w:p>
            <w:pPr>
              <w:widowControl/>
              <w:spacing w:line="460" w:lineRule="exact"/>
              <w:rPr>
                <w:rStyle w:val="91"/>
                <w:rFonts w:hint="default" w:ascii="新宋体" w:hAnsi="新宋体" w:eastAsia="新宋体" w:cs="新宋体"/>
                <w:color w:val="auto"/>
                <w:sz w:val="22"/>
                <w:szCs w:val="22"/>
                <w:highlight w:val="none"/>
                <w:lang w:bidi="ar"/>
              </w:rPr>
            </w:pPr>
            <w:r>
              <w:rPr>
                <w:rFonts w:hint="eastAsia" w:ascii="新宋体" w:hAnsi="新宋体" w:eastAsia="新宋体" w:cs="新宋体"/>
                <w:color w:val="auto"/>
                <w:kern w:val="0"/>
                <w:sz w:val="22"/>
                <w:szCs w:val="22"/>
                <w:highlight w:val="none"/>
                <w:lang w:bidi="ar"/>
              </w:rPr>
              <w:t>售后服务方案满足招标文件要求，服务体系完善，承诺服务内容优越，针对性强，维保队伍的配备、计划安排情况</w:t>
            </w:r>
            <w:r>
              <w:rPr>
                <w:rStyle w:val="91"/>
                <w:rFonts w:hint="default" w:ascii="新宋体" w:hAnsi="新宋体" w:eastAsia="新宋体" w:cs="新宋体"/>
                <w:color w:val="auto"/>
                <w:sz w:val="22"/>
                <w:szCs w:val="22"/>
                <w:highlight w:val="none"/>
                <w:lang w:bidi="ar"/>
              </w:rPr>
              <w:t>、应急预案合理有效，售后服务人员组织结构合理、维护体系健全，技术支持保障到位；培训方案及计划科学合理、培训内容全面、针对性强</w:t>
            </w:r>
          </w:p>
          <w:p>
            <w:pPr>
              <w:widowControl/>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sz w:val="22"/>
                <w:szCs w:val="22"/>
                <w:highlight w:val="none"/>
              </w:rPr>
              <w:t>A档:4-3分；B档：2.9-1分 ；C档：0.9-0分</w:t>
            </w:r>
            <w:r>
              <w:rPr>
                <w:rFonts w:hint="eastAsia" w:ascii="新宋体" w:hAnsi="新宋体" w:eastAsia="新宋体" w:cs="新宋体"/>
                <w:bCs/>
                <w:color w:val="auto"/>
                <w:sz w:val="22"/>
                <w:szCs w:val="22"/>
                <w:highlight w:val="none"/>
              </w:rPr>
              <w:t>。</w:t>
            </w:r>
            <w:r>
              <w:rPr>
                <w:rFonts w:hint="eastAsia" w:ascii="新宋体" w:hAnsi="新宋体" w:eastAsia="新宋体" w:cs="新宋体"/>
                <w:color w:val="auto"/>
                <w:kern w:val="0"/>
                <w:sz w:val="22"/>
                <w:szCs w:val="22"/>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Merge w:val="continue"/>
            <w:noWrap w:val="0"/>
            <w:vAlign w:val="center"/>
          </w:tcPr>
          <w:p>
            <w:pPr>
              <w:widowControl/>
              <w:spacing w:line="460" w:lineRule="exact"/>
              <w:jc w:val="left"/>
              <w:rPr>
                <w:rFonts w:hint="eastAsia" w:ascii="新宋体" w:hAnsi="新宋体" w:eastAsia="新宋体" w:cs="新宋体"/>
                <w:color w:val="auto"/>
                <w:kern w:val="0"/>
                <w:sz w:val="22"/>
                <w:szCs w:val="22"/>
                <w:highlight w:val="none"/>
              </w:rPr>
            </w:pPr>
          </w:p>
        </w:tc>
        <w:tc>
          <w:tcPr>
            <w:tcW w:w="1120" w:type="dxa"/>
            <w:vMerge w:val="continue"/>
            <w:noWrap w:val="0"/>
            <w:vAlign w:val="center"/>
          </w:tcPr>
          <w:p>
            <w:pPr>
              <w:widowControl/>
              <w:spacing w:line="460" w:lineRule="exact"/>
              <w:jc w:val="left"/>
              <w:rPr>
                <w:rFonts w:hint="eastAsia" w:ascii="新宋体" w:hAnsi="新宋体" w:eastAsia="新宋体" w:cs="新宋体"/>
                <w:color w:val="auto"/>
                <w:kern w:val="0"/>
                <w:sz w:val="22"/>
                <w:szCs w:val="22"/>
                <w:highlight w:val="none"/>
              </w:rPr>
            </w:pPr>
          </w:p>
        </w:tc>
        <w:tc>
          <w:tcPr>
            <w:tcW w:w="7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2分</w:t>
            </w:r>
          </w:p>
        </w:tc>
        <w:tc>
          <w:tcPr>
            <w:tcW w:w="6876" w:type="dxa"/>
            <w:noWrap w:val="0"/>
            <w:vAlign w:val="center"/>
          </w:tcPr>
          <w:p>
            <w:pPr>
              <w:widowControl/>
              <w:spacing w:line="460" w:lineRule="exact"/>
              <w:rPr>
                <w:rFonts w:hint="default" w:ascii="新宋体" w:hAnsi="新宋体" w:eastAsia="新宋体" w:cs="新宋体"/>
                <w:color w:val="auto"/>
                <w:kern w:val="0"/>
                <w:sz w:val="22"/>
                <w:szCs w:val="22"/>
                <w:highlight w:val="none"/>
                <w:lang w:val="en-US" w:eastAsia="zh-CN"/>
              </w:rPr>
            </w:pPr>
            <w:r>
              <w:rPr>
                <w:rFonts w:hint="eastAsia" w:ascii="新宋体" w:hAnsi="新宋体" w:eastAsia="新宋体" w:cs="新宋体"/>
                <w:color w:val="auto"/>
                <w:kern w:val="0"/>
                <w:sz w:val="22"/>
                <w:szCs w:val="22"/>
                <w:highlight w:val="none"/>
              </w:rPr>
              <w:t>主要设备厂商（摄像机、存储）在本地区固定服务点的配备情况，得2-0分；</w:t>
            </w:r>
            <w:r>
              <w:rPr>
                <w:rFonts w:hint="eastAsia" w:ascii="新宋体" w:hAnsi="新宋体" w:eastAsia="新宋体" w:cs="新宋体"/>
                <w:color w:val="auto"/>
                <w:kern w:val="0"/>
                <w:sz w:val="22"/>
                <w:szCs w:val="22"/>
                <w:highlight w:val="none"/>
                <w:lang w:val="en-US" w:eastAsia="zh-CN"/>
              </w:rPr>
              <w:t>提供服务点证明材料。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w:t>
            </w:r>
          </w:p>
        </w:tc>
        <w:tc>
          <w:tcPr>
            <w:tcW w:w="112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同类项目业绩</w:t>
            </w:r>
          </w:p>
        </w:tc>
        <w:tc>
          <w:tcPr>
            <w:tcW w:w="7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5分</w:t>
            </w:r>
          </w:p>
        </w:tc>
        <w:tc>
          <w:tcPr>
            <w:tcW w:w="6876" w:type="dxa"/>
            <w:noWrap w:val="0"/>
            <w:vAlign w:val="center"/>
          </w:tcPr>
          <w:p>
            <w:pPr>
              <w:widowControl/>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根据投标人的2017年1月1日以来签署同类项目业绩（业绩内容包括：</w:t>
            </w:r>
            <w:r>
              <w:rPr>
                <w:rStyle w:val="91"/>
                <w:rFonts w:hint="default" w:ascii="新宋体" w:hAnsi="新宋体" w:eastAsia="新宋体" w:cs="新宋体"/>
                <w:color w:val="auto"/>
                <w:sz w:val="22"/>
                <w:szCs w:val="22"/>
                <w:highlight w:val="none"/>
                <w:lang w:bidi="ar"/>
              </w:rPr>
              <w:t>电警或卡口或信号系统）</w:t>
            </w:r>
            <w:r>
              <w:rPr>
                <w:rFonts w:hint="eastAsia" w:ascii="新宋体" w:hAnsi="新宋体" w:eastAsia="新宋体" w:cs="新宋体"/>
                <w:color w:val="auto"/>
                <w:kern w:val="0"/>
                <w:sz w:val="22"/>
                <w:szCs w:val="22"/>
                <w:highlight w:val="none"/>
              </w:rPr>
              <w:t>，每个得1分，本项最高5分（</w:t>
            </w:r>
            <w:r>
              <w:rPr>
                <w:rFonts w:hint="eastAsia" w:ascii="新宋体" w:hAnsi="新宋体" w:eastAsia="新宋体" w:cs="新宋体"/>
                <w:color w:val="auto"/>
                <w:sz w:val="22"/>
                <w:szCs w:val="22"/>
                <w:highlight w:val="none"/>
              </w:rPr>
              <w:t>需提供合同与验收报告复印件，并加盖公章</w:t>
            </w:r>
            <w:r>
              <w:rPr>
                <w:rFonts w:hint="eastAsia" w:ascii="新宋体" w:hAnsi="新宋体" w:eastAsia="新宋体" w:cs="新宋体"/>
                <w:color w:val="auto"/>
                <w:kern w:val="0"/>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w:t>
            </w:r>
          </w:p>
        </w:tc>
        <w:tc>
          <w:tcPr>
            <w:tcW w:w="112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sz w:val="22"/>
                <w:szCs w:val="22"/>
                <w:highlight w:val="none"/>
              </w:rPr>
              <w:t>节能环保</w:t>
            </w:r>
          </w:p>
        </w:tc>
        <w:tc>
          <w:tcPr>
            <w:tcW w:w="760" w:type="dxa"/>
            <w:noWrap w:val="0"/>
            <w:vAlign w:val="center"/>
          </w:tcPr>
          <w:p>
            <w:pPr>
              <w:widowControl/>
              <w:spacing w:line="460" w:lineRule="exac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sz w:val="22"/>
                <w:szCs w:val="22"/>
                <w:highlight w:val="none"/>
              </w:rPr>
              <w:t>1分</w:t>
            </w:r>
          </w:p>
        </w:tc>
        <w:tc>
          <w:tcPr>
            <w:tcW w:w="6876" w:type="dxa"/>
            <w:noWrap w:val="0"/>
            <w:vAlign w:val="center"/>
          </w:tcPr>
          <w:p>
            <w:pPr>
              <w:widowControl/>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产品列入财政部、发展改革委“节能产品政府采购品目清单”（0.5-0分），</w:t>
            </w:r>
          </w:p>
          <w:p>
            <w:pPr>
              <w:widowControl/>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产品列入财政部、生态环境部“环境标志产品政府采购品目清单”（0.5-0分）；</w:t>
            </w:r>
          </w:p>
          <w:p>
            <w:pPr>
              <w:widowControl/>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自行提供证明材料（如标注本次投标产品的清单），由评标委员会根据列入目录清单的产品占比酌情给分。未提供证明材料或不能清楚辨析的不得分。</w:t>
            </w:r>
          </w:p>
        </w:tc>
      </w:tr>
    </w:tbl>
    <w:p>
      <w:pPr>
        <w:pStyle w:val="23"/>
        <w:spacing w:line="460" w:lineRule="exact"/>
        <w:ind w:left="442" w:firstLine="0" w:firstLineChars="0"/>
        <w:rPr>
          <w:rFonts w:hint="eastAsia" w:ascii="新宋体" w:hAnsi="新宋体" w:eastAsia="新宋体" w:cs="新宋体"/>
          <w:b/>
          <w:color w:val="auto"/>
          <w:sz w:val="22"/>
          <w:szCs w:val="22"/>
          <w:highlight w:val="none"/>
        </w:rPr>
      </w:pPr>
    </w:p>
    <w:p>
      <w:pPr>
        <w:pStyle w:val="23"/>
        <w:spacing w:line="460" w:lineRule="exact"/>
        <w:ind w:left="442" w:firstLine="0" w:firstLineChars="0"/>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2、商务评分：</w:t>
      </w:r>
      <w:r>
        <w:rPr>
          <w:rFonts w:hint="eastAsia" w:ascii="新宋体" w:hAnsi="新宋体" w:eastAsia="新宋体"/>
          <w:b/>
          <w:bCs/>
          <w:color w:val="auto"/>
          <w:sz w:val="22"/>
          <w:szCs w:val="22"/>
          <w:highlight w:val="none"/>
        </w:rPr>
        <w:t>30分（权值30%）</w:t>
      </w:r>
    </w:p>
    <w:p>
      <w:pPr>
        <w:spacing w:line="46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满足招标文件要求且投标报价最低的投标报价为评标基准价，其余投标人投标报价与该基准价对比，计算出商务报价评分值（保留小数2位）：</w:t>
      </w:r>
    </w:p>
    <w:p>
      <w:pPr>
        <w:spacing w:line="46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1）有效投标人的投标报价等于评标基准价时其报价分为满分30分；</w:t>
      </w:r>
    </w:p>
    <w:p>
      <w:pPr>
        <w:spacing w:line="46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2）其他投标人的价格分按以下公式计算：</w:t>
      </w:r>
    </w:p>
    <w:p>
      <w:pPr>
        <w:spacing w:line="46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投标报价得分=（评分基准价/投标人投标报价）× 价格权值 ×100（保留小数2位）</w:t>
      </w:r>
    </w:p>
    <w:p>
      <w:pPr>
        <w:rPr>
          <w:rFonts w:hint="eastAsia" w:ascii="新宋体" w:hAnsi="新宋体" w:eastAsia="新宋体"/>
          <w:color w:val="auto"/>
          <w:sz w:val="22"/>
          <w:szCs w:val="22"/>
          <w:highlight w:val="none"/>
        </w:rPr>
      </w:pPr>
    </w:p>
    <w:p>
      <w:pPr>
        <w:rPr>
          <w:rFonts w:hint="eastAsia" w:ascii="新宋体" w:hAnsi="新宋体" w:eastAsia="新宋体"/>
          <w:color w:val="auto"/>
          <w:sz w:val="22"/>
          <w:szCs w:val="22"/>
          <w:highlight w:val="none"/>
        </w:rPr>
      </w:pPr>
    </w:p>
    <w:p>
      <w:pPr>
        <w:spacing w:line="460" w:lineRule="exact"/>
        <w:ind w:firstLine="541" w:firstLineChars="245"/>
        <w:jc w:val="center"/>
        <w:outlineLvl w:val="2"/>
        <w:rPr>
          <w:rFonts w:hint="eastAsia" w:ascii="新宋体" w:hAnsi="新宋体" w:eastAsia="新宋体"/>
          <w:b/>
          <w:bCs/>
          <w:color w:val="auto"/>
          <w:sz w:val="22"/>
          <w:highlight w:val="none"/>
        </w:rPr>
      </w:pPr>
      <w:r>
        <w:rPr>
          <w:rFonts w:hint="eastAsia" w:ascii="新宋体" w:hAnsi="新宋体" w:eastAsia="新宋体"/>
          <w:b/>
          <w:bCs/>
          <w:color w:val="auto"/>
          <w:sz w:val="22"/>
          <w:highlight w:val="none"/>
        </w:rPr>
        <w:t>标段三：项目咨询监理</w:t>
      </w:r>
    </w:p>
    <w:p>
      <w:pPr>
        <w:spacing w:line="460" w:lineRule="exact"/>
        <w:ind w:firstLine="541" w:firstLineChars="245"/>
        <w:rPr>
          <w:rFonts w:hint="eastAsia" w:ascii="新宋体" w:hAnsi="新宋体" w:eastAsia="新宋体"/>
          <w:b/>
          <w:color w:val="auto"/>
          <w:sz w:val="22"/>
          <w:szCs w:val="22"/>
          <w:highlight w:val="none"/>
        </w:rPr>
      </w:pPr>
      <w:r>
        <w:rPr>
          <w:rFonts w:hint="eastAsia" w:ascii="新宋体" w:hAnsi="新宋体" w:eastAsia="新宋体"/>
          <w:b/>
          <w:color w:val="auto"/>
          <w:sz w:val="22"/>
          <w:szCs w:val="22"/>
          <w:highlight w:val="none"/>
        </w:rPr>
        <w:t>1、技术分的评定：技术标</w:t>
      </w:r>
      <w:r>
        <w:rPr>
          <w:rFonts w:ascii="新宋体" w:hAnsi="新宋体" w:eastAsia="新宋体"/>
          <w:b/>
          <w:color w:val="auto"/>
          <w:sz w:val="22"/>
          <w:szCs w:val="22"/>
          <w:highlight w:val="none"/>
        </w:rPr>
        <w:t>8</w:t>
      </w:r>
      <w:r>
        <w:rPr>
          <w:rFonts w:hint="eastAsia" w:ascii="新宋体" w:hAnsi="新宋体" w:eastAsia="新宋体"/>
          <w:b/>
          <w:color w:val="auto"/>
          <w:sz w:val="22"/>
          <w:szCs w:val="22"/>
          <w:highlight w:val="none"/>
        </w:rPr>
        <w:t>0分（权值</w:t>
      </w:r>
      <w:r>
        <w:rPr>
          <w:rFonts w:ascii="新宋体" w:hAnsi="新宋体" w:eastAsia="新宋体"/>
          <w:b/>
          <w:color w:val="auto"/>
          <w:sz w:val="22"/>
          <w:szCs w:val="22"/>
          <w:highlight w:val="none"/>
        </w:rPr>
        <w:t>8</w:t>
      </w:r>
      <w:r>
        <w:rPr>
          <w:rFonts w:hint="eastAsia" w:ascii="新宋体" w:hAnsi="新宋体" w:eastAsia="新宋体"/>
          <w:b/>
          <w:color w:val="auto"/>
          <w:sz w:val="22"/>
          <w:szCs w:val="22"/>
          <w:highlight w:val="none"/>
        </w:rPr>
        <w:t>0%）</w:t>
      </w:r>
    </w:p>
    <w:p>
      <w:pPr>
        <w:spacing w:line="460" w:lineRule="exact"/>
        <w:ind w:firstLine="539" w:firstLineChars="245"/>
        <w:rPr>
          <w:rFonts w:ascii="新宋体" w:hAnsi="新宋体" w:eastAsia="新宋体"/>
          <w:color w:val="auto"/>
          <w:sz w:val="22"/>
          <w:highlight w:val="none"/>
        </w:rPr>
      </w:pPr>
      <w:r>
        <w:rPr>
          <w:rFonts w:hint="eastAsia" w:ascii="新宋体" w:hAnsi="新宋体" w:eastAsia="新宋体"/>
          <w:color w:val="auto"/>
          <w:sz w:val="22"/>
          <w:szCs w:val="22"/>
          <w:highlight w:val="none"/>
        </w:rPr>
        <w:t>各评委成员按下列评分项目进行评判，每人一张评分计算票，并记名。投标文件各项评分内容由评标委员会成员各自评分，如某张票的一个因素项目超过规定的范围，则该张票无效。</w:t>
      </w:r>
      <w:r>
        <w:rPr>
          <w:rFonts w:hint="eastAsia" w:ascii="新宋体" w:hAnsi="新宋体" w:eastAsia="新宋体"/>
          <w:color w:val="auto"/>
          <w:sz w:val="22"/>
          <w:highlight w:val="none"/>
        </w:rPr>
        <w:t>各评标委员会成员对各投标人的各项评分内容评分的算术平均值为各投标人技术分得分</w:t>
      </w:r>
      <w:r>
        <w:rPr>
          <w:rFonts w:hint="eastAsia" w:ascii="新宋体" w:hAnsi="新宋体" w:eastAsia="新宋体"/>
          <w:color w:val="auto"/>
          <w:sz w:val="22"/>
          <w:szCs w:val="22"/>
          <w:highlight w:val="none"/>
        </w:rPr>
        <w:t>（小数点后按四舍五入保留2位）。</w:t>
      </w:r>
    </w:p>
    <w:tbl>
      <w:tblPr>
        <w:tblStyle w:val="52"/>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060"/>
        <w:gridCol w:w="744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序号</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评分项目</w:t>
            </w:r>
          </w:p>
        </w:tc>
        <w:tc>
          <w:tcPr>
            <w:tcW w:w="7444"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评分细则</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投标人情况</w:t>
            </w:r>
          </w:p>
        </w:tc>
        <w:tc>
          <w:tcPr>
            <w:tcW w:w="7444"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1、同时具备质量管理体系认证、环境管理体系认证、职业健康安全管理体系认证、信息安全管理体系认证，每提供一项认证得1分，最多4分；</w:t>
            </w:r>
          </w:p>
          <w:p>
            <w:pPr>
              <w:tabs>
                <w:tab w:val="left" w:pos="0"/>
              </w:tabs>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、投标人具有场监督管理局颁发的“守合同重信用”企业证书的得2分。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同类项目业绩</w:t>
            </w:r>
          </w:p>
        </w:tc>
        <w:tc>
          <w:tcPr>
            <w:tcW w:w="7444"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投标人2018年1月1日以来（以合同签订时间为准）承接过类似信息化监理项目业绩的，每个业绩为1分，最高4分（证明材料为合同复印件，若合同内容无法体现的可另行提供业主证明材料）。</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5" w:type="dxa"/>
            <w:vMerge w:val="restart"/>
            <w:tcBorders>
              <w:top w:val="single" w:color="auto" w:sz="4" w:space="0"/>
              <w:left w:val="single" w:color="auto" w:sz="4" w:space="0"/>
              <w:right w:val="single" w:color="auto" w:sz="4" w:space="0"/>
            </w:tcBorders>
            <w:noWrap w:val="0"/>
            <w:vAlign w:val="center"/>
          </w:tcPr>
          <w:p>
            <w:pPr>
              <w:adjustRightInd w:val="0"/>
              <w:snapToGrid w:val="0"/>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1060" w:type="dxa"/>
            <w:vMerge w:val="restart"/>
            <w:tcBorders>
              <w:top w:val="single" w:color="auto" w:sz="4" w:space="0"/>
              <w:left w:val="single" w:color="auto" w:sz="4" w:space="0"/>
              <w:right w:val="single" w:color="auto" w:sz="4" w:space="0"/>
            </w:tcBorders>
            <w:noWrap w:val="0"/>
            <w:vAlign w:val="center"/>
          </w:tcPr>
          <w:p>
            <w:pPr>
              <w:tabs>
                <w:tab w:val="left" w:pos="0"/>
              </w:tabs>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监理技术方案</w:t>
            </w:r>
          </w:p>
        </w:tc>
        <w:tc>
          <w:tcPr>
            <w:tcW w:w="7444"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监理服务大纲：根据投标响应方针对本项目制作的监理服务大纲,其内容简明扼要，重点突出，针对性强。（6-0分）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5" w:type="dxa"/>
            <w:vMerge w:val="continue"/>
            <w:tcBorders>
              <w:left w:val="single" w:color="auto" w:sz="4" w:space="0"/>
              <w:right w:val="single" w:color="auto" w:sz="4" w:space="0"/>
            </w:tcBorders>
            <w:noWrap w:val="0"/>
            <w:vAlign w:val="center"/>
          </w:tcPr>
          <w:p>
            <w:pPr>
              <w:adjustRightInd w:val="0"/>
              <w:snapToGrid w:val="0"/>
              <w:spacing w:line="360" w:lineRule="auto"/>
              <w:jc w:val="center"/>
              <w:rPr>
                <w:rFonts w:ascii="新宋体" w:hAnsi="新宋体" w:eastAsia="新宋体" w:cs="新宋体"/>
                <w:color w:val="auto"/>
                <w:sz w:val="22"/>
                <w:szCs w:val="22"/>
                <w:highlight w:val="none"/>
              </w:rPr>
            </w:pPr>
          </w:p>
        </w:tc>
        <w:tc>
          <w:tcPr>
            <w:tcW w:w="1060" w:type="dxa"/>
            <w:vMerge w:val="continue"/>
            <w:tcBorders>
              <w:left w:val="single" w:color="auto" w:sz="4" w:space="0"/>
              <w:right w:val="single" w:color="auto" w:sz="4" w:space="0"/>
            </w:tcBorders>
            <w:noWrap w:val="0"/>
            <w:vAlign w:val="center"/>
          </w:tcPr>
          <w:p>
            <w:pPr>
              <w:tabs>
                <w:tab w:val="left" w:pos="0"/>
              </w:tabs>
              <w:spacing w:line="360" w:lineRule="auto"/>
              <w:jc w:val="center"/>
              <w:rPr>
                <w:rFonts w:ascii="新宋体" w:hAnsi="新宋体" w:eastAsia="新宋体" w:cs="新宋体"/>
                <w:color w:val="auto"/>
                <w:sz w:val="22"/>
                <w:szCs w:val="22"/>
                <w:highlight w:val="none"/>
              </w:rPr>
            </w:pPr>
          </w:p>
        </w:tc>
        <w:tc>
          <w:tcPr>
            <w:tcW w:w="7444"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关键点的特殊控制方案：根据投标响应方针对本项目情况找准关键点，并提出切实可行的特殊控制措施的科学性、合理性、可行性（6-0分）。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5" w:type="dxa"/>
            <w:vMerge w:val="continue"/>
            <w:tcBorders>
              <w:left w:val="single" w:color="auto" w:sz="4" w:space="0"/>
              <w:right w:val="single" w:color="auto" w:sz="4" w:space="0"/>
            </w:tcBorders>
            <w:noWrap w:val="0"/>
            <w:vAlign w:val="center"/>
          </w:tcPr>
          <w:p>
            <w:pPr>
              <w:adjustRightInd w:val="0"/>
              <w:snapToGrid w:val="0"/>
              <w:spacing w:line="360" w:lineRule="auto"/>
              <w:jc w:val="center"/>
              <w:rPr>
                <w:rFonts w:ascii="新宋体" w:hAnsi="新宋体" w:eastAsia="新宋体" w:cs="新宋体"/>
                <w:color w:val="auto"/>
                <w:sz w:val="22"/>
                <w:szCs w:val="22"/>
                <w:highlight w:val="none"/>
              </w:rPr>
            </w:pPr>
          </w:p>
        </w:tc>
        <w:tc>
          <w:tcPr>
            <w:tcW w:w="1060" w:type="dxa"/>
            <w:vMerge w:val="continue"/>
            <w:tcBorders>
              <w:left w:val="single" w:color="auto" w:sz="4" w:space="0"/>
              <w:right w:val="single" w:color="auto" w:sz="4" w:space="0"/>
            </w:tcBorders>
            <w:noWrap w:val="0"/>
            <w:vAlign w:val="center"/>
          </w:tcPr>
          <w:p>
            <w:pPr>
              <w:tabs>
                <w:tab w:val="left" w:pos="0"/>
              </w:tabs>
              <w:spacing w:line="360" w:lineRule="auto"/>
              <w:jc w:val="center"/>
              <w:rPr>
                <w:rFonts w:ascii="新宋体" w:hAnsi="新宋体" w:eastAsia="新宋体" w:cs="新宋体"/>
                <w:color w:val="auto"/>
                <w:sz w:val="22"/>
                <w:szCs w:val="22"/>
                <w:highlight w:val="none"/>
              </w:rPr>
            </w:pPr>
          </w:p>
        </w:tc>
        <w:tc>
          <w:tcPr>
            <w:tcW w:w="7444"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理解及合理化建议：根据投标响应方针对本项目需求能够准确理解、详细描述且能提出独到的合理化建议。（6-0分）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5" w:type="dxa"/>
            <w:vMerge w:val="continue"/>
            <w:tcBorders>
              <w:left w:val="single" w:color="auto" w:sz="4" w:space="0"/>
              <w:right w:val="single" w:color="auto" w:sz="4" w:space="0"/>
            </w:tcBorders>
            <w:noWrap w:val="0"/>
            <w:vAlign w:val="center"/>
          </w:tcPr>
          <w:p>
            <w:pPr>
              <w:adjustRightInd w:val="0"/>
              <w:snapToGrid w:val="0"/>
              <w:spacing w:line="360" w:lineRule="auto"/>
              <w:jc w:val="center"/>
              <w:rPr>
                <w:rFonts w:ascii="新宋体" w:hAnsi="新宋体" w:eastAsia="新宋体" w:cs="新宋体"/>
                <w:color w:val="auto"/>
                <w:sz w:val="22"/>
                <w:szCs w:val="22"/>
                <w:highlight w:val="none"/>
              </w:rPr>
            </w:pPr>
          </w:p>
        </w:tc>
        <w:tc>
          <w:tcPr>
            <w:tcW w:w="1060" w:type="dxa"/>
            <w:vMerge w:val="continue"/>
            <w:tcBorders>
              <w:left w:val="single" w:color="auto" w:sz="4" w:space="0"/>
              <w:right w:val="single" w:color="auto" w:sz="4" w:space="0"/>
            </w:tcBorders>
            <w:noWrap w:val="0"/>
            <w:vAlign w:val="center"/>
          </w:tcPr>
          <w:p>
            <w:pPr>
              <w:tabs>
                <w:tab w:val="left" w:pos="0"/>
              </w:tabs>
              <w:spacing w:line="360" w:lineRule="auto"/>
              <w:jc w:val="center"/>
              <w:rPr>
                <w:rFonts w:ascii="新宋体" w:hAnsi="新宋体" w:eastAsia="新宋体" w:cs="新宋体"/>
                <w:color w:val="auto"/>
                <w:sz w:val="22"/>
                <w:szCs w:val="22"/>
                <w:highlight w:val="none"/>
              </w:rPr>
            </w:pPr>
          </w:p>
        </w:tc>
        <w:tc>
          <w:tcPr>
            <w:tcW w:w="7444"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质量控制方案：根据投标响应方针对本项目情况科学合理地采取质量控制方法及措施酌情打分。（6-0分）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5" w:type="dxa"/>
            <w:vMerge w:val="continue"/>
            <w:tcBorders>
              <w:left w:val="single" w:color="auto" w:sz="4" w:space="0"/>
              <w:right w:val="single" w:color="auto" w:sz="4" w:space="0"/>
            </w:tcBorders>
            <w:noWrap w:val="0"/>
            <w:vAlign w:val="center"/>
          </w:tcPr>
          <w:p>
            <w:pPr>
              <w:adjustRightInd w:val="0"/>
              <w:snapToGrid w:val="0"/>
              <w:spacing w:line="360" w:lineRule="auto"/>
              <w:jc w:val="center"/>
              <w:rPr>
                <w:rFonts w:ascii="新宋体" w:hAnsi="新宋体" w:eastAsia="新宋体" w:cs="新宋体"/>
                <w:color w:val="auto"/>
                <w:sz w:val="22"/>
                <w:szCs w:val="22"/>
                <w:highlight w:val="none"/>
              </w:rPr>
            </w:pPr>
          </w:p>
        </w:tc>
        <w:tc>
          <w:tcPr>
            <w:tcW w:w="1060" w:type="dxa"/>
            <w:vMerge w:val="continue"/>
            <w:tcBorders>
              <w:left w:val="single" w:color="auto" w:sz="4" w:space="0"/>
              <w:right w:val="single" w:color="auto" w:sz="4" w:space="0"/>
            </w:tcBorders>
            <w:noWrap w:val="0"/>
            <w:vAlign w:val="center"/>
          </w:tcPr>
          <w:p>
            <w:pPr>
              <w:tabs>
                <w:tab w:val="left" w:pos="0"/>
              </w:tabs>
              <w:spacing w:line="360" w:lineRule="auto"/>
              <w:jc w:val="center"/>
              <w:rPr>
                <w:rFonts w:ascii="新宋体" w:hAnsi="新宋体" w:eastAsia="新宋体" w:cs="新宋体"/>
                <w:color w:val="auto"/>
                <w:sz w:val="22"/>
                <w:szCs w:val="22"/>
                <w:highlight w:val="none"/>
              </w:rPr>
            </w:pPr>
          </w:p>
        </w:tc>
        <w:tc>
          <w:tcPr>
            <w:tcW w:w="7444"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进度控制方案：根据投标响应方针对本项目有可能存在的风险分析及制定防范性对策等内容酌情打分。（6-0分）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5" w:type="dxa"/>
            <w:vMerge w:val="continue"/>
            <w:tcBorders>
              <w:left w:val="single" w:color="auto" w:sz="4" w:space="0"/>
              <w:right w:val="single" w:color="auto" w:sz="4" w:space="0"/>
            </w:tcBorders>
            <w:noWrap w:val="0"/>
            <w:vAlign w:val="center"/>
          </w:tcPr>
          <w:p>
            <w:pPr>
              <w:adjustRightInd w:val="0"/>
              <w:snapToGrid w:val="0"/>
              <w:spacing w:line="360" w:lineRule="auto"/>
              <w:jc w:val="center"/>
              <w:rPr>
                <w:rFonts w:ascii="新宋体" w:hAnsi="新宋体" w:eastAsia="新宋体" w:cs="新宋体"/>
                <w:color w:val="auto"/>
                <w:sz w:val="22"/>
                <w:szCs w:val="22"/>
                <w:highlight w:val="none"/>
              </w:rPr>
            </w:pPr>
          </w:p>
        </w:tc>
        <w:tc>
          <w:tcPr>
            <w:tcW w:w="1060" w:type="dxa"/>
            <w:vMerge w:val="continue"/>
            <w:tcBorders>
              <w:left w:val="single" w:color="auto" w:sz="4" w:space="0"/>
              <w:right w:val="single" w:color="auto" w:sz="4" w:space="0"/>
            </w:tcBorders>
            <w:noWrap w:val="0"/>
            <w:vAlign w:val="center"/>
          </w:tcPr>
          <w:p>
            <w:pPr>
              <w:tabs>
                <w:tab w:val="left" w:pos="0"/>
              </w:tabs>
              <w:spacing w:line="360" w:lineRule="auto"/>
              <w:jc w:val="center"/>
              <w:rPr>
                <w:rFonts w:ascii="新宋体" w:hAnsi="新宋体" w:eastAsia="新宋体" w:cs="新宋体"/>
                <w:color w:val="auto"/>
                <w:sz w:val="22"/>
                <w:szCs w:val="22"/>
                <w:highlight w:val="none"/>
              </w:rPr>
            </w:pPr>
          </w:p>
        </w:tc>
        <w:tc>
          <w:tcPr>
            <w:tcW w:w="7444"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变更控制方案：根据投标响应方针对项目建设内容及工作范围的变更进行严格把关和控制，对合理变更进行规范化管理，控制措施得当并能提供合理化建设等内容。（6-0分）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5" w:type="dxa"/>
            <w:vMerge w:val="continue"/>
            <w:tcBorders>
              <w:left w:val="single" w:color="auto" w:sz="4" w:space="0"/>
              <w:right w:val="single" w:color="auto" w:sz="4" w:space="0"/>
            </w:tcBorders>
            <w:noWrap w:val="0"/>
            <w:vAlign w:val="center"/>
          </w:tcPr>
          <w:p>
            <w:pPr>
              <w:adjustRightInd w:val="0"/>
              <w:snapToGrid w:val="0"/>
              <w:spacing w:line="360" w:lineRule="auto"/>
              <w:jc w:val="center"/>
              <w:rPr>
                <w:rFonts w:ascii="新宋体" w:hAnsi="新宋体" w:eastAsia="新宋体" w:cs="新宋体"/>
                <w:color w:val="auto"/>
                <w:sz w:val="22"/>
                <w:szCs w:val="22"/>
                <w:highlight w:val="none"/>
              </w:rPr>
            </w:pPr>
          </w:p>
        </w:tc>
        <w:tc>
          <w:tcPr>
            <w:tcW w:w="1060" w:type="dxa"/>
            <w:vMerge w:val="continue"/>
            <w:tcBorders>
              <w:left w:val="single" w:color="auto" w:sz="4" w:space="0"/>
              <w:right w:val="single" w:color="auto" w:sz="4" w:space="0"/>
            </w:tcBorders>
            <w:noWrap w:val="0"/>
            <w:vAlign w:val="center"/>
          </w:tcPr>
          <w:p>
            <w:pPr>
              <w:tabs>
                <w:tab w:val="left" w:pos="0"/>
              </w:tabs>
              <w:spacing w:line="360" w:lineRule="auto"/>
              <w:jc w:val="center"/>
              <w:rPr>
                <w:rFonts w:ascii="新宋体" w:hAnsi="新宋体" w:eastAsia="新宋体" w:cs="新宋体"/>
                <w:color w:val="auto"/>
                <w:sz w:val="22"/>
                <w:szCs w:val="22"/>
                <w:highlight w:val="none"/>
              </w:rPr>
            </w:pPr>
          </w:p>
        </w:tc>
        <w:tc>
          <w:tcPr>
            <w:tcW w:w="7444"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合同、安全和信息管理：根据投标响应方满足项目合同管理、安全管理和信息管理需要等情况，由评委酌情打分。（4-0分）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5"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新宋体" w:hAnsi="新宋体" w:eastAsia="新宋体" w:cs="新宋体"/>
                <w:color w:val="auto"/>
                <w:sz w:val="22"/>
                <w:szCs w:val="22"/>
                <w:highlight w:val="none"/>
              </w:rPr>
            </w:pPr>
          </w:p>
        </w:tc>
        <w:tc>
          <w:tcPr>
            <w:tcW w:w="1060" w:type="dxa"/>
            <w:vMerge w:val="continue"/>
            <w:tcBorders>
              <w:left w:val="single" w:color="auto" w:sz="4" w:space="0"/>
              <w:bottom w:val="single" w:color="auto" w:sz="4" w:space="0"/>
              <w:right w:val="single" w:color="auto" w:sz="4" w:space="0"/>
            </w:tcBorders>
            <w:noWrap w:val="0"/>
            <w:vAlign w:val="center"/>
          </w:tcPr>
          <w:p>
            <w:pPr>
              <w:tabs>
                <w:tab w:val="left" w:pos="0"/>
              </w:tabs>
              <w:spacing w:line="360" w:lineRule="auto"/>
              <w:jc w:val="center"/>
              <w:rPr>
                <w:rFonts w:ascii="新宋体" w:hAnsi="新宋体" w:eastAsia="新宋体" w:cs="新宋体"/>
                <w:color w:val="auto"/>
                <w:sz w:val="22"/>
                <w:szCs w:val="22"/>
                <w:highlight w:val="none"/>
              </w:rPr>
            </w:pPr>
          </w:p>
        </w:tc>
        <w:tc>
          <w:tcPr>
            <w:tcW w:w="7444"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针对本项目建设现状的认知和分析，对项目现场情况的调查了解（6-0分）。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5" w:type="dxa"/>
            <w:vMerge w:val="restart"/>
            <w:tcBorders>
              <w:top w:val="single" w:color="auto" w:sz="4" w:space="0"/>
              <w:left w:val="single" w:color="auto" w:sz="4" w:space="0"/>
              <w:right w:val="single" w:color="auto" w:sz="4" w:space="0"/>
            </w:tcBorders>
            <w:noWrap w:val="0"/>
            <w:vAlign w:val="center"/>
          </w:tcPr>
          <w:p>
            <w:pPr>
              <w:adjustRightInd w:val="0"/>
              <w:snapToGrid w:val="0"/>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w:t>
            </w:r>
          </w:p>
        </w:tc>
        <w:tc>
          <w:tcPr>
            <w:tcW w:w="1060" w:type="dxa"/>
            <w:vMerge w:val="restart"/>
            <w:tcBorders>
              <w:top w:val="single" w:color="auto" w:sz="4" w:space="0"/>
              <w:left w:val="single" w:color="auto" w:sz="4" w:space="0"/>
              <w:right w:val="single" w:color="auto" w:sz="4" w:space="0"/>
            </w:tcBorders>
            <w:noWrap w:val="0"/>
            <w:vAlign w:val="center"/>
          </w:tcPr>
          <w:p>
            <w:pPr>
              <w:tabs>
                <w:tab w:val="left" w:pos="0"/>
              </w:tabs>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监理工作人员情况</w:t>
            </w:r>
          </w:p>
        </w:tc>
        <w:tc>
          <w:tcPr>
            <w:tcW w:w="7444"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总监理工程师具有监理工程师、数据库系统工程师、信息系统项目管理师、一级建造师、咨询工程师（投资）证书</w:t>
            </w:r>
            <w:r>
              <w:rPr>
                <w:rFonts w:hint="eastAsia" w:ascii="新宋体" w:hAnsi="新宋体" w:eastAsia="新宋体" w:cs="新宋体"/>
                <w:color w:val="auto"/>
                <w:sz w:val="22"/>
                <w:szCs w:val="22"/>
                <w:highlight w:val="none"/>
                <w:lang w:val="en-US" w:eastAsia="zh-CN"/>
              </w:rPr>
              <w:t>每提供一个得2分，最高得8分</w:t>
            </w:r>
            <w:r>
              <w:rPr>
                <w:rFonts w:hint="eastAsia" w:ascii="新宋体" w:hAnsi="新宋体" w:eastAsia="新宋体" w:cs="新宋体"/>
                <w:color w:val="auto"/>
                <w:sz w:val="22"/>
                <w:szCs w:val="22"/>
                <w:highlight w:val="none"/>
              </w:rPr>
              <w:t>。（相关证书必须是人力资源和社会保障部门颁发的证书，其他培训及结业证书一律无效）</w:t>
            </w:r>
          </w:p>
          <w:p>
            <w:pPr>
              <w:tabs>
                <w:tab w:val="left" w:pos="0"/>
              </w:tabs>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本项目监理工程师必须提供在投标人的社保证明复印件加盖公章，否则本项不得分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5" w:type="dxa"/>
            <w:vMerge w:val="continue"/>
            <w:tcBorders>
              <w:left w:val="single" w:color="auto" w:sz="4" w:space="0"/>
              <w:right w:val="single" w:color="auto" w:sz="4" w:space="0"/>
            </w:tcBorders>
            <w:noWrap w:val="0"/>
            <w:vAlign w:val="center"/>
          </w:tcPr>
          <w:p>
            <w:pPr>
              <w:adjustRightInd w:val="0"/>
              <w:snapToGrid w:val="0"/>
              <w:spacing w:line="360" w:lineRule="auto"/>
              <w:jc w:val="center"/>
              <w:rPr>
                <w:rFonts w:ascii="新宋体" w:hAnsi="新宋体" w:eastAsia="新宋体" w:cs="新宋体"/>
                <w:color w:val="auto"/>
                <w:sz w:val="22"/>
                <w:szCs w:val="22"/>
                <w:highlight w:val="none"/>
              </w:rPr>
            </w:pPr>
          </w:p>
        </w:tc>
        <w:tc>
          <w:tcPr>
            <w:tcW w:w="1060" w:type="dxa"/>
            <w:vMerge w:val="continue"/>
            <w:tcBorders>
              <w:left w:val="single" w:color="auto" w:sz="4" w:space="0"/>
              <w:right w:val="single" w:color="auto" w:sz="4" w:space="0"/>
            </w:tcBorders>
            <w:noWrap w:val="0"/>
            <w:vAlign w:val="center"/>
          </w:tcPr>
          <w:p>
            <w:pPr>
              <w:tabs>
                <w:tab w:val="left" w:pos="0"/>
              </w:tabs>
              <w:spacing w:line="360" w:lineRule="auto"/>
              <w:jc w:val="center"/>
              <w:rPr>
                <w:rFonts w:ascii="新宋体" w:hAnsi="新宋体" w:eastAsia="新宋体" w:cs="新宋体"/>
                <w:color w:val="auto"/>
                <w:sz w:val="22"/>
                <w:szCs w:val="22"/>
                <w:highlight w:val="none"/>
              </w:rPr>
            </w:pPr>
          </w:p>
        </w:tc>
        <w:tc>
          <w:tcPr>
            <w:tcW w:w="7444"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总监理工程师代表除信息系统监理师外同时具有软件评测师、信息系统项目管理师、数据库系统工程师证书的得4分，缺一项扣1分（相关证书必须是人力资源和社会保障部门颁发的证书，其他培训及结业证书一律无效）；</w:t>
            </w:r>
          </w:p>
          <w:p>
            <w:pPr>
              <w:tabs>
                <w:tab w:val="left" w:pos="0"/>
              </w:tabs>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本项目总监理工程师代表必须提供在投标人社保证明复印件加盖公章，否则本项不得分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5"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新宋体" w:hAnsi="新宋体" w:eastAsia="新宋体" w:cs="新宋体"/>
                <w:color w:val="auto"/>
                <w:sz w:val="22"/>
                <w:szCs w:val="22"/>
                <w:highlight w:val="none"/>
              </w:rPr>
            </w:pPr>
          </w:p>
        </w:tc>
        <w:tc>
          <w:tcPr>
            <w:tcW w:w="1060" w:type="dxa"/>
            <w:vMerge w:val="continue"/>
            <w:tcBorders>
              <w:left w:val="single" w:color="auto" w:sz="4" w:space="0"/>
              <w:bottom w:val="single" w:color="auto" w:sz="4" w:space="0"/>
              <w:right w:val="single" w:color="auto" w:sz="4" w:space="0"/>
            </w:tcBorders>
            <w:noWrap w:val="0"/>
            <w:vAlign w:val="center"/>
          </w:tcPr>
          <w:p>
            <w:pPr>
              <w:tabs>
                <w:tab w:val="left" w:pos="0"/>
              </w:tabs>
              <w:spacing w:line="360" w:lineRule="auto"/>
              <w:jc w:val="center"/>
              <w:rPr>
                <w:rFonts w:ascii="新宋体" w:hAnsi="新宋体" w:eastAsia="新宋体" w:cs="新宋体"/>
                <w:color w:val="auto"/>
                <w:sz w:val="22"/>
                <w:szCs w:val="22"/>
                <w:highlight w:val="none"/>
              </w:rPr>
            </w:pPr>
          </w:p>
        </w:tc>
        <w:tc>
          <w:tcPr>
            <w:tcW w:w="7444"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拟投入本项目的监理服务团队组成人员（除总监、总监代表外）为信息系统监理师的同时具有下列证书：</w:t>
            </w:r>
          </w:p>
          <w:p>
            <w:pPr>
              <w:tabs>
                <w:tab w:val="left" w:pos="0"/>
              </w:tabs>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具有人力资源和社会保障部颁发的网络工程师、系统集成项目管理工程师、软件评测师、中国信息安全测评中心颁发的注册信息安全工程师（CISE）证书，每提供一种类型的证书得2分，最高8分。</w:t>
            </w:r>
          </w:p>
          <w:p>
            <w:pPr>
              <w:tabs>
                <w:tab w:val="left" w:pos="0"/>
              </w:tabs>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注：监理人员必须提供在投标人社保证明复印件加盖公章，否则本项不得分。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技术支持和售后服务</w:t>
            </w:r>
          </w:p>
        </w:tc>
        <w:tc>
          <w:tcPr>
            <w:tcW w:w="7444"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提供的售后维护机构和人员等情况，是否具有较强的本地化服务能力，在市内是否拥有常驻服务和技术支持机构（非本地机构可以承诺在中标公示后合同签订前设立分公司或办事处）作为常驻服务和技术支持机构以及较强的专业技术队伍，能提供快速的售后服务响应。（4-0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4分</w:t>
            </w:r>
          </w:p>
        </w:tc>
      </w:tr>
    </w:tbl>
    <w:p>
      <w:pPr>
        <w:pStyle w:val="2"/>
        <w:rPr>
          <w:rFonts w:hint="eastAsia"/>
          <w:color w:val="auto"/>
          <w:highlight w:val="none"/>
        </w:rPr>
      </w:pPr>
    </w:p>
    <w:p>
      <w:pPr>
        <w:pStyle w:val="23"/>
        <w:spacing w:line="460" w:lineRule="exact"/>
        <w:ind w:left="442" w:firstLine="0" w:firstLineChars="0"/>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2、商务评分：</w:t>
      </w:r>
      <w:r>
        <w:rPr>
          <w:rFonts w:ascii="新宋体" w:hAnsi="新宋体" w:eastAsia="新宋体"/>
          <w:b/>
          <w:bCs/>
          <w:color w:val="auto"/>
          <w:sz w:val="22"/>
          <w:szCs w:val="22"/>
          <w:highlight w:val="none"/>
        </w:rPr>
        <w:t>2</w:t>
      </w:r>
      <w:r>
        <w:rPr>
          <w:rFonts w:hint="eastAsia" w:ascii="新宋体" w:hAnsi="新宋体" w:eastAsia="新宋体"/>
          <w:b/>
          <w:bCs/>
          <w:color w:val="auto"/>
          <w:sz w:val="22"/>
          <w:szCs w:val="22"/>
          <w:highlight w:val="none"/>
        </w:rPr>
        <w:t>0分（权值</w:t>
      </w:r>
      <w:r>
        <w:rPr>
          <w:rFonts w:ascii="新宋体" w:hAnsi="新宋体" w:eastAsia="新宋体"/>
          <w:b/>
          <w:bCs/>
          <w:color w:val="auto"/>
          <w:sz w:val="22"/>
          <w:szCs w:val="22"/>
          <w:highlight w:val="none"/>
        </w:rPr>
        <w:t>2</w:t>
      </w:r>
      <w:r>
        <w:rPr>
          <w:rFonts w:hint="eastAsia" w:ascii="新宋体" w:hAnsi="新宋体" w:eastAsia="新宋体"/>
          <w:b/>
          <w:bCs/>
          <w:color w:val="auto"/>
          <w:sz w:val="22"/>
          <w:szCs w:val="22"/>
          <w:highlight w:val="none"/>
        </w:rPr>
        <w:t>0%）</w:t>
      </w:r>
    </w:p>
    <w:p>
      <w:pPr>
        <w:spacing w:line="46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满足招标文件要求且投标报价最低的投标报价为评标基准价，其余投标人投标报价与该基准价对比，计算出商务报价评分值（保留小数2位）：</w:t>
      </w:r>
    </w:p>
    <w:p>
      <w:pPr>
        <w:spacing w:line="46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1）有效投标人的投标报价等于评标基准价时其报价分为满分</w:t>
      </w:r>
      <w:r>
        <w:rPr>
          <w:rFonts w:ascii="新宋体" w:hAnsi="新宋体" w:eastAsia="新宋体"/>
          <w:color w:val="auto"/>
          <w:sz w:val="22"/>
          <w:szCs w:val="22"/>
          <w:highlight w:val="none"/>
        </w:rPr>
        <w:t>2</w:t>
      </w:r>
      <w:r>
        <w:rPr>
          <w:rFonts w:hint="eastAsia" w:ascii="新宋体" w:hAnsi="新宋体" w:eastAsia="新宋体"/>
          <w:color w:val="auto"/>
          <w:sz w:val="22"/>
          <w:szCs w:val="22"/>
          <w:highlight w:val="none"/>
        </w:rPr>
        <w:t>0分；</w:t>
      </w:r>
    </w:p>
    <w:p>
      <w:pPr>
        <w:spacing w:line="46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2）其他投标人的价格分按以下公式计算：</w:t>
      </w:r>
    </w:p>
    <w:p>
      <w:pPr>
        <w:spacing w:line="460" w:lineRule="exact"/>
        <w:ind w:firstLine="539" w:firstLineChars="245"/>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投标报价得分=（评分基准价/投标人投标报价）× 价格权值 ×100（保留小数2位）</w:t>
      </w:r>
    </w:p>
    <w:p>
      <w:pPr>
        <w:spacing w:line="460" w:lineRule="exact"/>
        <w:rPr>
          <w:rFonts w:hint="eastAsia" w:ascii="新宋体" w:hAnsi="新宋体" w:eastAsia="新宋体" w:cs="新宋体"/>
          <w:color w:val="auto"/>
          <w:sz w:val="22"/>
          <w:szCs w:val="22"/>
          <w:highlight w:val="none"/>
          <w:lang w:val="zh-CN"/>
        </w:rPr>
      </w:pPr>
    </w:p>
    <w:p>
      <w:pPr>
        <w:spacing w:line="460" w:lineRule="exact"/>
        <w:ind w:firstLine="539" w:firstLineChars="245"/>
        <w:rPr>
          <w:rFonts w:hint="eastAsia"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各标段</w:t>
      </w:r>
      <w:r>
        <w:rPr>
          <w:rFonts w:hint="eastAsia" w:ascii="新宋体" w:hAnsi="新宋体" w:eastAsia="新宋体" w:cs="新宋体"/>
          <w:color w:val="auto"/>
          <w:sz w:val="22"/>
          <w:szCs w:val="22"/>
          <w:highlight w:val="none"/>
          <w:lang w:val="zh-CN"/>
        </w:rPr>
        <w:t>根据《政府采购促进中小企业发展暂行办法》（财库[2011]181号），对小型或微型企业参加投标且投标产品为小型或微型企业生产的，</w:t>
      </w:r>
      <w:r>
        <w:rPr>
          <w:rFonts w:hint="eastAsia" w:ascii="新宋体" w:hAnsi="新宋体" w:eastAsia="新宋体" w:cs="新宋体"/>
          <w:b/>
          <w:bCs/>
          <w:color w:val="auto"/>
          <w:sz w:val="22"/>
          <w:szCs w:val="22"/>
          <w:highlight w:val="none"/>
          <w:u w:val="single"/>
          <w:lang w:val="zh-CN"/>
        </w:rPr>
        <w:t>价格给予6%的扣除</w:t>
      </w:r>
      <w:r>
        <w:rPr>
          <w:rFonts w:hint="eastAsia" w:ascii="新宋体" w:hAnsi="新宋体" w:eastAsia="新宋体" w:cs="新宋体"/>
          <w:color w:val="auto"/>
          <w:sz w:val="22"/>
          <w:szCs w:val="22"/>
          <w:highlight w:val="none"/>
          <w:lang w:val="zh-CN"/>
        </w:rPr>
        <w:t>，用扣除后的价格参与价格评分。</w:t>
      </w:r>
    </w:p>
    <w:p>
      <w:pPr>
        <w:spacing w:line="460" w:lineRule="exact"/>
        <w:ind w:firstLine="541" w:firstLineChars="245"/>
        <w:rPr>
          <w:rFonts w:hint="eastAsia" w:ascii="新宋体" w:hAnsi="新宋体" w:eastAsia="新宋体" w:cs="新宋体"/>
          <w:color w:val="auto"/>
          <w:sz w:val="22"/>
          <w:szCs w:val="22"/>
          <w:highlight w:val="none"/>
          <w:lang w:val="zh-CN"/>
        </w:rPr>
      </w:pPr>
      <w:r>
        <w:rPr>
          <w:rFonts w:hint="eastAsia" w:ascii="新宋体" w:hAnsi="新宋体" w:eastAsia="新宋体" w:cs="新宋体"/>
          <w:b/>
          <w:color w:val="auto"/>
          <w:sz w:val="22"/>
          <w:highlight w:val="none"/>
          <w:u w:val="single"/>
        </w:rPr>
        <w:t xml:space="preserve"> </w:t>
      </w:r>
      <w:r>
        <w:rPr>
          <w:rFonts w:hint="eastAsia" w:ascii="新宋体" w:hAnsi="新宋体" w:eastAsia="新宋体" w:cs="新宋体"/>
          <w:b/>
          <w:bCs/>
          <w:color w:val="auto"/>
          <w:sz w:val="22"/>
          <w:szCs w:val="22"/>
          <w:highlight w:val="none"/>
          <w:u w:val="single"/>
          <w:lang w:val="zh-CN"/>
        </w:rPr>
        <w:t>同时符合以下所有要求的投标人被认定为小型、微型企业：</w:t>
      </w:r>
    </w:p>
    <w:p>
      <w:pPr>
        <w:spacing w:line="460" w:lineRule="exact"/>
        <w:ind w:firstLine="541" w:firstLineChars="245"/>
        <w:rPr>
          <w:rFonts w:hint="eastAsia" w:ascii="新宋体" w:hAnsi="新宋体" w:eastAsia="新宋体" w:cs="新宋体"/>
          <w:b/>
          <w:bCs/>
          <w:color w:val="auto"/>
          <w:sz w:val="22"/>
          <w:szCs w:val="22"/>
          <w:highlight w:val="none"/>
          <w:lang w:val="zh-CN"/>
        </w:rPr>
      </w:pPr>
      <w:r>
        <w:rPr>
          <w:rFonts w:hint="eastAsia" w:ascii="新宋体" w:hAnsi="新宋体" w:eastAsia="新宋体" w:cs="新宋体"/>
          <w:b/>
          <w:bCs/>
          <w:color w:val="auto"/>
          <w:sz w:val="22"/>
          <w:szCs w:val="22"/>
          <w:highlight w:val="none"/>
          <w:lang w:val="zh-CN"/>
        </w:rPr>
        <w:t>①投标人及投标产品生产企业按照《关于印发中小企业划型标准规定的通知》（工信部联企业〔2011〕300号）的所属行业规定为小型、微型企业。</w:t>
      </w:r>
    </w:p>
    <w:p>
      <w:pPr>
        <w:spacing w:line="460" w:lineRule="exact"/>
        <w:ind w:firstLine="541" w:firstLineChars="245"/>
        <w:rPr>
          <w:rFonts w:hint="eastAsia" w:ascii="新宋体" w:hAnsi="新宋体" w:eastAsia="新宋体" w:cs="新宋体"/>
          <w:b/>
          <w:bCs/>
          <w:color w:val="auto"/>
          <w:sz w:val="22"/>
          <w:szCs w:val="22"/>
          <w:highlight w:val="none"/>
          <w:u w:val="single"/>
          <w:lang w:val="zh-CN"/>
        </w:rPr>
      </w:pPr>
      <w:r>
        <w:rPr>
          <w:rFonts w:hint="eastAsia" w:ascii="新宋体" w:hAnsi="新宋体" w:eastAsia="新宋体" w:cs="新宋体"/>
          <w:b/>
          <w:bCs/>
          <w:color w:val="auto"/>
          <w:sz w:val="22"/>
          <w:szCs w:val="22"/>
          <w:highlight w:val="none"/>
          <w:u w:val="single"/>
          <w:lang w:val="zh-CN"/>
        </w:rPr>
        <w:t>投标文件中必须提供《中小企业声明函》、《关于印发中小企业划型标准规定的通知》（工信部联企业〔2011〕300号）。</w:t>
      </w:r>
    </w:p>
    <w:p>
      <w:pPr>
        <w:spacing w:line="460" w:lineRule="exact"/>
        <w:ind w:firstLine="541" w:firstLineChars="245"/>
        <w:rPr>
          <w:rFonts w:hint="eastAsia" w:ascii="新宋体" w:hAnsi="新宋体" w:eastAsia="新宋体" w:cs="新宋体"/>
          <w:b/>
          <w:bCs/>
          <w:color w:val="auto"/>
          <w:sz w:val="22"/>
          <w:szCs w:val="22"/>
          <w:highlight w:val="none"/>
          <w:u w:val="single"/>
          <w:lang w:val="zh-CN"/>
        </w:rPr>
      </w:pPr>
      <w:r>
        <w:rPr>
          <w:rFonts w:hint="eastAsia" w:ascii="新宋体" w:hAnsi="新宋体" w:eastAsia="新宋体" w:cs="新宋体"/>
          <w:b/>
          <w:bCs/>
          <w:color w:val="auto"/>
          <w:sz w:val="22"/>
          <w:szCs w:val="22"/>
          <w:highlight w:val="none"/>
          <w:u w:val="single"/>
          <w:lang w:val="zh-CN"/>
        </w:rPr>
        <w:t>必须提供</w:t>
      </w:r>
      <w:r>
        <w:rPr>
          <w:rFonts w:hint="eastAsia" w:ascii="新宋体" w:hAnsi="新宋体" w:eastAsia="新宋体" w:cs="新宋体"/>
          <w:b/>
          <w:bCs/>
          <w:color w:val="auto"/>
          <w:sz w:val="22"/>
          <w:szCs w:val="22"/>
          <w:highlight w:val="none"/>
          <w:u w:val="single"/>
        </w:rPr>
        <w:t>投标人、</w:t>
      </w:r>
      <w:r>
        <w:rPr>
          <w:rFonts w:hint="eastAsia" w:ascii="新宋体" w:hAnsi="新宋体" w:eastAsia="新宋体" w:cs="新宋体"/>
          <w:b/>
          <w:bCs/>
          <w:color w:val="auto"/>
          <w:sz w:val="22"/>
          <w:szCs w:val="22"/>
          <w:highlight w:val="none"/>
          <w:u w:val="single"/>
          <w:lang w:val="zh-CN"/>
        </w:rPr>
        <w:t>投标产品生产企业为小型、微型企业</w:t>
      </w:r>
      <w:r>
        <w:rPr>
          <w:rFonts w:hint="eastAsia" w:ascii="新宋体" w:hAnsi="新宋体" w:eastAsia="新宋体" w:cs="新宋体"/>
          <w:b/>
          <w:bCs/>
          <w:color w:val="auto"/>
          <w:sz w:val="22"/>
          <w:szCs w:val="22"/>
          <w:highlight w:val="none"/>
          <w:u w:val="single"/>
        </w:rPr>
        <w:t>与</w:t>
      </w:r>
      <w:r>
        <w:rPr>
          <w:rFonts w:hint="eastAsia" w:ascii="新宋体" w:hAnsi="新宋体" w:eastAsia="新宋体" w:cs="新宋体"/>
          <w:b/>
          <w:bCs/>
          <w:color w:val="auto"/>
          <w:sz w:val="22"/>
          <w:szCs w:val="22"/>
          <w:highlight w:val="none"/>
          <w:u w:val="single"/>
          <w:lang w:val="zh-CN"/>
        </w:rPr>
        <w:t>《关于印发中小企业划型标准规定的通知》（工信部联企业〔2011〕300号）</w:t>
      </w:r>
      <w:r>
        <w:rPr>
          <w:rFonts w:hint="eastAsia" w:ascii="新宋体" w:hAnsi="新宋体" w:eastAsia="新宋体" w:cs="新宋体"/>
          <w:b/>
          <w:bCs/>
          <w:color w:val="auto"/>
          <w:sz w:val="22"/>
          <w:szCs w:val="22"/>
          <w:highlight w:val="none"/>
          <w:u w:val="single"/>
        </w:rPr>
        <w:t>规定所属行业</w:t>
      </w:r>
      <w:r>
        <w:rPr>
          <w:rFonts w:hint="eastAsia" w:ascii="新宋体" w:hAnsi="新宋体" w:eastAsia="新宋体" w:cs="新宋体"/>
          <w:b/>
          <w:bCs/>
          <w:color w:val="auto"/>
          <w:sz w:val="22"/>
          <w:szCs w:val="22"/>
          <w:highlight w:val="none"/>
          <w:u w:val="single"/>
          <w:lang w:val="zh-CN"/>
        </w:rPr>
        <w:t>为小型、微型企业</w:t>
      </w:r>
      <w:r>
        <w:rPr>
          <w:rFonts w:hint="eastAsia" w:ascii="新宋体" w:hAnsi="新宋体" w:eastAsia="新宋体" w:cs="新宋体"/>
          <w:b/>
          <w:bCs/>
          <w:color w:val="auto"/>
          <w:sz w:val="22"/>
          <w:szCs w:val="22"/>
          <w:highlight w:val="none"/>
          <w:u w:val="single"/>
        </w:rPr>
        <w:t>标准要求对应的</w:t>
      </w:r>
      <w:r>
        <w:rPr>
          <w:rFonts w:hint="eastAsia" w:ascii="新宋体" w:hAnsi="新宋体" w:eastAsia="新宋体" w:cs="新宋体"/>
          <w:b/>
          <w:bCs/>
          <w:color w:val="auto"/>
          <w:sz w:val="22"/>
          <w:szCs w:val="22"/>
          <w:highlight w:val="none"/>
          <w:u w:val="single"/>
          <w:lang w:val="zh-CN"/>
        </w:rPr>
        <w:t>相关充分证明材料；</w:t>
      </w:r>
    </w:p>
    <w:p>
      <w:pPr>
        <w:spacing w:line="460" w:lineRule="exact"/>
        <w:ind w:firstLine="541" w:firstLineChars="245"/>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非单一产品采购项目以核心产品为准，应当根据采购项目技术构成、产品价格比重等合理确定核心产品。</w:t>
      </w:r>
    </w:p>
    <w:p>
      <w:pPr>
        <w:spacing w:line="460" w:lineRule="exact"/>
        <w:ind w:firstLine="541" w:firstLineChars="245"/>
        <w:rPr>
          <w:rFonts w:hint="eastAsia" w:ascii="新宋体" w:hAnsi="新宋体" w:eastAsia="新宋体" w:cs="新宋体"/>
          <w:b/>
          <w:bCs/>
          <w:color w:val="auto"/>
          <w:sz w:val="22"/>
          <w:szCs w:val="22"/>
          <w:highlight w:val="none"/>
          <w:u w:val="single"/>
          <w:lang w:val="zh-CN"/>
        </w:rPr>
      </w:pPr>
      <w:r>
        <w:rPr>
          <w:rFonts w:hint="eastAsia" w:ascii="新宋体" w:hAnsi="新宋体" w:eastAsia="新宋体" w:cs="新宋体"/>
          <w:b/>
          <w:bCs/>
          <w:color w:val="auto"/>
          <w:sz w:val="22"/>
          <w:szCs w:val="22"/>
          <w:highlight w:val="none"/>
          <w:lang w:val="zh-CN"/>
        </w:rPr>
        <w:t>②投标人已通过浙江政府采购网申请注册并成为正式入库供应商</w:t>
      </w:r>
      <w:r>
        <w:rPr>
          <w:rFonts w:hint="eastAsia" w:ascii="新宋体" w:hAnsi="新宋体" w:eastAsia="新宋体" w:cs="新宋体"/>
          <w:b/>
          <w:bCs/>
          <w:color w:val="auto"/>
          <w:sz w:val="22"/>
          <w:szCs w:val="22"/>
          <w:highlight w:val="none"/>
          <w:u w:val="single"/>
          <w:lang w:val="zh-CN"/>
        </w:rPr>
        <w:t>并提供</w:t>
      </w:r>
      <w:r>
        <w:rPr>
          <w:rFonts w:hint="eastAsia" w:ascii="新宋体" w:hAnsi="新宋体" w:eastAsia="新宋体" w:cs="新宋体"/>
          <w:b/>
          <w:bCs/>
          <w:color w:val="auto"/>
          <w:sz w:val="22"/>
          <w:szCs w:val="22"/>
          <w:highlight w:val="none"/>
          <w:u w:val="single"/>
        </w:rPr>
        <w:t>注册为</w:t>
      </w:r>
      <w:r>
        <w:rPr>
          <w:rFonts w:hint="eastAsia" w:ascii="新宋体" w:hAnsi="新宋体" w:eastAsia="新宋体" w:cs="新宋体"/>
          <w:b/>
          <w:bCs/>
          <w:color w:val="auto"/>
          <w:sz w:val="22"/>
          <w:szCs w:val="22"/>
          <w:highlight w:val="none"/>
          <w:u w:val="single"/>
          <w:lang w:val="zh-CN"/>
        </w:rPr>
        <w:t>小型、微型企业证明材料</w:t>
      </w:r>
      <w:r>
        <w:rPr>
          <w:rFonts w:hint="eastAsia" w:ascii="新宋体" w:hAnsi="新宋体" w:eastAsia="新宋体" w:cs="新宋体"/>
          <w:b/>
          <w:bCs/>
          <w:color w:val="auto"/>
          <w:sz w:val="22"/>
          <w:szCs w:val="22"/>
          <w:highlight w:val="none"/>
          <w:lang w:val="zh-CN"/>
        </w:rPr>
        <w:t>。</w:t>
      </w:r>
    </w:p>
    <w:p>
      <w:pPr>
        <w:spacing w:line="460" w:lineRule="exact"/>
        <w:ind w:firstLine="541" w:firstLineChars="245"/>
        <w:rPr>
          <w:rFonts w:hint="eastAsia" w:ascii="新宋体" w:hAnsi="新宋体" w:eastAsia="新宋体" w:cs="新宋体"/>
          <w:b/>
          <w:bCs/>
          <w:color w:val="auto"/>
          <w:sz w:val="22"/>
          <w:szCs w:val="22"/>
          <w:highlight w:val="none"/>
          <w:lang w:val="zh-CN"/>
        </w:rPr>
      </w:pPr>
      <w:r>
        <w:rPr>
          <w:rFonts w:hint="eastAsia" w:ascii="新宋体" w:hAnsi="新宋体" w:eastAsia="新宋体" w:cs="新宋体"/>
          <w:b/>
          <w:bCs/>
          <w:color w:val="auto"/>
          <w:sz w:val="22"/>
          <w:szCs w:val="22"/>
          <w:highlight w:val="none"/>
          <w:lang w:val="zh-CN"/>
        </w:rPr>
        <w:t>监狱企业、</w:t>
      </w:r>
      <w:r>
        <w:rPr>
          <w:rFonts w:hint="eastAsia" w:ascii="新宋体" w:hAnsi="新宋体" w:eastAsia="新宋体" w:cs="新宋体"/>
          <w:b/>
          <w:color w:val="auto"/>
          <w:sz w:val="22"/>
          <w:szCs w:val="22"/>
          <w:highlight w:val="none"/>
        </w:rPr>
        <w:t>残疾人福利性单位</w:t>
      </w:r>
      <w:r>
        <w:rPr>
          <w:rFonts w:hint="eastAsia" w:ascii="新宋体" w:hAnsi="新宋体" w:eastAsia="新宋体" w:cs="新宋体"/>
          <w:b/>
          <w:bCs/>
          <w:color w:val="auto"/>
          <w:sz w:val="22"/>
          <w:szCs w:val="22"/>
          <w:highlight w:val="none"/>
          <w:lang w:val="zh-CN"/>
        </w:rPr>
        <w:t>视同小微企业，其产品参加本项目投标的，享受小微企业同等的价格扣除。</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3、各标段有效投标人的综合得分为商务技术分和报价分的总和。</w:t>
      </w:r>
    </w:p>
    <w:p>
      <w:pPr>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4、各标段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60" w:lineRule="exact"/>
        <w:ind w:firstLine="541" w:firstLineChars="245"/>
        <w:outlineLvl w:val="1"/>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六、各标段定标办法</w:t>
      </w:r>
    </w:p>
    <w:p>
      <w:pPr>
        <w:spacing w:line="460" w:lineRule="exact"/>
        <w:ind w:firstLine="539" w:firstLineChars="245"/>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1</w:t>
      </w:r>
      <w:r>
        <w:rPr>
          <w:rFonts w:hint="eastAsia" w:ascii="新宋体" w:hAnsi="新宋体" w:eastAsia="新宋体" w:cs="新宋体"/>
          <w:color w:val="auto"/>
          <w:kern w:val="0"/>
          <w:sz w:val="22"/>
          <w:szCs w:val="22"/>
          <w:highlight w:val="none"/>
        </w:rPr>
        <w:t>、</w:t>
      </w:r>
      <w:r>
        <w:rPr>
          <w:rFonts w:hint="eastAsia" w:ascii="新宋体" w:hAnsi="新宋体" w:eastAsia="新宋体" w:cs="新宋体"/>
          <w:color w:val="auto"/>
          <w:sz w:val="22"/>
          <w:szCs w:val="22"/>
          <w:highlight w:val="none"/>
        </w:rPr>
        <w:t>确定中标候选人</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1.1由评标委员会确定中标候选人。</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评标委员会依据法律、法规及招标文件有关规定按评审后得分（即商务技术分与报价分之和）由高到低顺序排序，得分前二名的投标人确定为该项目的第一和第二中标候选人（得分相同的，按投标报价由低到高顺序排列。得分且投标报价相同的并列。）向招标人推荐。</w:t>
      </w:r>
    </w:p>
    <w:p>
      <w:pPr>
        <w:spacing w:line="460" w:lineRule="exact"/>
        <w:ind w:firstLine="541" w:firstLineChars="245"/>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2、确定中标人</w:t>
      </w:r>
    </w:p>
    <w:p>
      <w:pPr>
        <w:spacing w:line="46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 xml:space="preserve">     2.1</w:t>
      </w:r>
      <w:r>
        <w:rPr>
          <w:rFonts w:hint="eastAsia" w:ascii="新宋体" w:hAnsi="新宋体" w:eastAsia="新宋体"/>
          <w:b/>
          <w:bCs/>
          <w:color w:val="auto"/>
          <w:sz w:val="22"/>
          <w:szCs w:val="22"/>
          <w:highlight w:val="none"/>
        </w:rPr>
        <w:t>招标人按照书面评标报告中推荐的中标候选供应商顺序确定中标人；也可以事先授权评标委员会按照推荐的中标候选供应商顺序直接确定中标人。中标候选人并列的，由评标委员会全体成员记名投票按少数服从多数的原则确定排名。</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如中标人放弃中标；或未能在规定时间内与采购单位签订合同的；或者经质疑，招标人审查后，确因排名第一的候选人在本次采购活动中存在违法违规行为或其他原因使质疑成立的，招标人可以视情况直接确定排名第二的候选人为中标人（以此类推)或重新组织招标。</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r>
        <w:rPr>
          <w:rFonts w:hint="eastAsia" w:ascii="新宋体" w:hAnsi="新宋体" w:eastAsia="新宋体" w:cs="新宋体"/>
          <w:color w:val="auto"/>
          <w:kern w:val="0"/>
          <w:sz w:val="22"/>
          <w:szCs w:val="22"/>
          <w:highlight w:val="none"/>
        </w:rPr>
        <w:t>、</w:t>
      </w:r>
      <w:r>
        <w:rPr>
          <w:rFonts w:hint="eastAsia" w:ascii="新宋体" w:hAnsi="新宋体" w:eastAsia="新宋体" w:cs="新宋体"/>
          <w:color w:val="auto"/>
          <w:sz w:val="22"/>
          <w:szCs w:val="22"/>
          <w:highlight w:val="none"/>
        </w:rPr>
        <w:t>中标人确定后，招标人将在指定媒体公告中标结果，招标人向中标人发出中标通知书。</w:t>
      </w:r>
    </w:p>
    <w:p>
      <w:pPr>
        <w:spacing w:line="460" w:lineRule="exact"/>
        <w:ind w:firstLine="541" w:firstLineChars="245"/>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七、投标人义务</w:t>
      </w:r>
    </w:p>
    <w:p>
      <w:pPr>
        <w:spacing w:line="460" w:lineRule="exact"/>
        <w:ind w:firstLine="539" w:firstLineChars="24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投标人应随时接受评标委员会的询标，解答包括有关的商务技术、报价问题等。评标结束，所有评标资料存招标机构备查。</w:t>
      </w:r>
    </w:p>
    <w:p>
      <w:pPr>
        <w:pStyle w:val="25"/>
        <w:ind w:left="0" w:leftChars="0"/>
        <w:rPr>
          <w:rFonts w:ascii="新宋体" w:hAnsi="新宋体" w:eastAsia="新宋体" w:cs="新宋体"/>
          <w:b/>
          <w:bCs/>
          <w:color w:val="auto"/>
          <w:kern w:val="0"/>
          <w:sz w:val="36"/>
          <w:szCs w:val="36"/>
          <w:highlight w:val="none"/>
          <w:lang w:bidi="ar"/>
        </w:rPr>
      </w:pPr>
    </w:p>
    <w:p>
      <w:pPr>
        <w:pStyle w:val="25"/>
        <w:ind w:left="0" w:leftChars="0"/>
        <w:rPr>
          <w:rFonts w:ascii="新宋体" w:hAnsi="新宋体" w:eastAsia="新宋体" w:cs="新宋体"/>
          <w:b/>
          <w:bCs/>
          <w:color w:val="auto"/>
          <w:kern w:val="0"/>
          <w:sz w:val="36"/>
          <w:szCs w:val="36"/>
          <w:highlight w:val="none"/>
          <w:lang w:bidi="ar"/>
        </w:rPr>
      </w:pPr>
    </w:p>
    <w:p>
      <w:pPr>
        <w:pStyle w:val="25"/>
        <w:ind w:left="0" w:leftChars="0"/>
        <w:rPr>
          <w:rFonts w:ascii="新宋体" w:hAnsi="新宋体" w:eastAsia="新宋体" w:cs="新宋体"/>
          <w:b/>
          <w:bCs/>
          <w:color w:val="auto"/>
          <w:kern w:val="0"/>
          <w:sz w:val="36"/>
          <w:szCs w:val="36"/>
          <w:highlight w:val="none"/>
          <w:lang w:bidi="ar"/>
        </w:rPr>
      </w:pPr>
    </w:p>
    <w:p>
      <w:pPr>
        <w:pStyle w:val="25"/>
        <w:ind w:left="0" w:leftChars="0"/>
        <w:rPr>
          <w:rFonts w:ascii="新宋体" w:hAnsi="新宋体" w:eastAsia="新宋体" w:cs="新宋体"/>
          <w:b/>
          <w:bCs/>
          <w:color w:val="auto"/>
          <w:kern w:val="0"/>
          <w:sz w:val="36"/>
          <w:szCs w:val="36"/>
          <w:highlight w:val="none"/>
          <w:lang w:bidi="ar"/>
        </w:rPr>
      </w:pPr>
    </w:p>
    <w:p>
      <w:pPr>
        <w:pStyle w:val="25"/>
        <w:ind w:left="0" w:leftChars="0"/>
        <w:rPr>
          <w:rFonts w:hint="eastAsia" w:ascii="新宋体" w:hAnsi="新宋体" w:eastAsia="新宋体" w:cs="新宋体"/>
          <w:b/>
          <w:bCs/>
          <w:color w:val="auto"/>
          <w:kern w:val="0"/>
          <w:sz w:val="36"/>
          <w:szCs w:val="36"/>
          <w:highlight w:val="none"/>
          <w:lang w:bidi="ar"/>
        </w:rPr>
      </w:pPr>
    </w:p>
    <w:sectPr>
      <w:footerReference r:id="rId7" w:type="default"/>
      <w:pgSz w:w="11907" w:h="16840"/>
      <w:pgMar w:top="1134" w:right="1134" w:bottom="113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1"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203" w:usb1="288F0000" w:usb2="00000006" w:usb3="00000000" w:csb0="00040001"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3" w:usb1="00000000" w:usb2="00000000" w:usb3="00000000" w:csb0="00000001" w:csb1="00000000"/>
  </w:font>
  <w:font w:name="Arial Unicode MS">
    <w:altName w:val="宋体"/>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PMingLiU">
    <w:altName w:val="Microsoft JhengHei UI"/>
    <w:panose1 w:val="02010601000101010101"/>
    <w:charset w:val="88"/>
    <w:family w:val="roman"/>
    <w:pitch w:val="default"/>
    <w:sig w:usb0="A00002FF" w:usb1="28CFFCFA" w:usb2="00000016" w:usb3="00000000" w:csb0="00100001" w:csb1="00000000"/>
  </w:font>
  <w:font w:name="Century Gothic">
    <w:panose1 w:val="020B0502020202020204"/>
    <w:charset w:val="00"/>
    <w:family w:val="swiss"/>
    <w:pitch w:val="default"/>
    <w:sig w:usb0="00000287" w:usb1="00000000" w:usb2="00000000" w:usb3="00000000" w:csb0="2000009F" w:csb1="DFD70000"/>
  </w:font>
  <w:font w:name="楷体">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right="360" w:firstLine="4500" w:firstLineChars="2500"/>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30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5"/>
                            <w:rPr>
                              <w:rStyle w:val="56"/>
                              <w:rFonts w:hint="eastAsia"/>
                            </w:rPr>
                          </w:pPr>
                          <w:r>
                            <w:fldChar w:fldCharType="begin"/>
                          </w:r>
                          <w:r>
                            <w:rPr>
                              <w:rStyle w:val="56"/>
                            </w:rPr>
                            <w:instrText xml:space="preserve">PAGE  </w:instrText>
                          </w:r>
                          <w:r>
                            <w:fldChar w:fldCharType="separate"/>
                          </w:r>
                          <w:r>
                            <w:rPr>
                              <w:rStyle w:val="56"/>
                              <w:lang/>
                            </w:rPr>
                            <w:t>80</w:t>
                          </w:r>
                          <w:r>
                            <w:fldChar w:fldCharType="end"/>
                          </w:r>
                        </w:p>
                      </w:txbxContent>
                    </wps:txbx>
                    <wps:bodyPr wrap="none" lIns="0" tIns="0" rIns="0" bIns="0" upright="0">
                      <a:spAutoFit/>
                    </wps:bodyPr>
                  </wps:wsp>
                </a:graphicData>
              </a:graphic>
            </wp:anchor>
          </w:drawing>
        </mc:Choice>
        <mc:Fallback>
          <w:pict>
            <v:shape id="文本框 307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DVvRJLUAQAApwMAAA4AAABkcnMvZTJvRG9jLnhtbK1TS27bMBDd F8gdCO5jKQ6SCILloIGRokDRFkh7AJoiLQL8gUNb8gXaG3TVTfc9l8/RISU5RbrJohtqyBm+ee9x tLofjCYHEUA529CrRUmJsNy1yu4a+vXL42VFCURmW6adFQ09CqD364s3q97XYuk6p1sRCIJYqHvf 0C5GXxcF8E4YBgvnhcWkdMGwiNuwK9rAekQ3uliW5W3Ru9D64LgAwNPNmKQTYngNoJNScbFxfG+E jSNqEJpFlASd8kDXma2UgsdPUoKIRDcUlca8YhOMt2kt1itW7wLzneITBfYaCi80GaYsNj1DbVhk ZB/UP1BG8eDAybjgzhSjkOwIqrgqX3jz1DEvsha0GvzZdPh/sPzj4XMgqsVJQEssM/jipx/fTz9/ n359I9fl3W2yqPdQY+WTx9o4PLgBy+dzwMOkfJDBpC9qIphHtOPZYDFEwtOlallVJaY45uYN4hfP 132A+E44Q1LQ0IAvmI1lhw8Qx9K5JHWz7lFpnV9RW9Ij6k11d5NvnFOIri02SSpGtimKw3aYpG1d e0RlPY5BQy1OPSX6vUWXkWmcgzAH2znY+6B2XR6pRAX8231EOpll6jDCTo3x/bLOadbSgPy9z1XP /9f6D1BLAwQKAAAAAACHTuJAAAAAAAAAAAAAAAAABgAAAF9yZWxzL1BLAwQUAAAACACHTuJAihRm PNEAAACUAQAACwAAAF9yZWxzLy5yZWxzpZDBasMwDIbvg72D0X1xmsMYo04vo9Br6R7A2IpjGltG Mtn69vMOg2X0tqN+oe8T//7wmRa1IkukbGDX9aAwO/IxBwPvl+PTCyipNnu7UEYDNxQ4jI8P+zMu trYjmWMR1ShZDMy1lletxc2YrHRUMLfNRJxsbSMHXay72oB66Ptnzb8ZMG6Y6uQN8MkPoC630sx/ 2Ck6JqGpdo6SpmmK7h5VB7Zlju7INuEbuUazHLAa8CwaB2pZ134EfV+/+6fe00c+47rVfoeM649X b7ocvwBQSwMEFAAAAAgAh07iQH7m5SD3AAAA4QEAABMAAABbQ29udGVudF9UeXBlc10ueG1slZFB TsMwEEX3SNzB8hYlTrtACCXpgrRLQKgcYGRPEotkbHlMaG+Pk7YbRJFY2jP/vye73BzGQUwY2Dqq 5CovpEDSzljqKvm+32UPUnAEMjA4wkoekeWmvr0p90ePLFKauJJ9jP5RKdY9jsC580hp0rowQkzH 0CkP+gM6VOuiuFfaUUSKWZw7ZF022MLnEMX2kK5PJgEHluLptDizKgneD1ZDTKZqIvODkp0JeUou O9xbz3dJQ6pfCfPkOuCce0lPE6xB8QohPsOYNJQJrIz7ooBT/nfJbDly5trWasybwE2KveF0sbrW jmvXOP3f8u2SunSr5YPqb1BLAQIUABQAAAAIAIdO4kB+5uUg9wAAAOEBAAATAAAAAAAAAAEAIAAA AEAEAABbQ29udGVudF9UeXBlc10ueG1sUEsBAhQACgAAAAAAh07iQAAAAAAAAAAAAAAAAAYAAAAA AAAAAAAQAAAAIgMAAF9yZWxzL1BLAQIUABQAAAAIAIdO4kCKFGY80QAAAJQBAAALAAAAAAAAAAEA IAAAAEYDAABfcmVscy8ucmVsc1BLAQIUAAoAAAAAAIdO4kAAAAAAAAAAAAAAAAAEAAAAAAAAAAAA EAAAAAAAAABkcnMvUEsBAhQAFAAAAAgAh07iQGhpgkvTAAAABQEAAA8AAAAAAAAAAQAgAAAAIgAA AGRycy9kb3ducmV2LnhtbFBLAQIUABQAAAAIAIdO4kA1b0SS1AEAAKcDAAAOAAAAAAAAAAEAIAAA ACIBAABkcnMvZTJvRG9jLnhtbFBLBQYAAAAABgAGAFkBAABoBQAAAAA= ">
              <v:fill on="f" focussize="0,0"/>
              <v:stroke on="f" weight="1.25pt"/>
              <v:imagedata o:title=""/>
              <o:lock v:ext="edit" aspectratio="f"/>
              <v:textbox inset="0mm,0mm,0mm,0mm" style="mso-fit-shape-to-text:t;">
                <w:txbxContent>
                  <w:p>
                    <w:pPr>
                      <w:pStyle w:val="35"/>
                      <w:rPr>
                        <w:rStyle w:val="56"/>
                        <w:rFonts w:hint="eastAsia"/>
                      </w:rPr>
                    </w:pPr>
                    <w:r>
                      <w:fldChar w:fldCharType="begin"/>
                    </w:r>
                    <w:r>
                      <w:rPr>
                        <w:rStyle w:val="56"/>
                      </w:rPr>
                      <w:instrText xml:space="preserve">PAGE  </w:instrText>
                    </w:r>
                    <w:r>
                      <w:fldChar w:fldCharType="separate"/>
                    </w:r>
                    <w:r>
                      <w:rPr>
                        <w:rStyle w:val="56"/>
                        <w:lang/>
                      </w:rPr>
                      <w:t>80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6"/>
      </w:rPr>
    </w:pPr>
    <w:r>
      <w:fldChar w:fldCharType="begin"/>
    </w:r>
    <w:r>
      <w:rPr>
        <w:rStyle w:val="56"/>
      </w:rPr>
      <w:instrText xml:space="preserve">PAGE  </w:instrText>
    </w:r>
    <w:r>
      <w:fldChar w:fldCharType="separate"/>
    </w:r>
    <w:r>
      <w:rPr>
        <w:rStyle w:val="56"/>
        <w:lang/>
      </w:rPr>
      <w:t>81</w:t>
    </w:r>
    <w:r>
      <w:fldChar w:fldCharType="end"/>
    </w:r>
  </w:p>
  <w:p>
    <w:pPr>
      <w:pStyle w:val="35"/>
      <w:ind w:right="360" w:firstLine="4500" w:firstLineChars="25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30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5"/>
                            <w:jc w:val="both"/>
                            <w:rPr>
                              <w:rStyle w:val="56"/>
                            </w:rPr>
                          </w:pPr>
                          <w:r>
                            <w:fldChar w:fldCharType="begin"/>
                          </w:r>
                          <w:r>
                            <w:rPr>
                              <w:rStyle w:val="56"/>
                            </w:rPr>
                            <w:instrText xml:space="preserve">PAGE  </w:instrText>
                          </w:r>
                          <w:r>
                            <w:fldChar w:fldCharType="separate"/>
                          </w:r>
                          <w:r>
                            <w:rPr>
                              <w:rStyle w:val="56"/>
                              <w:lang/>
                            </w:rPr>
                            <w:t>204</w:t>
                          </w:r>
                          <w:r>
                            <w:fldChar w:fldCharType="end"/>
                          </w:r>
                        </w:p>
                      </w:txbxContent>
                    </wps:txbx>
                    <wps:bodyPr wrap="none" lIns="0" tIns="0" rIns="0" bIns="0" upright="0">
                      <a:spAutoFit/>
                    </wps:bodyPr>
                  </wps:wsp>
                </a:graphicData>
              </a:graphic>
            </wp:anchor>
          </w:drawing>
        </mc:Choice>
        <mc:Fallback>
          <w:pict>
            <v:shape id="文本框 307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D5OtYnTAQAApgMAAA4AAABkcnMvZTJvRG9jLnhtbK1TzY7TMBC+ I+07WL5vk+1qIURNV6BqV0gIkBYewHXsxpL/5HGb9AXgDThx4c5z9TkYO0kXlsseuDgznvE3830z Wd0ORpODCKCcbejVoqREWO5aZXcN/fL57rKiBCKzLdPOioYeBdDb9cWLVe9rsXSd060IBEEs1L1v aBejr4sCeCcMg4XzwmJQumBYRDfsijawHtGNLpZl+bLoXWh9cFwA4O1mDNIJMTwH0EmpuNg4vjfC xhE1CM0iUoJOeaDr3K2UgsePUoKIRDcUmcZ8YhG0t+ks1itW7wLzneJTC+w5LTzhZJiyWPQMtWGR kX1Q/0AZxYMDJ+OCO1OMRLIiyOKqfKLNQ8e8yFxQavBn0eH/wfIPh0+BqLahrymxzODAT9+/nX78 Ov38Sq7LVzdJod5DjYkPHlPj8NYNuDfzPeBlIj7IYNIXKRGMo77Hs75iiISnR9WyqkoMcYzNDuIX j899gHgvnCHJaGjAAWZd2eE9xDF1TknVrLtTWuchakt6RL2psOe/QoiuLRZJLMZukxWH7TBR27r2 iMx63IKGWlx6SvQ7iyKnhZmNMBvb2dj7oHZd3qhUD/ybfcR2cpepwgg7FcbxZZ7TqqX9+NPPWY+/ 1/o3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PwQAAFtDb250ZW50X1R5cGVzXS54bWxQSwECFAAKAAAAAACHTuJAAAAAAAAAAAAAAAAABgAAAAAA AAAAABAAAAAhAwAAX3JlbHMvUEsBAhQAFAAAAAgAh07iQIoUZjzRAAAAlAEAAAsAAAAAAAAAAQAg AAAARQMAAF9yZWxzLy5yZWxzUEsBAhQACgAAAAAAh07iQAAAAAAAAAAAAAAAAAQAAAAAAAAAAAAQ AAAAAAAAAGRycy9QSwECFAAUAAAACACHTuJAaGmCS9MAAAAFAQAADwAAAAAAAAABACAAAAAiAAAA ZHJzL2Rvd25yZXYueG1sUEsBAhQAFAAAAAgAh07iQD5OtYnTAQAApgMAAA4AAAAAAAAAAQAgAAAA IgEAAGRycy9lMm9Eb2MueG1sUEsFBgAAAAAGAAYAWQEAAGcFAAAAAA== ">
              <v:fill on="f" focussize="0,0"/>
              <v:stroke on="f" weight="1.25pt"/>
              <v:imagedata o:title=""/>
              <o:lock v:ext="edit" aspectratio="f"/>
              <v:textbox inset="0mm,0mm,0mm,0mm" style="mso-fit-shape-to-text:t;">
                <w:txbxContent>
                  <w:p>
                    <w:pPr>
                      <w:pStyle w:val="35"/>
                      <w:jc w:val="both"/>
                      <w:rPr>
                        <w:rStyle w:val="56"/>
                      </w:rPr>
                    </w:pPr>
                    <w:r>
                      <w:fldChar w:fldCharType="begin"/>
                    </w:r>
                    <w:r>
                      <w:rPr>
                        <w:rStyle w:val="56"/>
                      </w:rPr>
                      <w:instrText xml:space="preserve">PAGE  </w:instrText>
                    </w:r>
                    <w:r>
                      <w:fldChar w:fldCharType="separate"/>
                    </w:r>
                    <w:r>
                      <w:rPr>
                        <w:rStyle w:val="56"/>
                        <w:lang/>
                      </w:rPr>
                      <w:t>204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single" w:color="auto" w:sz="6" w:space="0"/>
      </w:pBdr>
      <w:jc w:val="both"/>
      <w:rPr>
        <w:rFonts w:hint="eastAsia"/>
      </w:rPr>
    </w:pPr>
    <w:r>
      <w:rPr>
        <w:rFonts w:hint="eastAsia"/>
      </w:rPr>
      <w:t>温州市政府（分散）采购招标文件                                               项目编号： WZLCZB-2020-08124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single" w:color="auto" w:sz="6" w:space="0"/>
      </w:pBdr>
      <w:jc w:val="both"/>
    </w:pPr>
    <w:r>
      <w:rPr>
        <w:rFonts w:hint="eastAsia"/>
      </w:rPr>
      <w:t>温州市政府（分散）采购招标文件                                             项目编号：WZLCZB-2020-08124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F9EC89"/>
    <w:multiLevelType w:val="singleLevel"/>
    <w:tmpl w:val="BAF9EC89"/>
    <w:lvl w:ilvl="0" w:tentative="0">
      <w:start w:val="1"/>
      <w:numFmt w:val="chineseCounting"/>
      <w:suff w:val="nothing"/>
      <w:lvlText w:val="（%1）"/>
      <w:lvlJc w:val="left"/>
      <w:rPr>
        <w:rFonts w:hint="eastAsia"/>
      </w:rPr>
    </w:lvl>
  </w:abstractNum>
  <w:abstractNum w:abstractNumId="1">
    <w:nsid w:val="13803992"/>
    <w:multiLevelType w:val="multilevel"/>
    <w:tmpl w:val="13803992"/>
    <w:lvl w:ilvl="0" w:tentative="0">
      <w:start w:val="1"/>
      <w:numFmt w:val="decimal"/>
      <w:lvlText w:val="%1)"/>
      <w:lvlJc w:val="left"/>
      <w:pPr>
        <w:ind w:left="420" w:hanging="420"/>
      </w:pPr>
    </w:lvl>
    <w:lvl w:ilvl="1" w:tentative="0">
      <w:start w:val="0"/>
      <w:numFmt w:val="bullet"/>
      <w:lvlText w:val="★"/>
      <w:lvlJc w:val="left"/>
      <w:pPr>
        <w:ind w:left="780" w:hanging="360"/>
      </w:pPr>
      <w:rPr>
        <w:rFonts w:hint="eastAsia" w:ascii="仿宋" w:hAnsi="仿宋" w:eastAsia="仿宋"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BC50ACD"/>
    <w:multiLevelType w:val="multilevel"/>
    <w:tmpl w:val="1BC50ACD"/>
    <w:lvl w:ilvl="0" w:tentative="0">
      <w:start w:val="5"/>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EA38682"/>
    <w:multiLevelType w:val="singleLevel"/>
    <w:tmpl w:val="4EA38682"/>
    <w:lvl w:ilvl="0" w:tentative="0">
      <w:start w:val="1"/>
      <w:numFmt w:val="chineseCounting"/>
      <w:suff w:val="space"/>
      <w:lvlText w:val="第%1部分"/>
      <w:lvlJc w:val="left"/>
      <w:rPr>
        <w:rFonts w:hint="eastAsia"/>
      </w:rPr>
    </w:lvl>
  </w:abstractNum>
  <w:abstractNum w:abstractNumId="4">
    <w:nsid w:val="52A13619"/>
    <w:multiLevelType w:val="multilevel"/>
    <w:tmpl w:val="52A13619"/>
    <w:lvl w:ilvl="0" w:tentative="0">
      <w:start w:val="1"/>
      <w:numFmt w:val="decimal"/>
      <w:lvlText w:val="%1)"/>
      <w:lvlJc w:val="left"/>
      <w:pPr>
        <w:ind w:left="420" w:hanging="420"/>
      </w:pPr>
    </w:lvl>
    <w:lvl w:ilvl="1" w:tentative="0">
      <w:start w:val="0"/>
      <w:numFmt w:val="bullet"/>
      <w:lvlText w:val="★"/>
      <w:lvlJc w:val="left"/>
      <w:pPr>
        <w:ind w:left="780" w:hanging="360"/>
      </w:pPr>
      <w:rPr>
        <w:rFonts w:hint="eastAsia" w:ascii="仿宋" w:hAnsi="仿宋" w:eastAsia="仿宋"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2D7A3B6"/>
    <w:multiLevelType w:val="singleLevel"/>
    <w:tmpl w:val="52D7A3B6"/>
    <w:lvl w:ilvl="0" w:tentative="0">
      <w:start w:val="1"/>
      <w:numFmt w:val="decimal"/>
      <w:suff w:val="nothing"/>
      <w:lvlText w:val="（%1）"/>
      <w:lvlJc w:val="left"/>
    </w:lvl>
  </w:abstractNum>
  <w:abstractNum w:abstractNumId="6">
    <w:nsid w:val="5587646D"/>
    <w:multiLevelType w:val="singleLevel"/>
    <w:tmpl w:val="5587646D"/>
    <w:lvl w:ilvl="0" w:tentative="0">
      <w:start w:val="1"/>
      <w:numFmt w:val="bullet"/>
      <w:lvlText w:val=""/>
      <w:lvlJc w:val="left"/>
      <w:pPr>
        <w:ind w:left="420" w:hanging="420"/>
      </w:pPr>
      <w:rPr>
        <w:rFonts w:hint="default" w:ascii="Wingdings" w:hAnsi="Wingdings"/>
      </w:rPr>
    </w:lvl>
  </w:abstractNum>
  <w:abstractNum w:abstractNumId="7">
    <w:nsid w:val="7BCB77E8"/>
    <w:multiLevelType w:val="multilevel"/>
    <w:tmpl w:val="7BCB77E8"/>
    <w:lvl w:ilvl="0" w:tentative="0">
      <w:start w:val="1"/>
      <w:numFmt w:val="bullet"/>
      <w:pStyle w:val="303"/>
      <w:lvlText w:val=""/>
      <w:lvlJc w:val="left"/>
      <w:pPr>
        <w:ind w:left="620" w:hanging="420"/>
      </w:pPr>
      <w:rPr>
        <w:rFonts w:hint="default" w:ascii="Wingdings" w:hAnsi="Wingdings"/>
      </w:rPr>
    </w:lvl>
    <w:lvl w:ilvl="1" w:tentative="0">
      <w:start w:val="1"/>
      <w:numFmt w:val="bullet"/>
      <w:lvlText w:val=""/>
      <w:lvlJc w:val="left"/>
      <w:pPr>
        <w:ind w:left="1040" w:hanging="420"/>
      </w:pPr>
      <w:rPr>
        <w:rFonts w:hint="default" w:ascii="Wingdings" w:hAnsi="Wingdings"/>
      </w:rPr>
    </w:lvl>
    <w:lvl w:ilvl="2" w:tentative="0">
      <w:start w:val="1"/>
      <w:numFmt w:val="bullet"/>
      <w:lvlText w:val=""/>
      <w:lvlJc w:val="left"/>
      <w:pPr>
        <w:ind w:left="1460" w:hanging="420"/>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8">
    <w:nsid w:val="7D933B3F"/>
    <w:multiLevelType w:val="multilevel"/>
    <w:tmpl w:val="7D933B3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3"/>
  </w:num>
  <w:num w:numId="3">
    <w:abstractNumId w:val="5"/>
  </w:num>
  <w:num w:numId="4">
    <w:abstractNumId w:val="0"/>
  </w:num>
  <w:num w:numId="5">
    <w:abstractNumId w:val="6"/>
  </w:num>
  <w:num w:numId="6">
    <w:abstractNumId w:val="4"/>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3,4,5"/>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29F"/>
    <w:rsid w:val="001330A2"/>
    <w:rsid w:val="0019455F"/>
    <w:rsid w:val="0025409E"/>
    <w:rsid w:val="00300CAD"/>
    <w:rsid w:val="003033AF"/>
    <w:rsid w:val="003206B1"/>
    <w:rsid w:val="003A2A47"/>
    <w:rsid w:val="003B1E8D"/>
    <w:rsid w:val="003E6FB1"/>
    <w:rsid w:val="00413E40"/>
    <w:rsid w:val="00467882"/>
    <w:rsid w:val="00475AAE"/>
    <w:rsid w:val="00490DFB"/>
    <w:rsid w:val="004C14F2"/>
    <w:rsid w:val="004E5871"/>
    <w:rsid w:val="00544B86"/>
    <w:rsid w:val="005736BA"/>
    <w:rsid w:val="0057485A"/>
    <w:rsid w:val="00577C55"/>
    <w:rsid w:val="00581891"/>
    <w:rsid w:val="005978B8"/>
    <w:rsid w:val="005B1B0D"/>
    <w:rsid w:val="005B3D77"/>
    <w:rsid w:val="005F0A4C"/>
    <w:rsid w:val="00605459"/>
    <w:rsid w:val="0065705B"/>
    <w:rsid w:val="006730CA"/>
    <w:rsid w:val="006F0BE0"/>
    <w:rsid w:val="00712C8F"/>
    <w:rsid w:val="0074694C"/>
    <w:rsid w:val="0075479D"/>
    <w:rsid w:val="00767F98"/>
    <w:rsid w:val="0077607E"/>
    <w:rsid w:val="0079281C"/>
    <w:rsid w:val="007953A3"/>
    <w:rsid w:val="007A5A00"/>
    <w:rsid w:val="007B51AB"/>
    <w:rsid w:val="007C2046"/>
    <w:rsid w:val="007E6811"/>
    <w:rsid w:val="00824181"/>
    <w:rsid w:val="00872009"/>
    <w:rsid w:val="00874D13"/>
    <w:rsid w:val="00880971"/>
    <w:rsid w:val="008A6DB7"/>
    <w:rsid w:val="008C3795"/>
    <w:rsid w:val="008C715B"/>
    <w:rsid w:val="008E0E2E"/>
    <w:rsid w:val="008E3815"/>
    <w:rsid w:val="00944BC5"/>
    <w:rsid w:val="009A47C0"/>
    <w:rsid w:val="009B18FB"/>
    <w:rsid w:val="009D6EF6"/>
    <w:rsid w:val="009F445E"/>
    <w:rsid w:val="00A41CB5"/>
    <w:rsid w:val="00AC1531"/>
    <w:rsid w:val="00B25CAE"/>
    <w:rsid w:val="00B61CE5"/>
    <w:rsid w:val="00B72974"/>
    <w:rsid w:val="00B75F10"/>
    <w:rsid w:val="00B90220"/>
    <w:rsid w:val="00BE7C5D"/>
    <w:rsid w:val="00C85187"/>
    <w:rsid w:val="00CA35F5"/>
    <w:rsid w:val="00CA6F14"/>
    <w:rsid w:val="00CE261F"/>
    <w:rsid w:val="00D14C34"/>
    <w:rsid w:val="00D202C2"/>
    <w:rsid w:val="00D31581"/>
    <w:rsid w:val="00D718AA"/>
    <w:rsid w:val="00DA24F1"/>
    <w:rsid w:val="00DB6D78"/>
    <w:rsid w:val="00DD141F"/>
    <w:rsid w:val="00DF49CA"/>
    <w:rsid w:val="00E07C3B"/>
    <w:rsid w:val="00E348BC"/>
    <w:rsid w:val="00E97B00"/>
    <w:rsid w:val="00EC2597"/>
    <w:rsid w:val="00EE4D82"/>
    <w:rsid w:val="00F42E54"/>
    <w:rsid w:val="00F505AC"/>
    <w:rsid w:val="00F57253"/>
    <w:rsid w:val="00FA24F1"/>
    <w:rsid w:val="00FA441D"/>
    <w:rsid w:val="00FB7D84"/>
    <w:rsid w:val="00FC1F12"/>
    <w:rsid w:val="00FE468F"/>
    <w:rsid w:val="013001D8"/>
    <w:rsid w:val="01372171"/>
    <w:rsid w:val="013F27ED"/>
    <w:rsid w:val="01444FC2"/>
    <w:rsid w:val="01733466"/>
    <w:rsid w:val="01BB610E"/>
    <w:rsid w:val="01F15D70"/>
    <w:rsid w:val="020E0E62"/>
    <w:rsid w:val="02437BF2"/>
    <w:rsid w:val="024A13AC"/>
    <w:rsid w:val="02974AC8"/>
    <w:rsid w:val="02D81BE7"/>
    <w:rsid w:val="02F3661A"/>
    <w:rsid w:val="03002925"/>
    <w:rsid w:val="033D3A9E"/>
    <w:rsid w:val="034C70E3"/>
    <w:rsid w:val="03541CD8"/>
    <w:rsid w:val="035449CF"/>
    <w:rsid w:val="035E4655"/>
    <w:rsid w:val="03601F25"/>
    <w:rsid w:val="03756184"/>
    <w:rsid w:val="03E3512A"/>
    <w:rsid w:val="04113D07"/>
    <w:rsid w:val="042F36AC"/>
    <w:rsid w:val="043053DA"/>
    <w:rsid w:val="04A51BAC"/>
    <w:rsid w:val="04B539BC"/>
    <w:rsid w:val="04CB22A6"/>
    <w:rsid w:val="05011E4D"/>
    <w:rsid w:val="05241C5C"/>
    <w:rsid w:val="057C6E97"/>
    <w:rsid w:val="05B54827"/>
    <w:rsid w:val="05E9329B"/>
    <w:rsid w:val="062A2873"/>
    <w:rsid w:val="070545E2"/>
    <w:rsid w:val="0705724E"/>
    <w:rsid w:val="073564AA"/>
    <w:rsid w:val="0747552D"/>
    <w:rsid w:val="07544F67"/>
    <w:rsid w:val="076E786E"/>
    <w:rsid w:val="07D336FA"/>
    <w:rsid w:val="07DA489B"/>
    <w:rsid w:val="07F43B72"/>
    <w:rsid w:val="08301451"/>
    <w:rsid w:val="087972CF"/>
    <w:rsid w:val="08805ACF"/>
    <w:rsid w:val="08846EF7"/>
    <w:rsid w:val="089A0148"/>
    <w:rsid w:val="08F6752D"/>
    <w:rsid w:val="0908668B"/>
    <w:rsid w:val="09405F6A"/>
    <w:rsid w:val="098C12EA"/>
    <w:rsid w:val="09C073F6"/>
    <w:rsid w:val="09F132E5"/>
    <w:rsid w:val="0A4A4820"/>
    <w:rsid w:val="0A655B1C"/>
    <w:rsid w:val="0A7022A3"/>
    <w:rsid w:val="0A97481C"/>
    <w:rsid w:val="0AA85CD1"/>
    <w:rsid w:val="0AE3391E"/>
    <w:rsid w:val="0AEB534A"/>
    <w:rsid w:val="0AEC0A73"/>
    <w:rsid w:val="0B0F3B3C"/>
    <w:rsid w:val="0B1A73CC"/>
    <w:rsid w:val="0B6A2F5F"/>
    <w:rsid w:val="0B793B03"/>
    <w:rsid w:val="0B7D2716"/>
    <w:rsid w:val="0B7D6DAE"/>
    <w:rsid w:val="0BA33451"/>
    <w:rsid w:val="0BD66F7F"/>
    <w:rsid w:val="0BED4C67"/>
    <w:rsid w:val="0C015C4E"/>
    <w:rsid w:val="0C262886"/>
    <w:rsid w:val="0C272E0B"/>
    <w:rsid w:val="0C331F58"/>
    <w:rsid w:val="0C3A18FA"/>
    <w:rsid w:val="0C5E543A"/>
    <w:rsid w:val="0C935463"/>
    <w:rsid w:val="0CB85C85"/>
    <w:rsid w:val="0D131EEF"/>
    <w:rsid w:val="0D1E6764"/>
    <w:rsid w:val="0D217569"/>
    <w:rsid w:val="0D2C1241"/>
    <w:rsid w:val="0D3F34E2"/>
    <w:rsid w:val="0D452BE9"/>
    <w:rsid w:val="0D545189"/>
    <w:rsid w:val="0D6B6185"/>
    <w:rsid w:val="0D7D3705"/>
    <w:rsid w:val="0DB54028"/>
    <w:rsid w:val="0DC54F2E"/>
    <w:rsid w:val="0DE3496D"/>
    <w:rsid w:val="0DE573C3"/>
    <w:rsid w:val="0DE934ED"/>
    <w:rsid w:val="0DFC74A1"/>
    <w:rsid w:val="0E3F42EA"/>
    <w:rsid w:val="0E48055A"/>
    <w:rsid w:val="0E5A20BC"/>
    <w:rsid w:val="0E66152D"/>
    <w:rsid w:val="0E965168"/>
    <w:rsid w:val="0ECA1221"/>
    <w:rsid w:val="0EDE73CB"/>
    <w:rsid w:val="0EDE7AD9"/>
    <w:rsid w:val="0F2261B2"/>
    <w:rsid w:val="0F5D2358"/>
    <w:rsid w:val="0F6041D8"/>
    <w:rsid w:val="0F79019B"/>
    <w:rsid w:val="0FCB1952"/>
    <w:rsid w:val="0FDD3E77"/>
    <w:rsid w:val="0FDF2AA2"/>
    <w:rsid w:val="10003DE9"/>
    <w:rsid w:val="104211F7"/>
    <w:rsid w:val="10C12337"/>
    <w:rsid w:val="10C47A4A"/>
    <w:rsid w:val="10C928E0"/>
    <w:rsid w:val="10D90315"/>
    <w:rsid w:val="11DF71C9"/>
    <w:rsid w:val="120D4517"/>
    <w:rsid w:val="125257CA"/>
    <w:rsid w:val="12AF7CF6"/>
    <w:rsid w:val="12B60843"/>
    <w:rsid w:val="12D637BE"/>
    <w:rsid w:val="12DA4BE2"/>
    <w:rsid w:val="12F01674"/>
    <w:rsid w:val="131266F0"/>
    <w:rsid w:val="13580201"/>
    <w:rsid w:val="13635613"/>
    <w:rsid w:val="13A90F03"/>
    <w:rsid w:val="13BE6268"/>
    <w:rsid w:val="13C93111"/>
    <w:rsid w:val="1407509A"/>
    <w:rsid w:val="14842E95"/>
    <w:rsid w:val="14A14A9E"/>
    <w:rsid w:val="14B7470A"/>
    <w:rsid w:val="14F95557"/>
    <w:rsid w:val="150B2E49"/>
    <w:rsid w:val="159E4E04"/>
    <w:rsid w:val="15A31A05"/>
    <w:rsid w:val="15E96100"/>
    <w:rsid w:val="15F3003D"/>
    <w:rsid w:val="16075434"/>
    <w:rsid w:val="161A56A4"/>
    <w:rsid w:val="163004AD"/>
    <w:rsid w:val="16630751"/>
    <w:rsid w:val="166E0962"/>
    <w:rsid w:val="167F5567"/>
    <w:rsid w:val="16AA3642"/>
    <w:rsid w:val="16F94DEE"/>
    <w:rsid w:val="171B618B"/>
    <w:rsid w:val="175F4275"/>
    <w:rsid w:val="176F5BDE"/>
    <w:rsid w:val="17905726"/>
    <w:rsid w:val="17981ED7"/>
    <w:rsid w:val="17C2619F"/>
    <w:rsid w:val="17D66CEA"/>
    <w:rsid w:val="181A1D25"/>
    <w:rsid w:val="1826131F"/>
    <w:rsid w:val="18271D4B"/>
    <w:rsid w:val="18695AB0"/>
    <w:rsid w:val="1877210B"/>
    <w:rsid w:val="18DA5364"/>
    <w:rsid w:val="18E109AB"/>
    <w:rsid w:val="18E64FD6"/>
    <w:rsid w:val="193C44F6"/>
    <w:rsid w:val="196210F5"/>
    <w:rsid w:val="196868F5"/>
    <w:rsid w:val="196E79CE"/>
    <w:rsid w:val="19D702C8"/>
    <w:rsid w:val="19EC27FE"/>
    <w:rsid w:val="1A016F0A"/>
    <w:rsid w:val="1A067C49"/>
    <w:rsid w:val="1A1071C9"/>
    <w:rsid w:val="1A340690"/>
    <w:rsid w:val="1A8861D5"/>
    <w:rsid w:val="1A8E4AD8"/>
    <w:rsid w:val="1A9B117B"/>
    <w:rsid w:val="1B4643E1"/>
    <w:rsid w:val="1BAE06E6"/>
    <w:rsid w:val="1BBB665B"/>
    <w:rsid w:val="1BD57875"/>
    <w:rsid w:val="1BF57F17"/>
    <w:rsid w:val="1C2568C9"/>
    <w:rsid w:val="1C32098C"/>
    <w:rsid w:val="1C3705CD"/>
    <w:rsid w:val="1C397D37"/>
    <w:rsid w:val="1C420BEA"/>
    <w:rsid w:val="1C794E77"/>
    <w:rsid w:val="1C9660BA"/>
    <w:rsid w:val="1CBE4C52"/>
    <w:rsid w:val="1CDA36AB"/>
    <w:rsid w:val="1D2031B4"/>
    <w:rsid w:val="1D31465B"/>
    <w:rsid w:val="1D490AF5"/>
    <w:rsid w:val="1D4D4E89"/>
    <w:rsid w:val="1E4235E0"/>
    <w:rsid w:val="1E694D77"/>
    <w:rsid w:val="1EA0401F"/>
    <w:rsid w:val="1EC1289C"/>
    <w:rsid w:val="1EC85D86"/>
    <w:rsid w:val="1EDF5DFF"/>
    <w:rsid w:val="1F0115E6"/>
    <w:rsid w:val="1F400D45"/>
    <w:rsid w:val="1F5B0E3C"/>
    <w:rsid w:val="1F997D08"/>
    <w:rsid w:val="1FAD00B8"/>
    <w:rsid w:val="1FC740F3"/>
    <w:rsid w:val="1FD32D30"/>
    <w:rsid w:val="1FE57748"/>
    <w:rsid w:val="200D6F47"/>
    <w:rsid w:val="20125A90"/>
    <w:rsid w:val="2028604D"/>
    <w:rsid w:val="203C74A5"/>
    <w:rsid w:val="2053359A"/>
    <w:rsid w:val="21365423"/>
    <w:rsid w:val="213D35C4"/>
    <w:rsid w:val="21482C68"/>
    <w:rsid w:val="215A71A7"/>
    <w:rsid w:val="219465A8"/>
    <w:rsid w:val="21991983"/>
    <w:rsid w:val="21A572BA"/>
    <w:rsid w:val="22273C78"/>
    <w:rsid w:val="227472EC"/>
    <w:rsid w:val="22953CD1"/>
    <w:rsid w:val="22BC2FE9"/>
    <w:rsid w:val="23093AA8"/>
    <w:rsid w:val="231B1DAE"/>
    <w:rsid w:val="238610A7"/>
    <w:rsid w:val="2387736F"/>
    <w:rsid w:val="23A07A94"/>
    <w:rsid w:val="23C7193D"/>
    <w:rsid w:val="24327716"/>
    <w:rsid w:val="24491E1F"/>
    <w:rsid w:val="246F14B7"/>
    <w:rsid w:val="24C10CA1"/>
    <w:rsid w:val="24F00B4F"/>
    <w:rsid w:val="25001CA1"/>
    <w:rsid w:val="251029DC"/>
    <w:rsid w:val="256F4EC7"/>
    <w:rsid w:val="25831E3A"/>
    <w:rsid w:val="25BC27B3"/>
    <w:rsid w:val="25D961F9"/>
    <w:rsid w:val="25DC45DF"/>
    <w:rsid w:val="26245372"/>
    <w:rsid w:val="264B1EE2"/>
    <w:rsid w:val="264B6355"/>
    <w:rsid w:val="26627459"/>
    <w:rsid w:val="26BB5760"/>
    <w:rsid w:val="26F84ED3"/>
    <w:rsid w:val="26FD49E5"/>
    <w:rsid w:val="27215E15"/>
    <w:rsid w:val="273374C3"/>
    <w:rsid w:val="27691FEB"/>
    <w:rsid w:val="276C2A47"/>
    <w:rsid w:val="27995126"/>
    <w:rsid w:val="281560EC"/>
    <w:rsid w:val="28AB52FD"/>
    <w:rsid w:val="28B700EB"/>
    <w:rsid w:val="28C93469"/>
    <w:rsid w:val="29007903"/>
    <w:rsid w:val="291E3312"/>
    <w:rsid w:val="294B208E"/>
    <w:rsid w:val="295D5189"/>
    <w:rsid w:val="29C1387D"/>
    <w:rsid w:val="2A0540EB"/>
    <w:rsid w:val="2A340A34"/>
    <w:rsid w:val="2A450970"/>
    <w:rsid w:val="2A8F75F4"/>
    <w:rsid w:val="2AA93084"/>
    <w:rsid w:val="2AF00FDF"/>
    <w:rsid w:val="2B165412"/>
    <w:rsid w:val="2BA43086"/>
    <w:rsid w:val="2BA44C1F"/>
    <w:rsid w:val="2BC479C2"/>
    <w:rsid w:val="2BEC7E2C"/>
    <w:rsid w:val="2C1D7843"/>
    <w:rsid w:val="2C294F8C"/>
    <w:rsid w:val="2C345177"/>
    <w:rsid w:val="2C4326EC"/>
    <w:rsid w:val="2C4C6FDD"/>
    <w:rsid w:val="2CAE3665"/>
    <w:rsid w:val="2D0D06C1"/>
    <w:rsid w:val="2D246FEE"/>
    <w:rsid w:val="2D3A28F2"/>
    <w:rsid w:val="2D4128C1"/>
    <w:rsid w:val="2D66475B"/>
    <w:rsid w:val="2D6B4B28"/>
    <w:rsid w:val="2DBE1E41"/>
    <w:rsid w:val="2DCC10A1"/>
    <w:rsid w:val="2DCF03F8"/>
    <w:rsid w:val="2DFF4A83"/>
    <w:rsid w:val="2E122008"/>
    <w:rsid w:val="2E2E2168"/>
    <w:rsid w:val="2E40448B"/>
    <w:rsid w:val="2E8C1E5B"/>
    <w:rsid w:val="2EC861BD"/>
    <w:rsid w:val="2F032CD9"/>
    <w:rsid w:val="2F054A4A"/>
    <w:rsid w:val="2F541426"/>
    <w:rsid w:val="2F5479BA"/>
    <w:rsid w:val="2F652DBB"/>
    <w:rsid w:val="2F6C589B"/>
    <w:rsid w:val="2F997CCD"/>
    <w:rsid w:val="2FF76742"/>
    <w:rsid w:val="311F6DD1"/>
    <w:rsid w:val="315C0464"/>
    <w:rsid w:val="317E778D"/>
    <w:rsid w:val="31A729C5"/>
    <w:rsid w:val="31AC33EA"/>
    <w:rsid w:val="320E0399"/>
    <w:rsid w:val="322240D9"/>
    <w:rsid w:val="32314873"/>
    <w:rsid w:val="32572E2A"/>
    <w:rsid w:val="32AC3DFD"/>
    <w:rsid w:val="32B703C5"/>
    <w:rsid w:val="32BB7DEA"/>
    <w:rsid w:val="32D5578E"/>
    <w:rsid w:val="331B051A"/>
    <w:rsid w:val="332A470C"/>
    <w:rsid w:val="33492157"/>
    <w:rsid w:val="338C350C"/>
    <w:rsid w:val="33A440BD"/>
    <w:rsid w:val="33A725A4"/>
    <w:rsid w:val="33C2118E"/>
    <w:rsid w:val="33DF5176"/>
    <w:rsid w:val="33E96E13"/>
    <w:rsid w:val="342F1C9A"/>
    <w:rsid w:val="343A07D4"/>
    <w:rsid w:val="343E3710"/>
    <w:rsid w:val="3472746F"/>
    <w:rsid w:val="34AB08B2"/>
    <w:rsid w:val="34F7608F"/>
    <w:rsid w:val="352441F3"/>
    <w:rsid w:val="352F238C"/>
    <w:rsid w:val="3561697A"/>
    <w:rsid w:val="359039E0"/>
    <w:rsid w:val="367F3CF4"/>
    <w:rsid w:val="3693324F"/>
    <w:rsid w:val="36DD4630"/>
    <w:rsid w:val="36EC2369"/>
    <w:rsid w:val="378A0131"/>
    <w:rsid w:val="3790271A"/>
    <w:rsid w:val="37AC2C61"/>
    <w:rsid w:val="37BF3380"/>
    <w:rsid w:val="37E12934"/>
    <w:rsid w:val="38021567"/>
    <w:rsid w:val="380E4F1F"/>
    <w:rsid w:val="38432EAC"/>
    <w:rsid w:val="38E36465"/>
    <w:rsid w:val="39213268"/>
    <w:rsid w:val="3981290F"/>
    <w:rsid w:val="398F5A2D"/>
    <w:rsid w:val="3A594F10"/>
    <w:rsid w:val="3A9C4BBA"/>
    <w:rsid w:val="3A9F2513"/>
    <w:rsid w:val="3AC72086"/>
    <w:rsid w:val="3AFE025A"/>
    <w:rsid w:val="3B0B435E"/>
    <w:rsid w:val="3B3E6753"/>
    <w:rsid w:val="3B6842AD"/>
    <w:rsid w:val="3BF02C6A"/>
    <w:rsid w:val="3BF93AB6"/>
    <w:rsid w:val="3C0C7345"/>
    <w:rsid w:val="3C227A1F"/>
    <w:rsid w:val="3C3451CD"/>
    <w:rsid w:val="3C7D7C99"/>
    <w:rsid w:val="3CBA5285"/>
    <w:rsid w:val="3D1F5E2B"/>
    <w:rsid w:val="3D4C0BB6"/>
    <w:rsid w:val="3D507557"/>
    <w:rsid w:val="3D585B11"/>
    <w:rsid w:val="3D6669E6"/>
    <w:rsid w:val="3D755F99"/>
    <w:rsid w:val="3D7A2502"/>
    <w:rsid w:val="3E0A6B94"/>
    <w:rsid w:val="3E450474"/>
    <w:rsid w:val="3E4C63DD"/>
    <w:rsid w:val="3E59117D"/>
    <w:rsid w:val="3EDD7FB3"/>
    <w:rsid w:val="3EFD35FC"/>
    <w:rsid w:val="3F177DE4"/>
    <w:rsid w:val="3F1C67B3"/>
    <w:rsid w:val="3F3C61AB"/>
    <w:rsid w:val="3F4E0AF4"/>
    <w:rsid w:val="3F6131BF"/>
    <w:rsid w:val="3F7C6ACF"/>
    <w:rsid w:val="3F87161D"/>
    <w:rsid w:val="3F972383"/>
    <w:rsid w:val="3FC97B77"/>
    <w:rsid w:val="3FCB1275"/>
    <w:rsid w:val="3FD61FD3"/>
    <w:rsid w:val="3FF43235"/>
    <w:rsid w:val="3FF45099"/>
    <w:rsid w:val="401D6D4D"/>
    <w:rsid w:val="403060F0"/>
    <w:rsid w:val="40A065BD"/>
    <w:rsid w:val="40FF1F62"/>
    <w:rsid w:val="4187747B"/>
    <w:rsid w:val="4197782B"/>
    <w:rsid w:val="41A535AA"/>
    <w:rsid w:val="4241137D"/>
    <w:rsid w:val="429C1435"/>
    <w:rsid w:val="42E16EB3"/>
    <w:rsid w:val="43085C34"/>
    <w:rsid w:val="435A06C4"/>
    <w:rsid w:val="43665A5C"/>
    <w:rsid w:val="439F1B8F"/>
    <w:rsid w:val="43B8313D"/>
    <w:rsid w:val="4431337C"/>
    <w:rsid w:val="444730A2"/>
    <w:rsid w:val="444A72BB"/>
    <w:rsid w:val="449F563D"/>
    <w:rsid w:val="44BB1973"/>
    <w:rsid w:val="44E57F64"/>
    <w:rsid w:val="44EB0D5C"/>
    <w:rsid w:val="44FE278B"/>
    <w:rsid w:val="451F006A"/>
    <w:rsid w:val="456C41D2"/>
    <w:rsid w:val="45714C61"/>
    <w:rsid w:val="45732F0F"/>
    <w:rsid w:val="45AF6493"/>
    <w:rsid w:val="45EE76B2"/>
    <w:rsid w:val="46840369"/>
    <w:rsid w:val="46990B0B"/>
    <w:rsid w:val="46CD7FE0"/>
    <w:rsid w:val="47644A88"/>
    <w:rsid w:val="47A15929"/>
    <w:rsid w:val="47AB6627"/>
    <w:rsid w:val="47AC5F66"/>
    <w:rsid w:val="47AE70EB"/>
    <w:rsid w:val="47C05CA9"/>
    <w:rsid w:val="47D034B8"/>
    <w:rsid w:val="47F354E7"/>
    <w:rsid w:val="48690867"/>
    <w:rsid w:val="488C61D2"/>
    <w:rsid w:val="48991014"/>
    <w:rsid w:val="48CE2961"/>
    <w:rsid w:val="48DF1DC3"/>
    <w:rsid w:val="48EF319B"/>
    <w:rsid w:val="48EF714D"/>
    <w:rsid w:val="4924281B"/>
    <w:rsid w:val="49321AAF"/>
    <w:rsid w:val="494F75D6"/>
    <w:rsid w:val="495F69C1"/>
    <w:rsid w:val="496770E4"/>
    <w:rsid w:val="49A5108D"/>
    <w:rsid w:val="49AC2396"/>
    <w:rsid w:val="49C56596"/>
    <w:rsid w:val="4A0F4A2F"/>
    <w:rsid w:val="4A5E6550"/>
    <w:rsid w:val="4A7103C0"/>
    <w:rsid w:val="4AE419A1"/>
    <w:rsid w:val="4AEC71C1"/>
    <w:rsid w:val="4AFF0413"/>
    <w:rsid w:val="4B066AD1"/>
    <w:rsid w:val="4B3834BD"/>
    <w:rsid w:val="4B8D111A"/>
    <w:rsid w:val="4BE25895"/>
    <w:rsid w:val="4C0F59F4"/>
    <w:rsid w:val="4C227943"/>
    <w:rsid w:val="4CB27F58"/>
    <w:rsid w:val="4CB92ABE"/>
    <w:rsid w:val="4CCC6242"/>
    <w:rsid w:val="4D096E8F"/>
    <w:rsid w:val="4D2F3177"/>
    <w:rsid w:val="4D3413B0"/>
    <w:rsid w:val="4D653CC4"/>
    <w:rsid w:val="4D741FFC"/>
    <w:rsid w:val="4DA145FE"/>
    <w:rsid w:val="4DCF60C5"/>
    <w:rsid w:val="4E103A51"/>
    <w:rsid w:val="4E2C41C7"/>
    <w:rsid w:val="4E522D0C"/>
    <w:rsid w:val="4EB44BE7"/>
    <w:rsid w:val="4EE254B9"/>
    <w:rsid w:val="4F105740"/>
    <w:rsid w:val="4F3717BD"/>
    <w:rsid w:val="4F610FB8"/>
    <w:rsid w:val="4FD84E79"/>
    <w:rsid w:val="4FDF2870"/>
    <w:rsid w:val="500D67FE"/>
    <w:rsid w:val="50132220"/>
    <w:rsid w:val="503209E2"/>
    <w:rsid w:val="50445F58"/>
    <w:rsid w:val="504A26F6"/>
    <w:rsid w:val="504F2B7C"/>
    <w:rsid w:val="50750D8C"/>
    <w:rsid w:val="50A456F9"/>
    <w:rsid w:val="50E50AC2"/>
    <w:rsid w:val="50F37CB3"/>
    <w:rsid w:val="510961FA"/>
    <w:rsid w:val="514915AE"/>
    <w:rsid w:val="51622499"/>
    <w:rsid w:val="517B0316"/>
    <w:rsid w:val="51AF57C6"/>
    <w:rsid w:val="524A562E"/>
    <w:rsid w:val="52566E48"/>
    <w:rsid w:val="52601278"/>
    <w:rsid w:val="5288376A"/>
    <w:rsid w:val="52C32C39"/>
    <w:rsid w:val="52D208E5"/>
    <w:rsid w:val="52ED05BC"/>
    <w:rsid w:val="533711EA"/>
    <w:rsid w:val="53567BEF"/>
    <w:rsid w:val="53B319B5"/>
    <w:rsid w:val="54421A1B"/>
    <w:rsid w:val="544B29D0"/>
    <w:rsid w:val="544C52F5"/>
    <w:rsid w:val="54E95147"/>
    <w:rsid w:val="54EF5A2E"/>
    <w:rsid w:val="550D2648"/>
    <w:rsid w:val="551D7DBD"/>
    <w:rsid w:val="559E2EBF"/>
    <w:rsid w:val="55CA584F"/>
    <w:rsid w:val="55E97EAE"/>
    <w:rsid w:val="55F552C0"/>
    <w:rsid w:val="55FD7B2E"/>
    <w:rsid w:val="562B1343"/>
    <w:rsid w:val="56745142"/>
    <w:rsid w:val="56BB2D2F"/>
    <w:rsid w:val="56ED629A"/>
    <w:rsid w:val="56F96B07"/>
    <w:rsid w:val="572B4892"/>
    <w:rsid w:val="574A099D"/>
    <w:rsid w:val="57616002"/>
    <w:rsid w:val="578E25D7"/>
    <w:rsid w:val="57C26B2D"/>
    <w:rsid w:val="57E66D1D"/>
    <w:rsid w:val="57F83669"/>
    <w:rsid w:val="58322558"/>
    <w:rsid w:val="5841719C"/>
    <w:rsid w:val="58AE15EB"/>
    <w:rsid w:val="58DE757B"/>
    <w:rsid w:val="5921150F"/>
    <w:rsid w:val="592D2F60"/>
    <w:rsid w:val="594D7699"/>
    <w:rsid w:val="59B20F9F"/>
    <w:rsid w:val="59B35B4B"/>
    <w:rsid w:val="59B819C2"/>
    <w:rsid w:val="59B961D4"/>
    <w:rsid w:val="5A7066E6"/>
    <w:rsid w:val="5A7C73B7"/>
    <w:rsid w:val="5A9F6BD3"/>
    <w:rsid w:val="5AE002CC"/>
    <w:rsid w:val="5AF15244"/>
    <w:rsid w:val="5AFD02AF"/>
    <w:rsid w:val="5B021445"/>
    <w:rsid w:val="5B1B2537"/>
    <w:rsid w:val="5B204573"/>
    <w:rsid w:val="5BEE69DD"/>
    <w:rsid w:val="5C095E6F"/>
    <w:rsid w:val="5C322EA1"/>
    <w:rsid w:val="5C3F1579"/>
    <w:rsid w:val="5C942F44"/>
    <w:rsid w:val="5C9B11E3"/>
    <w:rsid w:val="5CBB1864"/>
    <w:rsid w:val="5CBD3460"/>
    <w:rsid w:val="5CF94831"/>
    <w:rsid w:val="5D0A4A91"/>
    <w:rsid w:val="5D1C12A9"/>
    <w:rsid w:val="5D6A3D29"/>
    <w:rsid w:val="5D9F77DE"/>
    <w:rsid w:val="5DB93E54"/>
    <w:rsid w:val="5DE70C7D"/>
    <w:rsid w:val="5E016E99"/>
    <w:rsid w:val="5E0C2497"/>
    <w:rsid w:val="5E1223FD"/>
    <w:rsid w:val="5E330F72"/>
    <w:rsid w:val="5E473B1C"/>
    <w:rsid w:val="5F042E24"/>
    <w:rsid w:val="5F2356CA"/>
    <w:rsid w:val="5F3E2B5F"/>
    <w:rsid w:val="5F522D7B"/>
    <w:rsid w:val="5F644FE3"/>
    <w:rsid w:val="5FA410D6"/>
    <w:rsid w:val="5FC43550"/>
    <w:rsid w:val="5FCB6A79"/>
    <w:rsid w:val="5FE479BB"/>
    <w:rsid w:val="5FE71F50"/>
    <w:rsid w:val="5FE72A0A"/>
    <w:rsid w:val="5FFF000A"/>
    <w:rsid w:val="5FFF2396"/>
    <w:rsid w:val="6007755F"/>
    <w:rsid w:val="60746A0B"/>
    <w:rsid w:val="60817E51"/>
    <w:rsid w:val="61053D86"/>
    <w:rsid w:val="615B1AFB"/>
    <w:rsid w:val="61DE2370"/>
    <w:rsid w:val="622F7629"/>
    <w:rsid w:val="626E4109"/>
    <w:rsid w:val="62980D9A"/>
    <w:rsid w:val="629F55E2"/>
    <w:rsid w:val="62B8141D"/>
    <w:rsid w:val="62CD53DB"/>
    <w:rsid w:val="62EF3F61"/>
    <w:rsid w:val="635A423F"/>
    <w:rsid w:val="638527C3"/>
    <w:rsid w:val="63F8673F"/>
    <w:rsid w:val="63FF44DC"/>
    <w:rsid w:val="63FF6967"/>
    <w:rsid w:val="6407452F"/>
    <w:rsid w:val="642E1979"/>
    <w:rsid w:val="646E3CB5"/>
    <w:rsid w:val="64E51842"/>
    <w:rsid w:val="656104A6"/>
    <w:rsid w:val="657C36B8"/>
    <w:rsid w:val="65F430E2"/>
    <w:rsid w:val="66117811"/>
    <w:rsid w:val="669323DE"/>
    <w:rsid w:val="66AA37C4"/>
    <w:rsid w:val="66C4441A"/>
    <w:rsid w:val="66D22371"/>
    <w:rsid w:val="67371992"/>
    <w:rsid w:val="673A3D9F"/>
    <w:rsid w:val="67580D25"/>
    <w:rsid w:val="677F598A"/>
    <w:rsid w:val="678A05F9"/>
    <w:rsid w:val="678A0690"/>
    <w:rsid w:val="67A75387"/>
    <w:rsid w:val="6819737B"/>
    <w:rsid w:val="68201E16"/>
    <w:rsid w:val="6833629F"/>
    <w:rsid w:val="68533AC7"/>
    <w:rsid w:val="685A0428"/>
    <w:rsid w:val="68972F13"/>
    <w:rsid w:val="68F240C7"/>
    <w:rsid w:val="68F45EB1"/>
    <w:rsid w:val="690B750D"/>
    <w:rsid w:val="693518F9"/>
    <w:rsid w:val="69360900"/>
    <w:rsid w:val="69412846"/>
    <w:rsid w:val="69694CF5"/>
    <w:rsid w:val="696B7731"/>
    <w:rsid w:val="69A06439"/>
    <w:rsid w:val="69D229D3"/>
    <w:rsid w:val="69D84081"/>
    <w:rsid w:val="69FD46DC"/>
    <w:rsid w:val="6A726123"/>
    <w:rsid w:val="6A9B699A"/>
    <w:rsid w:val="6AEE0668"/>
    <w:rsid w:val="6B0C0BEA"/>
    <w:rsid w:val="6B22413D"/>
    <w:rsid w:val="6B5862FD"/>
    <w:rsid w:val="6B6D1CF4"/>
    <w:rsid w:val="6B7F5533"/>
    <w:rsid w:val="6B93280A"/>
    <w:rsid w:val="6BD23C6D"/>
    <w:rsid w:val="6BDA3B40"/>
    <w:rsid w:val="6C0C756A"/>
    <w:rsid w:val="6C1B1900"/>
    <w:rsid w:val="6C391476"/>
    <w:rsid w:val="6C954F10"/>
    <w:rsid w:val="6C985842"/>
    <w:rsid w:val="6CA13AB4"/>
    <w:rsid w:val="6D032D5E"/>
    <w:rsid w:val="6D0675E3"/>
    <w:rsid w:val="6D4C14BC"/>
    <w:rsid w:val="6D6B2E2D"/>
    <w:rsid w:val="6D8D314D"/>
    <w:rsid w:val="6E074888"/>
    <w:rsid w:val="6E12150B"/>
    <w:rsid w:val="6E1B0232"/>
    <w:rsid w:val="6E4101E5"/>
    <w:rsid w:val="6E835256"/>
    <w:rsid w:val="6EB90F5C"/>
    <w:rsid w:val="6EDD013F"/>
    <w:rsid w:val="6EDF1252"/>
    <w:rsid w:val="6EF963B0"/>
    <w:rsid w:val="6F366286"/>
    <w:rsid w:val="6F49026C"/>
    <w:rsid w:val="6F50716D"/>
    <w:rsid w:val="6F644F21"/>
    <w:rsid w:val="6F837F46"/>
    <w:rsid w:val="6FBF05BE"/>
    <w:rsid w:val="70140259"/>
    <w:rsid w:val="701F5075"/>
    <w:rsid w:val="70402F20"/>
    <w:rsid w:val="70524D90"/>
    <w:rsid w:val="70815A9F"/>
    <w:rsid w:val="70BA2FA5"/>
    <w:rsid w:val="70BD378A"/>
    <w:rsid w:val="7134474E"/>
    <w:rsid w:val="71354044"/>
    <w:rsid w:val="715A415B"/>
    <w:rsid w:val="71727E74"/>
    <w:rsid w:val="717363AB"/>
    <w:rsid w:val="71BB2F36"/>
    <w:rsid w:val="71C13337"/>
    <w:rsid w:val="71D40552"/>
    <w:rsid w:val="71D5155C"/>
    <w:rsid w:val="71E1094E"/>
    <w:rsid w:val="72102FEF"/>
    <w:rsid w:val="72284E61"/>
    <w:rsid w:val="725F6BE2"/>
    <w:rsid w:val="72762278"/>
    <w:rsid w:val="73251E72"/>
    <w:rsid w:val="732C4C98"/>
    <w:rsid w:val="733E62E4"/>
    <w:rsid w:val="73915317"/>
    <w:rsid w:val="73E350DB"/>
    <w:rsid w:val="745C3B28"/>
    <w:rsid w:val="745D7BAE"/>
    <w:rsid w:val="74752613"/>
    <w:rsid w:val="748E7375"/>
    <w:rsid w:val="74D156FD"/>
    <w:rsid w:val="74E840FD"/>
    <w:rsid w:val="751F640F"/>
    <w:rsid w:val="752407A4"/>
    <w:rsid w:val="752A45A8"/>
    <w:rsid w:val="758F5A18"/>
    <w:rsid w:val="75A33669"/>
    <w:rsid w:val="75AD3CB7"/>
    <w:rsid w:val="75CC1516"/>
    <w:rsid w:val="76140754"/>
    <w:rsid w:val="7615746B"/>
    <w:rsid w:val="76240449"/>
    <w:rsid w:val="766D7A52"/>
    <w:rsid w:val="76EA2099"/>
    <w:rsid w:val="77221A9D"/>
    <w:rsid w:val="77234FCF"/>
    <w:rsid w:val="7795168F"/>
    <w:rsid w:val="77C5082F"/>
    <w:rsid w:val="78140343"/>
    <w:rsid w:val="784A6913"/>
    <w:rsid w:val="78926E68"/>
    <w:rsid w:val="789B791D"/>
    <w:rsid w:val="78C52B6C"/>
    <w:rsid w:val="79045905"/>
    <w:rsid w:val="79152FEB"/>
    <w:rsid w:val="797A63CF"/>
    <w:rsid w:val="79817742"/>
    <w:rsid w:val="79842ABB"/>
    <w:rsid w:val="7986478E"/>
    <w:rsid w:val="79A937FB"/>
    <w:rsid w:val="79D1132C"/>
    <w:rsid w:val="79DA2354"/>
    <w:rsid w:val="79EC63BA"/>
    <w:rsid w:val="7A893971"/>
    <w:rsid w:val="7ABC3697"/>
    <w:rsid w:val="7AD45005"/>
    <w:rsid w:val="7B244303"/>
    <w:rsid w:val="7B751FD5"/>
    <w:rsid w:val="7BAD6EB9"/>
    <w:rsid w:val="7BBC2008"/>
    <w:rsid w:val="7BC040B8"/>
    <w:rsid w:val="7BD96D1A"/>
    <w:rsid w:val="7BF36FA6"/>
    <w:rsid w:val="7C116E57"/>
    <w:rsid w:val="7C1C1C02"/>
    <w:rsid w:val="7C592AD4"/>
    <w:rsid w:val="7C6341CC"/>
    <w:rsid w:val="7CB7798D"/>
    <w:rsid w:val="7CCF79B4"/>
    <w:rsid w:val="7CF85706"/>
    <w:rsid w:val="7DA01B79"/>
    <w:rsid w:val="7DF62DC9"/>
    <w:rsid w:val="7E0151A3"/>
    <w:rsid w:val="7EA426CC"/>
    <w:rsid w:val="7EBD4CC0"/>
    <w:rsid w:val="7EC035FD"/>
    <w:rsid w:val="7EC40A24"/>
    <w:rsid w:val="7F2733BE"/>
    <w:rsid w:val="7F283120"/>
    <w:rsid w:val="7F6337BD"/>
    <w:rsid w:val="7F846908"/>
    <w:rsid w:val="7FB551BC"/>
    <w:rsid w:val="7FBB0384"/>
    <w:rsid w:val="7FCB2254"/>
    <w:rsid w:val="7FD22087"/>
    <w:rsid w:val="7FD2471A"/>
    <w:rsid w:val="7FDA02A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4">
    <w:name w:val="heading 1"/>
    <w:basedOn w:val="1"/>
    <w:next w:val="1"/>
    <w:link w:val="90"/>
    <w:qFormat/>
    <w:uiPriority w:val="0"/>
    <w:pPr>
      <w:keepNext/>
      <w:jc w:val="center"/>
      <w:outlineLvl w:val="0"/>
    </w:pPr>
    <w:rPr>
      <w:rFonts w:eastAsia="黑体"/>
      <w:b/>
      <w:sz w:val="32"/>
      <w:szCs w:val="20"/>
    </w:rPr>
  </w:style>
  <w:style w:type="paragraph" w:styleId="2">
    <w:name w:val="heading 2"/>
    <w:basedOn w:val="1"/>
    <w:next w:val="1"/>
    <w:link w:val="135"/>
    <w:qFormat/>
    <w:uiPriority w:val="0"/>
    <w:pPr>
      <w:keepNext/>
      <w:outlineLvl w:val="1"/>
    </w:pPr>
    <w:rPr>
      <w:rFonts w:ascii="仿宋_GB2312"/>
      <w:b/>
      <w:sz w:val="28"/>
      <w:szCs w:val="32"/>
    </w:rPr>
  </w:style>
  <w:style w:type="paragraph" w:styleId="5">
    <w:name w:val="heading 3"/>
    <w:basedOn w:val="1"/>
    <w:next w:val="1"/>
    <w:link w:val="74"/>
    <w:qFormat/>
    <w:uiPriority w:val="0"/>
    <w:pPr>
      <w:keepNext/>
      <w:keepLines/>
      <w:spacing w:line="540" w:lineRule="atLeast"/>
      <w:outlineLvl w:val="2"/>
    </w:pPr>
    <w:rPr>
      <w:rFonts w:eastAsia="黑体"/>
      <w:b/>
      <w:sz w:val="28"/>
      <w:szCs w:val="20"/>
    </w:rPr>
  </w:style>
  <w:style w:type="paragraph" w:styleId="6">
    <w:name w:val="heading 4"/>
    <w:basedOn w:val="1"/>
    <w:next w:val="1"/>
    <w:link w:val="110"/>
    <w:qFormat/>
    <w:uiPriority w:val="0"/>
    <w:pPr>
      <w:keepNext/>
      <w:keepLines/>
      <w:spacing w:line="540" w:lineRule="atLeast"/>
      <w:outlineLvl w:val="3"/>
    </w:pPr>
    <w:rPr>
      <w:sz w:val="28"/>
      <w:szCs w:val="28"/>
    </w:rPr>
  </w:style>
  <w:style w:type="paragraph" w:styleId="7">
    <w:name w:val="heading 5"/>
    <w:basedOn w:val="1"/>
    <w:next w:val="1"/>
    <w:link w:val="98"/>
    <w:qFormat/>
    <w:uiPriority w:val="0"/>
    <w:pPr>
      <w:keepNext/>
      <w:keepLines/>
      <w:spacing w:before="280" w:beforeLines="0" w:after="290" w:afterLines="0" w:line="372" w:lineRule="auto"/>
      <w:outlineLvl w:val="4"/>
    </w:pPr>
    <w:rPr>
      <w:b/>
      <w:bCs/>
      <w:kern w:val="0"/>
      <w:sz w:val="28"/>
      <w:szCs w:val="28"/>
    </w:rPr>
  </w:style>
  <w:style w:type="paragraph" w:styleId="8">
    <w:name w:val="heading 6"/>
    <w:basedOn w:val="1"/>
    <w:next w:val="9"/>
    <w:link w:val="102"/>
    <w:qFormat/>
    <w:uiPriority w:val="0"/>
    <w:pPr>
      <w:keepNext/>
      <w:keepLines/>
      <w:spacing w:before="240" w:beforeLines="0" w:after="64" w:afterLines="0" w:line="317" w:lineRule="auto"/>
      <w:outlineLvl w:val="5"/>
    </w:pPr>
    <w:rPr>
      <w:rFonts w:ascii="Arial" w:hAnsi="Arial" w:eastAsia="黑体"/>
      <w:b/>
      <w:sz w:val="24"/>
      <w:szCs w:val="20"/>
    </w:rPr>
  </w:style>
  <w:style w:type="paragraph" w:styleId="10">
    <w:name w:val="heading 7"/>
    <w:basedOn w:val="1"/>
    <w:next w:val="9"/>
    <w:link w:val="63"/>
    <w:qFormat/>
    <w:uiPriority w:val="0"/>
    <w:pPr>
      <w:keepNext/>
      <w:keepLines/>
      <w:spacing w:before="240" w:beforeLines="0" w:after="64" w:afterLines="0" w:line="317" w:lineRule="auto"/>
      <w:outlineLvl w:val="6"/>
    </w:pPr>
    <w:rPr>
      <w:b/>
      <w:sz w:val="24"/>
      <w:szCs w:val="20"/>
    </w:rPr>
  </w:style>
  <w:style w:type="paragraph" w:styleId="11">
    <w:name w:val="heading 8"/>
    <w:basedOn w:val="1"/>
    <w:next w:val="9"/>
    <w:link w:val="95"/>
    <w:qFormat/>
    <w:uiPriority w:val="0"/>
    <w:pPr>
      <w:keepNext/>
      <w:keepLines/>
      <w:spacing w:before="240" w:beforeLines="0" w:after="64" w:afterLines="0" w:line="317" w:lineRule="auto"/>
      <w:outlineLvl w:val="7"/>
    </w:pPr>
    <w:rPr>
      <w:rFonts w:ascii="Arial" w:hAnsi="Arial" w:eastAsia="黑体"/>
      <w:sz w:val="24"/>
      <w:szCs w:val="20"/>
    </w:rPr>
  </w:style>
  <w:style w:type="paragraph" w:styleId="12">
    <w:name w:val="heading 9"/>
    <w:basedOn w:val="1"/>
    <w:next w:val="9"/>
    <w:link w:val="168"/>
    <w:qFormat/>
    <w:uiPriority w:val="0"/>
    <w:pPr>
      <w:keepNext/>
      <w:keepLines/>
      <w:spacing w:before="240" w:beforeLines="0" w:after="64" w:afterLines="0" w:line="317" w:lineRule="auto"/>
      <w:outlineLvl w:val="8"/>
    </w:pPr>
    <w:rPr>
      <w:rFonts w:ascii="Arial" w:hAnsi="Arial" w:eastAsia="黑体"/>
      <w:szCs w:val="20"/>
    </w:rPr>
  </w:style>
  <w:style w:type="character" w:default="1" w:styleId="54">
    <w:name w:val="Default Paragraph Font"/>
    <w:uiPriority w:val="0"/>
  </w:style>
  <w:style w:type="table" w:default="1" w:styleId="52">
    <w:name w:val="Normal Table"/>
    <w:semiHidden/>
    <w:uiPriority w:val="0"/>
    <w:tblPr>
      <w:tblStyle w:val="52"/>
      <w:tblCellMar>
        <w:top w:w="0" w:type="dxa"/>
        <w:left w:w="108" w:type="dxa"/>
        <w:bottom w:w="0" w:type="dxa"/>
        <w:right w:w="108" w:type="dxa"/>
      </w:tblCellMar>
    </w:tblPr>
  </w:style>
  <w:style w:type="paragraph" w:styleId="3">
    <w:name w:val="macro"/>
    <w:link w:val="176"/>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Times New Roman"/>
      <w:kern w:val="2"/>
      <w:sz w:val="24"/>
      <w:szCs w:val="24"/>
      <w:lang w:val="en-US" w:eastAsia="zh-CN" w:bidi="ar-SA"/>
    </w:rPr>
  </w:style>
  <w:style w:type="paragraph" w:styleId="9">
    <w:name w:val="Normal Indent"/>
    <w:basedOn w:val="1"/>
    <w:next w:val="1"/>
    <w:link w:val="137"/>
    <w:uiPriority w:val="0"/>
    <w:pPr>
      <w:adjustRightInd w:val="0"/>
      <w:spacing w:line="312" w:lineRule="atLeast"/>
      <w:ind w:firstLine="420"/>
      <w:textAlignment w:val="baseline"/>
    </w:pPr>
    <w:rPr>
      <w:rFonts w:ascii="仿宋_GB2312"/>
      <w:b/>
      <w:kern w:val="0"/>
      <w:szCs w:val="32"/>
    </w:rPr>
  </w:style>
  <w:style w:type="paragraph" w:styleId="13">
    <w:name w:val="toc 7"/>
    <w:basedOn w:val="1"/>
    <w:next w:val="1"/>
    <w:uiPriority w:val="0"/>
    <w:pPr>
      <w:autoSpaceDE w:val="0"/>
      <w:autoSpaceDN w:val="0"/>
      <w:adjustRightInd w:val="0"/>
      <w:ind w:left="2520" w:leftChars="1200"/>
      <w:jc w:val="left"/>
    </w:pPr>
    <w:rPr>
      <w:kern w:val="0"/>
      <w:sz w:val="20"/>
      <w:szCs w:val="20"/>
    </w:rPr>
  </w:style>
  <w:style w:type="paragraph" w:styleId="14">
    <w:name w:val="List Number"/>
    <w:basedOn w:val="1"/>
    <w:uiPriority w:val="0"/>
    <w:pPr>
      <w:tabs>
        <w:tab w:val="left" w:pos="360"/>
      </w:tabs>
      <w:ind w:left="360" w:hanging="360" w:hangingChars="200"/>
    </w:pPr>
  </w:style>
  <w:style w:type="paragraph" w:styleId="15">
    <w:name w:val="caption"/>
    <w:basedOn w:val="1"/>
    <w:next w:val="1"/>
    <w:qFormat/>
    <w:uiPriority w:val="0"/>
    <w:pPr>
      <w:autoSpaceDE w:val="0"/>
      <w:autoSpaceDN w:val="0"/>
      <w:adjustRightInd w:val="0"/>
      <w:jc w:val="left"/>
    </w:pPr>
    <w:rPr>
      <w:rFonts w:ascii="Arial" w:hAnsi="Arial" w:eastAsia="黑体" w:cs="Arial"/>
      <w:kern w:val="0"/>
      <w:sz w:val="20"/>
      <w:szCs w:val="20"/>
    </w:rPr>
  </w:style>
  <w:style w:type="paragraph" w:styleId="16">
    <w:name w:val="List Bullet"/>
    <w:basedOn w:val="1"/>
    <w:uiPriority w:val="0"/>
    <w:pPr>
      <w:tabs>
        <w:tab w:val="left" w:pos="360"/>
      </w:tabs>
    </w:pPr>
    <w:rPr>
      <w:rFonts w:ascii="Calibri" w:hAnsi="Calibri"/>
      <w:szCs w:val="22"/>
    </w:rPr>
  </w:style>
  <w:style w:type="paragraph" w:styleId="17">
    <w:name w:val="Document Map"/>
    <w:basedOn w:val="1"/>
    <w:link w:val="187"/>
    <w:uiPriority w:val="0"/>
    <w:pPr>
      <w:shd w:val="clear" w:color="auto" w:fill="000080"/>
    </w:pPr>
  </w:style>
  <w:style w:type="paragraph" w:styleId="18">
    <w:name w:val="annotation text"/>
    <w:basedOn w:val="1"/>
    <w:link w:val="94"/>
    <w:uiPriority w:val="0"/>
    <w:pPr>
      <w:jc w:val="left"/>
    </w:pPr>
  </w:style>
  <w:style w:type="paragraph" w:styleId="19">
    <w:name w:val="Salutation"/>
    <w:basedOn w:val="1"/>
    <w:next w:val="1"/>
    <w:link w:val="194"/>
    <w:uiPriority w:val="0"/>
    <w:pPr>
      <w:tabs>
        <w:tab w:val="left" w:pos="840"/>
      </w:tabs>
      <w:autoSpaceDE w:val="0"/>
      <w:autoSpaceDN w:val="0"/>
      <w:adjustRightInd w:val="0"/>
      <w:jc w:val="left"/>
    </w:pPr>
    <w:rPr>
      <w:rFonts w:ascii="仿宋_GB2312" w:eastAsia="仿宋_GB2312"/>
      <w:b/>
      <w:kern w:val="0"/>
      <w:sz w:val="24"/>
      <w:szCs w:val="32"/>
    </w:rPr>
  </w:style>
  <w:style w:type="paragraph" w:styleId="20">
    <w:name w:val="Body Text 3"/>
    <w:basedOn w:val="1"/>
    <w:link w:val="134"/>
    <w:uiPriority w:val="0"/>
    <w:pPr>
      <w:autoSpaceDE w:val="0"/>
      <w:autoSpaceDN w:val="0"/>
      <w:adjustRightInd w:val="0"/>
      <w:jc w:val="center"/>
    </w:pPr>
  </w:style>
  <w:style w:type="paragraph" w:styleId="21">
    <w:name w:val="Body Text"/>
    <w:basedOn w:val="1"/>
    <w:next w:val="22"/>
    <w:link w:val="167"/>
    <w:uiPriority w:val="0"/>
    <w:pPr>
      <w:spacing w:after="120" w:afterLines="0"/>
    </w:pPr>
    <w:rPr>
      <w:rFonts w:ascii="仿宋_GB2312"/>
      <w:b/>
    </w:rPr>
  </w:style>
  <w:style w:type="paragraph" w:styleId="22">
    <w:name w:val="Body Text First Indent"/>
    <w:basedOn w:val="21"/>
    <w:link w:val="159"/>
    <w:uiPriority w:val="0"/>
    <w:pPr>
      <w:autoSpaceDE w:val="0"/>
      <w:autoSpaceDN w:val="0"/>
      <w:adjustRightInd w:val="0"/>
      <w:ind w:firstLine="420" w:firstLineChars="100"/>
      <w:jc w:val="left"/>
    </w:pPr>
    <w:rPr>
      <w:rFonts w:ascii="Times New Roman"/>
      <w:b w:val="0"/>
      <w:kern w:val="0"/>
      <w:sz w:val="20"/>
      <w:szCs w:val="20"/>
    </w:rPr>
  </w:style>
  <w:style w:type="paragraph" w:styleId="23">
    <w:name w:val="Body Text Indent"/>
    <w:basedOn w:val="1"/>
    <w:link w:val="163"/>
    <w:uiPriority w:val="0"/>
    <w:pPr>
      <w:ind w:left="480" w:hanging="480" w:hangingChars="200"/>
    </w:pPr>
    <w:rPr>
      <w:sz w:val="24"/>
    </w:rPr>
  </w:style>
  <w:style w:type="paragraph" w:styleId="24">
    <w:name w:val="List Number 3"/>
    <w:basedOn w:val="1"/>
    <w:uiPriority w:val="0"/>
    <w:pPr>
      <w:tabs>
        <w:tab w:val="left" w:pos="1200"/>
      </w:tabs>
      <w:ind w:left="1200" w:leftChars="400" w:hanging="360" w:hangingChars="200"/>
    </w:pPr>
  </w:style>
  <w:style w:type="paragraph" w:styleId="25">
    <w:name w:val="Block Text"/>
    <w:basedOn w:val="1"/>
    <w:qFormat/>
    <w:uiPriority w:val="0"/>
    <w:pPr>
      <w:spacing w:line="520" w:lineRule="exact"/>
      <w:ind w:left="540" w:leftChars="257" w:right="-514"/>
    </w:pPr>
    <w:rPr>
      <w:rFonts w:ascii="宋体" w:hAnsi="宋体"/>
      <w:sz w:val="24"/>
    </w:rPr>
  </w:style>
  <w:style w:type="paragraph" w:styleId="26">
    <w:name w:val="List Bullet 2"/>
    <w:basedOn w:val="1"/>
    <w:uiPriority w:val="0"/>
    <w:pPr>
      <w:tabs>
        <w:tab w:val="left" w:pos="780"/>
      </w:tabs>
      <w:spacing w:line="360" w:lineRule="auto"/>
      <w:ind w:left="780" w:leftChars="200" w:hanging="360" w:hangingChars="200"/>
    </w:pPr>
  </w:style>
  <w:style w:type="paragraph" w:styleId="27">
    <w:name w:val="toc 5"/>
    <w:basedOn w:val="1"/>
    <w:next w:val="1"/>
    <w:uiPriority w:val="0"/>
    <w:pPr>
      <w:autoSpaceDE w:val="0"/>
      <w:autoSpaceDN w:val="0"/>
      <w:adjustRightInd w:val="0"/>
      <w:ind w:left="1680" w:leftChars="800"/>
      <w:jc w:val="left"/>
    </w:pPr>
    <w:rPr>
      <w:kern w:val="0"/>
      <w:sz w:val="20"/>
      <w:szCs w:val="20"/>
    </w:rPr>
  </w:style>
  <w:style w:type="paragraph" w:styleId="28">
    <w:name w:val="toc 3"/>
    <w:basedOn w:val="1"/>
    <w:next w:val="1"/>
    <w:uiPriority w:val="0"/>
    <w:pPr>
      <w:ind w:left="840" w:leftChars="400"/>
    </w:pPr>
  </w:style>
  <w:style w:type="paragraph" w:styleId="29">
    <w:name w:val="Plain Text"/>
    <w:basedOn w:val="1"/>
    <w:link w:val="138"/>
    <w:uiPriority w:val="0"/>
    <w:pPr>
      <w:widowControl/>
      <w:overflowPunct w:val="0"/>
      <w:autoSpaceDE w:val="0"/>
      <w:autoSpaceDN w:val="0"/>
      <w:adjustRightInd w:val="0"/>
      <w:jc w:val="left"/>
      <w:textAlignment w:val="baseline"/>
    </w:pPr>
    <w:rPr>
      <w:rFonts w:ascii="宋体" w:hAnsi="Courier New"/>
      <w:b/>
      <w:kern w:val="0"/>
      <w:szCs w:val="21"/>
    </w:rPr>
  </w:style>
  <w:style w:type="paragraph" w:styleId="30">
    <w:name w:val="List Number 4"/>
    <w:basedOn w:val="1"/>
    <w:uiPriority w:val="0"/>
    <w:pPr>
      <w:tabs>
        <w:tab w:val="left" w:pos="840"/>
      </w:tabs>
      <w:autoSpaceDE w:val="0"/>
      <w:autoSpaceDN w:val="0"/>
      <w:adjustRightInd w:val="0"/>
      <w:spacing w:line="360" w:lineRule="atLeast"/>
      <w:ind w:left="840" w:hanging="420"/>
      <w:jc w:val="left"/>
    </w:pPr>
    <w:rPr>
      <w:kern w:val="0"/>
      <w:sz w:val="24"/>
      <w:szCs w:val="20"/>
    </w:rPr>
  </w:style>
  <w:style w:type="paragraph" w:styleId="31">
    <w:name w:val="toc 8"/>
    <w:basedOn w:val="1"/>
    <w:next w:val="1"/>
    <w:uiPriority w:val="0"/>
    <w:pPr>
      <w:autoSpaceDE w:val="0"/>
      <w:autoSpaceDN w:val="0"/>
      <w:adjustRightInd w:val="0"/>
      <w:ind w:left="2940" w:leftChars="1400"/>
      <w:jc w:val="left"/>
    </w:pPr>
    <w:rPr>
      <w:kern w:val="0"/>
      <w:sz w:val="20"/>
      <w:szCs w:val="20"/>
    </w:rPr>
  </w:style>
  <w:style w:type="paragraph" w:styleId="32">
    <w:name w:val="Date"/>
    <w:basedOn w:val="1"/>
    <w:next w:val="1"/>
    <w:link w:val="109"/>
    <w:uiPriority w:val="0"/>
    <w:pPr>
      <w:ind w:left="100" w:leftChars="2500"/>
    </w:pPr>
  </w:style>
  <w:style w:type="paragraph" w:styleId="33">
    <w:name w:val="Body Text Indent 2"/>
    <w:basedOn w:val="1"/>
    <w:link w:val="195"/>
    <w:uiPriority w:val="0"/>
    <w:pPr>
      <w:spacing w:line="500" w:lineRule="exact"/>
      <w:ind w:firstLine="511" w:firstLineChars="213"/>
    </w:pPr>
    <w:rPr>
      <w:sz w:val="24"/>
    </w:rPr>
  </w:style>
  <w:style w:type="paragraph" w:styleId="34">
    <w:name w:val="Balloon Text"/>
    <w:basedOn w:val="1"/>
    <w:link w:val="166"/>
    <w:uiPriority w:val="0"/>
    <w:rPr>
      <w:sz w:val="18"/>
      <w:szCs w:val="18"/>
    </w:rPr>
  </w:style>
  <w:style w:type="paragraph" w:styleId="35">
    <w:name w:val="footer"/>
    <w:basedOn w:val="1"/>
    <w:link w:val="89"/>
    <w:uiPriority w:val="0"/>
    <w:pPr>
      <w:tabs>
        <w:tab w:val="center" w:pos="4153"/>
        <w:tab w:val="right" w:pos="8306"/>
      </w:tabs>
      <w:snapToGrid w:val="0"/>
      <w:jc w:val="left"/>
    </w:pPr>
    <w:rPr>
      <w:sz w:val="18"/>
      <w:szCs w:val="18"/>
    </w:rPr>
  </w:style>
  <w:style w:type="paragraph" w:styleId="36">
    <w:name w:val="header"/>
    <w:basedOn w:val="1"/>
    <w:link w:val="78"/>
    <w:uiPriority w:val="0"/>
    <w:pPr>
      <w:pBdr>
        <w:bottom w:val="single" w:color="auto" w:sz="6" w:space="1"/>
      </w:pBdr>
      <w:tabs>
        <w:tab w:val="center" w:pos="4153"/>
        <w:tab w:val="right" w:pos="8306"/>
      </w:tabs>
      <w:snapToGrid w:val="0"/>
      <w:jc w:val="center"/>
    </w:pPr>
    <w:rPr>
      <w:sz w:val="18"/>
      <w:szCs w:val="18"/>
    </w:rPr>
  </w:style>
  <w:style w:type="paragraph" w:styleId="37">
    <w:name w:val="Signature"/>
    <w:basedOn w:val="1"/>
    <w:link w:val="107"/>
    <w:uiPriority w:val="0"/>
    <w:pPr>
      <w:autoSpaceDE w:val="0"/>
      <w:autoSpaceDN w:val="0"/>
      <w:adjustRightInd w:val="0"/>
      <w:spacing w:after="600" w:afterLines="0" w:line="312" w:lineRule="atLeast"/>
      <w:jc w:val="center"/>
      <w:textAlignment w:val="baseline"/>
    </w:pPr>
    <w:rPr>
      <w:rFonts w:ascii="仿宋_GB2312" w:eastAsia="仿宋_GB2312"/>
      <w:b/>
      <w:kern w:val="0"/>
      <w:sz w:val="24"/>
      <w:szCs w:val="32"/>
    </w:rPr>
  </w:style>
  <w:style w:type="paragraph" w:styleId="38">
    <w:name w:val="toc 1"/>
    <w:basedOn w:val="1"/>
    <w:next w:val="1"/>
    <w:uiPriority w:val="0"/>
  </w:style>
  <w:style w:type="paragraph" w:styleId="39">
    <w:name w:val="toc 4"/>
    <w:basedOn w:val="1"/>
    <w:next w:val="1"/>
    <w:uiPriority w:val="0"/>
    <w:pPr>
      <w:autoSpaceDE w:val="0"/>
      <w:autoSpaceDN w:val="0"/>
      <w:adjustRightInd w:val="0"/>
      <w:ind w:left="1260" w:leftChars="600"/>
      <w:jc w:val="left"/>
    </w:pPr>
    <w:rPr>
      <w:kern w:val="0"/>
      <w:sz w:val="20"/>
      <w:szCs w:val="20"/>
    </w:rPr>
  </w:style>
  <w:style w:type="paragraph" w:styleId="40">
    <w:name w:val="Subtitle"/>
    <w:basedOn w:val="1"/>
    <w:next w:val="1"/>
    <w:link w:val="72"/>
    <w:qFormat/>
    <w:uiPriority w:val="0"/>
    <w:pPr>
      <w:spacing w:before="240" w:beforeLines="0" w:after="60" w:afterLines="0" w:line="312" w:lineRule="auto"/>
      <w:jc w:val="center"/>
      <w:outlineLvl w:val="1"/>
    </w:pPr>
    <w:rPr>
      <w:rFonts w:ascii="Cambria" w:hAnsi="Cambria"/>
      <w:b/>
      <w:bCs/>
      <w:kern w:val="28"/>
      <w:sz w:val="32"/>
      <w:szCs w:val="32"/>
    </w:rPr>
  </w:style>
  <w:style w:type="paragraph" w:styleId="41">
    <w:name w:val="List Number 5"/>
    <w:basedOn w:val="1"/>
    <w:uiPriority w:val="0"/>
    <w:pPr>
      <w:tabs>
        <w:tab w:val="left" w:pos="2040"/>
      </w:tabs>
      <w:autoSpaceDE w:val="0"/>
      <w:autoSpaceDN w:val="0"/>
      <w:adjustRightInd w:val="0"/>
      <w:spacing w:line="400" w:lineRule="exact"/>
      <w:ind w:left="2040" w:hanging="360"/>
      <w:jc w:val="left"/>
    </w:pPr>
    <w:rPr>
      <w:kern w:val="0"/>
      <w:sz w:val="24"/>
      <w:szCs w:val="20"/>
    </w:rPr>
  </w:style>
  <w:style w:type="paragraph" w:styleId="42">
    <w:name w:val="List"/>
    <w:basedOn w:val="1"/>
    <w:uiPriority w:val="0"/>
    <w:pPr>
      <w:spacing w:line="240" w:lineRule="auto"/>
      <w:ind w:left="200" w:hanging="200" w:hangingChars="200"/>
      <w:jc w:val="both"/>
    </w:pPr>
    <w:rPr>
      <w:rFonts w:ascii="Times New Roman" w:hAnsi="Times New Roman" w:eastAsia="宋体" w:cs="Times New Roman"/>
      <w:sz w:val="21"/>
      <w:szCs w:val="24"/>
    </w:rPr>
  </w:style>
  <w:style w:type="paragraph" w:styleId="43">
    <w:name w:val="toc 6"/>
    <w:basedOn w:val="1"/>
    <w:next w:val="1"/>
    <w:uiPriority w:val="0"/>
    <w:pPr>
      <w:autoSpaceDE w:val="0"/>
      <w:autoSpaceDN w:val="0"/>
      <w:adjustRightInd w:val="0"/>
      <w:ind w:left="2100" w:leftChars="1000"/>
      <w:jc w:val="left"/>
    </w:pPr>
    <w:rPr>
      <w:kern w:val="0"/>
      <w:sz w:val="20"/>
      <w:szCs w:val="20"/>
    </w:rPr>
  </w:style>
  <w:style w:type="paragraph" w:styleId="44">
    <w:name w:val="Body Text Indent 3"/>
    <w:basedOn w:val="1"/>
    <w:link w:val="77"/>
    <w:uiPriority w:val="0"/>
    <w:pPr>
      <w:spacing w:line="500" w:lineRule="exact"/>
      <w:ind w:left="511" w:hanging="511" w:hangingChars="213"/>
    </w:pPr>
    <w:rPr>
      <w:sz w:val="24"/>
    </w:rPr>
  </w:style>
  <w:style w:type="paragraph" w:styleId="45">
    <w:name w:val="toc 2"/>
    <w:basedOn w:val="1"/>
    <w:next w:val="1"/>
    <w:uiPriority w:val="0"/>
    <w:pPr>
      <w:ind w:left="420" w:leftChars="200"/>
    </w:pPr>
  </w:style>
  <w:style w:type="paragraph" w:styleId="46">
    <w:name w:val="toc 9"/>
    <w:basedOn w:val="1"/>
    <w:next w:val="1"/>
    <w:uiPriority w:val="0"/>
    <w:pPr>
      <w:autoSpaceDE w:val="0"/>
      <w:autoSpaceDN w:val="0"/>
      <w:adjustRightInd w:val="0"/>
      <w:ind w:left="3360" w:leftChars="1600"/>
      <w:jc w:val="left"/>
    </w:pPr>
    <w:rPr>
      <w:kern w:val="0"/>
      <w:sz w:val="20"/>
      <w:szCs w:val="20"/>
    </w:rPr>
  </w:style>
  <w:style w:type="paragraph" w:styleId="47">
    <w:name w:val="Body Text 2"/>
    <w:basedOn w:val="1"/>
    <w:link w:val="122"/>
    <w:uiPriority w:val="0"/>
    <w:pPr>
      <w:autoSpaceDE w:val="0"/>
      <w:autoSpaceDN w:val="0"/>
      <w:adjustRightInd w:val="0"/>
      <w:spacing w:after="120" w:afterLines="0" w:line="480" w:lineRule="auto"/>
      <w:jc w:val="left"/>
    </w:pPr>
  </w:style>
  <w:style w:type="paragraph" w:styleId="48">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paragraph" w:styleId="49">
    <w:name w:val="Title"/>
    <w:basedOn w:val="1"/>
    <w:next w:val="1"/>
    <w:link w:val="150"/>
    <w:qFormat/>
    <w:uiPriority w:val="0"/>
    <w:pPr>
      <w:spacing w:before="240" w:beforeLines="0" w:after="60" w:afterLines="0"/>
      <w:jc w:val="center"/>
      <w:outlineLvl w:val="0"/>
    </w:pPr>
    <w:rPr>
      <w:rFonts w:ascii="Cambria" w:hAnsi="Cambria"/>
      <w:b/>
      <w:bCs/>
      <w:sz w:val="32"/>
      <w:szCs w:val="32"/>
    </w:rPr>
  </w:style>
  <w:style w:type="paragraph" w:styleId="50">
    <w:name w:val="annotation subject"/>
    <w:basedOn w:val="18"/>
    <w:next w:val="18"/>
    <w:link w:val="180"/>
    <w:uiPriority w:val="0"/>
    <w:rPr>
      <w:b/>
      <w:bCs/>
    </w:rPr>
  </w:style>
  <w:style w:type="paragraph" w:styleId="51">
    <w:name w:val="Body Text First Indent 2"/>
    <w:basedOn w:val="23"/>
    <w:qFormat/>
    <w:uiPriority w:val="0"/>
    <w:pPr>
      <w:spacing w:after="120"/>
      <w:ind w:left="420" w:leftChars="200" w:firstLine="420"/>
    </w:pPr>
    <w:rPr>
      <w:rFonts w:cs="宋体"/>
      <w:sz w:val="21"/>
      <w:szCs w:val="21"/>
    </w:rPr>
  </w:style>
  <w:style w:type="table" w:styleId="53">
    <w:name w:val="Table Grid"/>
    <w:basedOn w:val="52"/>
    <w:uiPriority w:val="0"/>
    <w:pPr>
      <w:widowControl w:val="0"/>
      <w:jc w:val="both"/>
    </w:pPr>
    <w:tblPr>
      <w:tblStyle w:val="5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5">
    <w:name w:val="Strong"/>
    <w:qFormat/>
    <w:uiPriority w:val="0"/>
    <w:rPr>
      <w:rFonts w:ascii="仿宋_GB2312" w:eastAsia="仿宋_GB2312"/>
      <w:bCs/>
      <w:sz w:val="32"/>
      <w:szCs w:val="32"/>
    </w:rPr>
  </w:style>
  <w:style w:type="character" w:styleId="56">
    <w:name w:val="page number"/>
    <w:basedOn w:val="54"/>
    <w:uiPriority w:val="0"/>
  </w:style>
  <w:style w:type="character" w:styleId="57">
    <w:name w:val="FollowedHyperlink"/>
    <w:uiPriority w:val="0"/>
    <w:rPr>
      <w:rFonts w:ascii="仿宋_GB2312" w:eastAsia="仿宋_GB2312"/>
      <w:b/>
      <w:color w:val="800080"/>
      <w:sz w:val="32"/>
      <w:szCs w:val="32"/>
      <w:u w:val="none"/>
    </w:rPr>
  </w:style>
  <w:style w:type="character" w:styleId="58">
    <w:name w:val="Emphasis"/>
    <w:qFormat/>
    <w:uiPriority w:val="0"/>
    <w:rPr>
      <w:i/>
      <w:iCs/>
    </w:rPr>
  </w:style>
  <w:style w:type="character" w:styleId="59">
    <w:name w:val="line number"/>
    <w:basedOn w:val="54"/>
    <w:uiPriority w:val="0"/>
  </w:style>
  <w:style w:type="character" w:styleId="60">
    <w:name w:val="Hyperlink"/>
    <w:uiPriority w:val="0"/>
    <w:rPr>
      <w:rFonts w:ascii="仿宋_GB2312" w:eastAsia="仿宋_GB2312"/>
      <w:b/>
      <w:color w:val="0000FF"/>
      <w:sz w:val="32"/>
      <w:szCs w:val="32"/>
      <w:u w:val="none"/>
    </w:rPr>
  </w:style>
  <w:style w:type="character" w:styleId="61">
    <w:name w:val="annotation reference"/>
    <w:uiPriority w:val="0"/>
    <w:rPr>
      <w:sz w:val="21"/>
      <w:szCs w:val="21"/>
    </w:rPr>
  </w:style>
  <w:style w:type="character" w:styleId="62">
    <w:name w:val="HTML Cite"/>
    <w:uiPriority w:val="0"/>
    <w:rPr>
      <w:color w:val="008000"/>
    </w:rPr>
  </w:style>
  <w:style w:type="character" w:customStyle="1" w:styleId="63">
    <w:name w:val="标题 7 字符"/>
    <w:link w:val="10"/>
    <w:uiPriority w:val="0"/>
    <w:rPr>
      <w:rFonts w:eastAsia="宋体"/>
      <w:b/>
      <w:kern w:val="2"/>
      <w:sz w:val="24"/>
      <w:lang w:val="en-US" w:eastAsia="zh-CN" w:bidi="ar-SA"/>
    </w:rPr>
  </w:style>
  <w:style w:type="character" w:customStyle="1" w:styleId="64">
    <w:name w:val="书籍标题1"/>
    <w:uiPriority w:val="0"/>
    <w:rPr>
      <w:b/>
      <w:bCs/>
      <w:smallCaps/>
      <w:spacing w:val="5"/>
    </w:rPr>
  </w:style>
  <w:style w:type="character" w:customStyle="1" w:styleId="65">
    <w:name w:val="Footer-Even Char1"/>
    <w:aliases w:val="FtrF Char Char1"/>
    <w:uiPriority w:val="0"/>
    <w:rPr>
      <w:rFonts w:eastAsia="宋体"/>
      <w:kern w:val="2"/>
      <w:sz w:val="18"/>
      <w:szCs w:val="18"/>
      <w:lang w:val="en-US" w:eastAsia="zh-CN" w:bidi="ar-SA"/>
    </w:rPr>
  </w:style>
  <w:style w:type="character" w:customStyle="1" w:styleId="66">
    <w:name w:val="heading 2 Char2"/>
    <w:aliases w:val="Heading 2 Hidden Char2,Heading 2 CCBS Char2,H2 Char2,2 Char2,h2 Char2,Level 2 Head Char2,第*章 Char2,sect 1.2 Char2,节 Char2,标题 1.1 Char2,Underrubrik1 Char2,prop2 Char2,l2 Char2,Chapter Title Char2,DO NOT USE_h2 Char2,chn Char2,Titre2 Char2"/>
    <w:uiPriority w:val="0"/>
    <w:rPr>
      <w:rFonts w:ascii="Cambria" w:hAnsi="Cambria"/>
      <w:b/>
      <w:bCs/>
      <w:kern w:val="2"/>
      <w:sz w:val="32"/>
      <w:szCs w:val="32"/>
    </w:rPr>
  </w:style>
  <w:style w:type="character" w:customStyle="1" w:styleId="67">
    <w:name w:val="正文1 Char Char"/>
    <w:link w:val="68"/>
    <w:uiPriority w:val="0"/>
    <w:rPr>
      <w:rFonts w:ascii="宋体" w:hAnsi="宋体" w:eastAsia="宋体" w:cs="宋体"/>
      <w:sz w:val="21"/>
      <w:lang w:val="en-US" w:eastAsia="zh-CN" w:bidi="ar-SA"/>
    </w:rPr>
  </w:style>
  <w:style w:type="paragraph" w:customStyle="1" w:styleId="68">
    <w:name w:val="正文1"/>
    <w:basedOn w:val="1"/>
    <w:link w:val="67"/>
    <w:uiPriority w:val="0"/>
    <w:pPr>
      <w:widowControl/>
      <w:spacing w:line="360" w:lineRule="auto"/>
      <w:ind w:left="360" w:firstLine="420"/>
      <w:jc w:val="left"/>
    </w:pPr>
    <w:rPr>
      <w:rFonts w:ascii="宋体" w:hAnsi="宋体" w:cs="宋体"/>
      <w:kern w:val="0"/>
      <w:szCs w:val="20"/>
    </w:rPr>
  </w:style>
  <w:style w:type="character" w:customStyle="1" w:styleId="69">
    <w:name w:val="heading 5 Char1"/>
    <w:aliases w:val="H5 Char1,dash Char1,ds Char1,dd Char1,Roman list Char1,h5 Char1,PIM 5 Char1,5 Char1,第四层条 Char1,Titre5 Char Char1"/>
    <w:uiPriority w:val="0"/>
    <w:rPr>
      <w:rFonts w:eastAsia="宋体"/>
      <w:b/>
      <w:bCs/>
      <w:kern w:val="2"/>
      <w:sz w:val="28"/>
      <w:szCs w:val="28"/>
      <w:lang w:val="en-US" w:eastAsia="zh-CN" w:bidi="ar-SA"/>
    </w:rPr>
  </w:style>
  <w:style w:type="character" w:customStyle="1" w:styleId="70">
    <w:name w:val="style41"/>
    <w:uiPriority w:val="0"/>
    <w:rPr>
      <w:color w:val="auto"/>
    </w:rPr>
  </w:style>
  <w:style w:type="character" w:customStyle="1" w:styleId="71">
    <w:name w:val="ListLabel 1"/>
    <w:qFormat/>
    <w:uiPriority w:val="7"/>
    <w:rPr>
      <w:rFonts w:ascii="宋体" w:hAnsi="宋体" w:cs="宋体"/>
      <w:color w:val="FF0000"/>
      <w:sz w:val="24"/>
    </w:rPr>
  </w:style>
  <w:style w:type="character" w:customStyle="1" w:styleId="72">
    <w:name w:val="副标题 字符"/>
    <w:link w:val="40"/>
    <w:uiPriority w:val="0"/>
    <w:rPr>
      <w:rFonts w:ascii="Cambria" w:hAnsi="Cambria" w:eastAsia="宋体"/>
      <w:b/>
      <w:bCs/>
      <w:kern w:val="28"/>
      <w:sz w:val="32"/>
      <w:szCs w:val="32"/>
      <w:lang w:val="en-US" w:eastAsia="zh-CN" w:bidi="ar-SA"/>
    </w:rPr>
  </w:style>
  <w:style w:type="character" w:customStyle="1" w:styleId="73">
    <w:name w:val="heading 5 Char2"/>
    <w:aliases w:val="H5 Char2,dash Char2,ds Char2,dd Char2,Roman list Char2,h5 Char2,PIM 5 Char2,5 Char2,第四层条 Char2,Titre5 Char Char2"/>
    <w:uiPriority w:val="0"/>
    <w:rPr>
      <w:b/>
      <w:bCs/>
      <w:kern w:val="2"/>
      <w:sz w:val="28"/>
      <w:szCs w:val="28"/>
    </w:rPr>
  </w:style>
  <w:style w:type="character" w:customStyle="1" w:styleId="74">
    <w:name w:val="标题 3 字符"/>
    <w:link w:val="5"/>
    <w:uiPriority w:val="0"/>
    <w:rPr>
      <w:rFonts w:eastAsia="黑体"/>
      <w:b/>
      <w:kern w:val="2"/>
      <w:sz w:val="28"/>
      <w:lang w:val="en-US" w:eastAsia="zh-CN" w:bidi="ar-SA"/>
    </w:rPr>
  </w:style>
  <w:style w:type="character" w:styleId="75">
    <w:name w:val=""/>
    <w:qFormat/>
    <w:uiPriority w:val="0"/>
    <w:rPr>
      <w:i/>
      <w:iCs/>
      <w:color w:val="808080"/>
    </w:rPr>
  </w:style>
  <w:style w:type="character" w:customStyle="1" w:styleId="76">
    <w:name w:val="style13"/>
    <w:basedOn w:val="54"/>
    <w:uiPriority w:val="0"/>
  </w:style>
  <w:style w:type="character" w:customStyle="1" w:styleId="77">
    <w:name w:val="正文文本缩进 3 字符"/>
    <w:link w:val="44"/>
    <w:uiPriority w:val="0"/>
    <w:rPr>
      <w:rFonts w:eastAsia="宋体"/>
      <w:kern w:val="2"/>
      <w:sz w:val="24"/>
      <w:szCs w:val="24"/>
      <w:lang w:val="en-US" w:eastAsia="zh-CN" w:bidi="ar-SA"/>
    </w:rPr>
  </w:style>
  <w:style w:type="character" w:customStyle="1" w:styleId="78">
    <w:name w:val="页眉 字符"/>
    <w:link w:val="36"/>
    <w:uiPriority w:val="0"/>
    <w:rPr>
      <w:rFonts w:eastAsia="宋体"/>
      <w:kern w:val="2"/>
      <w:sz w:val="18"/>
      <w:szCs w:val="18"/>
      <w:lang w:val="en-US" w:eastAsia="zh-CN" w:bidi="ar-SA"/>
    </w:rPr>
  </w:style>
  <w:style w:type="character" w:customStyle="1" w:styleId="79">
    <w:name w:val="heading 1 Char1"/>
    <w:aliases w:val="标书1 Char1,h1 Char1,H1 Char1,L1 Char1,boc Char1,Section Head Char1,1st level Char1,l1 Char1,1 Char1,H11 Char1,H12 Char1,H13 Char1,H14 Char1,H15 Char1,H16 Char1,H17 Char1,Level 1 Topic Heading Char1,L1 Heading 1 Char1,h11 Char1,h12 Char"/>
    <w:uiPriority w:val="0"/>
    <w:rPr>
      <w:rFonts w:eastAsia="宋体"/>
      <w:b/>
      <w:bCs/>
      <w:kern w:val="44"/>
      <w:sz w:val="44"/>
      <w:szCs w:val="44"/>
      <w:lang w:val="en-US" w:eastAsia="zh-CN" w:bidi="ar-SA"/>
    </w:rPr>
  </w:style>
  <w:style w:type="character" w:customStyle="1" w:styleId="80">
    <w:name w:val="不明显强调1"/>
    <w:uiPriority w:val="0"/>
    <w:rPr>
      <w:i/>
      <w:iCs/>
      <w:color w:val="808080"/>
    </w:rPr>
  </w:style>
  <w:style w:type="character" w:customStyle="1" w:styleId="81">
    <w:name w:val="heading 5 Char"/>
    <w:aliases w:val="H5 Char,dash Char,ds Char,dd Char,Roman list Char,h5 Char,PIM 5 Char,5 Char,第四层条 Char,Titre5 Char Char"/>
    <w:uiPriority w:val="0"/>
    <w:rPr>
      <w:rFonts w:ascii="Arial" w:hAnsi="Arial" w:eastAsia="黑体"/>
      <w:sz w:val="21"/>
      <w:szCs w:val="21"/>
    </w:rPr>
  </w:style>
  <w:style w:type="character" w:customStyle="1" w:styleId="82">
    <w:name w:val="heading 1 Char2"/>
    <w:aliases w:val="标书1 Char2,h1 Char2,H1 Char2,L1 Char2,boc Char2,Section Head Char2,1st level Char2,l1 Char2,1 Char2,H11 Char2,H12 Char2,H13 Char2,H14 Char2,H15 Char2,H16 Char2,H17 Char2,Level 1 Topic Heading Char2,L1 Heading 1 Char2,h11 Char2,h12 Char1"/>
    <w:uiPriority w:val="0"/>
    <w:rPr>
      <w:b/>
      <w:bCs/>
      <w:kern w:val="44"/>
      <w:sz w:val="44"/>
      <w:szCs w:val="44"/>
    </w:rPr>
  </w:style>
  <w:style w:type="character" w:customStyle="1" w:styleId="83">
    <w:name w:val="heading 7 Char1"/>
    <w:aliases w:val="表名 Char Char1"/>
    <w:uiPriority w:val="0"/>
    <w:rPr>
      <w:rFonts w:ascii="Arial" w:hAnsi="Arial" w:eastAsia="黑体"/>
      <w:sz w:val="21"/>
      <w:szCs w:val="21"/>
      <w:lang w:val="en-US" w:eastAsia="zh-CN" w:bidi="ar-SA"/>
    </w:rPr>
  </w:style>
  <w:style w:type="character" w:customStyle="1" w:styleId="84">
    <w:name w:val="Table Text Char Char"/>
    <w:link w:val="85"/>
    <w:uiPriority w:val="0"/>
    <w:rPr>
      <w:sz w:val="21"/>
      <w:lang w:val="en-US" w:eastAsia="en-US" w:bidi="ar-SA"/>
    </w:rPr>
  </w:style>
  <w:style w:type="paragraph" w:customStyle="1" w:styleId="85">
    <w:name w:val="Table Text"/>
    <w:basedOn w:val="1"/>
    <w:link w:val="84"/>
    <w:uiPriority w:val="0"/>
    <w:pPr>
      <w:widowControl/>
      <w:tabs>
        <w:tab w:val="decimal" w:pos="0"/>
      </w:tabs>
      <w:overflowPunct w:val="0"/>
      <w:autoSpaceDE w:val="0"/>
      <w:autoSpaceDN w:val="0"/>
      <w:adjustRightInd w:val="0"/>
      <w:jc w:val="left"/>
      <w:textAlignment w:val="baseline"/>
    </w:pPr>
    <w:rPr>
      <w:kern w:val="0"/>
      <w:szCs w:val="20"/>
      <w:lang w:eastAsia="en-US"/>
    </w:rPr>
  </w:style>
  <w:style w:type="character" w:customStyle="1" w:styleId="86">
    <w:name w:val=" Char Char1"/>
    <w:uiPriority w:val="0"/>
    <w:rPr>
      <w:rFonts w:eastAsia="宋体"/>
      <w:sz w:val="21"/>
      <w:lang w:val="en-US" w:eastAsia="zh-CN" w:bidi="ar-SA"/>
    </w:rPr>
  </w:style>
  <w:style w:type="character" w:customStyle="1" w:styleId="87">
    <w:name w:val="Texte Char Char"/>
    <w:uiPriority w:val="0"/>
    <w:rPr>
      <w:rFonts w:ascii="宋体" w:hAnsi="Courier New" w:eastAsia="宋体"/>
      <w:sz w:val="21"/>
      <w:szCs w:val="21"/>
      <w:lang w:val="en-US" w:eastAsia="zh-CN" w:bidi="ar-SA"/>
    </w:rPr>
  </w:style>
  <w:style w:type="character" w:customStyle="1" w:styleId="88">
    <w:name w:val="font21"/>
    <w:qFormat/>
    <w:uiPriority w:val="0"/>
    <w:rPr>
      <w:rFonts w:hint="eastAsia" w:ascii="宋体" w:hAnsi="宋体" w:eastAsia="宋体" w:cs="宋体"/>
      <w:color w:val="000000"/>
      <w:sz w:val="18"/>
      <w:szCs w:val="18"/>
      <w:u w:val="none"/>
    </w:rPr>
  </w:style>
  <w:style w:type="character" w:customStyle="1" w:styleId="89">
    <w:name w:val="页脚 字符"/>
    <w:link w:val="35"/>
    <w:uiPriority w:val="0"/>
    <w:rPr>
      <w:rFonts w:eastAsia="宋体"/>
      <w:kern w:val="2"/>
      <w:sz w:val="18"/>
      <w:szCs w:val="18"/>
      <w:lang w:val="en-US" w:eastAsia="zh-CN" w:bidi="ar-SA"/>
    </w:rPr>
  </w:style>
  <w:style w:type="character" w:customStyle="1" w:styleId="90">
    <w:name w:val="标题 1 字符"/>
    <w:link w:val="4"/>
    <w:uiPriority w:val="0"/>
    <w:rPr>
      <w:rFonts w:eastAsia="黑体"/>
      <w:b/>
      <w:kern w:val="2"/>
      <w:sz w:val="32"/>
      <w:lang w:val="en-US" w:eastAsia="zh-CN" w:bidi="ar-SA"/>
    </w:rPr>
  </w:style>
  <w:style w:type="character" w:customStyle="1" w:styleId="91">
    <w:name w:val="font01"/>
    <w:uiPriority w:val="0"/>
    <w:rPr>
      <w:rFonts w:hint="eastAsia" w:ascii="宋体" w:hAnsi="宋体" w:eastAsia="宋体" w:cs="宋体"/>
      <w:color w:val="000000"/>
      <w:sz w:val="21"/>
      <w:szCs w:val="21"/>
      <w:u w:val="none"/>
    </w:rPr>
  </w:style>
  <w:style w:type="character" w:customStyle="1" w:styleId="92">
    <w:name w:val="textcolor1"/>
    <w:uiPriority w:val="0"/>
    <w:rPr>
      <w:rFonts w:ascii="仿宋_GB2312" w:eastAsia="仿宋_GB2312"/>
      <w:b/>
      <w:color w:val="FF6600"/>
      <w:sz w:val="32"/>
      <w:szCs w:val="32"/>
    </w:rPr>
  </w:style>
  <w:style w:type="character" w:customStyle="1" w:styleId="93">
    <w:name w:val="Char Char6"/>
    <w:uiPriority w:val="0"/>
    <w:rPr>
      <w:rFonts w:ascii="Times New Roman" w:hAnsi="Times New Roman" w:eastAsia="宋体" w:cs="Times New Roman"/>
      <w:szCs w:val="24"/>
    </w:rPr>
  </w:style>
  <w:style w:type="character" w:customStyle="1" w:styleId="94">
    <w:name w:val="批注文字 字符"/>
    <w:link w:val="18"/>
    <w:uiPriority w:val="0"/>
    <w:rPr>
      <w:rFonts w:eastAsia="宋体"/>
      <w:kern w:val="2"/>
      <w:sz w:val="21"/>
      <w:szCs w:val="24"/>
      <w:lang w:val="en-US" w:eastAsia="zh-CN" w:bidi="ar-SA"/>
    </w:rPr>
  </w:style>
  <w:style w:type="character" w:customStyle="1" w:styleId="95">
    <w:name w:val="标题 8 字符"/>
    <w:link w:val="11"/>
    <w:uiPriority w:val="0"/>
    <w:rPr>
      <w:rFonts w:ascii="Arial" w:hAnsi="Arial" w:eastAsia="黑体"/>
      <w:kern w:val="2"/>
      <w:sz w:val="24"/>
      <w:lang w:val="en-US" w:eastAsia="zh-CN" w:bidi="ar-SA"/>
    </w:rPr>
  </w:style>
  <w:style w:type="character" w:customStyle="1" w:styleId="96">
    <w:name w:val="Char Char27"/>
    <w:uiPriority w:val="0"/>
    <w:rPr>
      <w:rFonts w:eastAsia="宋体"/>
      <w:kern w:val="2"/>
      <w:sz w:val="28"/>
      <w:lang w:val="en-US" w:eastAsia="zh-CN" w:bidi="ar-SA"/>
    </w:rPr>
  </w:style>
  <w:style w:type="character" w:styleId="97">
    <w:name w:val=""/>
    <w:qFormat/>
    <w:uiPriority w:val="0"/>
    <w:rPr>
      <w:b/>
      <w:bCs/>
      <w:i/>
      <w:iCs/>
      <w:color w:val="4F81BD"/>
    </w:rPr>
  </w:style>
  <w:style w:type="character" w:customStyle="1" w:styleId="98">
    <w:name w:val="标题 5 字符"/>
    <w:link w:val="7"/>
    <w:uiPriority w:val="0"/>
    <w:rPr>
      <w:rFonts w:eastAsia="宋体"/>
      <w:b/>
      <w:bCs/>
      <w:sz w:val="28"/>
      <w:szCs w:val="28"/>
      <w:lang w:bidi="ar-SA"/>
    </w:rPr>
  </w:style>
  <w:style w:type="character" w:customStyle="1" w:styleId="99">
    <w:name w:val="Char Char201"/>
    <w:uiPriority w:val="0"/>
    <w:rPr>
      <w:rFonts w:ascii="Cambria" w:hAnsi="Cambria" w:eastAsia="宋体" w:cs="Times New Roman"/>
      <w:b/>
      <w:bCs/>
      <w:sz w:val="32"/>
      <w:szCs w:val="32"/>
    </w:rPr>
  </w:style>
  <w:style w:type="character" w:customStyle="1" w:styleId="100">
    <w:name w:val="Char Char22"/>
    <w:uiPriority w:val="0"/>
    <w:rPr>
      <w:rFonts w:ascii="Arial" w:hAnsi="Arial" w:eastAsia="黑体"/>
      <w:b/>
      <w:bCs/>
      <w:kern w:val="44"/>
      <w:sz w:val="30"/>
      <w:szCs w:val="44"/>
      <w:lang w:val="en-US" w:eastAsia="zh-CN" w:bidi="ar-SA"/>
    </w:rPr>
  </w:style>
  <w:style w:type="character" w:customStyle="1" w:styleId="101">
    <w:name w:val="Char Char Char1"/>
    <w:uiPriority w:val="0"/>
    <w:rPr>
      <w:rFonts w:ascii="宋体" w:hAnsi="Courier New"/>
      <w:sz w:val="21"/>
      <w:szCs w:val="21"/>
    </w:rPr>
  </w:style>
  <w:style w:type="character" w:customStyle="1" w:styleId="102">
    <w:name w:val="标题 6 字符"/>
    <w:link w:val="8"/>
    <w:uiPriority w:val="0"/>
    <w:rPr>
      <w:rFonts w:ascii="Arial" w:hAnsi="Arial" w:eastAsia="黑体"/>
      <w:b/>
      <w:kern w:val="2"/>
      <w:sz w:val="24"/>
      <w:lang w:val="en-US" w:eastAsia="zh-CN" w:bidi="ar-SA"/>
    </w:rPr>
  </w:style>
  <w:style w:type="character" w:customStyle="1" w:styleId="103">
    <w:name w:val="Style5"/>
    <w:uiPriority w:val="0"/>
    <w:rPr>
      <w:rFonts w:ascii="Calibri" w:hAnsi="宋体" w:eastAsia="宋体" w:cs="Times New Roman"/>
      <w:sz w:val="22"/>
      <w:szCs w:val="22"/>
      <w:lang w:eastAsia="zh-CN"/>
    </w:rPr>
  </w:style>
  <w:style w:type="character" w:customStyle="1" w:styleId="104">
    <w:name w:val="Char Char Char Char Char Char Char Char Char"/>
    <w:uiPriority w:val="0"/>
    <w:rPr>
      <w:rFonts w:ascii="宋体" w:hAnsi="Courier New" w:eastAsia="宋体"/>
      <w:sz w:val="21"/>
      <w:szCs w:val="21"/>
      <w:lang w:val="en-US" w:eastAsia="zh-CN" w:bidi="ar-SA"/>
    </w:rPr>
  </w:style>
  <w:style w:type="character" w:customStyle="1" w:styleId="105">
    <w:name w:val="Char Char2"/>
    <w:uiPriority w:val="0"/>
    <w:rPr>
      <w:rFonts w:ascii="Arial" w:hAnsi="Arial" w:eastAsia="黑体"/>
      <w:b/>
      <w:bCs/>
      <w:kern w:val="44"/>
      <w:sz w:val="30"/>
      <w:szCs w:val="44"/>
      <w:lang w:val="en-US" w:eastAsia="zh-CN" w:bidi="ar-SA"/>
    </w:rPr>
  </w:style>
  <w:style w:type="character" w:customStyle="1" w:styleId="106">
    <w:name w:val="Char Char12"/>
    <w:uiPriority w:val="0"/>
    <w:rPr>
      <w:rFonts w:eastAsia="宋体"/>
      <w:kern w:val="2"/>
      <w:sz w:val="21"/>
      <w:szCs w:val="24"/>
      <w:lang w:val="en-US" w:eastAsia="zh-CN" w:bidi="ar-SA"/>
    </w:rPr>
  </w:style>
  <w:style w:type="character" w:customStyle="1" w:styleId="107">
    <w:name w:val="签名 字符"/>
    <w:link w:val="37"/>
    <w:uiPriority w:val="0"/>
    <w:rPr>
      <w:rFonts w:ascii="仿宋_GB2312" w:eastAsia="仿宋_GB2312"/>
      <w:b/>
      <w:sz w:val="24"/>
      <w:szCs w:val="32"/>
    </w:rPr>
  </w:style>
  <w:style w:type="character" w:customStyle="1" w:styleId="108">
    <w:name w:val="heading 3 Char1"/>
    <w:aliases w:val="H3 Char1,l3 Char1,CT Char1,h3 Char1,3rd level Char1,Heading 3 - old Char1,3 Char1,Head 3 Char1,level_3 Char1,PIM 3 Char1,Level 3 Head Char1,sect1.2.3 Char1,ISO2 Char1,L3 Char1,sect1.2.31 Char1,sect1.2.32 Char1,sect1.2.311 Char1,三级 Char"/>
    <w:uiPriority w:val="0"/>
    <w:rPr>
      <w:rFonts w:eastAsia="宋体"/>
      <w:b/>
      <w:bCs/>
      <w:kern w:val="2"/>
      <w:sz w:val="32"/>
      <w:szCs w:val="32"/>
      <w:lang w:val="en-US" w:eastAsia="zh-CN" w:bidi="ar-SA"/>
    </w:rPr>
  </w:style>
  <w:style w:type="character" w:customStyle="1" w:styleId="109">
    <w:name w:val="日期 字符"/>
    <w:link w:val="32"/>
    <w:uiPriority w:val="0"/>
    <w:rPr>
      <w:rFonts w:eastAsia="宋体"/>
      <w:kern w:val="2"/>
      <w:sz w:val="21"/>
      <w:szCs w:val="24"/>
      <w:lang w:val="en-US" w:eastAsia="zh-CN" w:bidi="ar-SA"/>
    </w:rPr>
  </w:style>
  <w:style w:type="character" w:customStyle="1" w:styleId="110">
    <w:name w:val="标题 4 字符"/>
    <w:link w:val="6"/>
    <w:uiPriority w:val="0"/>
    <w:rPr>
      <w:rFonts w:eastAsia="宋体"/>
      <w:kern w:val="2"/>
      <w:sz w:val="28"/>
      <w:szCs w:val="28"/>
      <w:lang w:val="en-US" w:eastAsia="zh-CN" w:bidi="ar-SA"/>
    </w:rPr>
  </w:style>
  <w:style w:type="character" w:customStyle="1" w:styleId="111">
    <w:name w:val="Char Char18"/>
    <w:uiPriority w:val="0"/>
    <w:rPr>
      <w:b/>
      <w:bCs/>
      <w:kern w:val="2"/>
      <w:sz w:val="32"/>
      <w:szCs w:val="32"/>
    </w:rPr>
  </w:style>
  <w:style w:type="character" w:customStyle="1" w:styleId="112">
    <w:name w:val="heading 8 Char1"/>
    <w:aliases w:val="图名 Char Char1"/>
    <w:uiPriority w:val="0"/>
    <w:rPr>
      <w:rFonts w:ascii="Arial" w:hAnsi="Arial" w:eastAsia="黑体"/>
      <w:sz w:val="24"/>
      <w:lang w:val="en-US" w:eastAsia="zh-CN" w:bidi="ar-SA"/>
    </w:rPr>
  </w:style>
  <w:style w:type="character" w:customStyle="1" w:styleId="113">
    <w:name w:val="引用 字符"/>
    <w:link w:val="114"/>
    <w:uiPriority w:val="0"/>
    <w:rPr>
      <w:rFonts w:ascii="Calibri" w:hAnsi="Calibri" w:eastAsia="宋体"/>
      <w:i/>
      <w:iCs/>
      <w:color w:val="000000"/>
      <w:lang w:val="en-US" w:eastAsia="zh-CN" w:bidi="ar-SA"/>
    </w:rPr>
  </w:style>
  <w:style w:type="paragraph" w:styleId="114">
    <w:name w:val="Quote"/>
    <w:basedOn w:val="1"/>
    <w:next w:val="1"/>
    <w:link w:val="113"/>
    <w:qFormat/>
    <w:uiPriority w:val="0"/>
    <w:rPr>
      <w:rFonts w:ascii="Calibri" w:hAnsi="Calibri"/>
      <w:i/>
      <w:iCs/>
      <w:color w:val="000000"/>
      <w:kern w:val="0"/>
      <w:sz w:val="20"/>
      <w:szCs w:val="20"/>
    </w:rPr>
  </w:style>
  <w:style w:type="character" w:customStyle="1" w:styleId="115">
    <w:name w:val="heading 6 Char1"/>
    <w:aliases w:val="H6 Char1,BOD 4 Char Char1"/>
    <w:uiPriority w:val="0"/>
    <w:rPr>
      <w:rFonts w:ascii="Arial" w:hAnsi="Arial" w:eastAsia="黑体"/>
      <w:kern w:val="2"/>
      <w:sz w:val="24"/>
      <w:szCs w:val="24"/>
      <w:lang w:val="en-US" w:eastAsia="zh-CN" w:bidi="ar-SA"/>
    </w:rPr>
  </w:style>
  <w:style w:type="character" w:customStyle="1" w:styleId="116">
    <w:name w:val="明显引用 字符"/>
    <w:link w:val="117"/>
    <w:uiPriority w:val="0"/>
    <w:rPr>
      <w:rFonts w:ascii="Calibri" w:hAnsi="Calibri" w:eastAsia="宋体"/>
      <w:b/>
      <w:bCs/>
      <w:i/>
      <w:iCs/>
      <w:color w:val="4F81BD"/>
      <w:lang w:val="en-US" w:eastAsia="zh-CN" w:bidi="ar-SA"/>
    </w:rPr>
  </w:style>
  <w:style w:type="paragraph" w:styleId="117">
    <w:name w:val="Intense Quote"/>
    <w:basedOn w:val="1"/>
    <w:next w:val="1"/>
    <w:link w:val="116"/>
    <w:qFormat/>
    <w:uiPriority w:val="0"/>
    <w:pPr>
      <w:pBdr>
        <w:bottom w:val="single" w:color="4F81BD" w:sz="4" w:space="4"/>
      </w:pBdr>
      <w:spacing w:before="200" w:beforeLines="0" w:after="280" w:afterLines="0"/>
      <w:ind w:left="936" w:right="936"/>
    </w:pPr>
    <w:rPr>
      <w:rFonts w:ascii="Calibri" w:hAnsi="Calibri"/>
      <w:b/>
      <w:bCs/>
      <w:i/>
      <w:iCs/>
      <w:color w:val="4F81BD"/>
      <w:kern w:val="0"/>
      <w:sz w:val="20"/>
      <w:szCs w:val="20"/>
    </w:rPr>
  </w:style>
  <w:style w:type="character" w:customStyle="1" w:styleId="118">
    <w:name w:val="pt141"/>
    <w:uiPriority w:val="0"/>
    <w:rPr>
      <w:color w:val="330066"/>
      <w:spacing w:val="450"/>
      <w:sz w:val="22"/>
      <w:szCs w:val="22"/>
    </w:rPr>
  </w:style>
  <w:style w:type="character" w:customStyle="1" w:styleId="119">
    <w:name w:val="heading 9 Char1"/>
    <w:aliases w:val="未用 Char Char1"/>
    <w:uiPriority w:val="0"/>
    <w:rPr>
      <w:rFonts w:ascii="Arial" w:hAnsi="Arial" w:eastAsia="黑体"/>
      <w:sz w:val="21"/>
      <w:lang w:val="en-US" w:eastAsia="zh-CN" w:bidi="ar-SA"/>
    </w:rPr>
  </w:style>
  <w:style w:type="character" w:customStyle="1" w:styleId="120">
    <w:name w:val="heading 2 Char1"/>
    <w:aliases w:val="Heading 2 Hidden Char1,Heading 2 CCBS Char1,H2 Char1,2 Char1,h2 Char1,Level 2 Head Char1,第*章 Char1,sect 1.2 Char1,节 Char1,标题 1.1 Char1,Underrubrik1 Char1,prop2 Char1,l2 Char1,Chapter Title Char1,DO NOT USE_h2 Char1,chn Char1,Titre2 Char1"/>
    <w:uiPriority w:val="0"/>
    <w:rPr>
      <w:rFonts w:ascii="Cambria" w:hAnsi="Cambria" w:eastAsia="宋体"/>
      <w:b/>
      <w:bCs/>
      <w:kern w:val="2"/>
      <w:sz w:val="32"/>
      <w:szCs w:val="32"/>
      <w:lang w:val="en-US" w:eastAsia="zh-CN" w:bidi="ar-SA"/>
    </w:rPr>
  </w:style>
  <w:style w:type="character" w:customStyle="1" w:styleId="121">
    <w:name w:val="Char Char21"/>
    <w:uiPriority w:val="0"/>
    <w:rPr>
      <w:rFonts w:ascii="Times New Roman" w:hAnsi="Times New Roman" w:eastAsia="宋体" w:cs="Times New Roman"/>
      <w:b/>
      <w:bCs/>
      <w:kern w:val="44"/>
      <w:sz w:val="44"/>
      <w:szCs w:val="44"/>
    </w:rPr>
  </w:style>
  <w:style w:type="character" w:customStyle="1" w:styleId="122">
    <w:name w:val="正文文本 2 字符"/>
    <w:basedOn w:val="54"/>
    <w:link w:val="47"/>
    <w:uiPriority w:val="0"/>
  </w:style>
  <w:style w:type="character" w:customStyle="1" w:styleId="123">
    <w:name w:val="heading 4 Char1"/>
    <w:aliases w:val="H4 Char1,Ref Heading 1 Char1,rh1 Char1,Heading sql Char1,sect 1.2.3.4 Char1,h4 Char1,sect 1.2.3.41 Char1,Ref Heading 11 Char1,rh11 Char1,sect 1.2.3.42 Char1,Ref Heading 12 Char1,rh12 Char1,sect 1.2.3.411 Char1,Ref Heading 111 Char1"/>
    <w:uiPriority w:val="0"/>
    <w:rPr>
      <w:rFonts w:ascii="Cambria" w:hAnsi="Cambria" w:eastAsia="宋体"/>
      <w:b/>
      <w:bCs/>
      <w:kern w:val="2"/>
      <w:sz w:val="28"/>
      <w:szCs w:val="28"/>
      <w:lang w:val="en-US" w:eastAsia="zh-CN" w:bidi="ar-SA"/>
    </w:rPr>
  </w:style>
  <w:style w:type="character" w:customStyle="1" w:styleId="124">
    <w:name w:val=" Char Char Char"/>
    <w:uiPriority w:val="0"/>
    <w:rPr>
      <w:rFonts w:ascii="宋体" w:hAnsi="Courier New" w:eastAsia="宋体"/>
      <w:b/>
      <w:sz w:val="21"/>
      <w:szCs w:val="21"/>
      <w:lang w:val="en-US" w:eastAsia="zh-CN" w:bidi="ar-SA"/>
    </w:rPr>
  </w:style>
  <w:style w:type="character" w:customStyle="1" w:styleId="125">
    <w:name w:val="Char Char61"/>
    <w:uiPriority w:val="0"/>
    <w:rPr>
      <w:rFonts w:ascii="Times New Roman" w:hAnsi="Times New Roman" w:eastAsia="宋体" w:cs="Times New Roman"/>
      <w:szCs w:val="24"/>
    </w:rPr>
  </w:style>
  <w:style w:type="character" w:customStyle="1" w:styleId="126">
    <w:name w:val="Ò³Ã¼ Char Char"/>
    <w:uiPriority w:val="0"/>
    <w:rPr>
      <w:sz w:val="18"/>
      <w:szCs w:val="18"/>
    </w:rPr>
  </w:style>
  <w:style w:type="character" w:customStyle="1" w:styleId="127">
    <w:name w:val="Char Char111"/>
    <w:uiPriority w:val="0"/>
    <w:rPr>
      <w:rFonts w:ascii="Times New Roman" w:hAnsi="Times New Roman" w:eastAsia="宋体" w:cs="Times New Roman"/>
      <w:sz w:val="18"/>
      <w:szCs w:val="18"/>
    </w:rPr>
  </w:style>
  <w:style w:type="character" w:customStyle="1" w:styleId="128">
    <w:name w:val="Style1"/>
    <w:uiPriority w:val="0"/>
    <w:rPr>
      <w:rFonts w:ascii="Calibri" w:hAnsi="宋体" w:eastAsia="宋体" w:cs="Times New Roman"/>
      <w:sz w:val="22"/>
      <w:szCs w:val="22"/>
      <w:lang w:eastAsia="zh-CN"/>
    </w:rPr>
  </w:style>
  <w:style w:type="character" w:customStyle="1" w:styleId="129">
    <w:name w:val="Ò³Ã¼ Char Char2"/>
    <w:uiPriority w:val="0"/>
    <w:rPr>
      <w:kern w:val="2"/>
      <w:sz w:val="18"/>
      <w:szCs w:val="18"/>
    </w:rPr>
  </w:style>
  <w:style w:type="character" w:customStyle="1" w:styleId="130">
    <w:name w:val="style21"/>
    <w:uiPriority w:val="0"/>
    <w:rPr>
      <w:sz w:val="15"/>
      <w:szCs w:val="15"/>
    </w:rPr>
  </w:style>
  <w:style w:type="character" w:customStyle="1" w:styleId="131">
    <w:name w:val="无间隔 字符"/>
    <w:link w:val="132"/>
    <w:uiPriority w:val="0"/>
    <w:rPr>
      <w:rFonts w:eastAsia="Times New Roman"/>
      <w:sz w:val="22"/>
      <w:szCs w:val="22"/>
      <w:lang w:val="en-US" w:eastAsia="zh-CN" w:bidi="ar-SA"/>
    </w:rPr>
  </w:style>
  <w:style w:type="paragraph" w:styleId="132">
    <w:name w:val="No Spacing"/>
    <w:link w:val="131"/>
    <w:qFormat/>
    <w:uiPriority w:val="0"/>
    <w:rPr>
      <w:rFonts w:eastAsia="Times New Roman"/>
      <w:sz w:val="22"/>
      <w:szCs w:val="22"/>
      <w:lang w:val="en-US" w:eastAsia="zh-CN" w:bidi="ar-SA"/>
    </w:rPr>
  </w:style>
  <w:style w:type="character" w:customStyle="1" w:styleId="133">
    <w:name w:val=" Char Char4"/>
    <w:uiPriority w:val="0"/>
    <w:rPr>
      <w:rFonts w:ascii="Cambria" w:hAnsi="Cambria" w:eastAsia="宋体"/>
      <w:b/>
      <w:bCs/>
      <w:sz w:val="32"/>
      <w:szCs w:val="32"/>
      <w:lang w:bidi="ar-SA"/>
    </w:rPr>
  </w:style>
  <w:style w:type="character" w:customStyle="1" w:styleId="134">
    <w:name w:val="正文文本 3 字符"/>
    <w:basedOn w:val="54"/>
    <w:link w:val="20"/>
    <w:uiPriority w:val="0"/>
  </w:style>
  <w:style w:type="character" w:customStyle="1" w:styleId="135">
    <w:name w:val="标题 2 字符"/>
    <w:link w:val="2"/>
    <w:uiPriority w:val="0"/>
    <w:rPr>
      <w:rFonts w:ascii="仿宋_GB2312" w:eastAsia="宋体"/>
      <w:b/>
      <w:kern w:val="2"/>
      <w:sz w:val="28"/>
      <w:szCs w:val="32"/>
      <w:lang w:val="en-US" w:eastAsia="zh-CN" w:bidi="ar-SA"/>
    </w:rPr>
  </w:style>
  <w:style w:type="character" w:customStyle="1" w:styleId="136">
    <w:name w:val="Style2"/>
    <w:uiPriority w:val="0"/>
    <w:rPr>
      <w:rFonts w:ascii="Calibri" w:hAnsi="宋体" w:eastAsia="宋体" w:cs="Times New Roman"/>
      <w:sz w:val="22"/>
      <w:szCs w:val="22"/>
      <w:lang w:eastAsia="zh-CN"/>
    </w:rPr>
  </w:style>
  <w:style w:type="character" w:customStyle="1" w:styleId="137">
    <w:name w:val="正文缩进 字符"/>
    <w:link w:val="9"/>
    <w:uiPriority w:val="0"/>
    <w:rPr>
      <w:rFonts w:ascii="仿宋_GB2312" w:eastAsia="宋体"/>
      <w:b/>
      <w:sz w:val="21"/>
      <w:szCs w:val="32"/>
      <w:lang w:val="en-US" w:eastAsia="zh-CN" w:bidi="ar-SA"/>
    </w:rPr>
  </w:style>
  <w:style w:type="character" w:customStyle="1" w:styleId="138">
    <w:name w:val="纯文本 字符"/>
    <w:link w:val="29"/>
    <w:uiPriority w:val="0"/>
    <w:rPr>
      <w:rFonts w:ascii="宋体" w:hAnsi="Courier New" w:eastAsia="宋体"/>
      <w:b/>
      <w:sz w:val="21"/>
      <w:szCs w:val="21"/>
      <w:lang w:val="en-US" w:eastAsia="zh-CN" w:bidi="ar-SA"/>
    </w:rPr>
  </w:style>
  <w:style w:type="character" w:customStyle="1" w:styleId="139">
    <w:name w:val="gray6"/>
    <w:basedOn w:val="54"/>
    <w:uiPriority w:val="0"/>
  </w:style>
  <w:style w:type="character" w:customStyle="1" w:styleId="140">
    <w:name w:val="PI Char"/>
    <w:aliases w:val="正文文字首行缩进 Char,HD正文1 Char,正文小标题 Char,正文顶格 Char Char"/>
    <w:uiPriority w:val="0"/>
    <w:rPr>
      <w:rFonts w:ascii="宋体" w:hAnsi="宋体"/>
      <w:sz w:val="24"/>
    </w:rPr>
  </w:style>
  <w:style w:type="character" w:customStyle="1" w:styleId="141">
    <w:name w:val="样式 宋体"/>
    <w:uiPriority w:val="0"/>
    <w:rPr>
      <w:rFonts w:ascii="宋体" w:hAnsi="宋体" w:eastAsia="宋体"/>
      <w:sz w:val="24"/>
      <w:szCs w:val="24"/>
    </w:rPr>
  </w:style>
  <w:style w:type="character" w:customStyle="1" w:styleId="142">
    <w:name w:val="smalltxt1"/>
    <w:uiPriority w:val="0"/>
    <w:rPr>
      <w:rFonts w:hint="default" w:ascii="ˎ̥" w:hAnsi="ˎ̥"/>
      <w:sz w:val="24"/>
      <w:szCs w:val="24"/>
    </w:rPr>
  </w:style>
  <w:style w:type="character" w:customStyle="1" w:styleId="143">
    <w:name w:val="ändrad Char"/>
    <w:aliases w:val="Indent Char,Ind Char,鋘drad Char,paragraph 2 Char,paragraph 21 Char,``` Char,contents Char Char Char1,contents Char Char Char Char,contents Char,特殊文字 Char Char Char Char1,特殊文字 Char Char Char Char Char,特殊文字 Char Char Char Cha Char Char Char1"/>
    <w:uiPriority w:val="0"/>
    <w:rPr>
      <w:rFonts w:eastAsia="宋体"/>
      <w:kern w:val="2"/>
      <w:sz w:val="21"/>
      <w:szCs w:val="24"/>
      <w:lang w:val="en-US" w:eastAsia="zh-CN" w:bidi="ar-SA"/>
    </w:rPr>
  </w:style>
  <w:style w:type="character" w:customStyle="1" w:styleId="144">
    <w:name w:val="Char Char19"/>
    <w:uiPriority w:val="0"/>
    <w:rPr>
      <w:rFonts w:ascii="Cambria" w:hAnsi="Cambria"/>
      <w:b/>
      <w:bCs/>
      <w:kern w:val="2"/>
      <w:sz w:val="32"/>
      <w:szCs w:val="32"/>
    </w:rPr>
  </w:style>
  <w:style w:type="character" w:customStyle="1" w:styleId="145">
    <w:name w:val="Style3"/>
    <w:uiPriority w:val="0"/>
    <w:rPr>
      <w:rFonts w:ascii="Calibri" w:hAnsi="宋体" w:eastAsia="宋体" w:cs="Times New Roman"/>
      <w:szCs w:val="22"/>
      <w:lang w:eastAsia="zh-CN"/>
    </w:rPr>
  </w:style>
  <w:style w:type="character" w:customStyle="1" w:styleId="146">
    <w:name w:val="不明显参考1"/>
    <w:uiPriority w:val="0"/>
    <w:rPr>
      <w:smallCaps/>
      <w:color w:val="C0504D"/>
      <w:u w:val="single"/>
    </w:rPr>
  </w:style>
  <w:style w:type="character" w:customStyle="1" w:styleId="147">
    <w:name w:val="heading 4 Char2"/>
    <w:aliases w:val="H4 Char2,Ref Heading 1 Char2,rh1 Char2,Heading sql Char2,sect 1.2.3.4 Char2,h4 Char2,sect 1.2.3.41 Char2,Ref Heading 11 Char2,rh11 Char2,sect 1.2.3.42 Char2,Ref Heading 12 Char2,rh12 Char2,sect 1.2.3.411 Char2,Ref Heading 111 Char2"/>
    <w:uiPriority w:val="0"/>
    <w:rPr>
      <w:rFonts w:ascii="Cambria" w:hAnsi="Cambria"/>
      <w:b/>
      <w:bCs/>
      <w:kern w:val="2"/>
      <w:sz w:val="28"/>
      <w:szCs w:val="28"/>
    </w:rPr>
  </w:style>
  <w:style w:type="character" w:customStyle="1" w:styleId="148">
    <w:name w:val=" Char Char24"/>
    <w:uiPriority w:val="0"/>
    <w:rPr>
      <w:rFonts w:eastAsia="宋体"/>
      <w:b/>
      <w:kern w:val="2"/>
      <w:sz w:val="28"/>
      <w:lang w:val="en-US" w:eastAsia="zh-CN" w:bidi="ar-SA"/>
    </w:rPr>
  </w:style>
  <w:style w:type="character" w:customStyle="1" w:styleId="149">
    <w:name w:val="Ò³Ã¼ Char Char1"/>
    <w:uiPriority w:val="0"/>
    <w:rPr>
      <w:rFonts w:eastAsia="宋体"/>
      <w:kern w:val="2"/>
      <w:sz w:val="18"/>
      <w:szCs w:val="18"/>
      <w:lang w:val="en-US" w:eastAsia="zh-CN" w:bidi="ar-SA"/>
    </w:rPr>
  </w:style>
  <w:style w:type="character" w:customStyle="1" w:styleId="150">
    <w:name w:val="标题 字符"/>
    <w:link w:val="49"/>
    <w:uiPriority w:val="0"/>
    <w:rPr>
      <w:rFonts w:ascii="Cambria" w:hAnsi="Cambria" w:eastAsia="宋体"/>
      <w:b/>
      <w:bCs/>
      <w:kern w:val="2"/>
      <w:sz w:val="32"/>
      <w:szCs w:val="32"/>
      <w:lang w:val="en-US" w:eastAsia="zh-CN" w:bidi="ar-SA"/>
    </w:rPr>
  </w:style>
  <w:style w:type="character" w:customStyle="1" w:styleId="151">
    <w:name w:val="style111"/>
    <w:uiPriority w:val="0"/>
    <w:rPr>
      <w:sz w:val="27"/>
      <w:szCs w:val="27"/>
    </w:rPr>
  </w:style>
  <w:style w:type="character" w:customStyle="1" w:styleId="152">
    <w:name w:val=" ändrad Char1"/>
    <w:aliases w:val="Indent Char1,Ind Char1,鋘drad Char1,paragraph 2 Char1,paragraph 21 Char1,``` Char1,contents Char Char Char2,contents Char Char Char Char1,contents Char1,特殊文字 Char Char Char Char2,特殊文字 Char Char Char Char Char1,ändra Char Char"/>
    <w:uiPriority w:val="0"/>
    <w:rPr>
      <w:rFonts w:ascii="仿宋_GB2312" w:eastAsia="宋体"/>
      <w:b/>
      <w:kern w:val="2"/>
      <w:sz w:val="21"/>
      <w:szCs w:val="24"/>
      <w:lang w:val="en-US" w:eastAsia="zh-CN" w:bidi="ar-SA"/>
    </w:rPr>
  </w:style>
  <w:style w:type="character" w:customStyle="1" w:styleId="153">
    <w:name w:val="表格 Char Char"/>
    <w:link w:val="154"/>
    <w:uiPriority w:val="0"/>
    <w:rPr>
      <w:rFonts w:ascii="宋体" w:hAnsi="宋体" w:eastAsia="宋体"/>
      <w:lang w:val="en-US" w:eastAsia="zh-CN" w:bidi="ar-SA"/>
    </w:rPr>
  </w:style>
  <w:style w:type="paragraph" w:customStyle="1" w:styleId="154">
    <w:name w:val="表格"/>
    <w:basedOn w:val="1"/>
    <w:link w:val="153"/>
    <w:uiPriority w:val="0"/>
    <w:pPr>
      <w:autoSpaceDE w:val="0"/>
      <w:autoSpaceDN w:val="0"/>
      <w:adjustRightInd w:val="0"/>
      <w:snapToGrid w:val="0"/>
      <w:ind w:firstLine="42" w:firstLineChars="21"/>
      <w:jc w:val="left"/>
    </w:pPr>
    <w:rPr>
      <w:rFonts w:ascii="宋体" w:hAnsi="宋体"/>
      <w:kern w:val="0"/>
      <w:sz w:val="20"/>
      <w:szCs w:val="20"/>
    </w:rPr>
  </w:style>
  <w:style w:type="character" w:customStyle="1" w:styleId="155">
    <w:name w:val="PI Char1"/>
    <w:aliases w:val="正文文字首行缩进 Char1,HD正文1 Char1,正文小标题 Char1,正文顶格 Char Char1"/>
    <w:uiPriority w:val="0"/>
    <w:rPr>
      <w:rFonts w:eastAsia="宋体"/>
      <w:kern w:val="2"/>
      <w:sz w:val="24"/>
      <w:szCs w:val="24"/>
      <w:lang w:val="en-US" w:eastAsia="zh-CN" w:bidi="ar-SA"/>
    </w:rPr>
  </w:style>
  <w:style w:type="character" w:customStyle="1" w:styleId="156">
    <w:name w:val="heading 2 Char"/>
    <w:aliases w:val="Heading 2 Hidden Char,Heading 2 CCBS Char,H2 Char,2 Char,h2 Char,Level 2 Head Char,第*章 Char,sect 1.2 Char,节 Char,标题 1.1 Char,Underrubrik1 Char,prop2 Char,l2 Char,Chapter Title Char,DO NOT USE_h2 Char,chn Char,2nd level Char,Titre2 Char"/>
    <w:uiPriority w:val="0"/>
    <w:rPr>
      <w:rFonts w:ascii="Arial" w:hAnsi="Arial" w:eastAsia="黑体" w:cs="Times New Roman"/>
      <w:sz w:val="30"/>
      <w:szCs w:val="24"/>
    </w:rPr>
  </w:style>
  <w:style w:type="character" w:customStyle="1" w:styleId="157">
    <w:name w:val="明显参考1"/>
    <w:uiPriority w:val="0"/>
    <w:rPr>
      <w:b/>
      <w:bCs/>
      <w:smallCaps/>
      <w:color w:val="C0504D"/>
      <w:spacing w:val="5"/>
      <w:u w:val="single"/>
    </w:rPr>
  </w:style>
  <w:style w:type="character" w:customStyle="1" w:styleId="158">
    <w:name w:val="Char Char4"/>
    <w:uiPriority w:val="0"/>
    <w:rPr>
      <w:rFonts w:ascii="Cambria" w:hAnsi="Cambria" w:eastAsia="宋体"/>
      <w:b/>
      <w:bCs/>
      <w:sz w:val="32"/>
      <w:szCs w:val="32"/>
      <w:lang w:bidi="ar-SA"/>
    </w:rPr>
  </w:style>
  <w:style w:type="character" w:customStyle="1" w:styleId="159">
    <w:name w:val="正文文本首行缩进 字符"/>
    <w:link w:val="22"/>
    <w:uiPriority w:val="0"/>
    <w:rPr>
      <w:rFonts w:eastAsia="宋体"/>
      <w:lang w:val="en-US" w:eastAsia="zh-CN" w:bidi="ar-SA"/>
    </w:rPr>
  </w:style>
  <w:style w:type="character" w:customStyle="1" w:styleId="160">
    <w:name w:val="Char Char211"/>
    <w:uiPriority w:val="0"/>
    <w:rPr>
      <w:rFonts w:ascii="Times New Roman" w:hAnsi="Times New Roman" w:eastAsia="宋体" w:cs="Times New Roman"/>
      <w:b/>
      <w:bCs/>
      <w:kern w:val="44"/>
      <w:sz w:val="44"/>
      <w:szCs w:val="44"/>
    </w:rPr>
  </w:style>
  <w:style w:type="character" w:customStyle="1" w:styleId="161">
    <w:name w:val="Footer-Even Char"/>
    <w:aliases w:val="FtrF Char Char"/>
    <w:uiPriority w:val="0"/>
    <w:rPr>
      <w:sz w:val="18"/>
      <w:szCs w:val="18"/>
    </w:rPr>
  </w:style>
  <w:style w:type="character" w:customStyle="1" w:styleId="162">
    <w:name w:val="Char Char16"/>
    <w:uiPriority w:val="0"/>
    <w:rPr>
      <w:b/>
      <w:bCs/>
      <w:kern w:val="2"/>
      <w:sz w:val="28"/>
      <w:szCs w:val="28"/>
    </w:rPr>
  </w:style>
  <w:style w:type="character" w:customStyle="1" w:styleId="163">
    <w:name w:val="正文文本缩进 字符"/>
    <w:link w:val="23"/>
    <w:uiPriority w:val="0"/>
    <w:rPr>
      <w:rFonts w:eastAsia="宋体"/>
      <w:kern w:val="2"/>
      <w:sz w:val="24"/>
      <w:szCs w:val="24"/>
      <w:lang w:val="en-US" w:eastAsia="zh-CN" w:bidi="ar-SA"/>
    </w:rPr>
  </w:style>
  <w:style w:type="character" w:customStyle="1" w:styleId="164">
    <w:name w:val="heading 4 Char"/>
    <w:aliases w:val="H4 Char,Ref Heading 1 Char,rh1 Char,Heading sql Char,sect 1.2.3.4 Char,h4 Char,sect 1.2.3.41 Char,Ref Heading 11 Char,rh11 Char,sect 1.2.3.42 Char,Ref Heading 12 Char,rh12 Char,sect 1.2.3.411 Char,Ref Heading 111 Char,rh111 Char,rh13 Char"/>
    <w:uiPriority w:val="0"/>
    <w:rPr>
      <w:rFonts w:ascii="Arial" w:hAnsi="Arial" w:eastAsia="黑体" w:cs="Times New Roman"/>
      <w:sz w:val="21"/>
      <w:szCs w:val="21"/>
    </w:rPr>
  </w:style>
  <w:style w:type="character" w:styleId="165">
    <w:name w:val=""/>
    <w:qFormat/>
    <w:uiPriority w:val="0"/>
    <w:rPr>
      <w:b/>
      <w:bCs/>
      <w:smallCaps/>
      <w:spacing w:val="5"/>
    </w:rPr>
  </w:style>
  <w:style w:type="character" w:customStyle="1" w:styleId="166">
    <w:name w:val="批注框文本 字符"/>
    <w:link w:val="34"/>
    <w:uiPriority w:val="0"/>
    <w:rPr>
      <w:rFonts w:eastAsia="宋体"/>
      <w:kern w:val="2"/>
      <w:sz w:val="18"/>
      <w:szCs w:val="18"/>
      <w:lang w:val="en-US" w:eastAsia="zh-CN" w:bidi="ar-SA"/>
    </w:rPr>
  </w:style>
  <w:style w:type="character" w:customStyle="1" w:styleId="167">
    <w:name w:val="正文文本 字符"/>
    <w:link w:val="21"/>
    <w:uiPriority w:val="0"/>
    <w:rPr>
      <w:rFonts w:ascii="仿宋_GB2312" w:eastAsia="宋体"/>
      <w:b/>
      <w:kern w:val="2"/>
      <w:sz w:val="21"/>
      <w:szCs w:val="24"/>
      <w:lang w:val="en-US" w:eastAsia="zh-CN" w:bidi="ar-SA"/>
    </w:rPr>
  </w:style>
  <w:style w:type="character" w:customStyle="1" w:styleId="168">
    <w:name w:val="标题 9 字符"/>
    <w:link w:val="12"/>
    <w:uiPriority w:val="0"/>
    <w:rPr>
      <w:rFonts w:ascii="Arial" w:hAnsi="Arial" w:eastAsia="黑体"/>
      <w:kern w:val="2"/>
      <w:sz w:val="21"/>
      <w:lang w:val="en-US" w:eastAsia="zh-CN" w:bidi="ar-SA"/>
    </w:rPr>
  </w:style>
  <w:style w:type="character" w:customStyle="1" w:styleId="169">
    <w:name w:val=" Char Char12"/>
    <w:uiPriority w:val="0"/>
    <w:rPr>
      <w:rFonts w:eastAsia="宋体"/>
      <w:kern w:val="2"/>
      <w:sz w:val="21"/>
      <w:szCs w:val="24"/>
      <w:lang w:val="en-US" w:eastAsia="zh-CN" w:bidi="ar-SA"/>
    </w:rPr>
  </w:style>
  <w:style w:type="character" w:customStyle="1" w:styleId="170">
    <w:name w:val="Plain Text Char"/>
    <w:uiPriority w:val="0"/>
    <w:rPr>
      <w:rFonts w:ascii="宋体" w:hAnsi="Courier New" w:eastAsia="宋体" w:cs="Times New Roman"/>
      <w:sz w:val="21"/>
      <w:szCs w:val="21"/>
    </w:rPr>
  </w:style>
  <w:style w:type="character" w:customStyle="1" w:styleId="171">
    <w:name w:val="Char Char24"/>
    <w:uiPriority w:val="0"/>
    <w:rPr>
      <w:rFonts w:eastAsia="宋体"/>
      <w:b/>
      <w:kern w:val="2"/>
      <w:sz w:val="28"/>
      <w:lang w:val="en-US" w:eastAsia="zh-CN" w:bidi="ar-SA"/>
    </w:rPr>
  </w:style>
  <w:style w:type="character" w:customStyle="1" w:styleId="172">
    <w:name w:val="明显强调1"/>
    <w:uiPriority w:val="0"/>
    <w:rPr>
      <w:b/>
      <w:bCs/>
      <w:i/>
      <w:iCs/>
      <w:color w:val="4F81BD"/>
    </w:rPr>
  </w:style>
  <w:style w:type="character" w:styleId="173">
    <w:name w:val=""/>
    <w:qFormat/>
    <w:uiPriority w:val="0"/>
    <w:rPr>
      <w:b/>
      <w:bCs/>
      <w:smallCaps/>
      <w:color w:val="C0504D"/>
      <w:spacing w:val="5"/>
      <w:u w:val="single"/>
    </w:rPr>
  </w:style>
  <w:style w:type="character" w:customStyle="1" w:styleId="174">
    <w:name w:val="heading 3 Char2"/>
    <w:aliases w:val="H3 Char2,l3 Char2,CT Char2,h3 Char2,3rd level Char2,Heading 3 - old Char2,3 Char2,Head 3 Char2,level_3 Char2,PIM 3 Char2,Level 3 Head Char2,sect1.2.3 Char2,ISO2 Char2,L3 Char2,sect1.2.31 Char2,sect1.2.32 Char2,sect1.2.311 Char2,三级 Char1"/>
    <w:uiPriority w:val="0"/>
    <w:rPr>
      <w:b/>
      <w:bCs/>
      <w:kern w:val="2"/>
      <w:sz w:val="32"/>
      <w:szCs w:val="32"/>
    </w:rPr>
  </w:style>
  <w:style w:type="character" w:customStyle="1" w:styleId="175">
    <w:name w:val="heading 3 Char"/>
    <w:aliases w:val="H3 Char,l3 Char,CT Char,h3 Char,3rd level Char,Heading 3 - old Char,3 Char,Head 3 Char,level_3 Char,PIM 3 Char,Level 3 Head Char,sect1.2.3 Char,ISO2 Char,L3 Char,sect1.2.31 Char,sect1.2.32 Char,sect1.2.311 Char,sect1.2.33 Char,BOD 0 Char"/>
    <w:uiPriority w:val="0"/>
    <w:rPr>
      <w:rFonts w:ascii="Arial" w:hAnsi="Arial" w:eastAsia="黑体"/>
      <w:sz w:val="28"/>
      <w:szCs w:val="24"/>
    </w:rPr>
  </w:style>
  <w:style w:type="character" w:customStyle="1" w:styleId="176">
    <w:name w:val="宏文本 字符"/>
    <w:link w:val="3"/>
    <w:uiPriority w:val="0"/>
    <w:rPr>
      <w:rFonts w:ascii="Courier New" w:hAnsi="Courier New" w:eastAsia="Times New Roman"/>
      <w:kern w:val="2"/>
      <w:sz w:val="24"/>
      <w:szCs w:val="24"/>
      <w:lang w:val="en-US" w:eastAsia="zh-CN" w:bidi="ar-SA"/>
    </w:rPr>
  </w:style>
  <w:style w:type="character" w:customStyle="1" w:styleId="177">
    <w:name w:val="Char Char17"/>
    <w:uiPriority w:val="0"/>
    <w:rPr>
      <w:rFonts w:ascii="Cambria" w:hAnsi="Cambria"/>
      <w:b/>
      <w:bCs/>
      <w:kern w:val="2"/>
      <w:sz w:val="28"/>
      <w:szCs w:val="28"/>
    </w:rPr>
  </w:style>
  <w:style w:type="character" w:customStyle="1" w:styleId="178">
    <w:name w:val="Char Char20"/>
    <w:uiPriority w:val="0"/>
    <w:rPr>
      <w:b/>
      <w:bCs/>
      <w:kern w:val="44"/>
      <w:sz w:val="44"/>
      <w:szCs w:val="44"/>
    </w:rPr>
  </w:style>
  <w:style w:type="character" w:customStyle="1" w:styleId="179">
    <w:name w:val="blue1"/>
    <w:basedOn w:val="54"/>
    <w:uiPriority w:val="0"/>
  </w:style>
  <w:style w:type="character" w:customStyle="1" w:styleId="180">
    <w:name w:val="批注主题 字符"/>
    <w:link w:val="50"/>
    <w:uiPriority w:val="0"/>
    <w:rPr>
      <w:rFonts w:eastAsia="宋体"/>
      <w:b/>
      <w:bCs/>
      <w:kern w:val="2"/>
      <w:sz w:val="21"/>
      <w:szCs w:val="24"/>
      <w:lang w:val="en-US" w:eastAsia="zh-CN" w:bidi="ar-SA"/>
    </w:rPr>
  </w:style>
  <w:style w:type="character" w:customStyle="1" w:styleId="181">
    <w:name w:val="Char Char15"/>
    <w:uiPriority w:val="0"/>
    <w:rPr>
      <w:rFonts w:ascii="Arial" w:hAnsi="Arial" w:eastAsia="黑体"/>
      <w:sz w:val="24"/>
      <w:szCs w:val="24"/>
    </w:rPr>
  </w:style>
  <w:style w:type="character" w:customStyle="1" w:styleId="182">
    <w:name w:val="font31"/>
    <w:uiPriority w:val="0"/>
    <w:rPr>
      <w:rFonts w:hint="eastAsia" w:ascii="宋体" w:hAnsi="宋体" w:eastAsia="宋体" w:cs="宋体"/>
      <w:color w:val="000000"/>
      <w:sz w:val="24"/>
      <w:szCs w:val="24"/>
      <w:u w:val="single"/>
    </w:rPr>
  </w:style>
  <w:style w:type="character" w:customStyle="1" w:styleId="183">
    <w:name w:val="dandyren_title1"/>
    <w:uiPriority w:val="0"/>
    <w:rPr>
      <w:b/>
      <w:bCs/>
      <w:color w:val="FF6633"/>
      <w:sz w:val="18"/>
      <w:szCs w:val="18"/>
    </w:rPr>
  </w:style>
  <w:style w:type="character" w:customStyle="1" w:styleId="184">
    <w:name w:val=" Char Char27"/>
    <w:uiPriority w:val="0"/>
    <w:rPr>
      <w:rFonts w:eastAsia="宋体"/>
      <w:kern w:val="2"/>
      <w:sz w:val="28"/>
      <w:lang w:val="en-US" w:eastAsia="zh-CN" w:bidi="ar-SA"/>
    </w:rPr>
  </w:style>
  <w:style w:type="character" w:customStyle="1" w:styleId="185">
    <w:name w:val="样式 标题 3 + 黑体 小四 Char Char"/>
    <w:link w:val="186"/>
    <w:uiPriority w:val="0"/>
    <w:rPr>
      <w:rFonts w:ascii="黑体" w:hAnsi="Arial" w:eastAsia="黑体"/>
      <w:bCs/>
      <w:sz w:val="24"/>
      <w:szCs w:val="24"/>
      <w:lang w:bidi="ar-SA"/>
    </w:rPr>
  </w:style>
  <w:style w:type="paragraph" w:customStyle="1" w:styleId="186">
    <w:name w:val="样式 标题 3 + 黑体 小四"/>
    <w:basedOn w:val="5"/>
    <w:link w:val="185"/>
    <w:uiPriority w:val="0"/>
    <w:pPr>
      <w:numPr>
        <w:ilvl w:val="0"/>
        <w:numId w:val="0"/>
      </w:numPr>
      <w:spacing w:before="260" w:beforeLines="0" w:after="260" w:afterLines="0" w:line="413" w:lineRule="auto"/>
    </w:pPr>
    <w:rPr>
      <w:rFonts w:ascii="黑体" w:hAnsi="Arial"/>
      <w:b w:val="0"/>
      <w:bCs/>
      <w:kern w:val="0"/>
      <w:sz w:val="24"/>
      <w:szCs w:val="24"/>
    </w:rPr>
  </w:style>
  <w:style w:type="character" w:customStyle="1" w:styleId="187">
    <w:name w:val="文档结构图 字符"/>
    <w:link w:val="17"/>
    <w:uiPriority w:val="0"/>
    <w:rPr>
      <w:rFonts w:eastAsia="宋体"/>
      <w:kern w:val="2"/>
      <w:sz w:val="21"/>
      <w:szCs w:val="24"/>
      <w:lang w:val="en-US" w:eastAsia="zh-CN" w:bidi="ar-SA"/>
    </w:rPr>
  </w:style>
  <w:style w:type="character" w:customStyle="1" w:styleId="188">
    <w:name w:val="Footer-Even Char2"/>
    <w:aliases w:val="FtrF Char Char2"/>
    <w:uiPriority w:val="0"/>
    <w:rPr>
      <w:kern w:val="2"/>
      <w:sz w:val="18"/>
      <w:szCs w:val="18"/>
    </w:rPr>
  </w:style>
  <w:style w:type="character" w:styleId="189">
    <w:name w:val=""/>
    <w:qFormat/>
    <w:uiPriority w:val="0"/>
    <w:rPr>
      <w:smallCaps/>
      <w:color w:val="C0504D"/>
      <w:u w:val="single"/>
    </w:rPr>
  </w:style>
  <w:style w:type="character" w:customStyle="1" w:styleId="190">
    <w:name w:val="表正文 Char2"/>
    <w:aliases w:val="正文非缩进 Char2,特点 Char2,缩进 Char1,ALT+Z Char1,标题4 Char1,段1 Char1,正文不缩进 Char2,首行缩进 Char1,正文（首行缩进两字） Char Char1,表正文 Char Char1,正文非缩进 Char Char1,特点 Char Char1,正文不缩进 Char Char1,正文（首行缩进两字） Char2,Normal Indent（正文缩进） Char1,Body Text(ch) Char1,表正文1 Char1"/>
    <w:uiPriority w:val="0"/>
    <w:rPr>
      <w:rFonts w:ascii="Times New Roman" w:hAnsi="Times New Roman" w:eastAsia="宋体" w:cs="Times New Roman"/>
      <w:szCs w:val="24"/>
    </w:rPr>
  </w:style>
  <w:style w:type="character" w:customStyle="1" w:styleId="191">
    <w:name w:val="Style4"/>
    <w:uiPriority w:val="0"/>
    <w:rPr>
      <w:rFonts w:ascii="Calibri" w:hAnsi="宋体" w:eastAsia="宋体" w:cs="Times New Roman"/>
      <w:szCs w:val="22"/>
      <w:lang w:eastAsia="zh-CN"/>
    </w:rPr>
  </w:style>
  <w:style w:type="character" w:customStyle="1" w:styleId="192">
    <w:name w:val="Char Char11"/>
    <w:uiPriority w:val="0"/>
    <w:rPr>
      <w:rFonts w:ascii="Times New Roman" w:hAnsi="Times New Roman" w:eastAsia="宋体" w:cs="Times New Roman"/>
      <w:sz w:val="18"/>
      <w:szCs w:val="18"/>
    </w:rPr>
  </w:style>
  <w:style w:type="character" w:customStyle="1" w:styleId="193">
    <w:name w:val="heading 1 Char"/>
    <w:aliases w:val="标书1 Char,h1 Char,H1 Char,L1 Char,boc Char,Section Head Char,1st level Char,l1 Char,H11 Char,H12 Char,H13 Char,H14 Char,H15 Char,H16 Char,H17 Char,Level 1 Topic Heading Char,L1 Heading 1 Char,h11 Char,1st level1 Char,heading 11 Char"/>
    <w:uiPriority w:val="0"/>
    <w:rPr>
      <w:rFonts w:ascii="Arial" w:hAnsi="Arial" w:eastAsia="黑体"/>
      <w:b/>
      <w:sz w:val="36"/>
      <w:szCs w:val="36"/>
    </w:rPr>
  </w:style>
  <w:style w:type="character" w:customStyle="1" w:styleId="194">
    <w:name w:val="称呼 字符"/>
    <w:link w:val="19"/>
    <w:uiPriority w:val="0"/>
    <w:rPr>
      <w:rFonts w:ascii="仿宋_GB2312" w:eastAsia="仿宋_GB2312"/>
      <w:b/>
      <w:sz w:val="24"/>
      <w:szCs w:val="32"/>
    </w:rPr>
  </w:style>
  <w:style w:type="character" w:customStyle="1" w:styleId="195">
    <w:name w:val="正文文本缩进 2 字符"/>
    <w:link w:val="33"/>
    <w:uiPriority w:val="0"/>
    <w:rPr>
      <w:rFonts w:eastAsia="宋体"/>
      <w:kern w:val="2"/>
      <w:sz w:val="24"/>
      <w:szCs w:val="24"/>
      <w:lang w:val="en-US" w:eastAsia="zh-CN" w:bidi="ar-SA"/>
    </w:rPr>
  </w:style>
  <w:style w:type="character" w:customStyle="1" w:styleId="196">
    <w:name w:val="样式2 Char Char"/>
    <w:link w:val="197"/>
    <w:uiPriority w:val="0"/>
    <w:rPr>
      <w:rFonts w:ascii="宋体" w:hAnsi="宋体" w:eastAsia="宋体"/>
      <w:bCs/>
      <w:kern w:val="2"/>
      <w:sz w:val="28"/>
      <w:szCs w:val="28"/>
      <w:lang w:val="en-US" w:eastAsia="zh-CN" w:bidi="ar-SA"/>
    </w:rPr>
  </w:style>
  <w:style w:type="paragraph" w:customStyle="1" w:styleId="197">
    <w:name w:val="样式2"/>
    <w:basedOn w:val="2"/>
    <w:link w:val="196"/>
    <w:uiPriority w:val="0"/>
    <w:pPr>
      <w:keepLines/>
      <w:numPr>
        <w:ilvl w:val="0"/>
        <w:numId w:val="0"/>
      </w:numPr>
      <w:snapToGrid w:val="0"/>
      <w:spacing w:before="260" w:beforeLines="0" w:after="156" w:afterLines="50" w:line="480" w:lineRule="exact"/>
      <w:ind w:firstLine="556"/>
    </w:pPr>
    <w:rPr>
      <w:rFonts w:ascii="宋体" w:hAnsi="宋体"/>
      <w:b w:val="0"/>
      <w:bCs/>
      <w:szCs w:val="28"/>
    </w:rPr>
  </w:style>
  <w:style w:type="character" w:customStyle="1" w:styleId="198">
    <w:name w:val="PI Char2"/>
    <w:aliases w:val="正文文字首行缩进 Char2,HD正文1 Char2,正文小标题 Char2,正文顶格 Char Char2"/>
    <w:uiPriority w:val="0"/>
    <w:rPr>
      <w:kern w:val="2"/>
      <w:sz w:val="24"/>
      <w:szCs w:val="24"/>
    </w:rPr>
  </w:style>
  <w:style w:type="paragraph" w:customStyle="1" w:styleId="199">
    <w:name w:val="xl75"/>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ascii="新宋体" w:hAnsi="新宋体" w:eastAsia="新宋体" w:cs="宋体"/>
      <w:color w:val="000000"/>
      <w:kern w:val="0"/>
      <w:sz w:val="24"/>
    </w:rPr>
  </w:style>
  <w:style w:type="paragraph" w:customStyle="1" w:styleId="200">
    <w:name w:val="14"/>
    <w:basedOn w:val="1"/>
    <w:uiPriority w:val="0"/>
    <w:pPr>
      <w:snapToGrid w:val="0"/>
      <w:spacing w:before="93" w:beforeLines="30" w:line="288" w:lineRule="auto"/>
      <w:ind w:left="852" w:leftChars="355" w:firstLine="420" w:firstLineChars="175"/>
    </w:pPr>
    <w:rPr>
      <w:rFonts w:ascii="新宋体" w:hAnsi="新宋体"/>
      <w:sz w:val="24"/>
      <w:szCs w:val="20"/>
    </w:rPr>
  </w:style>
  <w:style w:type="paragraph" w:customStyle="1" w:styleId="201">
    <w:name w:val="正文（首行缩进）"/>
    <w:basedOn w:val="23"/>
    <w:uiPriority w:val="0"/>
    <w:pPr>
      <w:widowControl/>
      <w:overflowPunct w:val="0"/>
      <w:autoSpaceDE w:val="0"/>
      <w:autoSpaceDN w:val="0"/>
      <w:adjustRightInd w:val="0"/>
      <w:spacing w:before="156" w:beforeLines="50" w:after="120" w:afterLines="0" w:line="400" w:lineRule="exact"/>
      <w:ind w:left="200" w:leftChars="200" w:firstLine="200" w:firstLineChars="200"/>
      <w:jc w:val="left"/>
      <w:textAlignment w:val="baseline"/>
    </w:pPr>
    <w:rPr>
      <w:spacing w:val="10"/>
      <w:kern w:val="0"/>
      <w:szCs w:val="20"/>
    </w:rPr>
  </w:style>
  <w:style w:type="paragraph" w:customStyle="1" w:styleId="202">
    <w:name w:val="Char1 Char Char Char Char Char Char"/>
    <w:basedOn w:val="1"/>
    <w:uiPriority w:val="0"/>
    <w:rPr>
      <w:rFonts w:ascii="宋体" w:hAnsi="宋体"/>
      <w:color w:val="000000"/>
      <w:sz w:val="24"/>
    </w:rPr>
  </w:style>
  <w:style w:type="paragraph" w:customStyle="1" w:styleId="203">
    <w:name w:val="xl88"/>
    <w:basedOn w:val="1"/>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新宋体" w:hAnsi="新宋体" w:eastAsia="新宋体" w:cs="宋体"/>
      <w:color w:val="000000"/>
      <w:kern w:val="0"/>
      <w:sz w:val="24"/>
    </w:rPr>
  </w:style>
  <w:style w:type="paragraph" w:customStyle="1" w:styleId="204">
    <w:name w:val="立地科技 正文"/>
    <w:basedOn w:val="1"/>
    <w:qFormat/>
    <w:uiPriority w:val="0"/>
    <w:pPr>
      <w:adjustRightInd/>
      <w:snapToGrid/>
      <w:ind w:right="0" w:firstLine="480" w:firstLineChars="200"/>
    </w:pPr>
    <w:rPr>
      <w:kern w:val="0"/>
    </w:rPr>
  </w:style>
  <w:style w:type="paragraph" w:customStyle="1" w:styleId="205">
    <w:name w:val="List Paragraph1"/>
    <w:basedOn w:val="1"/>
    <w:uiPriority w:val="0"/>
    <w:pPr>
      <w:ind w:firstLine="420" w:firstLineChars="200"/>
    </w:pPr>
    <w:rPr>
      <w:rFonts w:ascii="Calibri" w:hAnsi="Calibri"/>
      <w:szCs w:val="22"/>
    </w:rPr>
  </w:style>
  <w:style w:type="paragraph" w:customStyle="1" w:styleId="206">
    <w:name w:val="xl70"/>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新宋体" w:hAnsi="新宋体" w:eastAsia="新宋体" w:cs="宋体"/>
      <w:color w:val="000000"/>
      <w:kern w:val="0"/>
      <w:sz w:val="24"/>
    </w:rPr>
  </w:style>
  <w:style w:type="paragraph" w:customStyle="1" w:styleId="207">
    <w:name w:val="正文2"/>
    <w:basedOn w:val="1"/>
    <w:uiPriority w:val="0"/>
    <w:pPr>
      <w:autoSpaceDE w:val="0"/>
      <w:autoSpaceDN w:val="0"/>
      <w:adjustRightInd w:val="0"/>
      <w:spacing w:before="156" w:beforeLines="0" w:line="360" w:lineRule="auto"/>
      <w:ind w:firstLine="510" w:firstLineChars="200"/>
      <w:jc w:val="left"/>
    </w:pPr>
    <w:rPr>
      <w:kern w:val="0"/>
      <w:sz w:val="24"/>
      <w:szCs w:val="20"/>
    </w:rPr>
  </w:style>
  <w:style w:type="paragraph" w:customStyle="1" w:styleId="208">
    <w:name w:val="xl73"/>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ascii="新宋体" w:hAnsi="新宋体" w:eastAsia="新宋体" w:cs="宋体"/>
      <w:color w:val="000000"/>
      <w:kern w:val="0"/>
      <w:sz w:val="24"/>
    </w:rPr>
  </w:style>
  <w:style w:type="paragraph" w:customStyle="1" w:styleId="209">
    <w:name w:val="af17cgridlangnp1033langf"/>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210">
    <w:name w:val="一级条标题"/>
    <w:next w:val="1"/>
    <w:uiPriority w:val="0"/>
    <w:pPr>
      <w:tabs>
        <w:tab w:val="left" w:pos="3889"/>
      </w:tabs>
      <w:ind w:left="3889" w:hanging="420"/>
      <w:outlineLvl w:val="2"/>
    </w:pPr>
    <w:rPr>
      <w:rFonts w:eastAsia="黑体"/>
      <w:sz w:val="21"/>
      <w:lang w:val="en-US" w:eastAsia="zh-CN" w:bidi="ar-SA"/>
    </w:rPr>
  </w:style>
  <w:style w:type="paragraph" w:customStyle="1" w:styleId="211">
    <w:name w:val="aspnumfaautoadjustrightr"/>
    <w:uiPriority w:val="0"/>
    <w:pPr>
      <w:widowControl w:val="0"/>
      <w:autoSpaceDE w:val="0"/>
      <w:autoSpaceDN w:val="0"/>
      <w:adjustRightInd w:val="0"/>
      <w:ind w:firstLine="720"/>
      <w:jc w:val="both"/>
    </w:pPr>
    <w:rPr>
      <w:lang w:val="en-US" w:eastAsia="zh-CN" w:bidi="ar-SA"/>
    </w:rPr>
  </w:style>
  <w:style w:type="paragraph" w:customStyle="1" w:styleId="212">
    <w:name w:val=" Char1"/>
    <w:basedOn w:val="1"/>
    <w:uiPriority w:val="0"/>
    <w:rPr>
      <w:rFonts w:ascii="仿宋_GB2312" w:eastAsia="仿宋_GB2312"/>
      <w:b/>
      <w:sz w:val="32"/>
      <w:szCs w:val="32"/>
    </w:rPr>
  </w:style>
  <w:style w:type="paragraph" w:customStyle="1" w:styleId="213">
    <w:name w:val="此正文"/>
    <w:basedOn w:val="1"/>
    <w:uiPriority w:val="0"/>
    <w:pPr>
      <w:autoSpaceDE w:val="0"/>
      <w:autoSpaceDN w:val="0"/>
      <w:adjustRightInd w:val="0"/>
      <w:spacing w:line="360" w:lineRule="auto"/>
      <w:ind w:firstLine="200" w:firstLineChars="200"/>
      <w:jc w:val="left"/>
    </w:pPr>
    <w:rPr>
      <w:kern w:val="0"/>
      <w:sz w:val="24"/>
      <w:szCs w:val="20"/>
    </w:rPr>
  </w:style>
  <w:style w:type="paragraph" w:customStyle="1" w:styleId="214">
    <w:name w:val="段"/>
    <w:uiPriority w:val="0"/>
    <w:pPr>
      <w:autoSpaceDE w:val="0"/>
      <w:autoSpaceDN w:val="0"/>
      <w:ind w:firstLine="200" w:firstLineChars="200"/>
      <w:jc w:val="both"/>
    </w:pPr>
    <w:rPr>
      <w:rFonts w:ascii="宋体"/>
      <w:sz w:val="21"/>
      <w:lang w:val="en-US" w:eastAsia="zh-CN" w:bidi="ar-SA"/>
    </w:rPr>
  </w:style>
  <w:style w:type="paragraph" w:customStyle="1" w:styleId="215">
    <w:name w:val="xl92"/>
    <w:basedOn w:val="1"/>
    <w:uiPriority w:val="0"/>
    <w:pPr>
      <w:widowControl/>
      <w:pBdr>
        <w:top w:val="single" w:color="auto" w:sz="4" w:space="0"/>
        <w:left w:val="single" w:color="auto" w:sz="4" w:space="0"/>
        <w:right w:val="single" w:color="auto" w:sz="4" w:space="0"/>
      </w:pBdr>
      <w:spacing w:before="100" w:beforeLines="0" w:beforeAutospacing="1" w:after="100" w:afterLines="0" w:afterAutospacing="1"/>
      <w:jc w:val="left"/>
    </w:pPr>
    <w:rPr>
      <w:rFonts w:ascii="新宋体" w:hAnsi="新宋体" w:eastAsia="新宋体" w:cs="宋体"/>
      <w:color w:val="000000"/>
      <w:kern w:val="0"/>
      <w:sz w:val="24"/>
    </w:rPr>
  </w:style>
  <w:style w:type="paragraph" w:customStyle="1" w:styleId="216">
    <w:name w:val="样式 首行缩进:  0 字符"/>
    <w:basedOn w:val="1"/>
    <w:qFormat/>
    <w:uiPriority w:val="0"/>
    <w:pPr>
      <w:adjustRightInd/>
      <w:snapToGrid/>
      <w:ind w:right="0" w:firstLine="200" w:firstLineChars="200"/>
    </w:pPr>
    <w:rPr>
      <w:rFonts w:cs="宋体"/>
      <w:szCs w:val="20"/>
    </w:rPr>
  </w:style>
  <w:style w:type="paragraph" w:customStyle="1" w:styleId="217">
    <w:name w:val="Char Char1"/>
    <w:basedOn w:val="1"/>
    <w:uiPriority w:val="0"/>
    <w:pPr>
      <w:widowControl/>
      <w:spacing w:after="160" w:afterLines="0" w:line="240" w:lineRule="exact"/>
      <w:jc w:val="left"/>
    </w:pPr>
    <w:rPr>
      <w:rFonts w:ascii="Verdana" w:hAnsi="Verdana" w:eastAsia="楷体_GB2312"/>
      <w:b/>
      <w:i/>
      <w:iCs/>
      <w:color w:val="000000"/>
      <w:kern w:val="0"/>
      <w:sz w:val="20"/>
      <w:szCs w:val="20"/>
      <w:lang w:eastAsia="en-US"/>
    </w:rPr>
  </w:style>
  <w:style w:type="paragraph" w:customStyle="1" w:styleId="218">
    <w:name w:val="Defaul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219">
    <w:name w:val="正文－恩普"/>
    <w:basedOn w:val="9"/>
    <w:uiPriority w:val="0"/>
    <w:pPr>
      <w:adjustRightInd/>
      <w:spacing w:line="360" w:lineRule="auto"/>
      <w:ind w:firstLine="200" w:firstLineChars="200"/>
      <w:textAlignment w:val="auto"/>
    </w:pPr>
    <w:rPr>
      <w:kern w:val="2"/>
      <w:sz w:val="24"/>
      <w:szCs w:val="24"/>
    </w:rPr>
  </w:style>
  <w:style w:type="paragraph" w:customStyle="1" w:styleId="220">
    <w:name w:val="xl65"/>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Lines="0" w:beforeAutospacing="1" w:after="100" w:afterLines="0" w:afterAutospacing="1"/>
      <w:jc w:val="center"/>
    </w:pPr>
    <w:rPr>
      <w:rFonts w:ascii="宋体" w:hAnsi="宋体" w:cs="宋体"/>
      <w:b/>
      <w:bCs/>
      <w:color w:val="000000"/>
      <w:kern w:val="0"/>
      <w:sz w:val="24"/>
    </w:rPr>
  </w:style>
  <w:style w:type="paragraph" w:customStyle="1" w:styleId="221">
    <w:name w:val="列表内容"/>
    <w:basedOn w:val="1"/>
    <w:next w:val="1"/>
    <w:uiPriority w:val="0"/>
    <w:pPr>
      <w:widowControl/>
      <w:autoSpaceDE w:val="0"/>
      <w:autoSpaceDN w:val="0"/>
      <w:adjustRightInd w:val="0"/>
      <w:ind w:firstLine="200"/>
      <w:jc w:val="left"/>
    </w:pPr>
    <w:rPr>
      <w:kern w:val="0"/>
      <w:sz w:val="18"/>
      <w:szCs w:val="20"/>
    </w:rPr>
  </w:style>
  <w:style w:type="paragraph" w:customStyle="1" w:styleId="222">
    <w:name w:val="五级条标题"/>
    <w:basedOn w:val="223"/>
    <w:next w:val="1"/>
    <w:uiPriority w:val="0"/>
    <w:pPr>
      <w:tabs>
        <w:tab w:val="left" w:pos="5569"/>
      </w:tabs>
      <w:ind w:left="5569"/>
      <w:outlineLvl w:val="6"/>
    </w:pPr>
  </w:style>
  <w:style w:type="paragraph" w:customStyle="1" w:styleId="223">
    <w:name w:val="四级条标题"/>
    <w:basedOn w:val="224"/>
    <w:next w:val="1"/>
    <w:uiPriority w:val="0"/>
    <w:pPr>
      <w:tabs>
        <w:tab w:val="left" w:pos="5149"/>
      </w:tabs>
      <w:ind w:left="5149"/>
      <w:outlineLvl w:val="5"/>
    </w:pPr>
  </w:style>
  <w:style w:type="paragraph" w:customStyle="1" w:styleId="224">
    <w:name w:val="三级条标题"/>
    <w:basedOn w:val="225"/>
    <w:next w:val="1"/>
    <w:uiPriority w:val="0"/>
    <w:pPr>
      <w:numPr>
        <w:ilvl w:val="0"/>
        <w:numId w:val="0"/>
      </w:numPr>
      <w:tabs>
        <w:tab w:val="left" w:pos="4729"/>
      </w:tabs>
      <w:ind w:left="4729" w:hanging="420"/>
      <w:outlineLvl w:val="4"/>
    </w:pPr>
  </w:style>
  <w:style w:type="paragraph" w:customStyle="1" w:styleId="225">
    <w:name w:val="二级条标题"/>
    <w:basedOn w:val="210"/>
    <w:next w:val="1"/>
    <w:uiPriority w:val="0"/>
    <w:pPr>
      <w:tabs>
        <w:tab w:val="left" w:pos="4309"/>
        <w:tab w:val="clear" w:pos="3889"/>
      </w:tabs>
      <w:ind w:left="4309"/>
      <w:outlineLvl w:val="3"/>
    </w:pPr>
  </w:style>
  <w:style w:type="paragraph" w:customStyle="1" w:styleId="226">
    <w:name w:val="Char Char Char Char Char Char Char"/>
    <w:basedOn w:val="1"/>
    <w:uiPriority w:val="0"/>
    <w:rPr>
      <w:rFonts w:ascii="仿宋_GB2312" w:eastAsia="仿宋_GB2312"/>
      <w:b/>
      <w:sz w:val="32"/>
      <w:szCs w:val="32"/>
    </w:rPr>
  </w:style>
  <w:style w:type="paragraph" w:customStyle="1" w:styleId="227">
    <w:name w:val="xl89"/>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28">
    <w:name w:val="xl81"/>
    <w:basedOn w:val="1"/>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pPr>
    <w:rPr>
      <w:rFonts w:ascii="新宋体" w:hAnsi="新宋体" w:eastAsia="新宋体" w:cs="宋体"/>
      <w:color w:val="000000"/>
      <w:kern w:val="0"/>
      <w:sz w:val="24"/>
    </w:rPr>
  </w:style>
  <w:style w:type="paragraph" w:customStyle="1" w:styleId="229">
    <w:name w:val="Table Heading"/>
    <w:uiPriority w:val="0"/>
    <w:pPr>
      <w:keepNext/>
      <w:snapToGrid w:val="0"/>
      <w:spacing w:before="80" w:after="80"/>
      <w:jc w:val="center"/>
    </w:pPr>
    <w:rPr>
      <w:rFonts w:eastAsia="黑体" w:cs="Arial"/>
      <w:kern w:val="2"/>
      <w:sz w:val="18"/>
      <w:szCs w:val="18"/>
      <w:lang w:val="en-US" w:eastAsia="zh-CN" w:bidi="ar-SA"/>
    </w:rPr>
  </w:style>
  <w:style w:type="paragraph" w:customStyle="1" w:styleId="230">
    <w:name w:val="Table Contents"/>
    <w:basedOn w:val="1"/>
    <w:uiPriority w:val="0"/>
    <w:pPr>
      <w:suppressAutoHyphens/>
      <w:autoSpaceDE w:val="0"/>
      <w:autoSpaceDN w:val="0"/>
      <w:adjustRightInd w:val="0"/>
      <w:spacing w:after="120" w:afterLines="0"/>
      <w:jc w:val="left"/>
    </w:pPr>
    <w:rPr>
      <w:rFonts w:ascii="Helvetica" w:hAnsi="Helvetica"/>
      <w:kern w:val="1"/>
      <w:sz w:val="20"/>
      <w:szCs w:val="20"/>
    </w:rPr>
  </w:style>
  <w:style w:type="paragraph" w:customStyle="1" w:styleId="231">
    <w:name w:val="xl35"/>
    <w:basedOn w:val="1"/>
    <w:uiPriority w:val="0"/>
    <w:pPr>
      <w:widowControl/>
      <w:pBdr>
        <w:left w:val="single" w:color="auto" w:sz="4" w:space="0"/>
        <w:bottom w:val="single" w:color="auto" w:sz="4" w:space="0"/>
        <w:right w:val="single" w:color="auto" w:sz="4" w:space="0"/>
      </w:pBdr>
      <w:spacing w:before="100" w:beforeLines="0" w:beforeAutospacing="1" w:after="100" w:afterLines="0" w:afterAutospacing="1"/>
      <w:textAlignment w:val="center"/>
    </w:pPr>
    <w:rPr>
      <w:rFonts w:ascii="Arial Unicode MS" w:hAnsi="Arial Unicode MS" w:eastAsia="Arial Unicode MS"/>
      <w:kern w:val="0"/>
      <w:szCs w:val="22"/>
    </w:rPr>
  </w:style>
  <w:style w:type="paragraph" w:customStyle="1" w:styleId="232">
    <w:name w:val="p0"/>
    <w:basedOn w:val="1"/>
    <w:uiPriority w:val="0"/>
    <w:pPr>
      <w:widowControl/>
    </w:pPr>
    <w:rPr>
      <w:kern w:val="0"/>
      <w:szCs w:val="21"/>
    </w:rPr>
  </w:style>
  <w:style w:type="paragraph" w:customStyle="1" w:styleId="233">
    <w:name w:val="button"/>
    <w:basedOn w:val="1"/>
    <w:uiPriority w:val="0"/>
    <w:pPr>
      <w:widowControl/>
      <w:autoSpaceDE w:val="0"/>
      <w:autoSpaceDN w:val="0"/>
      <w:adjustRightInd w:val="0"/>
      <w:spacing w:before="100" w:beforeLines="0" w:beforeAutospacing="1" w:after="100" w:afterLines="0" w:afterAutospacing="1"/>
      <w:jc w:val="left"/>
    </w:pPr>
    <w:rPr>
      <w:rFonts w:ascii="Arial Unicode MS" w:hAnsi="Arial Unicode MS"/>
      <w:color w:val="000000"/>
      <w:kern w:val="0"/>
      <w:sz w:val="24"/>
      <w:szCs w:val="20"/>
    </w:rPr>
  </w:style>
  <w:style w:type="paragraph" w:customStyle="1" w:styleId="234">
    <w:name w:val=" Char Char Char Char"/>
    <w:basedOn w:val="17"/>
    <w:uiPriority w:val="0"/>
    <w:rPr>
      <w:rFonts w:ascii="Tahoma" w:hAnsi="Tahoma"/>
      <w:sz w:val="24"/>
    </w:rPr>
  </w:style>
  <w:style w:type="paragraph" w:customStyle="1" w:styleId="235">
    <w:name w:val="xl55"/>
    <w:basedOn w:val="1"/>
    <w:qFormat/>
    <w:uiPriority w:val="0"/>
    <w:pPr>
      <w:widowControl/>
      <w:spacing w:before="100" w:beforeAutospacing="1" w:after="100" w:afterAutospacing="1"/>
      <w:jc w:val="center"/>
      <w:textAlignment w:val="center"/>
    </w:pPr>
    <w:rPr>
      <w:rFonts w:ascii="Arial Unicode MS" w:hAnsi="Arial Unicode MS"/>
      <w:kern w:val="0"/>
      <w:sz w:val="24"/>
    </w:rPr>
  </w:style>
  <w:style w:type="paragraph" w:customStyle="1" w:styleId="236">
    <w:name w:val="xl85"/>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Lines="0" w:beforeAutospacing="1" w:after="100" w:afterLines="0" w:afterAutospacing="1"/>
      <w:jc w:val="center"/>
    </w:pPr>
    <w:rPr>
      <w:rFonts w:ascii="新宋体" w:hAnsi="新宋体" w:eastAsia="新宋体" w:cs="宋体"/>
      <w:b/>
      <w:bCs/>
      <w:color w:val="000000"/>
      <w:kern w:val="0"/>
      <w:sz w:val="24"/>
    </w:rPr>
  </w:style>
  <w:style w:type="paragraph" w:customStyle="1" w:styleId="237">
    <w:name w:val="样式 样式 正文文本缩进 + 仿宋_GB2312 小四 首行缩进:  0 厘米 行距: 1.5 倍行距 + (中文) 仿宋_GB... Char Char"/>
    <w:basedOn w:val="1"/>
    <w:uiPriority w:val="0"/>
    <w:pPr>
      <w:autoSpaceDE w:val="0"/>
      <w:autoSpaceDN w:val="0"/>
      <w:adjustRightInd w:val="0"/>
      <w:spacing w:line="360" w:lineRule="auto"/>
      <w:ind w:firstLine="480" w:firstLineChars="200"/>
      <w:jc w:val="left"/>
    </w:pPr>
    <w:rPr>
      <w:rFonts w:ascii="仿宋_GB2312" w:eastAsia="新宋体"/>
      <w:kern w:val="0"/>
      <w:sz w:val="24"/>
      <w:szCs w:val="20"/>
    </w:rPr>
  </w:style>
  <w:style w:type="paragraph" w:customStyle="1" w:styleId="238">
    <w:name w:val="技术报告正文"/>
    <w:basedOn w:val="1"/>
    <w:uiPriority w:val="0"/>
    <w:pPr>
      <w:autoSpaceDE w:val="0"/>
      <w:autoSpaceDN w:val="0"/>
      <w:adjustRightInd w:val="0"/>
      <w:spacing w:before="156" w:beforeLines="50" w:line="440" w:lineRule="exact"/>
      <w:ind w:firstLine="538" w:firstLineChars="192"/>
      <w:jc w:val="left"/>
    </w:pPr>
    <w:rPr>
      <w:rFonts w:cs="Arial"/>
      <w:bCs/>
      <w:kern w:val="0"/>
      <w:sz w:val="28"/>
      <w:szCs w:val="20"/>
    </w:rPr>
  </w:style>
  <w:style w:type="paragraph" w:customStyle="1" w:styleId="239">
    <w:name w:val="xl72"/>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240">
    <w:name w:val="xl7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top"/>
    </w:pPr>
    <w:rPr>
      <w:rFonts w:ascii="新宋体" w:hAnsi="新宋体" w:eastAsia="新宋体" w:cs="宋体"/>
      <w:color w:val="000000"/>
      <w:kern w:val="0"/>
      <w:sz w:val="24"/>
    </w:rPr>
  </w:style>
  <w:style w:type="paragraph" w:customStyle="1" w:styleId="241">
    <w:name w:val="样式1"/>
    <w:basedOn w:val="1"/>
    <w:uiPriority w:val="0"/>
    <w:pPr>
      <w:autoSpaceDE w:val="0"/>
      <w:autoSpaceDN w:val="0"/>
      <w:adjustRightInd w:val="0"/>
      <w:spacing w:line="400" w:lineRule="exact"/>
      <w:jc w:val="both"/>
    </w:pPr>
    <w:rPr>
      <w:rFonts w:ascii="宋体" w:hAnsi="Times New Roman" w:eastAsia="宋体" w:cs="宋体"/>
      <w:kern w:val="0"/>
      <w:szCs w:val="24"/>
    </w:rPr>
  </w:style>
  <w:style w:type="paragraph" w:customStyle="1" w:styleId="242">
    <w:name w:val="xl66"/>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Lines="0" w:beforeAutospacing="1" w:after="100" w:afterLines="0" w:afterAutospacing="1"/>
      <w:jc w:val="center"/>
    </w:pPr>
    <w:rPr>
      <w:rFonts w:ascii="宋体" w:hAnsi="宋体" w:cs="宋体"/>
      <w:b/>
      <w:bCs/>
      <w:color w:val="000000"/>
      <w:kern w:val="0"/>
      <w:sz w:val="24"/>
    </w:rPr>
  </w:style>
  <w:style w:type="paragraph" w:customStyle="1" w:styleId="243">
    <w:name w:val="Char Char Char Char Char Char Char Char Char Char Char Char Char Char Char Char Char Char Char"/>
    <w:basedOn w:val="1"/>
    <w:uiPriority w:val="0"/>
    <w:rPr>
      <w:rFonts w:ascii="仿宋_GB2312" w:eastAsia="仿宋_GB2312"/>
      <w:b/>
      <w:sz w:val="32"/>
      <w:szCs w:val="32"/>
    </w:rPr>
  </w:style>
  <w:style w:type="paragraph" w:customStyle="1" w:styleId="244">
    <w:name w:val=" Char13"/>
    <w:basedOn w:val="1"/>
    <w:uiPriority w:val="0"/>
    <w:pPr>
      <w:widowControl/>
      <w:spacing w:after="160" w:afterLines="0" w:line="240" w:lineRule="exact"/>
      <w:jc w:val="left"/>
    </w:pPr>
    <w:rPr>
      <w:rFonts w:ascii="Verdana" w:hAnsi="Verdana"/>
      <w:kern w:val="0"/>
      <w:sz w:val="20"/>
      <w:szCs w:val="20"/>
      <w:lang w:eastAsia="en-US"/>
    </w:rPr>
  </w:style>
  <w:style w:type="paragraph" w:customStyle="1" w:styleId="245">
    <w:name w:val="列项——（一级）"/>
    <w:uiPriority w:val="0"/>
    <w:pPr>
      <w:widowControl w:val="0"/>
      <w:tabs>
        <w:tab w:val="left" w:pos="854"/>
        <w:tab w:val="left" w:pos="1260"/>
      </w:tabs>
      <w:ind w:left="1260" w:hanging="420"/>
      <w:jc w:val="both"/>
    </w:pPr>
    <w:rPr>
      <w:rFonts w:ascii="宋体"/>
      <w:sz w:val="21"/>
      <w:lang w:val="en-US" w:eastAsia="zh-CN" w:bidi="ar-SA"/>
    </w:rPr>
  </w:style>
  <w:style w:type="paragraph" w:customStyle="1" w:styleId="246">
    <w:name w:val="1 Char"/>
    <w:basedOn w:val="9"/>
    <w:uiPriority w:val="0"/>
    <w:pPr>
      <w:adjustRightInd/>
      <w:spacing w:line="360" w:lineRule="auto"/>
      <w:ind w:firstLine="200" w:firstLineChars="200"/>
      <w:textAlignment w:val="auto"/>
    </w:pPr>
    <w:rPr>
      <w:kern w:val="2"/>
    </w:rPr>
  </w:style>
  <w:style w:type="paragraph" w:customStyle="1" w:styleId="247">
    <w:name w:val="Char2"/>
    <w:basedOn w:val="1"/>
    <w:uiPriority w:val="0"/>
    <w:pPr>
      <w:autoSpaceDE w:val="0"/>
      <w:autoSpaceDN w:val="0"/>
      <w:adjustRightInd w:val="0"/>
      <w:jc w:val="left"/>
    </w:pPr>
    <w:rPr>
      <w:rFonts w:ascii="仿宋_GB2312" w:eastAsia="仿宋_GB2312"/>
      <w:b/>
      <w:kern w:val="0"/>
      <w:sz w:val="32"/>
      <w:szCs w:val="32"/>
    </w:rPr>
  </w:style>
  <w:style w:type="paragraph" w:customStyle="1" w:styleId="248">
    <w:name w:val="xl76"/>
    <w:basedOn w:val="1"/>
    <w:uiPriority w:val="0"/>
    <w:pPr>
      <w:widowControl/>
      <w:pBdr>
        <w:top w:val="single" w:color="auto" w:sz="4" w:space="0"/>
        <w:bottom w:val="single" w:color="auto" w:sz="4" w:space="0"/>
      </w:pBdr>
      <w:spacing w:before="100" w:beforeLines="0" w:beforeAutospacing="1" w:after="100" w:afterLines="0" w:afterAutospacing="1"/>
      <w:jc w:val="left"/>
    </w:pPr>
    <w:rPr>
      <w:rFonts w:ascii="新宋体" w:hAnsi="新宋体" w:eastAsia="新宋体" w:cs="宋体"/>
      <w:color w:val="000000"/>
      <w:kern w:val="0"/>
      <w:sz w:val="24"/>
    </w:rPr>
  </w:style>
  <w:style w:type="paragraph" w:customStyle="1" w:styleId="249">
    <w:name w:val="xl68"/>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新宋体" w:hAnsi="新宋体" w:eastAsia="新宋体" w:cs="宋体"/>
      <w:color w:val="000000"/>
      <w:kern w:val="0"/>
      <w:sz w:val="24"/>
    </w:rPr>
  </w:style>
  <w:style w:type="paragraph" w:customStyle="1" w:styleId="250">
    <w:name w:val="正文-宋体四号"/>
    <w:basedOn w:val="1"/>
    <w:uiPriority w:val="0"/>
    <w:pPr>
      <w:spacing w:line="360" w:lineRule="auto"/>
      <w:ind w:firstLine="560" w:firstLineChars="200"/>
    </w:pPr>
    <w:rPr>
      <w:rFonts w:cs="宋体"/>
      <w:sz w:val="28"/>
      <w:szCs w:val="20"/>
    </w:rPr>
  </w:style>
  <w:style w:type="paragraph" w:customStyle="1" w:styleId="251">
    <w:name w:val="正文缩进1"/>
    <w:basedOn w:val="1"/>
    <w:next w:val="23"/>
    <w:uiPriority w:val="0"/>
    <w:pPr>
      <w:autoSpaceDE w:val="0"/>
      <w:autoSpaceDN w:val="0"/>
      <w:adjustRightInd w:val="0"/>
      <w:snapToGrid w:val="0"/>
      <w:spacing w:after="120" w:afterLines="0" w:line="360" w:lineRule="auto"/>
      <w:ind w:left="420" w:leftChars="200" w:firstLine="480" w:firstLineChars="200"/>
      <w:jc w:val="left"/>
    </w:pPr>
    <w:rPr>
      <w:kern w:val="0"/>
      <w:sz w:val="24"/>
      <w:szCs w:val="21"/>
    </w:rPr>
  </w:style>
  <w:style w:type="paragraph" w:customStyle="1" w:styleId="252">
    <w:name w:val=" Char3 Char Char Char"/>
    <w:basedOn w:val="1"/>
    <w:qFormat/>
    <w:uiPriority w:val="0"/>
  </w:style>
  <w:style w:type="paragraph" w:customStyle="1" w:styleId="253">
    <w:name w:val="样式"/>
    <w:basedOn w:val="1"/>
    <w:uiPriority w:val="0"/>
    <w:pPr>
      <w:autoSpaceDE w:val="0"/>
      <w:autoSpaceDN w:val="0"/>
      <w:adjustRightInd w:val="0"/>
      <w:snapToGrid w:val="0"/>
      <w:spacing w:before="120" w:beforeLines="0" w:after="120" w:afterLines="0" w:line="360" w:lineRule="auto"/>
      <w:jc w:val="left"/>
    </w:pPr>
    <w:rPr>
      <w:rFonts w:ascii="宋体"/>
      <w:kern w:val="0"/>
      <w:sz w:val="24"/>
      <w:szCs w:val="20"/>
    </w:rPr>
  </w:style>
  <w:style w:type="paragraph" w:customStyle="1" w:styleId="254">
    <w:name w:val="xl86"/>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Lines="0" w:beforeAutospacing="1" w:after="100" w:afterLines="0" w:afterAutospacing="1"/>
      <w:jc w:val="center"/>
    </w:pPr>
    <w:rPr>
      <w:rFonts w:ascii="新宋体" w:hAnsi="新宋体" w:eastAsia="新宋体" w:cs="宋体"/>
      <w:b/>
      <w:bCs/>
      <w:color w:val="000000"/>
      <w:kern w:val="0"/>
      <w:sz w:val="24"/>
    </w:rPr>
  </w:style>
  <w:style w:type="paragraph" w:customStyle="1" w:styleId="255">
    <w:name w:val="xl87"/>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256">
    <w:name w:val="xl78"/>
    <w:basedOn w:val="1"/>
    <w:uiPriority w:val="0"/>
    <w:pPr>
      <w:widowControl/>
      <w:pBdr>
        <w:top w:val="single" w:color="auto" w:sz="4" w:space="0"/>
        <w:left w:val="single" w:color="auto" w:sz="4" w:space="0"/>
        <w:bottom w:val="single" w:color="auto" w:sz="4" w:space="0"/>
      </w:pBdr>
      <w:spacing w:before="100" w:beforeLines="0" w:beforeAutospacing="1" w:after="100" w:afterLines="0" w:afterAutospacing="1"/>
      <w:jc w:val="left"/>
    </w:pPr>
    <w:rPr>
      <w:rFonts w:ascii="新宋体" w:hAnsi="新宋体" w:eastAsia="新宋体" w:cs="宋体"/>
      <w:b/>
      <w:bCs/>
      <w:color w:val="FF0000"/>
      <w:kern w:val="0"/>
      <w:sz w:val="24"/>
    </w:rPr>
  </w:style>
  <w:style w:type="paragraph" w:customStyle="1" w:styleId="257">
    <w:name w:val="文档正文"/>
    <w:basedOn w:val="1"/>
    <w:uiPriority w:val="0"/>
    <w:pPr>
      <w:adjustRightInd w:val="0"/>
      <w:spacing w:line="300" w:lineRule="auto"/>
      <w:ind w:firstLine="567"/>
      <w:textAlignment w:val="baseline"/>
    </w:pPr>
    <w:rPr>
      <w:kern w:val="0"/>
      <w:sz w:val="24"/>
      <w:szCs w:val="20"/>
    </w:rPr>
  </w:style>
  <w:style w:type="paragraph" w:customStyle="1" w:styleId="258">
    <w:name w:val="Char1"/>
    <w:basedOn w:val="1"/>
    <w:uiPriority w:val="0"/>
    <w:pPr>
      <w:autoSpaceDE w:val="0"/>
      <w:autoSpaceDN w:val="0"/>
      <w:adjustRightInd w:val="0"/>
      <w:jc w:val="left"/>
    </w:pPr>
    <w:rPr>
      <w:rFonts w:ascii="仿宋_GB2312" w:eastAsia="仿宋_GB2312"/>
      <w:b/>
      <w:kern w:val="0"/>
      <w:sz w:val="32"/>
      <w:szCs w:val="32"/>
    </w:rPr>
  </w:style>
  <w:style w:type="paragraph" w:customStyle="1" w:styleId="259">
    <w:name w:val="font6"/>
    <w:basedOn w:val="1"/>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260">
    <w:name w:val="简单回函地址"/>
    <w:basedOn w:val="1"/>
    <w:uiPriority w:val="0"/>
  </w:style>
  <w:style w:type="paragraph" w:customStyle="1" w:styleId="261">
    <w:name w:val="xl69"/>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新宋体" w:hAnsi="新宋体" w:eastAsia="新宋体" w:cs="宋体"/>
      <w:color w:val="000000"/>
      <w:kern w:val="0"/>
      <w:sz w:val="24"/>
    </w:rPr>
  </w:style>
  <w:style w:type="paragraph" w:customStyle="1" w:styleId="262">
    <w:name w:val="WW-正文文字缩进 2"/>
    <w:basedOn w:val="1"/>
    <w:uiPriority w:val="0"/>
    <w:pPr>
      <w:suppressAutoHyphens/>
      <w:autoSpaceDE w:val="0"/>
      <w:autoSpaceDN w:val="0"/>
      <w:adjustRightInd w:val="0"/>
      <w:ind w:firstLine="420"/>
      <w:jc w:val="left"/>
    </w:pPr>
    <w:rPr>
      <w:kern w:val="1"/>
      <w:sz w:val="20"/>
      <w:szCs w:val="20"/>
    </w:rPr>
  </w:style>
  <w:style w:type="paragraph" w:customStyle="1" w:styleId="263">
    <w:name w:val="Char Char"/>
    <w:basedOn w:val="1"/>
    <w:uiPriority w:val="0"/>
    <w:rPr>
      <w:rFonts w:ascii="仿宋_GB2312" w:eastAsia="仿宋_GB2312"/>
      <w:b/>
      <w:sz w:val="32"/>
      <w:szCs w:val="32"/>
    </w:rPr>
  </w:style>
  <w:style w:type="paragraph" w:customStyle="1" w:styleId="264">
    <w:name w:val="tabletext"/>
    <w:basedOn w:val="1"/>
    <w:uiPriority w:val="0"/>
    <w:pPr>
      <w:widowControl/>
      <w:spacing w:line="300" w:lineRule="atLeast"/>
      <w:jc w:val="left"/>
    </w:pPr>
    <w:rPr>
      <w:rFonts w:ascii="宋体" w:hAnsi="宋体" w:cs="宋体"/>
      <w:kern w:val="0"/>
      <w:sz w:val="18"/>
      <w:szCs w:val="18"/>
    </w:rPr>
  </w:style>
  <w:style w:type="paragraph" w:customStyle="1" w:styleId="265">
    <w:name w:val="标准小四"/>
    <w:basedOn w:val="1"/>
    <w:uiPriority w:val="0"/>
    <w:pPr>
      <w:autoSpaceDE w:val="0"/>
      <w:autoSpaceDN w:val="0"/>
      <w:adjustRightInd w:val="0"/>
      <w:spacing w:line="360" w:lineRule="auto"/>
      <w:ind w:firstLine="480" w:firstLineChars="200"/>
      <w:jc w:val="left"/>
    </w:pPr>
    <w:rPr>
      <w:rFonts w:ascii="Arial" w:hAnsi="Arial"/>
      <w:kern w:val="0"/>
      <w:sz w:val="24"/>
      <w:szCs w:val="21"/>
    </w:rPr>
  </w:style>
  <w:style w:type="paragraph" w:customStyle="1" w:styleId="266">
    <w:name w:val="文字"/>
    <w:basedOn w:val="1"/>
    <w:uiPriority w:val="0"/>
    <w:pPr>
      <w:tabs>
        <w:tab w:val="left" w:pos="8520"/>
      </w:tabs>
      <w:spacing w:line="312" w:lineRule="auto"/>
      <w:ind w:right="-210" w:firstLine="556"/>
    </w:pPr>
    <w:rPr>
      <w:rFonts w:ascii="宋体"/>
      <w:sz w:val="28"/>
      <w:szCs w:val="20"/>
    </w:rPr>
  </w:style>
  <w:style w:type="paragraph" w:customStyle="1" w:styleId="267">
    <w:name w:val="标书正文格式"/>
    <w:uiPriority w:val="0"/>
    <w:pPr>
      <w:spacing w:line="360" w:lineRule="auto"/>
      <w:ind w:firstLine="200" w:firstLineChars="200"/>
    </w:pPr>
    <w:rPr>
      <w:rFonts w:eastAsia="楷体_GB2312"/>
      <w:kern w:val="2"/>
      <w:sz w:val="24"/>
      <w:szCs w:val="24"/>
      <w:lang w:val="en-US" w:eastAsia="zh-CN" w:bidi="ar-SA"/>
    </w:rPr>
  </w:style>
  <w:style w:type="paragraph" w:customStyle="1" w:styleId="268">
    <w:name w:val=" Char Char Char Char Char Char Char"/>
    <w:basedOn w:val="1"/>
    <w:uiPriority w:val="0"/>
    <w:rPr>
      <w:rFonts w:ascii="仿宋_GB2312" w:eastAsia="仿宋_GB2312"/>
      <w:b/>
      <w:sz w:val="32"/>
      <w:szCs w:val="32"/>
    </w:rPr>
  </w:style>
  <w:style w:type="paragraph" w:customStyle="1" w:styleId="269">
    <w:name w:val=" Char Char Char Char Char Char Char Char Char Char Char Char Char"/>
    <w:basedOn w:val="1"/>
    <w:uiPriority w:val="0"/>
  </w:style>
  <w:style w:type="paragraph" w:customStyle="1" w:styleId="270">
    <w:name w:val="默认段落字体 Para Char Char Char Char Char Char Char"/>
    <w:basedOn w:val="1"/>
    <w:uiPriority w:val="0"/>
  </w:style>
  <w:style w:type="paragraph" w:customStyle="1" w:styleId="271">
    <w:name w:val="前言、引言标题"/>
    <w:next w:val="1"/>
    <w:uiPriority w:val="0"/>
    <w:pPr>
      <w:shd w:val="clear" w:color="FFFFFF" w:fill="FFFFFF"/>
      <w:tabs>
        <w:tab w:val="left" w:pos="3349"/>
      </w:tabs>
      <w:spacing w:before="640" w:after="560"/>
      <w:ind w:left="3349" w:hanging="720"/>
      <w:jc w:val="center"/>
      <w:outlineLvl w:val="0"/>
    </w:pPr>
    <w:rPr>
      <w:rFonts w:ascii="黑体" w:eastAsia="黑体"/>
      <w:sz w:val="32"/>
      <w:lang w:val="en-US" w:eastAsia="zh-CN" w:bidi="ar-SA"/>
    </w:rPr>
  </w:style>
  <w:style w:type="paragraph" w:customStyle="1" w:styleId="272">
    <w:name w:val="GW-正文"/>
    <w:qFormat/>
    <w:uiPriority w:val="0"/>
    <w:pPr>
      <w:spacing w:line="300" w:lineRule="auto"/>
      <w:ind w:firstLine="200" w:firstLineChars="200"/>
    </w:pPr>
    <w:rPr>
      <w:rFonts w:eastAsia="仿宋_GB2312"/>
      <w:sz w:val="24"/>
      <w:szCs w:val="24"/>
      <w:lang w:val="en-US" w:eastAsia="zh-CN" w:bidi="ar-SA"/>
    </w:rPr>
  </w:style>
  <w:style w:type="paragraph" w:customStyle="1" w:styleId="273">
    <w:name w:val="样式5"/>
    <w:basedOn w:val="9"/>
    <w:uiPriority w:val="0"/>
    <w:pPr>
      <w:adjustRightInd/>
      <w:spacing w:line="360" w:lineRule="auto"/>
      <w:ind w:firstLine="200" w:firstLineChars="200"/>
      <w:textAlignment w:val="auto"/>
    </w:pPr>
    <w:rPr>
      <w:sz w:val="28"/>
      <w:szCs w:val="21"/>
    </w:rPr>
  </w:style>
  <w:style w:type="paragraph" w:customStyle="1" w:styleId="274">
    <w:name w:val="标书正文带编号"/>
    <w:basedOn w:val="1"/>
    <w:uiPriority w:val="0"/>
    <w:pPr>
      <w:tabs>
        <w:tab w:val="left" w:pos="397"/>
      </w:tabs>
      <w:autoSpaceDE w:val="0"/>
      <w:autoSpaceDN w:val="0"/>
      <w:adjustRightInd w:val="0"/>
      <w:ind w:firstLine="397"/>
      <w:jc w:val="left"/>
    </w:pPr>
    <w:rPr>
      <w:rFonts w:cs="宋体"/>
      <w:kern w:val="0"/>
      <w:sz w:val="20"/>
      <w:szCs w:val="21"/>
    </w:rPr>
  </w:style>
  <w:style w:type="paragraph" w:customStyle="1" w:styleId="275">
    <w:name w:val="图表"/>
    <w:basedOn w:val="1"/>
    <w:qFormat/>
    <w:uiPriority w:val="0"/>
    <w:pPr>
      <w:widowControl/>
      <w:adjustRightInd/>
      <w:snapToGrid/>
      <w:spacing w:after="160" w:line="240" w:lineRule="auto"/>
      <w:ind w:right="0"/>
      <w:jc w:val="center"/>
    </w:pPr>
    <w:rPr>
      <w:kern w:val="0"/>
      <w:sz w:val="21"/>
      <w:szCs w:val="20"/>
      <w:lang w:eastAsia="en-US"/>
    </w:rPr>
  </w:style>
  <w:style w:type="paragraph" w:customStyle="1" w:styleId="276">
    <w:name w:val="正文-2字符首行缩进"/>
    <w:basedOn w:val="1"/>
    <w:qFormat/>
    <w:uiPriority w:val="0"/>
    <w:pPr>
      <w:adjustRightInd/>
      <w:snapToGrid/>
      <w:spacing w:line="240" w:lineRule="auto"/>
      <w:ind w:right="0" w:firstLine="200" w:firstLineChars="200"/>
    </w:pPr>
    <w:rPr>
      <w:rFonts w:ascii="Calibri" w:hAnsi="Calibri" w:eastAsia="仿宋" w:cs="Times New Roman"/>
    </w:rPr>
  </w:style>
  <w:style w:type="paragraph" w:customStyle="1" w:styleId="277">
    <w:name w:val="正文文字表格居中"/>
    <w:basedOn w:val="1"/>
    <w:next w:val="47"/>
    <w:uiPriority w:val="0"/>
    <w:pPr>
      <w:autoSpaceDE w:val="0"/>
      <w:autoSpaceDN w:val="0"/>
      <w:adjustRightInd w:val="0"/>
      <w:snapToGrid w:val="0"/>
      <w:spacing w:line="360" w:lineRule="auto"/>
      <w:jc w:val="left"/>
    </w:pPr>
    <w:rPr>
      <w:rFonts w:ascii="宋体"/>
      <w:b/>
      <w:kern w:val="0"/>
      <w:sz w:val="24"/>
      <w:szCs w:val="20"/>
    </w:rPr>
  </w:style>
  <w:style w:type="paragraph" w:customStyle="1" w:styleId="278">
    <w:name w:val="Body Text Indent 3"/>
    <w:basedOn w:val="1"/>
    <w:uiPriority w:val="99"/>
    <w:pPr>
      <w:spacing w:line="300" w:lineRule="auto"/>
      <w:ind w:firstLine="480" w:firstLineChars="200"/>
      <w:jc w:val="left"/>
    </w:pPr>
    <w:rPr>
      <w:kern w:val="0"/>
      <w:sz w:val="24"/>
      <w:szCs w:val="24"/>
    </w:rPr>
  </w:style>
  <w:style w:type="paragraph" w:customStyle="1" w:styleId="279">
    <w:name w:val="*正文"/>
    <w:basedOn w:val="1"/>
    <w:qFormat/>
    <w:uiPriority w:val="0"/>
    <w:pPr>
      <w:adjustRightInd/>
      <w:snapToGrid/>
      <w:spacing w:line="300" w:lineRule="auto"/>
      <w:ind w:right="0" w:firstLine="480" w:firstLineChars="200"/>
    </w:pPr>
    <w:rPr>
      <w:rFonts w:ascii="宋体" w:hAnsi="宋体" w:cs="仿宋_GB2312"/>
    </w:rPr>
  </w:style>
  <w:style w:type="paragraph" w:customStyle="1" w:styleId="280">
    <w:name w:val="保留正文"/>
    <w:basedOn w:val="21"/>
    <w:uiPriority w:val="0"/>
    <w:pPr>
      <w:keepNext/>
      <w:spacing w:after="160" w:afterLines="0"/>
    </w:pPr>
    <w:rPr>
      <w:szCs w:val="20"/>
    </w:rPr>
  </w:style>
  <w:style w:type="paragraph" w:customStyle="1" w:styleId="281">
    <w:name w:val="Char Char Char Char Char Char Char Char Char Char Char Char Char"/>
    <w:basedOn w:val="1"/>
    <w:uiPriority w:val="0"/>
    <w:rPr>
      <w:rFonts w:ascii="Tahoma" w:hAnsi="Tahoma"/>
      <w:sz w:val="24"/>
      <w:szCs w:val="20"/>
    </w:rPr>
  </w:style>
  <w:style w:type="paragraph" w:customStyle="1" w:styleId="282">
    <w:name w:val="图"/>
    <w:basedOn w:val="1"/>
    <w:uiPriority w:val="0"/>
    <w:pPr>
      <w:keepNext/>
      <w:adjustRightInd w:val="0"/>
      <w:spacing w:before="60" w:beforeLines="0" w:after="60" w:afterLines="0" w:line="300" w:lineRule="auto"/>
      <w:jc w:val="center"/>
      <w:textAlignment w:val="center"/>
    </w:pPr>
    <w:rPr>
      <w:snapToGrid w:val="0"/>
      <w:spacing w:val="20"/>
      <w:kern w:val="0"/>
      <w:sz w:val="24"/>
      <w:szCs w:val="20"/>
      <w:lang w:val="zh-CN" w:eastAsia="zh-CN"/>
    </w:rPr>
  </w:style>
  <w:style w:type="paragraph" w:customStyle="1" w:styleId="283">
    <w:name w:val="VIT-Text"/>
    <w:basedOn w:val="1"/>
    <w:uiPriority w:val="0"/>
    <w:pPr>
      <w:widowControl/>
      <w:tabs>
        <w:tab w:val="left" w:pos="709"/>
        <w:tab w:val="left" w:pos="3402"/>
        <w:tab w:val="left" w:pos="4536"/>
        <w:tab w:val="left" w:pos="5670"/>
        <w:tab w:val="decimal" w:pos="6804"/>
        <w:tab w:val="right" w:pos="9072"/>
      </w:tabs>
      <w:jc w:val="left"/>
    </w:pPr>
    <w:rPr>
      <w:rFonts w:ascii="Arial" w:hAnsi="Arial" w:eastAsia="PMingLiU"/>
      <w:kern w:val="0"/>
      <w:sz w:val="22"/>
      <w:szCs w:val="20"/>
      <w:lang w:val="de-DE" w:eastAsia="zh-TW"/>
    </w:rPr>
  </w:style>
  <w:style w:type="paragraph" w:customStyle="1" w:styleId="284">
    <w:name w:val="xl83"/>
    <w:basedOn w:val="1"/>
    <w:uiPriority w:val="0"/>
    <w:pPr>
      <w:widowControl/>
      <w:pBdr>
        <w:left w:val="single" w:color="auto" w:sz="4" w:space="0"/>
        <w:right w:val="single" w:color="auto" w:sz="4" w:space="0"/>
      </w:pBdr>
      <w:spacing w:before="100" w:beforeLines="0" w:beforeAutospacing="1" w:after="100" w:afterLines="0" w:afterAutospacing="1"/>
      <w:jc w:val="left"/>
    </w:pPr>
    <w:rPr>
      <w:rFonts w:ascii="新宋体" w:hAnsi="新宋体" w:eastAsia="新宋体" w:cs="宋体"/>
      <w:color w:val="000000"/>
      <w:kern w:val="0"/>
      <w:sz w:val="24"/>
    </w:rPr>
  </w:style>
  <w:style w:type="paragraph" w:customStyle="1" w:styleId="285">
    <w:name w:val="xl77"/>
    <w:basedOn w:val="1"/>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Arial Unicode MS" w:hAnsi="Arial Unicode MS"/>
      <w:b/>
      <w:bCs/>
      <w:kern w:val="0"/>
      <w:sz w:val="28"/>
      <w:szCs w:val="28"/>
    </w:rPr>
  </w:style>
  <w:style w:type="paragraph" w:customStyle="1" w:styleId="286">
    <w:name w:val="NICMAN Body Text"/>
    <w:basedOn w:val="1"/>
    <w:next w:val="21"/>
    <w:uiPriority w:val="0"/>
    <w:pPr>
      <w:autoSpaceDE w:val="0"/>
      <w:autoSpaceDN w:val="0"/>
      <w:adjustRightInd w:val="0"/>
      <w:spacing w:after="120" w:afterLines="0"/>
      <w:jc w:val="left"/>
    </w:pPr>
    <w:rPr>
      <w:kern w:val="0"/>
      <w:sz w:val="20"/>
      <w:szCs w:val="20"/>
    </w:rPr>
  </w:style>
  <w:style w:type="paragraph" w:customStyle="1" w:styleId="287">
    <w:name w:val="È±Ê¡ÎÄ±¾ Char"/>
    <w:basedOn w:val="1"/>
    <w:uiPriority w:val="0"/>
    <w:pPr>
      <w:widowControl/>
      <w:overflowPunct w:val="0"/>
      <w:autoSpaceDE w:val="0"/>
      <w:autoSpaceDN w:val="0"/>
      <w:adjustRightInd w:val="0"/>
      <w:spacing w:line="240" w:lineRule="auto"/>
      <w:textAlignment w:val="baseline"/>
    </w:pPr>
    <w:rPr>
      <w:rFonts w:ascii="Times New Roman" w:hAnsi="Times New Roman" w:eastAsia="宋体" w:cs="Times New Roman"/>
      <w:szCs w:val="21"/>
      <w:lang w:val="zh-CN" w:eastAsia="zh-CN"/>
    </w:rPr>
  </w:style>
  <w:style w:type="paragraph" w:customStyle="1" w:styleId="288">
    <w:name w:val="Char Char1 Char Char Char Char Char Char Char Char Char Char Char Char Char Char"/>
    <w:basedOn w:val="1"/>
    <w:uiPriority w:val="0"/>
    <w:pPr>
      <w:widowControl/>
      <w:autoSpaceDE w:val="0"/>
      <w:autoSpaceDN w:val="0"/>
      <w:adjustRightInd w:val="0"/>
      <w:spacing w:after="160" w:afterLines="0" w:line="240" w:lineRule="exact"/>
      <w:jc w:val="left"/>
    </w:pPr>
    <w:rPr>
      <w:kern w:val="0"/>
      <w:sz w:val="20"/>
      <w:szCs w:val="20"/>
    </w:rPr>
  </w:style>
  <w:style w:type="paragraph" w:customStyle="1" w:styleId="289">
    <w:name w:val="features1"/>
    <w:basedOn w:val="1"/>
    <w:uiPriority w:val="0"/>
    <w:pPr>
      <w:widowControl/>
      <w:spacing w:before="100" w:beforeLines="0" w:beforeAutospacing="1" w:after="100" w:afterLines="0" w:afterAutospacing="1"/>
      <w:jc w:val="left"/>
    </w:pPr>
    <w:rPr>
      <w:rFonts w:ascii="宋体" w:hAnsi="宋体" w:cs="宋体"/>
      <w:b/>
      <w:bCs/>
      <w:kern w:val="0"/>
      <w:sz w:val="18"/>
      <w:szCs w:val="18"/>
    </w:rPr>
  </w:style>
  <w:style w:type="paragraph" w:customStyle="1" w:styleId="290">
    <w:name w:val="xl7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291">
    <w:name w:val="xl29"/>
    <w:basedOn w:val="1"/>
    <w:uiPriority w:val="0"/>
    <w:pPr>
      <w:widowControl/>
      <w:autoSpaceDE w:val="0"/>
      <w:autoSpaceDN w:val="0"/>
      <w:adjustRightInd w:val="0"/>
      <w:spacing w:before="100" w:beforeLines="0" w:beforeAutospacing="1" w:after="100" w:afterLines="0" w:afterAutospacing="1"/>
      <w:jc w:val="center"/>
    </w:pPr>
    <w:rPr>
      <w:rFonts w:ascii="Arial Unicode MS" w:hAnsi="Arial Unicode MS" w:eastAsia="Arial Unicode MS"/>
      <w:kern w:val="0"/>
      <w:sz w:val="24"/>
      <w:szCs w:val="20"/>
    </w:rPr>
  </w:style>
  <w:style w:type="paragraph" w:customStyle="1" w:styleId="292">
    <w:name w:val="a"/>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93">
    <w:name w:val="Table Paragraph"/>
    <w:basedOn w:val="1"/>
    <w:qFormat/>
    <w:uiPriority w:val="1"/>
  </w:style>
  <w:style w:type="paragraph" w:customStyle="1" w:styleId="294">
    <w:name w:val="排列"/>
    <w:basedOn w:val="1"/>
    <w:uiPriority w:val="0"/>
    <w:pPr>
      <w:widowControl/>
      <w:autoSpaceDE w:val="0"/>
      <w:autoSpaceDN w:val="0"/>
      <w:adjustRightInd w:val="0"/>
      <w:spacing w:line="360" w:lineRule="auto"/>
      <w:jc w:val="left"/>
    </w:pPr>
    <w:rPr>
      <w:rFonts w:ascii="宋体" w:hAnsi="宋体"/>
      <w:kern w:val="0"/>
      <w:sz w:val="20"/>
      <w:szCs w:val="20"/>
      <w:lang w:val="zh-CN"/>
    </w:rPr>
  </w:style>
  <w:style w:type="paragraph" w:customStyle="1" w:styleId="295">
    <w:name w:val="Char Char Char Char Char Char Char Char Char Char Char Char Char Char Char Char Char Char Char1"/>
    <w:basedOn w:val="1"/>
    <w:uiPriority w:val="0"/>
    <w:rPr>
      <w:rFonts w:ascii="仿宋_GB2312" w:eastAsia="仿宋_GB2312"/>
      <w:b/>
      <w:sz w:val="32"/>
      <w:szCs w:val="32"/>
    </w:rPr>
  </w:style>
  <w:style w:type="paragraph" w:customStyle="1" w:styleId="296">
    <w:name w:val="标题五"/>
    <w:basedOn w:val="1"/>
    <w:uiPriority w:val="0"/>
    <w:pPr>
      <w:tabs>
        <w:tab w:val="left" w:pos="1440"/>
      </w:tabs>
      <w:autoSpaceDE w:val="0"/>
      <w:autoSpaceDN w:val="0"/>
      <w:adjustRightInd w:val="0"/>
      <w:spacing w:before="156" w:beforeLines="50" w:line="360" w:lineRule="auto"/>
      <w:ind w:left="1440" w:hanging="420"/>
      <w:jc w:val="left"/>
    </w:pPr>
    <w:rPr>
      <w:b/>
      <w:kern w:val="0"/>
      <w:sz w:val="24"/>
      <w:szCs w:val="20"/>
    </w:rPr>
  </w:style>
  <w:style w:type="paragraph" w:customStyle="1" w:styleId="297">
    <w:name w:val="表内文字"/>
    <w:basedOn w:val="1"/>
    <w:qFormat/>
    <w:uiPriority w:val="0"/>
    <w:pPr>
      <w:spacing w:line="240" w:lineRule="atLeast"/>
      <w:jc w:val="center"/>
    </w:pPr>
    <w:rPr>
      <w:rFonts w:ascii="Arial" w:hAnsi="Arial" w:cs="Arial"/>
      <w:b/>
      <w:bCs/>
    </w:rPr>
  </w:style>
  <w:style w:type="paragraph" w:customStyle="1" w:styleId="298">
    <w:name w:val="xl79"/>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299">
    <w:name w:val="正文样式 首行缩进:  0.74 厘米"/>
    <w:basedOn w:val="1"/>
    <w:uiPriority w:val="0"/>
    <w:pPr>
      <w:autoSpaceDE w:val="0"/>
      <w:autoSpaceDN w:val="0"/>
      <w:adjustRightInd w:val="0"/>
      <w:spacing w:before="156" w:beforeLines="50" w:line="360" w:lineRule="auto"/>
      <w:ind w:firstLine="420"/>
      <w:jc w:val="left"/>
    </w:pPr>
    <w:rPr>
      <w:rFonts w:cs="宋体"/>
      <w:kern w:val="0"/>
      <w:sz w:val="24"/>
      <w:szCs w:val="20"/>
    </w:rPr>
  </w:style>
  <w:style w:type="paragraph" w:customStyle="1" w:styleId="300">
    <w:name w:val="xl82"/>
    <w:basedOn w:val="1"/>
    <w:uiPriority w:val="0"/>
    <w:pPr>
      <w:widowControl/>
      <w:pBdr>
        <w:top w:val="single" w:color="auto" w:sz="4" w:space="0"/>
        <w:left w:val="single" w:color="auto" w:sz="4" w:space="0"/>
        <w:right w:val="single" w:color="auto" w:sz="4" w:space="0"/>
      </w:pBdr>
      <w:spacing w:before="100" w:beforeLines="0" w:beforeAutospacing="1" w:after="100" w:afterLines="0" w:afterAutospacing="1"/>
      <w:jc w:val="left"/>
    </w:pPr>
    <w:rPr>
      <w:rFonts w:ascii="新宋体" w:hAnsi="新宋体" w:eastAsia="新宋体" w:cs="宋体"/>
      <w:color w:val="000000"/>
      <w:kern w:val="0"/>
      <w:sz w:val="24"/>
    </w:rPr>
  </w:style>
  <w:style w:type="paragraph" w:customStyle="1" w:styleId="301">
    <w:name w:val="样式 标题 1Level 1Level 11h1II+IHeading1H1-Heading 1Header 1..."/>
    <w:basedOn w:val="4"/>
    <w:uiPriority w:val="0"/>
    <w:pPr>
      <w:keepLines/>
      <w:pageBreakBefore/>
      <w:numPr>
        <w:ilvl w:val="0"/>
        <w:numId w:val="0"/>
      </w:numPr>
      <w:spacing w:before="100" w:beforeLines="0" w:after="100" w:afterLines="0" w:line="360" w:lineRule="auto"/>
      <w:ind w:left="1680" w:hanging="420"/>
      <w:jc w:val="left"/>
    </w:pPr>
    <w:rPr>
      <w:rFonts w:ascii="Arial" w:hAnsi="Arial" w:cs="宋体"/>
      <w:bCs/>
      <w:kern w:val="44"/>
      <w:sz w:val="44"/>
    </w:rPr>
  </w:style>
  <w:style w:type="paragraph" w:customStyle="1" w:styleId="302">
    <w:name w:val="xl67"/>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新宋体" w:hAnsi="新宋体" w:eastAsia="新宋体" w:cs="宋体"/>
      <w:color w:val="000000"/>
      <w:kern w:val="0"/>
      <w:sz w:val="24"/>
    </w:rPr>
  </w:style>
  <w:style w:type="paragraph" w:customStyle="1" w:styleId="303">
    <w:name w:val="标识2"/>
    <w:basedOn w:val="1"/>
    <w:qFormat/>
    <w:uiPriority w:val="0"/>
    <w:pPr>
      <w:numPr>
        <w:ilvl w:val="0"/>
        <w:numId w:val="1"/>
      </w:numPr>
      <w:adjustRightInd/>
      <w:snapToGrid/>
      <w:ind w:left="278" w:right="0" w:hanging="193"/>
      <w:jc w:val="left"/>
    </w:pPr>
    <w:rPr>
      <w:kern w:val="0"/>
      <w:szCs w:val="22"/>
    </w:rPr>
  </w:style>
  <w:style w:type="paragraph" w:customStyle="1" w:styleId="304">
    <w:name w:val="样式 宋体 小四 段前: 7.8 磅 段后: 7.8 磅 行距: 1.5 倍行距"/>
    <w:basedOn w:val="1"/>
    <w:qFormat/>
    <w:uiPriority w:val="0"/>
    <w:pPr>
      <w:spacing w:line="360" w:lineRule="auto"/>
      <w:ind w:firstLine="480"/>
    </w:pPr>
    <w:rPr>
      <w:rFonts w:ascii="宋体" w:hAnsi="宋体" w:eastAsia="宋体" w:cs="宋体"/>
      <w:sz w:val="24"/>
      <w:szCs w:val="20"/>
    </w:rPr>
  </w:style>
  <w:style w:type="paragraph" w:customStyle="1" w:styleId="305">
    <w:name w:val="列出段落1"/>
    <w:basedOn w:val="1"/>
    <w:uiPriority w:val="0"/>
    <w:pPr>
      <w:ind w:firstLine="420" w:firstLineChars="200"/>
    </w:pPr>
    <w:rPr>
      <w:szCs w:val="20"/>
    </w:rPr>
  </w:style>
  <w:style w:type="paragraph" w:customStyle="1" w:styleId="306">
    <w:name w:val="样式 标题 3 + 黑色 段前: 5 磅 段后: 5 磅 行距: 1.5 倍行距"/>
    <w:basedOn w:val="1"/>
    <w:uiPriority w:val="0"/>
    <w:pPr>
      <w:ind w:left="855" w:hanging="855"/>
    </w:pPr>
    <w:rPr>
      <w:sz w:val="24"/>
      <w:szCs w:val="20"/>
    </w:rPr>
  </w:style>
  <w:style w:type="paragraph" w:customStyle="1" w:styleId="307">
    <w:name w:val="List Paragraph"/>
    <w:basedOn w:val="1"/>
    <w:uiPriority w:val="0"/>
    <w:pPr>
      <w:ind w:firstLine="420" w:firstLineChars="200"/>
    </w:pPr>
  </w:style>
  <w:style w:type="paragraph" w:customStyle="1" w:styleId="308">
    <w:name w:val="正文 首行缩进:  2 字符 Char"/>
    <w:basedOn w:val="1"/>
    <w:uiPriority w:val="0"/>
    <w:pPr>
      <w:spacing w:line="360" w:lineRule="auto"/>
      <w:ind w:firstLine="480"/>
    </w:pPr>
    <w:rPr>
      <w:rFonts w:cs="宋体"/>
      <w:sz w:val="24"/>
      <w:szCs w:val="20"/>
    </w:rPr>
  </w:style>
  <w:style w:type="paragraph" w:customStyle="1" w:styleId="309">
    <w:name w:val="xl25"/>
    <w:basedOn w:val="1"/>
    <w:uiPriority w:val="0"/>
    <w:pPr>
      <w:widowControl/>
      <w:autoSpaceDE w:val="0"/>
      <w:autoSpaceDN w:val="0"/>
      <w:adjustRightInd w:val="0"/>
      <w:spacing w:before="100" w:beforeLines="0" w:beforeAutospacing="1" w:after="100" w:afterLines="0" w:afterAutospacing="1"/>
      <w:jc w:val="center"/>
      <w:textAlignment w:val="center"/>
    </w:pPr>
    <w:rPr>
      <w:rFonts w:hint="eastAsia" w:ascii="楷体_GB2312" w:hAnsi="宋体" w:eastAsia="楷体_GB2312"/>
      <w:kern w:val="0"/>
      <w:sz w:val="24"/>
      <w:szCs w:val="20"/>
    </w:rPr>
  </w:style>
  <w:style w:type="paragraph" w:customStyle="1" w:styleId="310">
    <w:name w:val="正文首行缩进2字符"/>
    <w:basedOn w:val="1"/>
    <w:qFormat/>
    <w:uiPriority w:val="0"/>
    <w:pPr>
      <w:adjustRightInd/>
      <w:snapToGrid/>
      <w:spacing w:before="60" w:after="60"/>
      <w:ind w:right="0" w:firstLine="482"/>
      <w:jc w:val="left"/>
    </w:pPr>
    <w:rPr>
      <w:iCs/>
      <w:kern w:val="0"/>
      <w:szCs w:val="22"/>
    </w:rPr>
  </w:style>
  <w:style w:type="paragraph" w:customStyle="1" w:styleId="311">
    <w:name w:val="样式 左侧:  0.85 厘米 首行缩进:  0.85 厘米"/>
    <w:basedOn w:val="1"/>
    <w:uiPriority w:val="0"/>
    <w:pPr>
      <w:autoSpaceDE w:val="0"/>
      <w:autoSpaceDN w:val="0"/>
      <w:adjustRightInd w:val="0"/>
      <w:spacing w:line="360" w:lineRule="auto"/>
      <w:ind w:firstLine="482"/>
      <w:jc w:val="left"/>
    </w:pPr>
    <w:rPr>
      <w:rFonts w:cs="宋体"/>
      <w:kern w:val="0"/>
      <w:sz w:val="24"/>
      <w:szCs w:val="20"/>
    </w:rPr>
  </w:style>
  <w:style w:type="paragraph" w:customStyle="1" w:styleId="312">
    <w:name w:val="font5"/>
    <w:basedOn w:val="1"/>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313">
    <w:name w:val="xl90"/>
    <w:basedOn w:val="1"/>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pPr>
    <w:rPr>
      <w:rFonts w:ascii="新宋体" w:hAnsi="新宋体" w:eastAsia="新宋体" w:cs="宋体"/>
      <w:color w:val="000000"/>
      <w:kern w:val="0"/>
      <w:sz w:val="24"/>
    </w:rPr>
  </w:style>
  <w:style w:type="paragraph" w:customStyle="1" w:styleId="314">
    <w:name w:val="正文字缩2字"/>
    <w:basedOn w:val="1"/>
    <w:uiPriority w:val="0"/>
    <w:pPr>
      <w:spacing w:before="60" w:beforeLines="0" w:after="60" w:afterLines="0" w:line="360" w:lineRule="auto"/>
      <w:ind w:left="200" w:leftChars="200" w:firstLine="200" w:firstLineChars="200"/>
    </w:pPr>
    <w:rPr>
      <w:sz w:val="24"/>
    </w:rPr>
  </w:style>
  <w:style w:type="paragraph" w:customStyle="1" w:styleId="315">
    <w:name w:val="ÕýÎÄÊ×ÐÐËõ½ø"/>
    <w:basedOn w:val="1"/>
    <w:uiPriority w:val="0"/>
    <w:pPr>
      <w:widowControl/>
      <w:overflowPunct w:val="0"/>
      <w:autoSpaceDE w:val="0"/>
      <w:autoSpaceDN w:val="0"/>
      <w:adjustRightInd w:val="0"/>
      <w:spacing w:line="360" w:lineRule="auto"/>
      <w:ind w:left="1134"/>
      <w:jc w:val="left"/>
      <w:textAlignment w:val="baseline"/>
    </w:pPr>
    <w:rPr>
      <w:rFonts w:eastAsia="Times New Roman"/>
      <w:kern w:val="0"/>
      <w:sz w:val="20"/>
      <w:szCs w:val="20"/>
    </w:rPr>
  </w:style>
  <w:style w:type="paragraph" w:customStyle="1" w:styleId="316">
    <w:name w:val="正文文本 21"/>
    <w:basedOn w:val="1"/>
    <w:uiPriority w:val="0"/>
    <w:pPr>
      <w:widowControl/>
      <w:overflowPunct w:val="0"/>
      <w:autoSpaceDE w:val="0"/>
      <w:autoSpaceDN w:val="0"/>
      <w:adjustRightInd w:val="0"/>
      <w:ind w:left="720" w:hanging="720"/>
      <w:jc w:val="left"/>
      <w:textAlignment w:val="baseline"/>
    </w:pPr>
    <w:rPr>
      <w:kern w:val="0"/>
      <w:sz w:val="24"/>
      <w:szCs w:val="20"/>
      <w:lang w:val="en-GB"/>
    </w:rPr>
  </w:style>
  <w:style w:type="paragraph" w:customStyle="1" w:styleId="317">
    <w:name w:val="1.1.1"/>
    <w:basedOn w:val="1"/>
    <w:uiPriority w:val="0"/>
    <w:pPr>
      <w:tabs>
        <w:tab w:val="left" w:pos="0"/>
        <w:tab w:val="left" w:pos="1134"/>
        <w:tab w:val="left" w:pos="8505"/>
      </w:tabs>
      <w:autoSpaceDE w:val="0"/>
      <w:autoSpaceDN w:val="0"/>
      <w:adjustRightInd w:val="0"/>
      <w:spacing w:before="240" w:beforeLines="0" w:after="60" w:afterLines="0" w:line="360" w:lineRule="atLeast"/>
    </w:pPr>
    <w:rPr>
      <w:rFonts w:ascii="宋体"/>
      <w:b/>
      <w:kern w:val="0"/>
      <w:sz w:val="24"/>
      <w:szCs w:val="20"/>
    </w:rPr>
  </w:style>
  <w:style w:type="paragraph" w:customStyle="1" w:styleId="318">
    <w:name w:val="l正文"/>
    <w:basedOn w:val="1"/>
    <w:qFormat/>
    <w:uiPriority w:val="0"/>
    <w:pPr>
      <w:spacing w:line="360" w:lineRule="auto"/>
      <w:ind w:firstLine="200" w:firstLineChars="200"/>
    </w:pPr>
    <w:rPr>
      <w:rFonts w:ascii="宋体" w:hAnsi="宋体"/>
      <w:sz w:val="24"/>
    </w:rPr>
  </w:style>
  <w:style w:type="paragraph" w:customStyle="1" w:styleId="319">
    <w:name w:val="xl80"/>
    <w:basedOn w:val="1"/>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pPr>
    <w:rPr>
      <w:rFonts w:ascii="新宋体" w:hAnsi="新宋体" w:eastAsia="新宋体" w:cs="宋体"/>
      <w:color w:val="000000"/>
      <w:kern w:val="0"/>
      <w:sz w:val="24"/>
    </w:rPr>
  </w:style>
  <w:style w:type="paragraph" w:customStyle="1" w:styleId="320">
    <w:name w:val="标准段落"/>
    <w:basedOn w:val="1"/>
    <w:uiPriority w:val="0"/>
    <w:pPr>
      <w:spacing w:after="120" w:afterLines="0" w:line="360" w:lineRule="auto"/>
      <w:ind w:firstLine="420"/>
    </w:pPr>
    <w:rPr>
      <w:rFonts w:ascii="黑体" w:hAnsi="宋体" w:eastAsia="黑体"/>
      <w:b/>
      <w:spacing w:val="6"/>
      <w:szCs w:val="22"/>
    </w:rPr>
  </w:style>
  <w:style w:type="paragraph" w:customStyle="1" w:styleId="321">
    <w:name w:val="Char Char Char Char Char Char Char Char Char Char"/>
    <w:basedOn w:val="1"/>
    <w:uiPriority w:val="0"/>
    <w:pPr>
      <w:autoSpaceDE w:val="0"/>
      <w:autoSpaceDN w:val="0"/>
      <w:adjustRightInd w:val="0"/>
      <w:jc w:val="left"/>
    </w:pPr>
    <w:rPr>
      <w:rFonts w:ascii="仿宋_GB2312" w:eastAsia="仿宋_GB2312"/>
      <w:b/>
      <w:kern w:val="0"/>
      <w:sz w:val="32"/>
      <w:szCs w:val="32"/>
    </w:rPr>
  </w:style>
  <w:style w:type="paragraph" w:styleId="322">
    <w:name w:val=""/>
    <w:basedOn w:val="4"/>
    <w:next w:val="1"/>
    <w:qFormat/>
    <w:uiPriority w:val="0"/>
    <w:pPr>
      <w:keepLines/>
      <w:widowControl/>
      <w:numPr>
        <w:ilvl w:val="0"/>
        <w:numId w:val="0"/>
      </w:numPr>
      <w:spacing w:before="480" w:beforeLines="0" w:line="276" w:lineRule="auto"/>
      <w:jc w:val="left"/>
      <w:outlineLvl w:val="9"/>
    </w:pPr>
    <w:rPr>
      <w:rFonts w:ascii="Cambria" w:hAnsi="Cambria" w:eastAsia="宋体"/>
      <w:bCs/>
      <w:color w:val="365F91"/>
      <w:kern w:val="0"/>
      <w:sz w:val="28"/>
      <w:szCs w:val="28"/>
    </w:rPr>
  </w:style>
  <w:style w:type="paragraph" w:customStyle="1" w:styleId="323">
    <w:name w:val="表格文字（大）"/>
    <w:basedOn w:val="1"/>
    <w:uiPriority w:val="0"/>
    <w:pPr>
      <w:autoSpaceDE w:val="0"/>
      <w:autoSpaceDN w:val="0"/>
      <w:adjustRightInd w:val="0"/>
      <w:spacing w:before="20" w:beforeLines="0" w:after="20" w:afterLines="0"/>
      <w:jc w:val="left"/>
    </w:pPr>
    <w:rPr>
      <w:rFonts w:ascii="Century Gothic" w:hAnsi="Century Gothic" w:cs="Century Gothic"/>
      <w:kern w:val="0"/>
      <w:sz w:val="24"/>
      <w:szCs w:val="20"/>
    </w:rPr>
  </w:style>
  <w:style w:type="paragraph" w:customStyle="1" w:styleId="324">
    <w:name w:val="Item List in Table"/>
    <w:uiPriority w:val="0"/>
    <w:pPr>
      <w:tabs>
        <w:tab w:val="left" w:pos="284"/>
        <w:tab w:val="left" w:pos="720"/>
      </w:tabs>
      <w:spacing w:before="40" w:after="40"/>
      <w:ind w:left="720" w:hanging="720"/>
      <w:jc w:val="both"/>
    </w:pPr>
    <w:rPr>
      <w:rFonts w:cs="Arial"/>
      <w:kern w:val="2"/>
      <w:sz w:val="18"/>
      <w:szCs w:val="18"/>
      <w:lang w:val="en-US" w:eastAsia="zh-CN" w:bidi="ar-SA"/>
    </w:rPr>
  </w:style>
  <w:style w:type="paragraph" w:customStyle="1" w:styleId="325">
    <w:name w:val="小标题"/>
    <w:basedOn w:val="1"/>
    <w:uiPriority w:val="0"/>
    <w:pPr>
      <w:autoSpaceDE w:val="0"/>
      <w:autoSpaceDN w:val="0"/>
      <w:adjustRightInd w:val="0"/>
      <w:spacing w:before="120" w:beforeLines="0" w:line="360" w:lineRule="atLeast"/>
      <w:ind w:left="1134"/>
      <w:jc w:val="left"/>
      <w:textAlignment w:val="baseline"/>
    </w:pPr>
    <w:rPr>
      <w:rFonts w:eastAsia="黑体"/>
      <w:kern w:val="0"/>
      <w:sz w:val="20"/>
      <w:szCs w:val="20"/>
    </w:rPr>
  </w:style>
  <w:style w:type="paragraph" w:customStyle="1" w:styleId="326">
    <w:name w:val="xl91"/>
    <w:basedOn w:val="1"/>
    <w:uiPriority w:val="0"/>
    <w:pPr>
      <w:widowControl/>
      <w:pBdr>
        <w:left w:val="single" w:color="auto" w:sz="4" w:space="0"/>
        <w:right w:val="single" w:color="auto" w:sz="4" w:space="0"/>
      </w:pBdr>
      <w:spacing w:before="100" w:beforeLines="0" w:beforeAutospacing="1" w:after="100" w:afterLines="0" w:afterAutospacing="1"/>
      <w:jc w:val="center"/>
    </w:pPr>
    <w:rPr>
      <w:rFonts w:ascii="新宋体" w:hAnsi="新宋体" w:eastAsia="新宋体" w:cs="宋体"/>
      <w:color w:val="000000"/>
      <w:kern w:val="0"/>
      <w:sz w:val="24"/>
    </w:rPr>
  </w:style>
  <w:style w:type="paragraph" w:styleId="327">
    <w:name w:val="List Paragraph"/>
    <w:basedOn w:val="1"/>
    <w:qFormat/>
    <w:uiPriority w:val="0"/>
    <w:pPr>
      <w:ind w:firstLine="420" w:firstLineChars="200"/>
    </w:pPr>
    <w:rPr>
      <w:rFonts w:ascii="Calibri" w:hAnsi="Calibri"/>
      <w:szCs w:val="22"/>
    </w:rPr>
  </w:style>
  <w:style w:type="paragraph" w:customStyle="1" w:styleId="328">
    <w:name w:val="Test2"/>
    <w:basedOn w:val="2"/>
    <w:uiPriority w:val="0"/>
    <w:pPr>
      <w:keepNext w:val="0"/>
      <w:widowControl/>
      <w:numPr>
        <w:ilvl w:val="0"/>
        <w:numId w:val="0"/>
      </w:numPr>
      <w:tabs>
        <w:tab w:val="left" w:pos="774"/>
      </w:tabs>
      <w:autoSpaceDE w:val="0"/>
      <w:autoSpaceDN w:val="0"/>
      <w:adjustRightInd w:val="0"/>
      <w:snapToGrid w:val="0"/>
      <w:spacing w:before="360" w:beforeLines="0" w:after="360" w:afterLines="0" w:line="240" w:lineRule="atLeast"/>
      <w:ind w:left="774" w:hanging="576"/>
      <w:jc w:val="left"/>
    </w:pPr>
    <w:rPr>
      <w:rFonts w:ascii="宋体" w:hAnsi="Arial"/>
      <w:snapToGrid w:val="0"/>
      <w:kern w:val="0"/>
      <w:szCs w:val="32"/>
    </w:rPr>
  </w:style>
  <w:style w:type="paragraph" w:customStyle="1" w:styleId="329">
    <w:name w:val="Plain Text"/>
    <w:basedOn w:val="1"/>
    <w:uiPriority w:val="0"/>
    <w:pPr>
      <w:adjustRightInd w:val="0"/>
      <w:textAlignment w:val="baseline"/>
    </w:pPr>
    <w:rPr>
      <w:rFonts w:ascii="宋体" w:hAnsi="Courier New" w:eastAsia="楷体_GB2312"/>
      <w:sz w:val="28"/>
      <w:szCs w:val="20"/>
    </w:rPr>
  </w:style>
  <w:style w:type="paragraph" w:customStyle="1" w:styleId="330">
    <w:name w:val="章标题"/>
    <w:next w:val="1"/>
    <w:uiPriority w:val="0"/>
    <w:pPr>
      <w:tabs>
        <w:tab w:val="left" w:pos="3469"/>
      </w:tabs>
      <w:spacing w:before="156" w:beforeLines="50" w:after="156" w:afterLines="50"/>
      <w:ind w:left="3469" w:hanging="420"/>
      <w:jc w:val="both"/>
      <w:outlineLvl w:val="1"/>
    </w:pPr>
    <w:rPr>
      <w:rFonts w:ascii="黑体" w:eastAsia="黑体"/>
      <w:sz w:val="21"/>
      <w:lang w:val="en-US" w:eastAsia="zh-CN" w:bidi="ar-SA"/>
    </w:rPr>
  </w:style>
  <w:style w:type="paragraph" w:customStyle="1" w:styleId="331">
    <w:name w:val="Char"/>
    <w:basedOn w:val="1"/>
    <w:uiPriority w:val="0"/>
    <w:rPr>
      <w:rFonts w:ascii="仿宋_GB2312" w:eastAsia="仿宋_GB2312"/>
      <w:b/>
      <w:sz w:val="32"/>
      <w:szCs w:val="32"/>
    </w:rPr>
  </w:style>
  <w:style w:type="paragraph" w:customStyle="1" w:styleId="332">
    <w:name w:val="样式 标题 3 + 黑体 小四 非加粗"/>
    <w:basedOn w:val="5"/>
    <w:uiPriority w:val="0"/>
    <w:pPr>
      <w:numPr>
        <w:ilvl w:val="0"/>
        <w:numId w:val="0"/>
      </w:numPr>
      <w:spacing w:before="260" w:beforeLines="0" w:after="260" w:afterLines="0" w:line="413" w:lineRule="auto"/>
    </w:pPr>
    <w:rPr>
      <w:rFonts w:ascii="黑体" w:hAnsi="黑体"/>
      <w:b w:val="0"/>
      <w:kern w:val="0"/>
      <w:sz w:val="24"/>
      <w:szCs w:val="32"/>
    </w:rPr>
  </w:style>
  <w:style w:type="paragraph" w:customStyle="1" w:styleId="333">
    <w:name w:val="列出段落2"/>
    <w:basedOn w:val="1"/>
    <w:qFormat/>
    <w:uiPriority w:val="34"/>
    <w:pPr>
      <w:ind w:firstLine="420" w:firstLineChars="200"/>
    </w:pPr>
  </w:style>
  <w:style w:type="paragraph" w:customStyle="1" w:styleId="334">
    <w:name w:val="xl84"/>
    <w:basedOn w:val="1"/>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left"/>
    </w:pPr>
    <w:rPr>
      <w:rFonts w:ascii="新宋体" w:hAnsi="新宋体" w:eastAsia="新宋体" w:cs="宋体"/>
      <w:color w:val="000000"/>
      <w:kern w:val="0"/>
      <w:sz w:val="24"/>
    </w:rPr>
  </w:style>
  <w:style w:type="paragraph" w:customStyle="1" w:styleId="335">
    <w:name w:val="部分1"/>
    <w:basedOn w:val="1"/>
    <w:uiPriority w:val="0"/>
    <w:pPr>
      <w:keepNext/>
      <w:pageBreakBefore/>
      <w:tabs>
        <w:tab w:val="left" w:pos="720"/>
      </w:tabs>
      <w:autoSpaceDE w:val="0"/>
      <w:autoSpaceDN w:val="0"/>
      <w:adjustRightInd w:val="0"/>
      <w:spacing w:line="360" w:lineRule="auto"/>
      <w:jc w:val="center"/>
      <w:outlineLvl w:val="0"/>
    </w:pPr>
    <w:rPr>
      <w:rFonts w:eastAsia="黑体"/>
      <w:b/>
      <w:kern w:val="44"/>
      <w:sz w:val="36"/>
      <w:szCs w:val="20"/>
    </w:rPr>
  </w:style>
  <w:style w:type="paragraph" w:customStyle="1" w:styleId="336">
    <w:name w:val="Char Char Char Char"/>
    <w:basedOn w:val="1"/>
    <w:uiPriority w:val="0"/>
    <w:pPr>
      <w:autoSpaceDE w:val="0"/>
      <w:autoSpaceDN w:val="0"/>
      <w:adjustRightInd w:val="0"/>
      <w:jc w:val="left"/>
    </w:pPr>
    <w:rPr>
      <w:rFonts w:ascii="Tahoma" w:hAnsi="Tahoma"/>
      <w:kern w:val="0"/>
      <w:sz w:val="24"/>
      <w:szCs w:val="2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media/image2.png" Type="http://schemas.openxmlformats.org/officeDocument/2006/relationships/image"/><Relationship Id="rId11" Target="media/image3.png" Type="http://schemas.openxmlformats.org/officeDocument/2006/relationships/image"/><Relationship Id="rId12" Target="media/image4.png" Type="http://schemas.openxmlformats.org/officeDocument/2006/relationships/image"/><Relationship Id="rId13" Target="media/image5.emf" Type="http://schemas.openxmlformats.org/officeDocument/2006/relationships/image"/><Relationship Id="rId14" Target="media/image6.png" Type="http://schemas.openxmlformats.org/officeDocument/2006/relationships/image"/><Relationship Id="rId15" Target="../customXml/item1.xml" Type="http://schemas.openxmlformats.org/officeDocument/2006/relationships/customXml"/><Relationship Id="rId16" Target="numbering.xml" Type="http://schemas.openxmlformats.org/officeDocument/2006/relationships/numbering"/><Relationship Id="rId17"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header2.xml" Type="http://schemas.openxmlformats.org/officeDocument/2006/relationships/header"/><Relationship Id="rId6" Target="footer2.xml" Type="http://schemas.openxmlformats.org/officeDocument/2006/relationships/footer"/><Relationship Id="rId7" Target="footer3.xml" Type="http://schemas.openxmlformats.org/officeDocument/2006/relationships/footer"/><Relationship Id="rId8" Target="theme/theme1.xml" Type="http://schemas.openxmlformats.org/officeDocument/2006/relationships/theme"/><Relationship Id="rId9" Target="media/image1.png" Type="http://schemas.openxmlformats.org/officeDocument/2006/relationships/imag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中国远东国际贸易总公司</Company>
  <Pages>194</Pages>
  <Words>20542</Words>
  <Characters>117094</Characters>
  <Lines>975</Lines>
  <Paragraphs>274</Paragraphs>
  <TotalTime>37</TotalTime>
  <ScaleCrop>false</ScaleCrop>
  <LinksUpToDate>false</LinksUpToDate>
  <CharactersWithSpaces>137362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2018-11-13T02:13:00Z</dcterms:created>
  <dc:creator>zyq</dc:creator>
  <cp:lastModifiedBy>WPS_1701756769</cp:lastModifiedBy>
  <cp:lastPrinted>2020-08-14T06:58:46Z</cp:lastPrinted>
  <dcterms:modified xsi:type="dcterms:W3CDTF">2024-02-22T08:52:23Z</dcterms:modified>
  <cp:revision>2</cp:revision>
  <dc:title>招标文件目录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A453F70D55044B97A6E2E5CD2622BFE8_13</vt:lpwstr>
  </property>
</Properties>
</file>