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新宋体" w:hAnsi="新宋体" w:eastAsia="新宋体" w:cs="新宋体"/>
          <w:b/>
          <w:bCs/>
          <w:color w:val="auto"/>
          <w:spacing w:val="120"/>
          <w:sz w:val="52"/>
          <w:szCs w:val="52"/>
          <w:highlight w:val="none"/>
        </w:rPr>
      </w:pPr>
      <w:bookmarkStart w:id="87" w:name="_GoBack"/>
      <w:bookmarkEnd w:id="87"/>
    </w:p>
    <w:p>
      <w:pPr>
        <w:jc w:val="distribute"/>
        <w:rPr>
          <w:rFonts w:hint="default" w:ascii="新宋体" w:hAnsi="新宋体" w:eastAsia="新宋体" w:cs="新宋体"/>
          <w:b/>
          <w:bCs/>
          <w:color w:val="auto"/>
          <w:sz w:val="52"/>
          <w:szCs w:val="52"/>
          <w:highlight w:val="none"/>
          <w:lang w:val="en-US" w:eastAsia="zh-CN"/>
        </w:rPr>
      </w:pPr>
      <w:r>
        <w:rPr>
          <w:rFonts w:hint="eastAsia" w:ascii="新宋体" w:hAnsi="新宋体" w:eastAsia="新宋体"/>
          <w:spacing w:val="20"/>
          <w:sz w:val="84"/>
          <w:highlight w:val="none"/>
        </w:rPr>
        <w:t>温州市政府（分散）采购</w:t>
      </w:r>
    </w:p>
    <w:p>
      <w:pPr>
        <w:jc w:val="center"/>
        <w:rPr>
          <w:rFonts w:hint="eastAsia" w:ascii="新宋体" w:hAnsi="新宋体" w:eastAsia="新宋体" w:cs="新宋体"/>
          <w:b/>
          <w:bCs/>
          <w:color w:val="auto"/>
          <w:spacing w:val="26"/>
          <w:sz w:val="52"/>
          <w:highlight w:val="none"/>
        </w:rPr>
      </w:pPr>
    </w:p>
    <w:p>
      <w:pPr>
        <w:ind w:firstLine="2357" w:firstLineChars="235"/>
        <w:rPr>
          <w:rFonts w:hint="eastAsia" w:ascii="新宋体" w:hAnsi="新宋体" w:eastAsia="新宋体" w:cs="新宋体"/>
          <w:b/>
          <w:bCs/>
          <w:color w:val="auto"/>
          <w:spacing w:val="140"/>
          <w:sz w:val="72"/>
          <w:highlight w:val="none"/>
        </w:rPr>
      </w:pPr>
    </w:p>
    <w:p>
      <w:pPr>
        <w:ind w:firstLine="2357" w:firstLineChars="235"/>
        <w:rPr>
          <w:rFonts w:hint="eastAsia" w:ascii="新宋体" w:hAnsi="新宋体" w:eastAsia="新宋体" w:cs="新宋体"/>
          <w:b/>
          <w:bCs/>
          <w:color w:val="auto"/>
          <w:spacing w:val="140"/>
          <w:sz w:val="72"/>
          <w:highlight w:val="none"/>
        </w:rPr>
      </w:pPr>
    </w:p>
    <w:p>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pPr>
        <w:spacing w:line="800" w:lineRule="exact"/>
        <w:ind w:firstLine="1140" w:firstLineChars="300"/>
        <w:jc w:val="left"/>
        <w:rPr>
          <w:rFonts w:hint="eastAsia" w:ascii="新宋体" w:hAnsi="新宋体" w:eastAsia="新宋体" w:cs="新宋体"/>
          <w:color w:val="auto"/>
          <w:spacing w:val="40"/>
          <w:sz w:val="30"/>
          <w:szCs w:val="30"/>
          <w:highlight w:val="none"/>
        </w:rPr>
      </w:pPr>
    </w:p>
    <w:p>
      <w:pPr>
        <w:spacing w:line="800" w:lineRule="exact"/>
        <w:ind w:firstLine="1140" w:firstLineChars="300"/>
        <w:jc w:val="left"/>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28"/>
          <w:highlight w:val="none"/>
        </w:rPr>
        <w:t>：</w:t>
      </w:r>
      <w:r>
        <w:rPr>
          <w:rFonts w:hint="eastAsia" w:ascii="新宋体" w:hAnsi="新宋体" w:eastAsia="新宋体" w:cs="新宋体"/>
          <w:b/>
          <w:bCs/>
          <w:color w:val="auto"/>
          <w:spacing w:val="40"/>
          <w:sz w:val="30"/>
          <w:szCs w:val="30"/>
          <w:highlight w:val="none"/>
          <w:lang w:val="en-US" w:eastAsia="zh-CN"/>
        </w:rPr>
        <w:t xml:space="preserve">WZLCZB-2020-04028 </w:t>
      </w:r>
      <w:r>
        <w:rPr>
          <w:rFonts w:hint="eastAsia" w:ascii="新宋体" w:hAnsi="新宋体" w:eastAsia="新宋体" w:cs="新宋体"/>
          <w:b/>
          <w:bCs/>
          <w:color w:val="auto"/>
          <w:sz w:val="30"/>
          <w:szCs w:val="30"/>
          <w:highlight w:val="none"/>
        </w:rPr>
        <w:t xml:space="preserve"> </w:t>
      </w:r>
    </w:p>
    <w:p>
      <w:pPr>
        <w:spacing w:line="800" w:lineRule="exact"/>
        <w:ind w:firstLine="1140" w:firstLineChars="300"/>
        <w:jc w:val="both"/>
        <w:rPr>
          <w:rFonts w:hint="eastAsia" w:ascii="新宋体" w:hAnsi="新宋体" w:eastAsia="新宋体" w:cs="新宋体"/>
          <w:b/>
          <w:color w:val="auto"/>
          <w:spacing w:val="28"/>
          <w:w w:val="100"/>
          <w:sz w:val="30"/>
          <w:szCs w:val="30"/>
          <w:highlight w:val="none"/>
          <w:lang w:eastAsia="zh-CN"/>
        </w:rPr>
      </w:pPr>
      <w:r>
        <w:rPr>
          <w:rFonts w:hint="eastAsia" w:ascii="新宋体" w:hAnsi="新宋体" w:eastAsia="新宋体" w:cs="新宋体"/>
          <w:color w:val="auto"/>
          <w:spacing w:val="40"/>
          <w:sz w:val="30"/>
          <w:szCs w:val="30"/>
          <w:highlight w:val="none"/>
        </w:rPr>
        <w:t>项 目 名 称：</w:t>
      </w:r>
      <w:r>
        <w:rPr>
          <w:rFonts w:hint="eastAsia" w:ascii="新宋体" w:hAnsi="新宋体" w:eastAsia="新宋体" w:cs="新宋体"/>
          <w:b/>
          <w:bCs/>
          <w:color w:val="auto"/>
          <w:spacing w:val="40"/>
          <w:sz w:val="30"/>
          <w:szCs w:val="30"/>
          <w:highlight w:val="none"/>
          <w:lang w:val="en-US" w:eastAsia="zh-CN"/>
        </w:rPr>
        <w:t>温州金融综合服务平台</w:t>
      </w:r>
      <w:r>
        <w:rPr>
          <w:rFonts w:hint="eastAsia" w:ascii="新宋体" w:hAnsi="新宋体" w:eastAsia="新宋体" w:cs="新宋体"/>
          <w:b/>
          <w:color w:val="auto"/>
          <w:spacing w:val="0"/>
          <w:w w:val="100"/>
          <w:sz w:val="30"/>
          <w:szCs w:val="30"/>
          <w:highlight w:val="none"/>
          <w:lang w:eastAsia="zh-CN"/>
        </w:rPr>
        <w:t xml:space="preserve"> </w:t>
      </w:r>
    </w:p>
    <w:p>
      <w:pPr>
        <w:spacing w:line="800" w:lineRule="exact"/>
        <w:ind w:left="3794" w:leftChars="540" w:hanging="2660" w:hangingChars="700"/>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color w:val="auto"/>
          <w:spacing w:val="40"/>
          <w:sz w:val="30"/>
          <w:szCs w:val="30"/>
          <w:highlight w:val="none"/>
        </w:rPr>
        <w:t>公开招标</w:t>
      </w:r>
    </w:p>
    <w:p>
      <w:pPr>
        <w:spacing w:line="800" w:lineRule="exact"/>
        <w:ind w:left="3794" w:leftChars="540" w:hanging="2660" w:hangingChars="700"/>
        <w:rPr>
          <w:rFonts w:hint="eastAsia"/>
          <w:color w:val="auto"/>
          <w:highlight w:val="none"/>
        </w:rPr>
      </w:pPr>
      <w:r>
        <w:rPr>
          <w:rFonts w:hint="eastAsia" w:ascii="新宋体" w:hAnsi="新宋体" w:eastAsia="新宋体" w:cs="Times New Roman"/>
          <w:b w:val="0"/>
          <w:color w:val="auto"/>
          <w:spacing w:val="40"/>
          <w:kern w:val="2"/>
          <w:sz w:val="30"/>
          <w:szCs w:val="30"/>
          <w:highlight w:val="none"/>
          <w:lang w:val="en-US" w:eastAsia="zh-CN" w:bidi="ar-SA"/>
        </w:rPr>
        <w:t>评 审 方 式：</w:t>
      </w:r>
      <w:r>
        <w:rPr>
          <w:rFonts w:hint="eastAsia" w:ascii="新宋体" w:hAnsi="新宋体" w:eastAsia="新宋体" w:cs="Times New Roman"/>
          <w:b/>
          <w:bCs/>
          <w:color w:val="auto"/>
          <w:spacing w:val="40"/>
          <w:kern w:val="2"/>
          <w:sz w:val="30"/>
          <w:szCs w:val="30"/>
          <w:highlight w:val="none"/>
          <w:lang w:val="en-US" w:eastAsia="zh-CN" w:bidi="ar-SA"/>
        </w:rPr>
        <w:t>线上电子招投标</w:t>
      </w:r>
    </w:p>
    <w:p>
      <w:pPr>
        <w:spacing w:line="600" w:lineRule="exact"/>
        <w:ind w:firstLine="1140" w:firstLineChars="300"/>
        <w:rPr>
          <w:rFonts w:hint="eastAsia" w:ascii="新宋体" w:hAnsi="新宋体" w:eastAsia="新宋体" w:cs="新宋体"/>
          <w:color w:val="auto"/>
          <w:spacing w:val="40"/>
          <w:sz w:val="30"/>
          <w:szCs w:val="30"/>
          <w:highlight w:val="none"/>
        </w:rPr>
      </w:pPr>
    </w:p>
    <w:p>
      <w:pPr>
        <w:spacing w:line="600" w:lineRule="exact"/>
        <w:ind w:firstLine="1140" w:firstLineChars="300"/>
        <w:rPr>
          <w:rFonts w:hint="eastAsia" w:ascii="新宋体" w:hAnsi="新宋体" w:eastAsia="新宋体" w:cs="新宋体"/>
          <w:color w:val="auto"/>
          <w:spacing w:val="40"/>
          <w:sz w:val="30"/>
          <w:szCs w:val="30"/>
          <w:highlight w:val="none"/>
        </w:rPr>
      </w:pPr>
    </w:p>
    <w:p>
      <w:pPr>
        <w:spacing w:line="600" w:lineRule="exact"/>
        <w:ind w:firstLine="1620" w:firstLineChars="450"/>
        <w:rPr>
          <w:rFonts w:hint="eastAsia" w:ascii="新宋体" w:hAnsi="新宋体" w:eastAsia="新宋体" w:cs="新宋体"/>
          <w:color w:val="auto"/>
          <w:spacing w:val="30"/>
          <w:sz w:val="30"/>
          <w:highlight w:val="none"/>
        </w:rPr>
      </w:pPr>
    </w:p>
    <w:p>
      <w:pPr>
        <w:spacing w:line="600" w:lineRule="exact"/>
        <w:ind w:firstLine="1800" w:firstLineChars="500"/>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rPr>
        <w:t>招 标 人:</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pacing w:val="30"/>
          <w:sz w:val="30"/>
          <w:highlight w:val="none"/>
          <w:lang w:eastAsia="zh-CN"/>
        </w:rPr>
        <w:t xml:space="preserve">温州市人民政府金融工作办公室                  </w:t>
      </w:r>
    </w:p>
    <w:p>
      <w:pPr>
        <w:spacing w:line="600" w:lineRule="exact"/>
        <w:ind w:firstLine="1800" w:firstLineChars="500"/>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招标代理机构：温州历程招标有限公司</w:t>
      </w:r>
    </w:p>
    <w:p>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二0二0年</w:t>
      </w:r>
      <w:r>
        <w:rPr>
          <w:rFonts w:hint="eastAsia" w:ascii="新宋体" w:hAnsi="新宋体" w:eastAsia="新宋体" w:cs="新宋体"/>
          <w:color w:val="auto"/>
          <w:spacing w:val="30"/>
          <w:sz w:val="30"/>
          <w:highlight w:val="none"/>
          <w:lang w:val="en-US" w:eastAsia="zh-CN"/>
        </w:rPr>
        <w:t>四</w:t>
      </w:r>
      <w:r>
        <w:rPr>
          <w:rFonts w:hint="eastAsia" w:ascii="新宋体" w:hAnsi="新宋体" w:eastAsia="新宋体" w:cs="新宋体"/>
          <w:color w:val="auto"/>
          <w:spacing w:val="30"/>
          <w:sz w:val="30"/>
          <w:highlight w:val="none"/>
        </w:rPr>
        <w:t>月</w:t>
      </w:r>
    </w:p>
    <w:p>
      <w:pPr>
        <w:rPr>
          <w:rFonts w:hint="eastAsia" w:ascii="新宋体" w:hAnsi="新宋体" w:eastAsia="新宋体" w:cs="新宋体"/>
          <w:color w:val="auto"/>
          <w:spacing w:val="40"/>
          <w:sz w:val="28"/>
          <w:highlight w:val="none"/>
        </w:rPr>
      </w:pPr>
    </w:p>
    <w:p>
      <w:pPr>
        <w:pStyle w:val="22"/>
        <w:rPr>
          <w:rFonts w:hint="eastAsia"/>
          <w:color w:val="auto"/>
          <w:highlight w:val="none"/>
        </w:rPr>
      </w:pPr>
    </w:p>
    <w:p>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pPr>
        <w:jc w:val="center"/>
        <w:rPr>
          <w:rFonts w:hint="eastAsia" w:ascii="新宋体" w:hAnsi="新宋体" w:eastAsia="新宋体" w:cs="新宋体"/>
          <w:b/>
          <w:bCs/>
          <w:color w:val="auto"/>
          <w:sz w:val="32"/>
          <w:szCs w:val="32"/>
          <w:highlight w:val="none"/>
        </w:rPr>
      </w:pPr>
    </w:p>
    <w:p>
      <w:pPr>
        <w:spacing w:line="60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第一册   通  用  文  本    …………………………………………………………………3</w:t>
      </w:r>
    </w:p>
    <w:p>
      <w:pPr>
        <w:spacing w:line="60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 xml:space="preserve">招标公告  </w:t>
      </w:r>
      <w:r>
        <w:rPr>
          <w:rFonts w:hint="eastAsia" w:ascii="新宋体" w:hAnsi="新宋体" w:eastAsia="新宋体" w:cs="新宋体"/>
          <w:color w:val="auto"/>
          <w:sz w:val="22"/>
          <w:highlight w:val="none"/>
        </w:rPr>
        <w:t xml:space="preserve">                 …………………………………………………………………4</w:t>
      </w:r>
    </w:p>
    <w:p>
      <w:pPr>
        <w:numPr>
          <w:ilvl w:val="0"/>
          <w:numId w:val="1"/>
        </w:numPr>
        <w:spacing w:line="600" w:lineRule="exact"/>
        <w:ind w:firstLine="550" w:firstLineChars="250"/>
        <w:rPr>
          <w:rFonts w:hint="eastAsia"/>
          <w:color w:val="auto"/>
          <w:highlight w:val="none"/>
        </w:rPr>
      </w:pPr>
      <w:r>
        <w:rPr>
          <w:rFonts w:hint="eastAsia" w:ascii="新宋体" w:hAnsi="新宋体" w:eastAsia="新宋体" w:cs="新宋体"/>
          <w:color w:val="auto"/>
          <w:sz w:val="22"/>
          <w:highlight w:val="none"/>
        </w:rPr>
        <w:t xml:space="preserve"> 投标人须知       …………………………………………………………………</w:t>
      </w:r>
      <w:r>
        <w:rPr>
          <w:rFonts w:hint="eastAsia" w:ascii="新宋体" w:hAnsi="新宋体" w:eastAsia="新宋体" w:cs="新宋体"/>
          <w:color w:val="auto"/>
          <w:sz w:val="22"/>
          <w:highlight w:val="none"/>
          <w:lang w:val="en-US" w:eastAsia="zh-CN"/>
        </w:rPr>
        <w:t>7</w:t>
      </w:r>
    </w:p>
    <w:p>
      <w:pPr>
        <w:spacing w:line="600" w:lineRule="exact"/>
        <w:ind w:firstLine="550" w:firstLineChars="250"/>
        <w:rPr>
          <w:rFonts w:hint="eastAsia" w:eastAsia="新宋体"/>
          <w:color w:val="auto"/>
          <w:highlight w:val="none"/>
          <w:lang w:eastAsia="zh-CN"/>
        </w:rPr>
      </w:pPr>
      <w:r>
        <w:rPr>
          <w:rFonts w:hint="eastAsia" w:ascii="新宋体" w:hAnsi="新宋体" w:eastAsia="新宋体" w:cs="新宋体"/>
          <w:color w:val="auto"/>
          <w:sz w:val="22"/>
          <w:highlight w:val="none"/>
          <w:lang w:val="en-US" w:eastAsia="zh-CN"/>
        </w:rPr>
        <w:t xml:space="preserve">前 附 表                   </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7</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一、说明                   …………………………………………………………………</w:t>
      </w:r>
      <w:r>
        <w:rPr>
          <w:rFonts w:hint="eastAsia" w:ascii="新宋体" w:hAnsi="新宋体" w:eastAsia="新宋体" w:cs="新宋体"/>
          <w:color w:val="auto"/>
          <w:sz w:val="22"/>
          <w:highlight w:val="none"/>
          <w:lang w:val="en-US" w:eastAsia="zh-CN"/>
        </w:rPr>
        <w:t>11</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二、招标文件               …………………………………………………………………</w:t>
      </w:r>
      <w:r>
        <w:rPr>
          <w:rFonts w:hint="eastAsia" w:ascii="新宋体" w:hAnsi="新宋体" w:eastAsia="新宋体" w:cs="新宋体"/>
          <w:color w:val="auto"/>
          <w:sz w:val="22"/>
          <w:highlight w:val="none"/>
          <w:lang w:val="en-US" w:eastAsia="zh-CN"/>
        </w:rPr>
        <w:t>12</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三、投标文件的编制         …………………………………………………………………</w:t>
      </w:r>
      <w:r>
        <w:rPr>
          <w:rFonts w:hint="eastAsia" w:ascii="新宋体" w:hAnsi="新宋体" w:eastAsia="新宋体" w:cs="新宋体"/>
          <w:color w:val="auto"/>
          <w:sz w:val="22"/>
          <w:highlight w:val="none"/>
          <w:lang w:val="en-US" w:eastAsia="zh-CN"/>
        </w:rPr>
        <w:t>12</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四、投标文件的递交         …………………………………………………………………</w:t>
      </w:r>
      <w:r>
        <w:rPr>
          <w:rFonts w:hint="eastAsia" w:ascii="新宋体" w:hAnsi="新宋体" w:eastAsia="新宋体" w:cs="新宋体"/>
          <w:color w:val="auto"/>
          <w:sz w:val="22"/>
          <w:highlight w:val="none"/>
          <w:lang w:val="en-US" w:eastAsia="zh-CN"/>
        </w:rPr>
        <w:t>16</w:t>
      </w:r>
    </w:p>
    <w:p>
      <w:pPr>
        <w:spacing w:line="600" w:lineRule="exact"/>
        <w:ind w:firstLine="550" w:firstLineChars="250"/>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rPr>
        <w:t>五、开标和评标             …………………………………………………………………1</w:t>
      </w:r>
      <w:r>
        <w:rPr>
          <w:rFonts w:hint="eastAsia" w:ascii="新宋体" w:hAnsi="新宋体" w:eastAsia="新宋体" w:cs="新宋体"/>
          <w:color w:val="auto"/>
          <w:sz w:val="22"/>
          <w:highlight w:val="none"/>
          <w:lang w:val="en-US" w:eastAsia="zh-CN"/>
        </w:rPr>
        <w:t>6</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六、授予合同               …………………………………………………………………</w:t>
      </w:r>
      <w:r>
        <w:rPr>
          <w:rFonts w:hint="eastAsia" w:ascii="新宋体" w:hAnsi="新宋体" w:eastAsia="新宋体" w:cs="新宋体"/>
          <w:color w:val="auto"/>
          <w:sz w:val="22"/>
          <w:highlight w:val="none"/>
          <w:lang w:val="en-US" w:eastAsia="zh-CN"/>
        </w:rPr>
        <w:t>20</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第二部分  合同主要条款     …………………………………………………………………</w:t>
      </w:r>
      <w:r>
        <w:rPr>
          <w:rFonts w:hint="eastAsia" w:ascii="新宋体" w:hAnsi="新宋体" w:eastAsia="新宋体" w:cs="新宋体"/>
          <w:color w:val="auto"/>
          <w:sz w:val="22"/>
          <w:highlight w:val="none"/>
          <w:lang w:val="en-US" w:eastAsia="zh-CN"/>
        </w:rPr>
        <w:t>22</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第三部分  附件             …………………………………………………………………</w:t>
      </w:r>
      <w:r>
        <w:rPr>
          <w:rFonts w:hint="eastAsia" w:ascii="新宋体" w:hAnsi="新宋体" w:eastAsia="新宋体" w:cs="新宋体"/>
          <w:color w:val="auto"/>
          <w:sz w:val="22"/>
          <w:highlight w:val="none"/>
          <w:lang w:val="en-US" w:eastAsia="zh-CN"/>
        </w:rPr>
        <w:t>29</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第二册    专用文本         …………………………………………………………………</w:t>
      </w:r>
      <w:r>
        <w:rPr>
          <w:rFonts w:hint="eastAsia" w:ascii="新宋体" w:hAnsi="新宋体" w:eastAsia="新宋体" w:cs="新宋体"/>
          <w:color w:val="auto"/>
          <w:sz w:val="22"/>
          <w:highlight w:val="none"/>
          <w:lang w:val="en-US" w:eastAsia="zh-CN"/>
        </w:rPr>
        <w:t>55</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第四部分 项目技术规范和服务要求    ………………………………………………………</w:t>
      </w:r>
      <w:r>
        <w:rPr>
          <w:rFonts w:hint="eastAsia" w:ascii="新宋体" w:hAnsi="新宋体" w:eastAsia="新宋体" w:cs="新宋体"/>
          <w:color w:val="auto"/>
          <w:sz w:val="22"/>
          <w:highlight w:val="none"/>
          <w:lang w:val="en-US" w:eastAsia="zh-CN"/>
        </w:rPr>
        <w:t>56</w:t>
      </w:r>
    </w:p>
    <w:p>
      <w:pPr>
        <w:spacing w:line="600" w:lineRule="exact"/>
        <w:ind w:firstLine="550" w:firstLineChars="250"/>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第五部分 评标原则及方法    …………………………………………………………………</w:t>
      </w:r>
      <w:r>
        <w:rPr>
          <w:rFonts w:hint="eastAsia" w:ascii="新宋体" w:hAnsi="新宋体" w:eastAsia="新宋体" w:cs="新宋体"/>
          <w:color w:val="auto"/>
          <w:sz w:val="22"/>
          <w:highlight w:val="none"/>
          <w:lang w:val="en-US" w:eastAsia="zh-CN"/>
        </w:rPr>
        <w:t>104</w:t>
      </w:r>
    </w:p>
    <w:p>
      <w:pPr>
        <w:spacing w:line="600" w:lineRule="exact"/>
        <w:ind w:firstLine="550" w:firstLineChars="250"/>
        <w:rPr>
          <w:rFonts w:hint="default" w:ascii="新宋体" w:hAnsi="新宋体" w:eastAsia="新宋体" w:cs="新宋体"/>
          <w:color w:val="auto"/>
          <w:sz w:val="22"/>
          <w:highlight w:val="none"/>
          <w:lang w:val="en-US" w:eastAsia="zh-CN"/>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pStyle w:val="22"/>
        <w:spacing w:line="460" w:lineRule="exact"/>
        <w:ind w:left="433" w:leftChars="206" w:firstLine="0" w:firstLineChars="0"/>
        <w:jc w:val="center"/>
        <w:outlineLvl w:val="0"/>
        <w:rPr>
          <w:rFonts w:hint="default" w:ascii="新宋体" w:hAnsi="新宋体" w:eastAsia="新宋体"/>
          <w:b/>
          <w:color w:val="auto"/>
          <w:sz w:val="30"/>
          <w:highlight w:val="none"/>
          <w:lang w:val="en-US" w:eastAsia="zh-CN"/>
        </w:rPr>
      </w:pPr>
      <w:bookmarkStart w:id="0" w:name="_Toc84779266"/>
      <w:r>
        <w:rPr>
          <w:rFonts w:hint="eastAsia" w:ascii="新宋体" w:hAnsi="新宋体" w:eastAsia="新宋体" w:cs="新宋体"/>
          <w:b/>
          <w:color w:val="auto"/>
          <w:sz w:val="30"/>
          <w:highlight w:val="none"/>
          <w:lang w:val="en-US" w:eastAsia="zh-CN"/>
        </w:rPr>
        <w:t xml:space="preserve">  </w:t>
      </w:r>
      <w:bookmarkEnd w:id="0"/>
      <w:r>
        <w:rPr>
          <w:rFonts w:hint="eastAsia" w:ascii="新宋体" w:hAnsi="新宋体" w:eastAsia="新宋体"/>
          <w:b/>
          <w:color w:val="auto"/>
          <w:sz w:val="30"/>
          <w:highlight w:val="none"/>
          <w:lang w:val="en-US" w:eastAsia="zh-CN"/>
        </w:rPr>
        <w:t>招 标 公 告</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根据</w:t>
      </w:r>
      <w:r>
        <w:rPr>
          <w:rFonts w:hint="eastAsia" w:ascii="新宋体" w:hAnsi="新宋体" w:eastAsia="新宋体"/>
          <w:color w:val="auto"/>
          <w:sz w:val="22"/>
          <w:highlight w:val="none"/>
        </w:rPr>
        <w:t>《中华人民共和国政府采购法》、《政府采购货物和服务招标投标管理办法》</w:t>
      </w:r>
      <w:r>
        <w:rPr>
          <w:rFonts w:hint="eastAsia" w:ascii="新宋体" w:hAnsi="新宋体" w:eastAsia="新宋体"/>
          <w:color w:val="auto"/>
          <w:sz w:val="22"/>
          <w:highlight w:val="none"/>
          <w:lang w:eastAsia="zh-CN"/>
        </w:rPr>
        <w:t>、《中华人民共和国政府采购法实施条例》</w:t>
      </w:r>
      <w:r>
        <w:rPr>
          <w:rFonts w:hint="eastAsia" w:ascii="新宋体" w:hAnsi="新宋体" w:eastAsia="新宋体"/>
          <w:color w:val="auto"/>
          <w:sz w:val="22"/>
          <w:highlight w:val="none"/>
        </w:rPr>
        <w:t>和《关于进一步规范政府采购活动的若干意见》等有关规定，</w:t>
      </w:r>
      <w:r>
        <w:rPr>
          <w:rFonts w:hint="eastAsia" w:ascii="新宋体" w:hAnsi="新宋体" w:eastAsia="新宋体"/>
          <w:color w:val="auto"/>
          <w:sz w:val="22"/>
          <w:highlight w:val="none"/>
          <w:lang w:eastAsia="zh-CN"/>
        </w:rPr>
        <w:t>温州历程招标有限公司</w:t>
      </w:r>
      <w:r>
        <w:rPr>
          <w:rFonts w:hint="eastAsia" w:ascii="新宋体" w:hAnsi="新宋体" w:eastAsia="新宋体"/>
          <w:color w:val="auto"/>
          <w:sz w:val="22"/>
          <w:highlight w:val="none"/>
        </w:rPr>
        <w:t>受</w:t>
      </w:r>
      <w:r>
        <w:rPr>
          <w:rFonts w:hint="eastAsia" w:ascii="新宋体" w:hAnsi="新宋体" w:eastAsia="新宋体"/>
          <w:color w:val="auto"/>
          <w:sz w:val="22"/>
          <w:highlight w:val="none"/>
          <w:lang w:eastAsia="zh-CN"/>
        </w:rPr>
        <w:t>温州市人民政府金融工作办公室</w:t>
      </w:r>
      <w:r>
        <w:rPr>
          <w:rFonts w:hint="eastAsia" w:ascii="新宋体" w:hAnsi="新宋体" w:eastAsia="新宋体"/>
          <w:color w:val="auto"/>
          <w:sz w:val="22"/>
          <w:highlight w:val="none"/>
        </w:rPr>
        <w:t>委托，就</w:t>
      </w:r>
      <w:r>
        <w:rPr>
          <w:rFonts w:hint="eastAsia" w:ascii="新宋体" w:hAnsi="新宋体" w:eastAsia="新宋体"/>
          <w:color w:val="auto"/>
          <w:sz w:val="22"/>
          <w:highlight w:val="none"/>
          <w:lang w:eastAsia="zh-CN"/>
        </w:rPr>
        <w:t>温州金融综合服务平台</w:t>
      </w:r>
      <w:r>
        <w:rPr>
          <w:rFonts w:hint="eastAsia" w:ascii="新宋体" w:hAnsi="新宋体" w:eastAsia="新宋体"/>
          <w:color w:val="auto"/>
          <w:sz w:val="22"/>
          <w:highlight w:val="none"/>
        </w:rPr>
        <w:t>进行公开招标方式分散采购，欢迎合格的供应商前来投标。</w:t>
      </w:r>
    </w:p>
    <w:p>
      <w:pPr>
        <w:tabs>
          <w:tab w:val="left" w:pos="360"/>
        </w:tabs>
        <w:spacing w:line="460" w:lineRule="exact"/>
        <w:ind w:firstLine="552" w:firstLineChars="250"/>
        <w:rPr>
          <w:rFonts w:hint="eastAsia" w:ascii="新宋体" w:hAnsi="新宋体" w:eastAsia="新宋体"/>
          <w:color w:val="auto"/>
          <w:sz w:val="22"/>
          <w:highlight w:val="none"/>
        </w:rPr>
      </w:pPr>
      <w:r>
        <w:rPr>
          <w:rFonts w:hint="eastAsia" w:ascii="新宋体" w:hAnsi="新宋体" w:eastAsia="新宋体"/>
          <w:b/>
          <w:bCs/>
          <w:color w:val="auto"/>
          <w:sz w:val="22"/>
          <w:highlight w:val="none"/>
        </w:rPr>
        <w:t>一、招标项目编号：WZLCZB-2020-04028</w:t>
      </w:r>
      <w:r>
        <w:rPr>
          <w:rFonts w:hint="eastAsia" w:ascii="新宋体" w:hAnsi="新宋体" w:eastAsia="新宋体"/>
          <w:color w:val="auto"/>
          <w:sz w:val="22"/>
          <w:highlight w:val="none"/>
          <w:lang w:val="en-US" w:eastAsia="zh-CN"/>
        </w:rPr>
        <w:t xml:space="preserve"> </w:t>
      </w:r>
      <w:r>
        <w:rPr>
          <w:rFonts w:hint="eastAsia" w:ascii="新宋体" w:hAnsi="新宋体" w:eastAsia="新宋体"/>
          <w:color w:val="auto"/>
          <w:sz w:val="22"/>
          <w:highlight w:val="none"/>
        </w:rPr>
        <w:t> </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highlight w:val="none"/>
        </w:rPr>
        <w:t>二、采</w:t>
      </w:r>
      <w:r>
        <w:rPr>
          <w:rFonts w:hint="eastAsia" w:ascii="新宋体" w:hAnsi="新宋体" w:eastAsia="新宋体"/>
          <w:b/>
          <w:bCs/>
          <w:color w:val="auto"/>
          <w:sz w:val="22"/>
          <w:szCs w:val="22"/>
          <w:highlight w:val="none"/>
        </w:rPr>
        <w:t>购组织类型：分散采购-分散委托中介 </w:t>
      </w:r>
    </w:p>
    <w:p>
      <w:pPr>
        <w:tabs>
          <w:tab w:val="left" w:pos="360"/>
        </w:tabs>
        <w:spacing w:line="460" w:lineRule="exact"/>
        <w:ind w:firstLine="994" w:firstLineChars="4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采购方式：公开招标</w:t>
      </w:r>
    </w:p>
    <w:p>
      <w:pPr>
        <w:keepNext w:val="0"/>
        <w:keepLines w:val="0"/>
        <w:pageBreakBefore w:val="0"/>
        <w:widowControl w:val="0"/>
        <w:numPr>
          <w:ilvl w:val="0"/>
          <w:numId w:val="2"/>
        </w:numPr>
        <w:tabs>
          <w:tab w:val="left" w:pos="360"/>
        </w:tabs>
        <w:kinsoku/>
        <w:wordWrap/>
        <w:overflowPunct/>
        <w:topLinePunct w:val="0"/>
        <w:autoSpaceDE/>
        <w:autoSpaceDN/>
        <w:bidi w:val="0"/>
        <w:adjustRightInd/>
        <w:snapToGrid/>
        <w:spacing w:line="460" w:lineRule="exact"/>
        <w:ind w:firstLine="552" w:firstLineChars="250"/>
        <w:textAlignment w:val="auto"/>
        <w:rPr>
          <w:color w:val="auto"/>
          <w:sz w:val="27"/>
          <w:szCs w:val="27"/>
          <w:highlight w:val="none"/>
        </w:rPr>
      </w:pPr>
      <w:r>
        <w:rPr>
          <w:rFonts w:hint="eastAsia" w:ascii="新宋体" w:hAnsi="新宋体" w:eastAsia="新宋体"/>
          <w:b/>
          <w:bCs/>
          <w:color w:val="auto"/>
          <w:sz w:val="22"/>
          <w:szCs w:val="22"/>
          <w:highlight w:val="none"/>
        </w:rPr>
        <w:t>招标项目概况</w:t>
      </w:r>
      <w:r>
        <w:rPr>
          <w:color w:val="auto"/>
          <w:sz w:val="22"/>
          <w:szCs w:val="22"/>
          <w:highlight w:val="none"/>
        </w:rPr>
        <w:t> </w:t>
      </w:r>
      <w:r>
        <w:rPr>
          <w:rFonts w:hint="eastAsia"/>
          <w:color w:val="auto"/>
          <w:sz w:val="22"/>
          <w:szCs w:val="22"/>
          <w:highlight w:val="none"/>
          <w:lang w:eastAsia="zh-CN"/>
        </w:rPr>
        <w:t>：</w:t>
      </w:r>
    </w:p>
    <w:tbl>
      <w:tblPr>
        <w:tblStyle w:val="52"/>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85"/>
        <w:gridCol w:w="660"/>
        <w:gridCol w:w="755"/>
        <w:gridCol w:w="275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序号</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val="en-US" w:eastAsia="zh-CN"/>
              </w:rPr>
              <w:t>项目</w:t>
            </w:r>
            <w:r>
              <w:rPr>
                <w:rFonts w:hint="eastAsia" w:ascii="新宋体" w:hAnsi="新宋体" w:eastAsia="新宋体" w:cs="新宋体"/>
                <w:color w:val="000000"/>
                <w:kern w:val="0"/>
                <w:sz w:val="22"/>
                <w:szCs w:val="22"/>
                <w:highlight w:val="none"/>
              </w:rPr>
              <w:t>内容</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数量</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单位</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kern w:val="0"/>
                <w:sz w:val="22"/>
                <w:szCs w:val="22"/>
                <w:highlight w:val="none"/>
              </w:rPr>
              <w:t>预算金额</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b/>
                <w:bCs/>
                <w:color w:val="auto"/>
                <w:highlight w:val="none"/>
                <w:lang w:val="en-US" w:eastAsia="zh-CN"/>
              </w:rPr>
              <w:t>温州金融综合服务平台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440" w:lineRule="exact"/>
              <w:jc w:val="center"/>
              <w:textAlignment w:val="auto"/>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项</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pStyle w:val="232"/>
              <w:keepNext w:val="0"/>
              <w:keepLines w:val="0"/>
              <w:pageBreakBefore w:val="0"/>
              <w:kinsoku/>
              <w:wordWrap/>
              <w:overflowPunct/>
              <w:topLinePunct w:val="0"/>
              <w:bidi w:val="0"/>
              <w:snapToGrid w:val="0"/>
              <w:spacing w:before="0" w:line="440" w:lineRule="exact"/>
              <w:ind w:firstLine="0" w:firstLineChars="0"/>
              <w:jc w:val="center"/>
              <w:textAlignment w:val="auto"/>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b/>
                <w:color w:val="auto"/>
                <w:sz w:val="22"/>
                <w:szCs w:val="22"/>
                <w:highlight w:val="none"/>
                <w:u w:val="single"/>
                <w:lang w:val="en-US" w:eastAsia="zh-CN"/>
              </w:rPr>
              <w:t>人民币伍佰壹拾万元整（¥5100000.00元）</w:t>
            </w:r>
          </w:p>
        </w:tc>
        <w:tc>
          <w:tcPr>
            <w:tcW w:w="2901" w:type="dxa"/>
            <w:tcBorders>
              <w:top w:val="single" w:color="auto" w:sz="4" w:space="0"/>
              <w:left w:val="single" w:color="auto" w:sz="4" w:space="0"/>
              <w:bottom w:val="single" w:color="auto" w:sz="4" w:space="0"/>
            </w:tcBorders>
            <w:noWrap w:val="0"/>
            <w:vAlign w:val="center"/>
          </w:tcPr>
          <w:p>
            <w:pPr>
              <w:keepNext w:val="0"/>
              <w:keepLines w:val="0"/>
              <w:pageBreakBefore w:val="0"/>
              <w:shd w:val="clear" w:color="auto" w:fill="FFFFFF"/>
              <w:kinsoku/>
              <w:wordWrap/>
              <w:overflowPunct/>
              <w:topLinePunct w:val="0"/>
              <w:bidi w:val="0"/>
              <w:snapToGrid w:val="0"/>
              <w:spacing w:line="440" w:lineRule="exact"/>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详见招标文件第</w:t>
            </w:r>
            <w:r>
              <w:rPr>
                <w:rFonts w:hint="eastAsia" w:ascii="新宋体" w:hAnsi="新宋体" w:eastAsia="新宋体" w:cs="新宋体"/>
                <w:color w:val="000000"/>
                <w:sz w:val="22"/>
                <w:szCs w:val="22"/>
                <w:highlight w:val="none"/>
                <w:lang w:val="en-US" w:eastAsia="zh-CN"/>
              </w:rPr>
              <w:t>四</w:t>
            </w:r>
            <w:r>
              <w:rPr>
                <w:rFonts w:hint="eastAsia" w:ascii="新宋体" w:hAnsi="新宋体" w:eastAsia="新宋体" w:cs="新宋体"/>
                <w:color w:val="000000"/>
                <w:sz w:val="22"/>
                <w:szCs w:val="22"/>
                <w:highlight w:val="none"/>
              </w:rPr>
              <w:t>部分“项目技术规范和服务要求”</w:t>
            </w:r>
          </w:p>
        </w:tc>
      </w:tr>
    </w:tbl>
    <w:p>
      <w:pPr>
        <w:tabs>
          <w:tab w:val="left" w:pos="360"/>
        </w:tabs>
        <w:spacing w:line="460" w:lineRule="exact"/>
        <w:ind w:firstLine="994" w:firstLineChars="450"/>
        <w:rPr>
          <w:rFonts w:hint="default"/>
          <w:b/>
          <w:bCs/>
          <w:color w:val="auto"/>
          <w:highlight w:val="none"/>
          <w:lang w:val="en-US" w:eastAsia="zh-CN"/>
        </w:rPr>
      </w:pPr>
      <w:r>
        <w:rPr>
          <w:rFonts w:hint="eastAsia" w:ascii="新宋体" w:hAnsi="新宋体" w:eastAsia="新宋体" w:cs="新宋体"/>
          <w:b/>
          <w:bCs/>
          <w:sz w:val="22"/>
          <w:szCs w:val="22"/>
          <w:highlight w:val="none"/>
          <w:lang w:val="en-US" w:eastAsia="zh-CN"/>
        </w:rPr>
        <w:t>如</w:t>
      </w:r>
      <w:r>
        <w:rPr>
          <w:rFonts w:hint="eastAsia" w:ascii="新宋体" w:hAnsi="新宋体" w:eastAsia="新宋体" w:cs="新宋体"/>
          <w:b/>
          <w:bCs/>
          <w:sz w:val="22"/>
          <w:szCs w:val="22"/>
          <w:highlight w:val="none"/>
          <w:lang w:eastAsia="zh-CN"/>
        </w:rPr>
        <w:t>投标人报价超过</w:t>
      </w:r>
      <w:r>
        <w:rPr>
          <w:rFonts w:hint="eastAsia" w:ascii="新宋体" w:hAnsi="新宋体" w:eastAsia="新宋体" w:cs="新宋体"/>
          <w:b/>
          <w:bCs/>
          <w:sz w:val="22"/>
          <w:szCs w:val="22"/>
          <w:highlight w:val="none"/>
          <w:lang w:val="en-US" w:eastAsia="zh-CN"/>
        </w:rPr>
        <w:t>财政预算</w:t>
      </w:r>
      <w:r>
        <w:rPr>
          <w:rFonts w:hint="eastAsia" w:ascii="新宋体" w:hAnsi="新宋体" w:eastAsia="新宋体" w:cs="新宋体"/>
          <w:b/>
          <w:bCs/>
          <w:sz w:val="22"/>
          <w:szCs w:val="22"/>
          <w:highlight w:val="none"/>
          <w:lang w:eastAsia="zh-CN"/>
        </w:rPr>
        <w:t>按无效标处理</w:t>
      </w: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2" w:firstLineChars="250"/>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四、投标供应商资格要求:</w:t>
      </w:r>
    </w:p>
    <w:p>
      <w:pPr>
        <w:tabs>
          <w:tab w:val="left" w:pos="360"/>
        </w:tabs>
        <w:spacing w:line="460" w:lineRule="exact"/>
        <w:ind w:firstLine="552" w:firstLineChars="250"/>
        <w:rPr>
          <w:rFonts w:hint="eastAsia" w:ascii="新宋体" w:hAnsi="新宋体" w:eastAsia="新宋体"/>
          <w:color w:val="auto"/>
          <w:sz w:val="22"/>
          <w:highlight w:val="none"/>
          <w:lang w:eastAsia="zh-CN"/>
        </w:rPr>
      </w:pPr>
      <w:r>
        <w:rPr>
          <w:rFonts w:hint="eastAsia" w:ascii="新宋体" w:hAnsi="新宋体" w:eastAsia="新宋体"/>
          <w:b/>
          <w:bCs/>
          <w:color w:val="auto"/>
          <w:sz w:val="22"/>
          <w:highlight w:val="none"/>
          <w:lang w:eastAsia="zh-CN"/>
        </w:rPr>
        <w:t> 1、符合《中华人民共和国政府采购法》第二十二条的规定：</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eastAsia="zh-CN"/>
        </w:rPr>
        <w:t>（1）具有独立承担民事责任的能力；</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eastAsia="zh-CN"/>
        </w:rPr>
        <w:t>（2）具有良好的商业信誉和健全的财务会计制度；</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eastAsia="zh-CN"/>
        </w:rPr>
        <w:t>（3）具有履行合同所必需的场地、设备和专业技术能力；</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eastAsia="zh-CN"/>
        </w:rPr>
        <w:t>（4）有依法缴纳税收和社会保障资金的良好记录；</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eastAsia="zh-CN"/>
        </w:rPr>
        <w:t xml:space="preserve">（5）参加政府采购活动前三年内，在经营活动中没有重大违法记录； </w:t>
      </w:r>
    </w:p>
    <w:p>
      <w:pPr>
        <w:tabs>
          <w:tab w:val="left" w:pos="360"/>
        </w:tabs>
        <w:spacing w:line="460" w:lineRule="exact"/>
        <w:ind w:firstLine="552" w:firstLineChars="250"/>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2、投标供应商特定资格条件：</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1</w:t>
      </w:r>
      <w:r>
        <w:rPr>
          <w:rFonts w:hint="eastAsia" w:ascii="新宋体" w:hAnsi="新宋体" w:eastAsia="新宋体"/>
          <w:color w:val="auto"/>
          <w:sz w:val="22"/>
          <w:highlight w:val="none"/>
          <w:lang w:eastAsia="zh-CN"/>
        </w:rPr>
        <w:t xml:space="preserve">）未被“信用中国”（www.creditchina.gov.cn）、中国政府采购网（www.ccgp.gov.cn）列入失信被执行人、重大税收违法案件当事人名单、政府采购严重违法失信行为记录名单； </w:t>
      </w:r>
    </w:p>
    <w:p>
      <w:pPr>
        <w:tabs>
          <w:tab w:val="left" w:pos="360"/>
        </w:tabs>
        <w:spacing w:line="460" w:lineRule="exact"/>
        <w:ind w:firstLine="550" w:firstLineChars="250"/>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（2）</w:t>
      </w:r>
      <w:r>
        <w:rPr>
          <w:rFonts w:hint="eastAsia" w:ascii="新宋体" w:hAnsi="新宋体" w:eastAsia="新宋体"/>
          <w:color w:val="auto"/>
          <w:sz w:val="22"/>
          <w:highlight w:val="none"/>
          <w:lang w:eastAsia="zh-CN"/>
        </w:rPr>
        <w:t>单位负责人为同一人或者存在直接控股、管理关系的不同供应商，不得参加同一合同项下的采购活动。违反该款规定的，相关投标均无效；</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（3）</w:t>
      </w:r>
      <w:r>
        <w:rPr>
          <w:rFonts w:hint="eastAsia" w:ascii="新宋体" w:hAnsi="新宋体" w:eastAsia="新宋体"/>
          <w:color w:val="auto"/>
          <w:sz w:val="22"/>
          <w:highlight w:val="none"/>
          <w:lang w:eastAsia="zh-CN"/>
        </w:rPr>
        <w:t>不允许联合体投标。</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五、招标文件的获取:</w:t>
      </w:r>
    </w:p>
    <w:p>
      <w:pPr>
        <w:tabs>
          <w:tab w:val="left" w:pos="360"/>
        </w:tabs>
        <w:spacing w:line="460" w:lineRule="exact"/>
        <w:ind w:firstLine="552" w:firstLineChars="250"/>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1、本项目招标文件实行“政府采购云平台”在线获取，不提供招标文件纸质版。供应商获取招标文件前应先完成“政府采购云平台”的账号注册；</w:t>
      </w:r>
    </w:p>
    <w:p>
      <w:pPr>
        <w:tabs>
          <w:tab w:val="left" w:pos="360"/>
        </w:tabs>
        <w:spacing w:line="460" w:lineRule="exact"/>
        <w:ind w:firstLine="552" w:firstLineChars="250"/>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2、地点：政采云平台（http://zfcg.czt.zj.gov.cn）；</w:t>
      </w:r>
    </w:p>
    <w:p>
      <w:pPr>
        <w:tabs>
          <w:tab w:val="left" w:pos="360"/>
        </w:tabs>
        <w:spacing w:line="460" w:lineRule="exact"/>
        <w:ind w:firstLine="552" w:firstLineChars="250"/>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tabs>
          <w:tab w:val="left" w:pos="360"/>
        </w:tabs>
        <w:spacing w:line="460" w:lineRule="exact"/>
        <w:ind w:firstLine="552" w:firstLineChars="250"/>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4、供应商获取招标文件时须提交的文件资料：无；</w:t>
      </w:r>
    </w:p>
    <w:p>
      <w:pPr>
        <w:tabs>
          <w:tab w:val="left" w:pos="360"/>
        </w:tabs>
        <w:spacing w:line="460" w:lineRule="exact"/>
        <w:ind w:firstLine="552" w:firstLineChars="250"/>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360"/>
        </w:tabs>
        <w:spacing w:line="460" w:lineRule="exact"/>
        <w:ind w:firstLine="552" w:firstLineChars="250"/>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注：请供应商按上述要求获取招标文件，如未在“政采云”系统内完成相关流程，引起的投标无效责任自负。</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六、投标截止时间： 2020</w:t>
      </w:r>
      <w:r>
        <w:rPr>
          <w:rFonts w:hint="eastAsia" w:ascii="新宋体" w:hAnsi="新宋体" w:eastAsia="新宋体"/>
          <w:b/>
          <w:bCs/>
          <w:color w:val="auto"/>
          <w:sz w:val="22"/>
          <w:szCs w:val="22"/>
          <w:highlight w:val="none"/>
          <w:lang w:val="en-US" w:eastAsia="zh-CN"/>
        </w:rPr>
        <w:t xml:space="preserve">年5月15日 </w:t>
      </w:r>
      <w:r>
        <w:rPr>
          <w:rFonts w:hint="eastAsia" w:ascii="新宋体" w:hAnsi="新宋体" w:eastAsia="新宋体"/>
          <w:b/>
          <w:bCs/>
          <w:color w:val="auto"/>
          <w:sz w:val="22"/>
          <w:szCs w:val="22"/>
          <w:highlight w:val="none"/>
        </w:rPr>
        <w:t xml:space="preserve"> </w:t>
      </w:r>
      <w:r>
        <w:rPr>
          <w:rFonts w:hint="eastAsia" w:ascii="新宋体" w:hAnsi="新宋体" w:eastAsia="新宋体"/>
          <w:b/>
          <w:bCs/>
          <w:color w:val="auto"/>
          <w:sz w:val="22"/>
          <w:szCs w:val="22"/>
          <w:highlight w:val="none"/>
          <w:lang w:val="en-US" w:eastAsia="zh-CN"/>
        </w:rPr>
        <w:t xml:space="preserve"> 9</w:t>
      </w:r>
      <w:r>
        <w:rPr>
          <w:rFonts w:hint="eastAsia" w:ascii="新宋体" w:hAnsi="新宋体" w:eastAsia="新宋体"/>
          <w:b/>
          <w:bCs/>
          <w:color w:val="auto"/>
          <w:sz w:val="22"/>
          <w:szCs w:val="22"/>
          <w:highlight w:val="none"/>
        </w:rPr>
        <w:t>:</w:t>
      </w: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0:00</w:t>
      </w:r>
      <w:r>
        <w:rPr>
          <w:rFonts w:hint="eastAsia" w:ascii="新宋体" w:hAnsi="新宋体" w:eastAsia="新宋体"/>
          <w:b/>
          <w:bCs/>
          <w:color w:val="auto"/>
          <w:sz w:val="22"/>
          <w:szCs w:val="22"/>
          <w:highlight w:val="none"/>
          <w:lang w:val="en-US" w:eastAsia="zh-CN"/>
        </w:rPr>
        <w:t>分整</w:t>
      </w:r>
      <w:r>
        <w:rPr>
          <w:rFonts w:hint="eastAsia" w:ascii="新宋体" w:hAnsi="新宋体" w:eastAsia="新宋体"/>
          <w:b w:val="0"/>
          <w:bCs w:val="0"/>
          <w:color w:val="auto"/>
          <w:sz w:val="22"/>
          <w:szCs w:val="22"/>
          <w:highlight w:val="none"/>
        </w:rPr>
        <w:t> </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七、投标地址：</w:t>
      </w:r>
      <w:r>
        <w:rPr>
          <w:rFonts w:hint="eastAsia" w:ascii="新宋体" w:hAnsi="新宋体" w:eastAsia="新宋体"/>
          <w:b w:val="0"/>
          <w:bCs w:val="0"/>
          <w:color w:val="auto"/>
          <w:sz w:val="22"/>
          <w:szCs w:val="22"/>
          <w:highlight w:val="none"/>
        </w:rPr>
        <w:t>温州市行政审批与公共资源交易服务管理中心（温州市鹿城区会展路1268号温州市民中心A座3楼公共资源交易受理区）</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八、开标时间： 2020</w:t>
      </w:r>
      <w:r>
        <w:rPr>
          <w:rFonts w:hint="eastAsia" w:ascii="新宋体" w:hAnsi="新宋体" w:eastAsia="新宋体"/>
          <w:b/>
          <w:bCs/>
          <w:color w:val="auto"/>
          <w:sz w:val="22"/>
          <w:szCs w:val="22"/>
          <w:highlight w:val="none"/>
          <w:lang w:val="en-US" w:eastAsia="zh-CN"/>
        </w:rPr>
        <w:t xml:space="preserve">年5月15日 </w:t>
      </w:r>
      <w:r>
        <w:rPr>
          <w:rFonts w:hint="eastAsia" w:ascii="新宋体" w:hAnsi="新宋体" w:eastAsia="新宋体"/>
          <w:b/>
          <w:bCs/>
          <w:color w:val="auto"/>
          <w:sz w:val="22"/>
          <w:szCs w:val="22"/>
          <w:highlight w:val="none"/>
        </w:rPr>
        <w:t xml:space="preserve"> </w:t>
      </w:r>
      <w:r>
        <w:rPr>
          <w:rFonts w:hint="eastAsia" w:ascii="新宋体" w:hAnsi="新宋体" w:eastAsia="新宋体"/>
          <w:b/>
          <w:bCs/>
          <w:color w:val="auto"/>
          <w:sz w:val="22"/>
          <w:szCs w:val="22"/>
          <w:highlight w:val="none"/>
          <w:lang w:val="en-US" w:eastAsia="zh-CN"/>
        </w:rPr>
        <w:t xml:space="preserve"> 9</w:t>
      </w:r>
      <w:r>
        <w:rPr>
          <w:rFonts w:hint="eastAsia" w:ascii="新宋体" w:hAnsi="新宋体" w:eastAsia="新宋体"/>
          <w:b/>
          <w:bCs/>
          <w:color w:val="auto"/>
          <w:sz w:val="22"/>
          <w:szCs w:val="22"/>
          <w:highlight w:val="none"/>
        </w:rPr>
        <w:t>:</w:t>
      </w: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0:00</w:t>
      </w:r>
      <w:r>
        <w:rPr>
          <w:rFonts w:hint="eastAsia" w:ascii="新宋体" w:hAnsi="新宋体" w:eastAsia="新宋体"/>
          <w:b/>
          <w:bCs/>
          <w:color w:val="auto"/>
          <w:sz w:val="22"/>
          <w:szCs w:val="22"/>
          <w:highlight w:val="none"/>
          <w:lang w:val="en-US" w:eastAsia="zh-CN"/>
        </w:rPr>
        <w:t>分整</w:t>
      </w:r>
    </w:p>
    <w:p>
      <w:pPr>
        <w:tabs>
          <w:tab w:val="left" w:pos="360"/>
        </w:tabs>
        <w:spacing w:line="460" w:lineRule="exact"/>
        <w:ind w:firstLine="552" w:firstLineChars="250"/>
        <w:rPr>
          <w:rFonts w:hint="eastAsia" w:ascii="新宋体" w:hAnsi="新宋体" w:eastAsia="新宋体"/>
          <w:b w:val="0"/>
          <w:bCs w:val="0"/>
          <w:color w:val="auto"/>
          <w:sz w:val="22"/>
          <w:szCs w:val="22"/>
          <w:highlight w:val="none"/>
        </w:rPr>
      </w:pPr>
      <w:r>
        <w:rPr>
          <w:rFonts w:hint="eastAsia" w:ascii="新宋体" w:hAnsi="新宋体" w:eastAsia="新宋体"/>
          <w:b/>
          <w:bCs/>
          <w:color w:val="auto"/>
          <w:sz w:val="22"/>
          <w:szCs w:val="22"/>
          <w:highlight w:val="none"/>
        </w:rPr>
        <w:t>九、开标地址：</w:t>
      </w:r>
      <w:r>
        <w:rPr>
          <w:rFonts w:hint="eastAsia" w:ascii="新宋体" w:hAnsi="新宋体" w:eastAsia="新宋体"/>
          <w:b w:val="0"/>
          <w:bCs w:val="0"/>
          <w:color w:val="auto"/>
          <w:sz w:val="22"/>
          <w:szCs w:val="22"/>
          <w:highlight w:val="none"/>
        </w:rPr>
        <w:t>温州市行政审批与公共资源交易服务管理中心（温州市鹿城区会展路1268号温州市民中心A座3楼公共资源交易开标区）</w:t>
      </w:r>
    </w:p>
    <w:p>
      <w:pPr>
        <w:tabs>
          <w:tab w:val="left" w:pos="360"/>
        </w:tabs>
        <w:spacing w:line="460" w:lineRule="exact"/>
        <w:ind w:firstLine="552" w:firstLineChars="250"/>
        <w:rPr>
          <w:rFonts w:hint="eastAsia" w:ascii="新宋体" w:hAnsi="新宋体" w:eastAsia="新宋体"/>
          <w:b/>
          <w:bCs/>
          <w:color w:val="auto"/>
          <w:sz w:val="22"/>
          <w:szCs w:val="22"/>
          <w:highlight w:val="none"/>
          <w:lang w:val="en-US" w:eastAsia="zh-CN"/>
        </w:rPr>
      </w:pPr>
      <w:r>
        <w:rPr>
          <w:rFonts w:hint="eastAsia" w:ascii="新宋体" w:hAnsi="新宋体" w:eastAsia="新宋体"/>
          <w:b/>
          <w:bCs/>
          <w:color w:val="auto"/>
          <w:sz w:val="22"/>
          <w:szCs w:val="22"/>
          <w:highlight w:val="none"/>
        </w:rPr>
        <w:t>十、投标保证金：</w:t>
      </w:r>
      <w:r>
        <w:rPr>
          <w:rFonts w:hint="eastAsia" w:ascii="新宋体" w:hAnsi="新宋体" w:eastAsia="新宋体"/>
          <w:b/>
          <w:bCs/>
          <w:color w:val="auto"/>
          <w:sz w:val="22"/>
          <w:szCs w:val="22"/>
          <w:highlight w:val="none"/>
          <w:lang w:val="en-US" w:eastAsia="zh-CN"/>
        </w:rPr>
        <w:t>无</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十一、在线投标响应（电子投标）说明</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tabs>
          <w:tab w:val="left" w:pos="360"/>
        </w:tabs>
        <w:spacing w:line="460" w:lineRule="exact"/>
        <w:ind w:firstLine="552" w:firstLineChars="250"/>
        <w:rPr>
          <w:rFonts w:hint="eastAsia" w:ascii="新宋体" w:hAnsi="新宋体" w:eastAsia="新宋体" w:cs="新宋体"/>
          <w:b/>
          <w:bCs/>
          <w:color w:val="auto"/>
          <w:sz w:val="22"/>
          <w:szCs w:val="22"/>
          <w:highlight w:val="none"/>
        </w:rPr>
      </w:pPr>
      <w:r>
        <w:rPr>
          <w:rFonts w:hint="eastAsia" w:ascii="新宋体" w:hAnsi="新宋体" w:eastAsia="新宋体"/>
          <w:b/>
          <w:bCs/>
          <w:color w:val="auto"/>
          <w:sz w:val="22"/>
          <w:szCs w:val="22"/>
          <w:highlight w:val="none"/>
        </w:rPr>
        <w:t>“政采云电子交易客户端”请自行前往“浙江政府采购网-下载专区-电子交易客户端”进行下载；电子投标具体操作流程详见本公告附件《供应商项目采购-电子招投标操作指南》；通过“政府采购云平</w:t>
      </w:r>
      <w:r>
        <w:rPr>
          <w:rFonts w:hint="eastAsia" w:ascii="新宋体" w:hAnsi="新宋体" w:eastAsia="新宋体" w:cs="新宋体"/>
          <w:b/>
          <w:bCs/>
          <w:color w:val="auto"/>
          <w:sz w:val="22"/>
          <w:szCs w:val="22"/>
          <w:highlight w:val="none"/>
        </w:rPr>
        <w:t>台”参与在线投标时如遇平台技术问题详询400-881-7190。</w:t>
      </w:r>
    </w:p>
    <w:p>
      <w:pPr>
        <w:tabs>
          <w:tab w:val="left" w:pos="360"/>
        </w:tabs>
        <w:spacing w:line="460" w:lineRule="exact"/>
        <w:ind w:firstLine="552" w:firstLineChars="2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新宋体" w:hAnsi="新宋体" w:eastAsia="新宋体" w:cs="新宋体"/>
          <w:b/>
          <w:bCs/>
          <w:color w:val="auto"/>
          <w:sz w:val="22"/>
          <w:szCs w:val="22"/>
          <w:highlight w:val="none"/>
        </w:rPr>
        <w:fldChar w:fldCharType="begin"/>
      </w:r>
      <w:r>
        <w:rPr>
          <w:rFonts w:hint="eastAsia" w:ascii="新宋体" w:hAnsi="新宋体" w:eastAsia="新宋体" w:cs="新宋体"/>
          <w:b/>
          <w:bCs/>
          <w:color w:val="auto"/>
          <w:sz w:val="22"/>
          <w:szCs w:val="22"/>
          <w:highlight w:val="none"/>
        </w:rPr>
        <w:instrText xml:space="preserve"> HYPERLINK "http://www.zjzfcg.gov.cn/bidClientTemplate/2019-05-27/12945.html" \o "CA驱动和申领流程" \t "_blank" </w:instrText>
      </w:r>
      <w:r>
        <w:rPr>
          <w:rFonts w:hint="eastAsia" w:ascii="新宋体" w:hAnsi="新宋体" w:eastAsia="新宋体" w:cs="新宋体"/>
          <w:b/>
          <w:bCs/>
          <w:color w:val="auto"/>
          <w:sz w:val="22"/>
          <w:szCs w:val="22"/>
          <w:highlight w:val="none"/>
        </w:rPr>
        <w:fldChar w:fldCharType="separate"/>
      </w:r>
      <w:r>
        <w:rPr>
          <w:rFonts w:hint="eastAsia" w:ascii="新宋体" w:hAnsi="新宋体" w:eastAsia="新宋体" w:cs="新宋体"/>
          <w:b/>
          <w:bCs/>
          <w:color w:val="auto"/>
          <w:sz w:val="22"/>
          <w:szCs w:val="22"/>
          <w:highlight w:val="none"/>
        </w:rPr>
        <w:t>CA驱动和申领流程</w:t>
      </w:r>
      <w:r>
        <w:rPr>
          <w:rFonts w:hint="eastAsia" w:ascii="新宋体" w:hAnsi="新宋体" w:eastAsia="新宋体" w:cs="新宋体"/>
          <w:b/>
          <w:bCs/>
          <w:color w:val="auto"/>
          <w:sz w:val="22"/>
          <w:szCs w:val="22"/>
          <w:highlight w:val="none"/>
        </w:rPr>
        <w:fldChar w:fldCharType="end"/>
      </w:r>
      <w:r>
        <w:rPr>
          <w:rFonts w:hint="eastAsia" w:ascii="新宋体" w:hAnsi="新宋体" w:eastAsia="新宋体" w:cs="新宋体"/>
          <w:b/>
          <w:bCs/>
          <w:color w:val="auto"/>
          <w:sz w:val="22"/>
          <w:szCs w:val="22"/>
          <w:highlight w:val="none"/>
        </w:rPr>
        <w:t>”进行查阅；</w:t>
      </w:r>
    </w:p>
    <w:p>
      <w:pPr>
        <w:tabs>
          <w:tab w:val="left" w:pos="360"/>
        </w:tabs>
        <w:spacing w:line="460" w:lineRule="exact"/>
        <w:ind w:firstLine="552" w:firstLineChars="2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2" w:firstLineChars="250"/>
        <w:textAlignment w:val="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4、投标供应商在“政府采购云平台”完成“电子加密投标文件”的上传递交后，还可以在投标截止时间前递交以介质（U盘）存储的数据电文形式的“备份投标文件”，“备份投标文件”应当密封包装并在包装上标注投标项目名称、投标单位名称并加盖公章。</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可以</w:t>
      </w:r>
      <w:r>
        <w:rPr>
          <w:rFonts w:hint="eastAsia" w:ascii="新宋体" w:hAnsi="新宋体" w:eastAsia="新宋体" w:cs="新宋体"/>
          <w:b/>
          <w:color w:val="auto"/>
          <w:sz w:val="22"/>
          <w:szCs w:val="22"/>
          <w:highlight w:val="none"/>
          <w:u w:val="single"/>
        </w:rPr>
        <w:t>（EMS邮寄形式）在投标截止时间前递交</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lang w:val="en-US" w:eastAsia="zh-CN"/>
        </w:rPr>
        <w:t>并需采购代理机构确认是否收到</w:t>
      </w:r>
      <w:r>
        <w:rPr>
          <w:rFonts w:hint="eastAsia" w:ascii="新宋体" w:hAnsi="新宋体" w:eastAsia="新宋体" w:cs="新宋体"/>
          <w:b/>
          <w:bCs/>
          <w:color w:val="auto"/>
          <w:sz w:val="22"/>
          <w:szCs w:val="22"/>
          <w:highlight w:val="none"/>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2" w:firstLineChars="25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2" w:firstLineChars="250"/>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二</w:t>
      </w:r>
      <w:r>
        <w:rPr>
          <w:rFonts w:hint="eastAsia" w:ascii="新宋体" w:hAnsi="新宋体" w:eastAsia="新宋体"/>
          <w:b/>
          <w:bCs/>
          <w:color w:val="auto"/>
          <w:sz w:val="22"/>
          <w:szCs w:val="22"/>
          <w:highlight w:val="none"/>
        </w:rPr>
        <w:t>、其他事项：</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0" w:firstLineChars="2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lang w:val="en-US" w:eastAsia="zh-CN"/>
        </w:rPr>
        <w:t>1、</w:t>
      </w:r>
      <w:r>
        <w:rPr>
          <w:rFonts w:hint="eastAsia" w:ascii="新宋体" w:hAnsi="新宋体" w:eastAsia="新宋体"/>
          <w:b w:val="0"/>
          <w:bCs w:val="0"/>
          <w:color w:val="auto"/>
          <w:sz w:val="22"/>
          <w:szCs w:val="22"/>
          <w:highlight w:val="none"/>
        </w:rPr>
        <w:t>本项目公告期限：5个工作日。</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0" w:firstLineChars="2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2、供应商认为招标文件使自己的权益受到损害的，可以自</w:t>
      </w:r>
      <w:r>
        <w:rPr>
          <w:rFonts w:hint="eastAsia" w:ascii="新宋体" w:hAnsi="新宋体" w:eastAsia="新宋体"/>
          <w:b w:val="0"/>
          <w:bCs w:val="0"/>
          <w:color w:val="auto"/>
          <w:sz w:val="22"/>
          <w:szCs w:val="22"/>
          <w:highlight w:val="none"/>
          <w:lang w:val="en-US" w:eastAsia="zh-CN"/>
        </w:rPr>
        <w:t>获取</w:t>
      </w:r>
      <w:r>
        <w:rPr>
          <w:rFonts w:hint="eastAsia" w:ascii="新宋体" w:hAnsi="新宋体" w:eastAsia="新宋体"/>
          <w:b w:val="0"/>
          <w:bCs w:val="0"/>
          <w:color w:val="auto"/>
          <w:sz w:val="22"/>
          <w:szCs w:val="22"/>
          <w:highlight w:val="none"/>
        </w:rPr>
        <w:t>到招标文件之日（公告期限截止日之后</w:t>
      </w:r>
      <w:r>
        <w:rPr>
          <w:rFonts w:hint="eastAsia" w:ascii="新宋体" w:hAnsi="新宋体" w:eastAsia="新宋体"/>
          <w:b w:val="0"/>
          <w:bCs w:val="0"/>
          <w:color w:val="auto"/>
          <w:sz w:val="22"/>
          <w:szCs w:val="22"/>
          <w:highlight w:val="none"/>
          <w:lang w:val="en-US" w:eastAsia="zh-CN"/>
        </w:rPr>
        <w:t>获取</w:t>
      </w:r>
      <w:r>
        <w:rPr>
          <w:rFonts w:hint="eastAsia" w:ascii="新宋体" w:hAnsi="新宋体" w:eastAsia="新宋体"/>
          <w:b w:val="0"/>
          <w:bCs w:val="0"/>
          <w:color w:val="auto"/>
          <w:sz w:val="22"/>
          <w:szCs w:val="22"/>
          <w:highlight w:val="none"/>
        </w:rPr>
        <w:t>到招标文件的，以公告期限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0" w:firstLineChars="2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3、本项目对符合财政扶持政策的中小企业（小型、微型）、监狱企业、残疾人福利性单位给予价格优惠扶持，执行节能产品政府强制采购和优先采购政策，执行环境标志产品政府优先采购政策。</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0" w:firstLineChars="2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4、书面质疑受理地点：：温州市鹿城区汤家桥路大自然家园三期2号楼B单元2901室，</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1650" w:firstLineChars="7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联系人：</w:t>
      </w:r>
      <w:r>
        <w:rPr>
          <w:rFonts w:hint="eastAsia" w:ascii="新宋体" w:hAnsi="新宋体" w:eastAsia="新宋体"/>
          <w:b w:val="0"/>
          <w:bCs w:val="0"/>
          <w:color w:val="auto"/>
          <w:sz w:val="22"/>
          <w:szCs w:val="22"/>
          <w:highlight w:val="none"/>
          <w:lang w:val="en-US" w:eastAsia="zh-CN"/>
        </w:rPr>
        <w:t>肖</w:t>
      </w:r>
      <w:r>
        <w:rPr>
          <w:rFonts w:hint="eastAsia" w:ascii="新宋体" w:hAnsi="新宋体" w:eastAsia="新宋体"/>
          <w:b w:val="0"/>
          <w:bCs w:val="0"/>
          <w:color w:val="auto"/>
          <w:sz w:val="22"/>
          <w:szCs w:val="22"/>
          <w:highlight w:val="none"/>
        </w:rPr>
        <w:t>女士 </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2" w:firstLineChars="250"/>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三</w:t>
      </w:r>
      <w:r>
        <w:rPr>
          <w:rFonts w:hint="eastAsia" w:ascii="新宋体" w:hAnsi="新宋体" w:eastAsia="新宋体"/>
          <w:b/>
          <w:bCs/>
          <w:color w:val="auto"/>
          <w:sz w:val="22"/>
          <w:szCs w:val="22"/>
          <w:highlight w:val="none"/>
        </w:rPr>
        <w:t>、 联系方式</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0" w:firstLineChars="2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1、采购代理机构名称：温州历程招标有限公司 </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990" w:firstLineChars="4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联系人：郑永强 </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990" w:firstLineChars="4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联系电话：</w:t>
      </w:r>
      <w:r>
        <w:rPr>
          <w:rFonts w:hint="eastAsia" w:ascii="新宋体" w:hAnsi="新宋体" w:eastAsia="新宋体"/>
          <w:b w:val="0"/>
          <w:bCs w:val="0"/>
          <w:color w:val="auto"/>
          <w:sz w:val="22"/>
          <w:szCs w:val="22"/>
          <w:highlight w:val="none"/>
          <w:lang w:val="en-US" w:eastAsia="zh-CN"/>
        </w:rPr>
        <w:t>13757727199</w:t>
      </w:r>
      <w:r>
        <w:rPr>
          <w:rFonts w:hint="eastAsia" w:ascii="新宋体" w:hAnsi="新宋体" w:eastAsia="新宋体"/>
          <w:b w:val="0"/>
          <w:bCs w:val="0"/>
          <w:color w:val="auto"/>
          <w:sz w:val="22"/>
          <w:szCs w:val="22"/>
          <w:highlight w:val="none"/>
        </w:rPr>
        <w:t> </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990" w:firstLineChars="4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传真：</w:t>
      </w:r>
      <w:r>
        <w:rPr>
          <w:rFonts w:hint="eastAsia" w:ascii="新宋体" w:hAnsi="新宋体" w:eastAsia="新宋体"/>
          <w:b w:val="0"/>
          <w:bCs w:val="0"/>
          <w:color w:val="auto"/>
          <w:sz w:val="22"/>
          <w:szCs w:val="22"/>
          <w:highlight w:val="none"/>
          <w:lang w:val="en-US" w:eastAsia="zh-CN"/>
        </w:rPr>
        <w:t>0577-89887255</w:t>
      </w:r>
      <w:r>
        <w:rPr>
          <w:rFonts w:hint="eastAsia" w:ascii="新宋体" w:hAnsi="新宋体" w:eastAsia="新宋体"/>
          <w:b w:val="0"/>
          <w:bCs w:val="0"/>
          <w:color w:val="auto"/>
          <w:sz w:val="22"/>
          <w:szCs w:val="22"/>
          <w:highlight w:val="none"/>
        </w:rPr>
        <w:t> </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990" w:firstLineChars="4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地址：温州市鹿城区汤家桥路大自然家园三期2幢B单元2901室 </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550" w:firstLineChars="250"/>
        <w:textAlignment w:val="auto"/>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2、</w:t>
      </w:r>
      <w:r>
        <w:rPr>
          <w:rFonts w:hint="eastAsia" w:ascii="新宋体" w:hAnsi="新宋体" w:eastAsia="新宋体"/>
          <w:b w:val="0"/>
          <w:bCs w:val="0"/>
          <w:color w:val="auto"/>
          <w:sz w:val="22"/>
          <w:szCs w:val="22"/>
          <w:highlight w:val="none"/>
          <w:lang w:val="en-US" w:eastAsia="zh-CN"/>
        </w:rPr>
        <w:t>招标人</w:t>
      </w:r>
      <w:r>
        <w:rPr>
          <w:rFonts w:hint="eastAsia" w:ascii="新宋体" w:hAnsi="新宋体" w:eastAsia="新宋体"/>
          <w:b w:val="0"/>
          <w:bCs w:val="0"/>
          <w:color w:val="auto"/>
          <w:sz w:val="22"/>
          <w:szCs w:val="22"/>
          <w:highlight w:val="none"/>
        </w:rPr>
        <w:t>名称：</w:t>
      </w:r>
      <w:r>
        <w:rPr>
          <w:rFonts w:hint="eastAsia" w:ascii="新宋体" w:hAnsi="新宋体" w:eastAsia="新宋体"/>
          <w:b w:val="0"/>
          <w:bCs w:val="0"/>
          <w:color w:val="auto"/>
          <w:sz w:val="22"/>
          <w:szCs w:val="22"/>
          <w:highlight w:val="none"/>
          <w:lang w:eastAsia="zh-CN"/>
        </w:rPr>
        <w:t>温州市人民政府金融工作办公室</w:t>
      </w:r>
      <w:r>
        <w:rPr>
          <w:color w:val="auto"/>
          <w:sz w:val="27"/>
          <w:szCs w:val="27"/>
          <w:highlight w:val="none"/>
        </w:rPr>
        <w:t> </w:t>
      </w:r>
      <w:r>
        <w:rPr>
          <w:rFonts w:hint="eastAsia" w:ascii="新宋体" w:hAnsi="新宋体" w:eastAsia="新宋体"/>
          <w:color w:val="auto"/>
          <w:sz w:val="22"/>
          <w:highlight w:val="none"/>
          <w:lang w:eastAsia="zh-CN"/>
        </w:rPr>
        <w:t xml:space="preserve">                                 </w:t>
      </w:r>
      <w:r>
        <w:rPr>
          <w:rFonts w:hint="eastAsia" w:ascii="新宋体" w:hAnsi="新宋体" w:eastAsia="新宋体"/>
          <w:b w:val="0"/>
          <w:bCs w:val="0"/>
          <w:color w:val="auto"/>
          <w:sz w:val="22"/>
          <w:szCs w:val="22"/>
          <w:highlight w:val="none"/>
        </w:rPr>
        <w:t> </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990" w:firstLineChars="450"/>
        <w:textAlignment w:val="auto"/>
        <w:rPr>
          <w:rFonts w:hint="default" w:ascii="新宋体" w:hAnsi="新宋体" w:eastAsia="新宋体"/>
          <w:b w:val="0"/>
          <w:bCs w:val="0"/>
          <w:color w:val="auto"/>
          <w:sz w:val="22"/>
          <w:szCs w:val="22"/>
          <w:highlight w:val="none"/>
          <w:lang w:val="en-US" w:eastAsia="zh-CN"/>
        </w:rPr>
      </w:pPr>
      <w:r>
        <w:rPr>
          <w:rFonts w:hint="eastAsia" w:ascii="新宋体" w:hAnsi="新宋体" w:eastAsia="新宋体"/>
          <w:b w:val="0"/>
          <w:bCs w:val="0"/>
          <w:color w:val="auto"/>
          <w:sz w:val="22"/>
          <w:szCs w:val="22"/>
          <w:highlight w:val="none"/>
        </w:rPr>
        <w:t>联系人</w:t>
      </w:r>
      <w:r>
        <w:rPr>
          <w:rFonts w:hint="eastAsia" w:ascii="新宋体" w:hAnsi="新宋体" w:eastAsia="新宋体"/>
          <w:b w:val="0"/>
          <w:bCs w:val="0"/>
          <w:color w:val="auto"/>
          <w:sz w:val="22"/>
          <w:szCs w:val="22"/>
          <w:highlight w:val="none"/>
          <w:lang w:eastAsia="zh-CN"/>
        </w:rPr>
        <w:t>：</w:t>
      </w:r>
      <w:r>
        <w:rPr>
          <w:rFonts w:hint="eastAsia" w:ascii="新宋体" w:hAnsi="新宋体" w:eastAsia="新宋体"/>
          <w:b w:val="0"/>
          <w:bCs w:val="0"/>
          <w:color w:val="auto"/>
          <w:sz w:val="22"/>
          <w:szCs w:val="22"/>
          <w:highlight w:val="none"/>
          <w:lang w:val="en-US" w:eastAsia="zh-CN"/>
        </w:rPr>
        <w:t>陈先生</w:t>
      </w:r>
    </w:p>
    <w:p>
      <w:pPr>
        <w:keepNext w:val="0"/>
        <w:keepLines w:val="0"/>
        <w:pageBreakBefore w:val="0"/>
        <w:widowControl w:val="0"/>
        <w:tabs>
          <w:tab w:val="left" w:pos="360"/>
        </w:tabs>
        <w:kinsoku/>
        <w:wordWrap/>
        <w:overflowPunct/>
        <w:topLinePunct w:val="0"/>
        <w:autoSpaceDE/>
        <w:autoSpaceDN/>
        <w:bidi w:val="0"/>
        <w:adjustRightInd/>
        <w:snapToGrid/>
        <w:spacing w:line="420" w:lineRule="exact"/>
        <w:ind w:firstLine="990" w:firstLineChars="450"/>
        <w:textAlignment w:val="auto"/>
        <w:rPr>
          <w:rFonts w:hint="default" w:ascii="新宋体" w:hAnsi="新宋体" w:eastAsia="新宋体"/>
          <w:b w:val="0"/>
          <w:bCs w:val="0"/>
          <w:color w:val="auto"/>
          <w:sz w:val="22"/>
          <w:szCs w:val="22"/>
          <w:highlight w:val="none"/>
          <w:lang w:val="en-US" w:eastAsia="zh-CN"/>
        </w:rPr>
      </w:pPr>
      <w:r>
        <w:rPr>
          <w:rFonts w:hint="eastAsia" w:ascii="新宋体" w:hAnsi="新宋体" w:eastAsia="新宋体"/>
          <w:b w:val="0"/>
          <w:bCs w:val="0"/>
          <w:color w:val="auto"/>
          <w:sz w:val="22"/>
          <w:szCs w:val="22"/>
          <w:highlight w:val="none"/>
        </w:rPr>
        <w:t>联系电话：</w:t>
      </w:r>
      <w:r>
        <w:rPr>
          <w:rFonts w:hint="eastAsia" w:ascii="新宋体" w:hAnsi="新宋体" w:eastAsia="新宋体"/>
          <w:b w:val="0"/>
          <w:bCs w:val="0"/>
          <w:color w:val="auto"/>
          <w:sz w:val="22"/>
          <w:szCs w:val="22"/>
          <w:highlight w:val="none"/>
          <w:lang w:val="en-US" w:eastAsia="zh-CN"/>
        </w:rPr>
        <w:t>0577-</w:t>
      </w:r>
      <w:r>
        <w:rPr>
          <w:rFonts w:hint="eastAsia" w:ascii="新宋体" w:hAnsi="新宋体" w:eastAsia="新宋体"/>
          <w:b w:val="0"/>
          <w:bCs w:val="0"/>
          <w:color w:val="auto"/>
          <w:sz w:val="22"/>
          <w:szCs w:val="22"/>
          <w:highlight w:val="none"/>
        </w:rPr>
        <w:t>88960379</w:t>
      </w:r>
    </w:p>
    <w:p>
      <w:pPr>
        <w:keepNext w:val="0"/>
        <w:keepLines w:val="0"/>
        <w:pageBreakBefore w:val="0"/>
        <w:kinsoku/>
        <w:wordWrap/>
        <w:overflowPunct/>
        <w:topLinePunct w:val="0"/>
        <w:bidi w:val="0"/>
        <w:adjustRightInd/>
        <w:snapToGrid/>
        <w:spacing w:line="440" w:lineRule="exact"/>
        <w:ind w:firstLine="539" w:firstLineChars="245"/>
        <w:textAlignment w:val="auto"/>
        <w:rPr>
          <w:rFonts w:ascii="新宋体" w:hAnsi="新宋体" w:eastAsia="新宋体"/>
          <w:sz w:val="22"/>
          <w:highlight w:val="none"/>
        </w:rPr>
      </w:pPr>
      <w:r>
        <w:rPr>
          <w:rFonts w:hint="eastAsia" w:ascii="新宋体" w:hAnsi="新宋体" w:eastAsia="新宋体"/>
          <w:sz w:val="22"/>
          <w:highlight w:val="none"/>
          <w:lang w:val="en-US" w:eastAsia="zh-CN"/>
        </w:rPr>
        <w:t>3、</w:t>
      </w:r>
      <w:r>
        <w:rPr>
          <w:rFonts w:ascii="新宋体" w:hAnsi="新宋体" w:eastAsia="新宋体"/>
          <w:sz w:val="22"/>
          <w:highlight w:val="none"/>
        </w:rPr>
        <w:t>采购监督部门：</w:t>
      </w:r>
      <w:r>
        <w:rPr>
          <w:rFonts w:hint="eastAsia" w:ascii="新宋体" w:hAnsi="新宋体" w:eastAsia="新宋体"/>
          <w:sz w:val="22"/>
          <w:highlight w:val="none"/>
        </w:rPr>
        <w:t>温州市财政局政府采购监管处</w:t>
      </w:r>
    </w:p>
    <w:p>
      <w:pPr>
        <w:keepNext w:val="0"/>
        <w:keepLines w:val="0"/>
        <w:pageBreakBefore w:val="0"/>
        <w:kinsoku/>
        <w:wordWrap/>
        <w:overflowPunct/>
        <w:topLinePunct w:val="0"/>
        <w:bidi w:val="0"/>
        <w:adjustRightInd/>
        <w:snapToGrid/>
        <w:spacing w:line="440" w:lineRule="exact"/>
        <w:ind w:firstLine="976" w:firstLineChars="444"/>
        <w:textAlignment w:val="auto"/>
        <w:rPr>
          <w:rFonts w:ascii="新宋体" w:hAnsi="新宋体" w:eastAsia="新宋体"/>
          <w:sz w:val="22"/>
          <w:highlight w:val="none"/>
        </w:rPr>
      </w:pPr>
      <w:r>
        <w:rPr>
          <w:rFonts w:hint="eastAsia" w:ascii="新宋体" w:hAnsi="新宋体" w:eastAsia="新宋体"/>
          <w:sz w:val="22"/>
          <w:highlight w:val="none"/>
        </w:rPr>
        <w:t>联系人：陈先生、马女士</w:t>
      </w:r>
    </w:p>
    <w:p>
      <w:pPr>
        <w:keepNext w:val="0"/>
        <w:keepLines w:val="0"/>
        <w:pageBreakBefore w:val="0"/>
        <w:kinsoku/>
        <w:wordWrap/>
        <w:overflowPunct/>
        <w:topLinePunct w:val="0"/>
        <w:bidi w:val="0"/>
        <w:adjustRightInd/>
        <w:snapToGrid/>
        <w:spacing w:line="440" w:lineRule="exact"/>
        <w:ind w:left="441" w:leftChars="210" w:firstLine="440" w:firstLineChars="200"/>
        <w:textAlignment w:val="auto"/>
        <w:rPr>
          <w:rFonts w:hint="eastAsia" w:ascii="新宋体" w:hAnsi="新宋体" w:eastAsia="新宋体"/>
          <w:sz w:val="22"/>
          <w:highlight w:val="none"/>
        </w:rPr>
      </w:pPr>
      <w:r>
        <w:rPr>
          <w:rFonts w:ascii="新宋体" w:hAnsi="新宋体" w:eastAsia="新宋体"/>
          <w:sz w:val="22"/>
          <w:highlight w:val="none"/>
        </w:rPr>
        <w:t>电话：</w:t>
      </w:r>
      <w:r>
        <w:rPr>
          <w:rFonts w:hint="eastAsia" w:ascii="新宋体" w:hAnsi="新宋体" w:eastAsia="新宋体"/>
          <w:sz w:val="22"/>
          <w:highlight w:val="none"/>
        </w:rPr>
        <w:t>0577-88506788、0577-88523909</w:t>
      </w:r>
    </w:p>
    <w:p>
      <w:pPr>
        <w:spacing w:line="460" w:lineRule="exact"/>
        <w:ind w:firstLine="880" w:firstLineChars="400"/>
        <w:rPr>
          <w:rFonts w:hint="eastAsia" w:ascii="新宋体" w:hAnsi="新宋体" w:eastAsia="新宋体" w:cs="新宋体"/>
          <w:color w:val="auto"/>
          <w:sz w:val="22"/>
          <w:highlight w:val="none"/>
        </w:rPr>
      </w:pP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新宋体" w:hAnsi="新宋体" w:eastAsia="新宋体"/>
          <w:color w:val="auto"/>
          <w:kern w:val="0"/>
          <w:sz w:val="22"/>
          <w:highlight w:val="none"/>
          <w:lang w:eastAsia="zh-CN"/>
        </w:rPr>
      </w:pPr>
      <w:r>
        <w:rPr>
          <w:rFonts w:hint="eastAsia" w:ascii="新宋体" w:hAnsi="新宋体" w:eastAsia="新宋体"/>
          <w:color w:val="auto"/>
          <w:sz w:val="22"/>
          <w:highlight w:val="none"/>
          <w:lang w:eastAsia="zh-CN"/>
        </w:rPr>
        <w:t xml:space="preserve">温州市人民政府金融工作办公室            </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ascii="新宋体" w:hAnsi="新宋体" w:eastAsia="新宋体"/>
          <w:color w:val="auto"/>
          <w:sz w:val="22"/>
          <w:highlight w:val="none"/>
        </w:rPr>
      </w:pPr>
      <w:r>
        <w:rPr>
          <w:rFonts w:hint="eastAsia" w:ascii="新宋体" w:hAnsi="新宋体" w:eastAsia="新宋体"/>
          <w:color w:val="auto"/>
          <w:sz w:val="22"/>
          <w:highlight w:val="none"/>
        </w:rPr>
        <w:t>温州历程招标有限公司</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2020年  </w:t>
      </w:r>
      <w:r>
        <w:rPr>
          <w:rFonts w:hint="eastAsia" w:ascii="新宋体" w:hAnsi="新宋体" w:eastAsia="新宋体"/>
          <w:color w:val="auto"/>
          <w:sz w:val="22"/>
          <w:highlight w:val="none"/>
          <w:lang w:val="en-US" w:eastAsia="zh-CN"/>
        </w:rPr>
        <w:t>4</w:t>
      </w:r>
      <w:r>
        <w:rPr>
          <w:rFonts w:hint="eastAsia" w:ascii="新宋体" w:hAnsi="新宋体" w:eastAsia="新宋体"/>
          <w:color w:val="auto"/>
          <w:sz w:val="22"/>
          <w:highlight w:val="none"/>
        </w:rPr>
        <w:t xml:space="preserve">   月</w:t>
      </w:r>
    </w:p>
    <w:p>
      <w:pPr>
        <w:pStyle w:val="10"/>
        <w:rPr>
          <w:rFonts w:hint="eastAsia"/>
          <w:color w:val="auto"/>
          <w:highlight w:val="none"/>
        </w:rPr>
      </w:pPr>
    </w:p>
    <w:p>
      <w:pPr>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highlight w:val="none"/>
        </w:rPr>
      </w:pPr>
    </w:p>
    <w:p>
      <w:pPr>
        <w:outlineLvl w:val="9"/>
        <w:rPr>
          <w:rFonts w:hint="eastAsia"/>
          <w:color w:val="auto"/>
          <w:highlight w:val="none"/>
        </w:rPr>
      </w:pPr>
    </w:p>
    <w:p>
      <w:pPr>
        <w:pStyle w:val="22"/>
        <w:outlineLvl w:val="9"/>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jc w:val="center"/>
        <w:outlineLvl w:val="0"/>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第一册</w:t>
      </w:r>
    </w:p>
    <w:p>
      <w:pPr>
        <w:rPr>
          <w:rFonts w:hint="eastAsia" w:ascii="新宋体" w:hAnsi="新宋体" w:eastAsia="新宋体" w:cs="新宋体"/>
          <w:b/>
          <w:bCs/>
          <w:color w:val="auto"/>
          <w:sz w:val="48"/>
          <w:highlight w:val="none"/>
        </w:rPr>
      </w:pPr>
    </w:p>
    <w:p>
      <w:pPr>
        <w:jc w:val="center"/>
        <w:outlineLvl w:val="1"/>
        <w:rPr>
          <w:rFonts w:hint="eastAsia" w:ascii="新宋体" w:hAnsi="新宋体" w:eastAsia="新宋体" w:cs="新宋体"/>
          <w:b/>
          <w:bCs/>
          <w:color w:val="auto"/>
          <w:sz w:val="48"/>
          <w:highlight w:val="none"/>
        </w:rPr>
      </w:pPr>
      <w:r>
        <w:rPr>
          <w:rFonts w:hint="eastAsia" w:ascii="新宋体" w:hAnsi="新宋体" w:eastAsia="新宋体" w:cs="新宋体"/>
          <w:b/>
          <w:bCs/>
          <w:color w:val="auto"/>
          <w:sz w:val="48"/>
          <w:highlight w:val="none"/>
        </w:rPr>
        <w:t>通  用  文  本</w:t>
      </w: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pStyle w:val="2"/>
        <w:rPr>
          <w:rFonts w:hint="eastAsia"/>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spacing w:line="360" w:lineRule="auto"/>
        <w:jc w:val="center"/>
        <w:rPr>
          <w:rFonts w:hint="eastAsia" w:ascii="新宋体" w:hAnsi="新宋体" w:eastAsia="新宋体" w:cs="新宋体"/>
          <w:b/>
          <w:color w:val="auto"/>
          <w:sz w:val="22"/>
          <w:szCs w:val="22"/>
          <w:highlight w:val="none"/>
        </w:rPr>
      </w:pPr>
    </w:p>
    <w:p>
      <w:pPr>
        <w:outlineLvl w:val="9"/>
        <w:rPr>
          <w:rFonts w:hint="eastAsia" w:ascii="新宋体" w:hAnsi="新宋体" w:eastAsia="新宋体" w:cs="新宋体"/>
          <w:b/>
          <w:color w:val="auto"/>
          <w:sz w:val="22"/>
          <w:szCs w:val="22"/>
          <w:highlight w:val="none"/>
        </w:rPr>
      </w:pPr>
    </w:p>
    <w:p>
      <w:pPr>
        <w:outlineLvl w:val="9"/>
        <w:rPr>
          <w:rFonts w:hint="eastAsia"/>
          <w:highlight w:val="none"/>
        </w:rPr>
      </w:pPr>
    </w:p>
    <w:p>
      <w:pPr>
        <w:pStyle w:val="2"/>
        <w:rPr>
          <w:rFonts w:hint="eastAsia"/>
          <w:highlight w:val="none"/>
        </w:rPr>
      </w:pPr>
    </w:p>
    <w:p>
      <w:pPr>
        <w:pStyle w:val="10"/>
        <w:ind w:left="0" w:leftChars="0" w:firstLine="0" w:firstLineChars="0"/>
        <w:rPr>
          <w:rFonts w:hint="eastAsia" w:ascii="新宋体" w:hAnsi="新宋体" w:eastAsia="新宋体" w:cs="新宋体"/>
          <w:color w:val="auto"/>
          <w:highlight w:val="none"/>
        </w:rPr>
      </w:pPr>
    </w:p>
    <w:p>
      <w:pPr>
        <w:pStyle w:val="22"/>
        <w:spacing w:line="460" w:lineRule="exact"/>
        <w:ind w:left="433" w:leftChars="206" w:firstLine="0" w:firstLineChars="0"/>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第一部分    投标人须知</w:t>
      </w:r>
    </w:p>
    <w:p>
      <w:pPr>
        <w:keepNext/>
        <w:keepLines/>
        <w:pageBreakBefore w:val="0"/>
        <w:widowControl w:val="0"/>
        <w:shd w:val="clear" w:color="auto" w:fill="FFFFFF"/>
        <w:tabs>
          <w:tab w:val="left" w:pos="706"/>
        </w:tabs>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1" w:name="_Toc33194387"/>
      <w:bookmarkStart w:id="2" w:name="_Toc233618971"/>
      <w:bookmarkStart w:id="3" w:name="_Toc354996695"/>
      <w:r>
        <w:rPr>
          <w:rFonts w:hint="eastAsia" w:ascii="宋体" w:hAnsi="宋体" w:cs="宋体"/>
          <w:b/>
          <w:bCs/>
          <w:color w:val="000000"/>
          <w:sz w:val="24"/>
          <w:highlight w:val="none"/>
        </w:rPr>
        <w:t>前 附 表</w:t>
      </w:r>
      <w:bookmarkEnd w:id="1"/>
      <w:bookmarkEnd w:id="2"/>
      <w:bookmarkEnd w:id="3"/>
    </w:p>
    <w:tbl>
      <w:tblPr>
        <w:tblStyle w:val="52"/>
        <w:tblW w:w="102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8"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88" w:type="dxa"/>
            <w:tcBorders>
              <w:top w:val="single" w:color="000000" w:sz="8"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88" w:type="dxa"/>
            <w:tcBorders>
              <w:top w:val="single" w:color="000000" w:sz="2" w:space="0"/>
              <w:left w:val="single" w:color="000000" w:sz="2" w:space="0"/>
              <w:bottom w:val="single" w:color="000000" w:sz="2" w:space="0"/>
              <w:right w:val="single" w:color="000000" w:sz="8" w:space="0"/>
            </w:tcBorders>
            <w:noWrap w:val="0"/>
            <w:vAlign w:val="top"/>
          </w:tcPr>
          <w:p>
            <w:pPr>
              <w:keepNext w:val="0"/>
              <w:keepLines w:val="0"/>
              <w:pageBreakBefore w:val="0"/>
              <w:widowControl w:val="0"/>
              <w:tabs>
                <w:tab w:val="left" w:pos="3780"/>
              </w:tabs>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color w:val="auto"/>
                <w:sz w:val="22"/>
                <w:szCs w:val="22"/>
                <w:highlight w:val="none"/>
              </w:rPr>
              <w:t>一、项目名称：</w:t>
            </w:r>
            <w:r>
              <w:rPr>
                <w:rFonts w:hint="eastAsia" w:ascii="新宋体" w:hAnsi="新宋体" w:eastAsia="新宋体" w:cs="新宋体"/>
                <w:b w:val="0"/>
                <w:bCs/>
                <w:color w:val="auto"/>
                <w:sz w:val="22"/>
                <w:szCs w:val="22"/>
                <w:highlight w:val="none"/>
                <w:lang w:eastAsia="zh-CN"/>
              </w:rPr>
              <w:t xml:space="preserve">温州金融综合服务平台 </w:t>
            </w:r>
          </w:p>
          <w:p>
            <w:pPr>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color w:val="auto"/>
                <w:sz w:val="22"/>
                <w:szCs w:val="22"/>
                <w:highlight w:val="none"/>
              </w:rPr>
            </w:pPr>
            <w:bookmarkStart w:id="4" w:name="_Hlt75139851"/>
            <w:bookmarkEnd w:id="4"/>
            <w:r>
              <w:rPr>
                <w:rFonts w:hint="eastAsia" w:ascii="新宋体" w:hAnsi="新宋体" w:eastAsia="新宋体" w:cs="新宋体"/>
                <w:b/>
                <w:color w:val="auto"/>
                <w:sz w:val="22"/>
                <w:szCs w:val="22"/>
                <w:highlight w:val="none"/>
              </w:rPr>
              <w:t>二、采购内容：</w:t>
            </w:r>
          </w:p>
          <w:p>
            <w:pPr>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lang w:eastAsia="zh-CN"/>
              </w:rPr>
              <w:t>温州金融综合服务平台</w:t>
            </w:r>
          </w:p>
          <w:p>
            <w:pPr>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rPr>
              <w:t>详见</w:t>
            </w:r>
            <w:r>
              <w:rPr>
                <w:rFonts w:hint="eastAsia" w:ascii="新宋体" w:hAnsi="新宋体" w:eastAsia="新宋体" w:cs="新宋体"/>
                <w:b/>
                <w:bCs/>
                <w:color w:val="auto"/>
                <w:sz w:val="22"/>
                <w:szCs w:val="22"/>
                <w:highlight w:val="none"/>
                <w:lang w:val="en-US" w:eastAsia="zh-CN"/>
              </w:rPr>
              <w:t>招标文件第四部分 项目技术规范和服务要求</w:t>
            </w:r>
          </w:p>
          <w:p>
            <w:pPr>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三、预算金额：</w:t>
            </w:r>
          </w:p>
          <w:p>
            <w:pPr>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lang w:val="en-US" w:eastAsia="zh-CN"/>
              </w:rPr>
              <w:t>人民币伍佰壹拾万元整（¥5100000.00元）,</w:t>
            </w:r>
            <w:r>
              <w:rPr>
                <w:rFonts w:hint="eastAsia" w:ascii="新宋体" w:hAnsi="新宋体" w:eastAsia="新宋体" w:cs="新宋体"/>
                <w:b/>
                <w:color w:val="auto"/>
                <w:sz w:val="22"/>
                <w:szCs w:val="22"/>
                <w:highlight w:val="none"/>
                <w:u w:val="single"/>
              </w:rPr>
              <w:t>如投标人报价超过预算按无效标处理。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2</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120</w:t>
            </w:r>
            <w:r>
              <w:rPr>
                <w:rFonts w:hint="eastAsia" w:ascii="新宋体" w:hAnsi="新宋体" w:eastAsia="新宋体" w:cs="新宋体"/>
                <w:color w:val="auto"/>
                <w:sz w:val="22"/>
                <w:szCs w:val="22"/>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3</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b/>
                <w:bCs/>
                <w:color w:val="000000"/>
                <w:sz w:val="22"/>
                <w:szCs w:val="22"/>
                <w:highlight w:val="none"/>
                <w:lang w:bidi="ar"/>
              </w:rPr>
            </w:pPr>
            <w:r>
              <w:rPr>
                <w:rFonts w:hint="eastAsia" w:ascii="新宋体" w:hAnsi="新宋体" w:eastAsia="新宋体" w:cs="新宋体"/>
                <w:b/>
                <w:bCs/>
                <w:color w:val="000000"/>
                <w:sz w:val="22"/>
                <w:szCs w:val="22"/>
                <w:highlight w:val="none"/>
                <w:lang w:bidi="ar"/>
              </w:rPr>
              <w:t>招标服务费：根据国家计委计价格【2002】1980号《招标代理服务收费管理暂行办法》规定按成交金额的差额定率累计法计算后收取,由中标人在领取中标通知书时支付。</w:t>
            </w:r>
          </w:p>
          <w:p>
            <w:pPr>
              <w:keepNext w:val="0"/>
              <w:keepLines w:val="0"/>
              <w:pageBreakBefore w:val="0"/>
              <w:kinsoku/>
              <w:wordWrap/>
              <w:overflowPunct/>
              <w:topLinePunct w:val="0"/>
              <w:bidi w:val="0"/>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户   名：温州历程招标有限公司</w:t>
            </w:r>
          </w:p>
          <w:p>
            <w:pPr>
              <w:keepNext w:val="0"/>
              <w:keepLines w:val="0"/>
              <w:pageBreakBefore w:val="0"/>
              <w:kinsoku/>
              <w:wordWrap/>
              <w:overflowPunct/>
              <w:topLinePunct w:val="0"/>
              <w:bidi w:val="0"/>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账   号：33050162870409101001</w:t>
            </w:r>
          </w:p>
          <w:p>
            <w:pPr>
              <w:keepNext w:val="0"/>
              <w:keepLines w:val="0"/>
              <w:pageBreakBefore w:val="0"/>
              <w:kinsoku/>
              <w:wordWrap/>
              <w:overflowPunct/>
              <w:topLinePunct w:val="0"/>
              <w:bidi w:val="0"/>
              <w:spacing w:line="460" w:lineRule="exact"/>
              <w:rPr>
                <w:rFonts w:hint="eastAsia"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开户行：中国建设银行温州黎明支行</w:t>
            </w:r>
          </w:p>
          <w:p>
            <w:pPr>
              <w:spacing w:line="460" w:lineRule="exact"/>
              <w:jc w:val="center"/>
              <w:rPr>
                <w:rFonts w:hint="eastAsia" w:ascii="新宋体" w:hAnsi="新宋体" w:eastAsia="新宋体"/>
                <w:b/>
                <w:color w:val="auto"/>
                <w:sz w:val="22"/>
                <w:highlight w:val="none"/>
              </w:rPr>
            </w:pPr>
            <w:r>
              <w:rPr>
                <w:rFonts w:hint="eastAsia" w:ascii="新宋体" w:hAnsi="新宋体" w:eastAsia="新宋体"/>
                <w:b/>
                <w:color w:val="auto"/>
                <w:sz w:val="22"/>
                <w:highlight w:val="none"/>
              </w:rPr>
              <w:t>采购代理服务收费标准</w:t>
            </w:r>
          </w:p>
          <w:tbl>
            <w:tblPr>
              <w:tblStyle w:val="5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ascii="新宋体" w:hAnsi="新宋体" w:eastAsia="新宋体"/>
                      <w:color w:val="auto"/>
                      <w:sz w:val="22"/>
                      <w:highlight w:val="none"/>
                    </w:rPr>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ragraph">
                              <wp:posOffset>29210</wp:posOffset>
                            </wp:positionV>
                            <wp:extent cx="1533525" cy="824865"/>
                            <wp:effectExtent l="1905" t="3810" r="7620" b="9525"/>
                            <wp:wrapNone/>
                            <wp:docPr id="14" name="Group 4"/>
                            <wp:cNvGraphicFramePr/>
                            <a:graphic xmlns:a="http://schemas.openxmlformats.org/drawingml/2006/main">
                              <a:graphicData uri="http://schemas.microsoft.com/office/word/2010/wordprocessingGroup">
                                <wpg:wgp>
                                  <wpg:cNvGrpSpPr/>
                                  <wpg:grpSpPr>
                                    <a:xfrm>
                                      <a:off x="0" y="0"/>
                                      <a:ext cx="1533525" cy="824865"/>
                                      <a:chOff x="0" y="0"/>
                                      <a:chExt cx="2415" cy="1299"/>
                                    </a:xfrm>
                                  </wpg:grpSpPr>
                                  <wps:wsp>
                                    <wps:cNvPr id="12" name="Line 5"/>
                                    <wps:cNvSpPr/>
                                    <wps:spPr>
                                      <a:xfrm>
                                        <a:off x="0" y="363"/>
                                        <a:ext cx="2415" cy="936"/>
                                      </a:xfrm>
                                      <a:prstGeom prst="line">
                                        <a:avLst/>
                                      </a:prstGeom>
                                      <a:ln w="9525" cap="flat" cmpd="sng">
                                        <a:solidFill>
                                          <a:srgbClr val="000000"/>
                                        </a:solidFill>
                                        <a:prstDash val="solid"/>
                                        <a:headEnd type="none" w="med" len="med"/>
                                        <a:tailEnd type="none" w="med" len="med"/>
                                      </a:ln>
                                    </wps:spPr>
                                    <wps:bodyPr upright="1"/>
                                  </wps:wsp>
                                  <wps:wsp>
                                    <wps:cNvPr id="13" name="Line 6"/>
                                    <wps:cNvSpPr/>
                                    <wps:spPr>
                                      <a:xfrm>
                                        <a:off x="945" y="0"/>
                                        <a:ext cx="1470" cy="129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4" o:spid="_x0000_s1026" o:spt="203" style="position:absolute;left:0pt;margin-left:0pt;margin-top:2.3pt;height:64.95pt;width:120.75pt;z-index:251670528;mso-width-relative:page;mso-height-relative:page;" coordsize="2415,1299" o:gfxdata="UEsDBAoAAAAAAIdO4kAAAAAAAAAAAAAAAAAEAAAAZHJzL1BLAwQUAAAACACHTuJAyyjsxtcAAAAG AQAADwAAAGRycy9kb3ducmV2LnhtbE2PQUvDQBSE74L/YXmCN7vZNimSZlOkqKci2ArS22v2NQnN vg3ZbdL+e9eTHocZZr4p1lfbiZEG3zrWoGYJCOLKmZZrDV/7t6dnED4gG+wck4YbeViX93cF5sZN /EnjLtQilrDPUUMTQp9L6auGLPqZ64mjd3KDxRDlUEsz4BTLbSfnSbKUFluOCw32tGmoOu8uVsP7 hNPLQr2O2/Npczvss4/vrSKtHx9UsgIR6Br+wvCLH9GhjExHd2HjRachHgka0iWIaM5TlYE4xtQi zUCWhfyPX/4AUEsDBBQAAAAIAIdO4kAAyaYYYwIAAAMHAAAOAAAAZHJzL2Uyb0RvYy54bWztVcuO 2jAU3VfqP1jel5AEKESEWZQZNqN2pGk/wDhOYskv2YbA3/faCTADrYRaqauyCHZ8X+ec65vlw0EK tGfWca1KnI7GGDFFdcVVU+If358+zTFynqiKCK1YiY/M4YfVxw/LzhQs060WFbMIgihXdKbErfem SBJHWyaJG2nDFBzW2kriYWubpLKkg+hSJNl4PEs6bStjNWXOwdt1f4iHiPaegLquOWVrTXeSKd9H tUwQD5Bcy43Dq1htXTPqv9W1Yx6JEgNSH5+QBNbb8ExWS1I0lpiW06EEck8JV5gk4QqSnkOtiSdo Z/lNKMmp1U7XfkS1THogkRFAkY6vuNlYvTMRS1N0jTmTDkJdsf7HYenX/YtFvIJOmGCkiATFY1o0 Cdx0pinAZGPNq3mxw4um3wW4h9rK8A9A0CGyejyzyg4eUXiZTvN8mk0xonA2zybz2bSnnbagzY0b bR8Hx2ySDl5ptlgEn+SUMQmFnevoDLSiu/Dj/o6f15YYFml3AfyJn+zEzzNXDEUMITFYnLlxhQOa fktMPst75CdqLggX+ewdQFIY6/yGaYnCosQCksYOI/tn53suTiYhoVCoK/GiJ5rAvazhPgDn0oC2 TjXR12nBqycuRPBwttl+ERbtSbgb8TeU8M4sJFkT1/Z28agH0TJSPaoK+aOBplEwLHAoQbIKI8Fg toQVFEoKT7i4xxLkFQpUDrT2RIbVVldH0GBnLG9aYCKNVQ6ahxb9F+Ln78SPWoXEd4m/mEAb/+Je TD7DFAqX4qa9/6sfr9Ed6sdBALMxzoZhjofh+3YfO+ry7Vr9BF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NMEAABbQ29udGVudF9UeXBlc10ueG1s UEsBAhQACgAAAAAAh07iQAAAAAAAAAAAAAAAAAYAAAAAAAAAAAAQAAAAtQMAAF9yZWxzL1BLAQIU ABQAAAAIAIdO4kCKFGY80QAAAJQBAAALAAAAAAAAAAEAIAAAANkDAABfcmVscy8ucmVsc1BLAQIU AAoAAAAAAIdO4kAAAAAAAAAAAAAAAAAEAAAAAAAAAAAAEAAAAAAAAABkcnMvUEsBAhQAFAAAAAgA h07iQMso7MbXAAAABgEAAA8AAAAAAAAAAQAgAAAAIgAAAGRycy9kb3ducmV2LnhtbFBLAQIUABQA AAAIAIdO4kAAyaYYYwIAAAMHAAAOAAAAAAAAAAEAIAAAACYBAABkcnMvZTJvRG9jLnhtbFBLBQYA AAAABgAGAFkBAAD7BQAAAAA= ">
                            <o:lock v:ext="edit" grouping="f" rotation="f" text="f" aspectratio="f"/>
                            <v:line id="Line 5" o:spid="_x0000_s1026" o:spt="20" style="position:absolute;left:0;top:363;height:936;width:2415;" filled="f" stroked="t" coordsize="21600,21600" o:gfxdata="UEsDBAoAAAAAAIdO4kAAAAAAAAAAAAAAAAAEAAAAZHJzL1BLAwQUAAAACACHTuJAuKLrRLoAAADb AAAADwAAAGRycy9kb3ducmV2LnhtbEVPS4vCMBC+C/6HMAt7kTWxgki30cNqYQ978YXXoRnbYjOp TXysv94Igrf5+J6TzW+2ERfqfO1Yw2ioQBAXztRcathu8q8pCB+QDTaOScM/eZjP+r0MU+OuvKLL OpQihrBPUUMVQptK6YuKLPqha4kjd3CdxRBhV0rT4TWG20YmSk2kxZpjQ4Ut/VRUHNdnq8HnOzrl 90ExUPtx6Sg5Lf6WqPXnx0h9gwh0C2/xy/1r4vwEnr/EA+TsAV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C4outEugAAANsA AAAPAAAAAAAAAAEAIAAAACIAAABkcnMvZG93bnJldi54bWxQSwECFAAUAAAACACHTuJAMy8FnjsA AAA5AAAAEAAAAAAAAAABACAAAAAJAQAAZHJzL3NoYXBleG1sLnhtbFBLBQYAAAAABgAGAFsBAACz AwAAAAA= ">
                              <v:fill on="f" focussize="0,0"/>
                              <v:stroke color="#000000" joinstyle="round"/>
                              <v:imagedata o:title=""/>
                              <o:lock v:ext="edit" aspectratio="f"/>
                            </v:line>
                            <v:line id="Line 6" o:spid="_x0000_s1026" o:spt="20" style="position:absolute;left:945;top:0;height:1299;width:1470;" filled="f" stroked="t" coordsize="21600,21600" o:gfxdata="UEsDBAoAAAAAAIdO4kAAAAAAAAAAAAAAAAAEAAAAZHJzL1BLAwQUAAAACACHTuJA1+5O37wAAADb AAAADwAAAGRycy9kb3ducmV2LnhtbEVPTWvCQBC9F/oflin0InVXA0WimxyqgR68mCq9DtkxCc3O xuw2sf56t1DobR7vczb51XZipMG3jjUs5goEceVMy7WG40fxsgLhA7LBzjFp+CEPefb4sMHUuIkP NJahFjGEfYoamhD6VEpfNWTRz11PHLmzGyyGCIdamgGnGG47uVTqVVpsOTY02NNbQ9VX+W01+OJE l+I2q2bqM6kdLS/b/Q61fn5aqDWIQNfwL/5zv5s4P4HfX+IBMrsD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NfuTt+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group>
                        </w:pict>
                      </mc:Fallback>
                    </mc:AlternateContent>
                  </w:r>
                  <w:r>
                    <w:rPr>
                      <w:rFonts w:ascii="新宋体" w:hAnsi="新宋体" w:eastAsia="新宋体"/>
                      <w:color w:val="auto"/>
                      <w:sz w:val="22"/>
                      <w:highlight w:val="none"/>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29210</wp:posOffset>
                            </wp:positionV>
                            <wp:extent cx="635" cy="635"/>
                            <wp:effectExtent l="0" t="0" r="0" b="0"/>
                            <wp:wrapNone/>
                            <wp:docPr id="11" name="Line 3"/>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99pt;margin-top:2.3pt;height:0.05pt;width:0.05pt;z-index:251669504;mso-width-relative:page;mso-height-relative:page;" filled="f" stroked="t" coordsize="21600,21600" o:gfxdata="UEsDBAoAAAAAAIdO4kAAAAAAAAAAAAAAAAAEAAAAZHJzL1BLAwQUAAAACACHTuJAbIPs4tUAAAAH AQAADwAAAGRycy9kb3ducmV2LnhtbE2Py07DMBBF90j8gzVIbKrWSUFtGuJ0AWTHhgJiO42HJCIe p7H7gK9nuirLozu690yxPrleHWgMnWcD6SwBRVx723Fj4P2tmmagQkS22HsmAz8UYF1eXxWYW3/k VzpsYqOkhEOOBtoYh1zrULfkMMz8QCzZlx8dRsGx0XbEo5S7Xs+TZKEddiwLLQ702FL9vdk7A6H6 oF31O6knyedd42m+e3p5RmNub9LkAVSkU7wcw1lf1KEUp63fsw2qF15l8ks0cL8Adc5XWQpqK7wE XRb6v3/5B1BLAwQUAAAACACHTuJA34AOPNYBAADYAwAADgAAAGRycy9lMm9Eb2MueG1srVNNb9sw DL0P2H8QdF+cpGixGXF6WNZdiq1Atx/ASLQtQF8QlTj596PkrN26Sw7zQaYk8pHvkdrcn5wVR0xk gu/karGUAr0K2vihkz9/PHz4KAVl8Bps8NjJM5K8375/t5lii+swBqsxCQbx1E6xk2POsW0aUiM6 oEWI6PmyD8lB5m0aGp1gYnRnm/VyeddMIemYgkIiPt3Nl/KCmK4BDH1vFO6COjj0eUZNaCEzJRpN JLmt1fY9qvy97wmzsJ1kprmunITtfVmb7QbaIUEcjbqUANeU8IaTA+M56QvUDjKIQzL/QDmjUqDQ 54UKrpmJVEWYxWr5RpvnESJWLiw1xRfR6f/Bqm/HpySM5klYSeHBcccfjUdxU6SZIrXs8Ryf0mVH bBaepz658mcG4lTlPL/IiacsFB/e3dxKofi8GBzfvIbFRPkrBieK0UnLGat8cHykPLv+dilZrBdT Jz/drgsg8ND13Gw2XeTCyQ81loI1+sFYWyIoDfvPNokjlMbX71LCX24lyQ5onP3qVXGDdkTQX7wW +RxZEc8vQZYSHGopLPLDKVb1zGDsNZ7M3noWoWg6q1isfdBnbsAhJjOMrMSqVlluuOFVsstwlon6 c1+RXh/k9hd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Bsg+zi1QAAAAcBAAAPAAAAAAAAAAEAIAAA ACIAAABkcnMvZG93bnJldi54bWxQSwECFAAUAAAACACHTuJA34AOPNYBAADYAwAADgAAAAAAAAAB ACAAAAAkAQAAZHJzL2Uyb0RvYy54bWxQSwUGAAAAAAYABgBZAQAAbAUAAAAA ">
                            <v:fill on="f" focussize="0,0"/>
                            <v:stroke color="#000000" joinstyle="round"/>
                            <v:imagedata o:title=""/>
                            <o:lock v:ext="edit" aspectratio="f"/>
                          </v:line>
                        </w:pict>
                      </mc:Fallback>
                    </mc:AlternateContent>
                  </w:r>
                  <w:r>
                    <w:rPr>
                      <w:rFonts w:hint="eastAsia" w:ascii="新宋体" w:hAnsi="新宋体" w:eastAsia="新宋体"/>
                      <w:color w:val="auto"/>
                      <w:sz w:val="22"/>
                      <w:highlight w:val="none"/>
                    </w:rPr>
                    <w:t xml:space="preserve">          服务类型</w:t>
                  </w:r>
                </w:p>
                <w:p>
                  <w:pPr>
                    <w:spacing w:line="460" w:lineRule="exact"/>
                    <w:ind w:firstLine="1011" w:firstLineChars="460"/>
                    <w:rPr>
                      <w:rFonts w:hint="eastAsia" w:ascii="新宋体" w:hAnsi="新宋体" w:eastAsia="新宋体"/>
                      <w:color w:val="auto"/>
                      <w:sz w:val="22"/>
                      <w:highlight w:val="none"/>
                    </w:rPr>
                  </w:pPr>
                  <w:r>
                    <w:rPr>
                      <w:rFonts w:hint="eastAsia" w:ascii="新宋体" w:hAnsi="新宋体" w:eastAsia="新宋体"/>
                      <w:color w:val="auto"/>
                      <w:sz w:val="22"/>
                      <w:highlight w:val="none"/>
                    </w:rPr>
                    <w:t>费率</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olor w:val="auto"/>
                      <w:sz w:val="22"/>
                      <w:highlight w:val="none"/>
                    </w:rPr>
                  </w:pPr>
                  <w:r>
                    <w:rPr>
                      <w:rFonts w:hint="eastAsia" w:ascii="新宋体" w:hAnsi="新宋体" w:eastAsia="新宋体"/>
                      <w:color w:val="auto"/>
                      <w:sz w:val="22"/>
                      <w:highlight w:val="none"/>
                    </w:rPr>
                    <w:t>0.01%</w:t>
                  </w:r>
                </w:p>
              </w:tc>
            </w:tr>
          </w:tbl>
          <w:p>
            <w:pPr>
              <w:spacing w:line="460" w:lineRule="exact"/>
              <w:rPr>
                <w:rFonts w:hint="eastAsia" w:ascii="新宋体" w:hAnsi="新宋体" w:eastAsia="新宋体"/>
                <w:b/>
                <w:color w:val="auto"/>
                <w:sz w:val="22"/>
                <w:highlight w:val="none"/>
              </w:rPr>
            </w:pPr>
            <w:r>
              <w:rPr>
                <w:rFonts w:hint="eastAsia" w:ascii="新宋体" w:hAnsi="新宋体" w:eastAsia="新宋体"/>
                <w:b/>
                <w:color w:val="auto"/>
                <w:sz w:val="22"/>
                <w:highlight w:val="none"/>
              </w:rPr>
              <w:t>注：本次招标为</w:t>
            </w:r>
            <w:r>
              <w:rPr>
                <w:rFonts w:hint="eastAsia" w:ascii="新宋体" w:hAnsi="新宋体" w:eastAsia="新宋体"/>
                <w:b/>
                <w:color w:val="auto"/>
                <w:sz w:val="22"/>
                <w:highlight w:val="none"/>
                <w:lang w:val="en-US" w:eastAsia="zh-CN"/>
              </w:rPr>
              <w:t>服务</w:t>
            </w:r>
            <w:r>
              <w:rPr>
                <w:rFonts w:hint="eastAsia" w:ascii="新宋体" w:hAnsi="新宋体" w:eastAsia="新宋体"/>
                <w:b/>
                <w:color w:val="auto"/>
                <w:sz w:val="22"/>
                <w:highlight w:val="none"/>
              </w:rPr>
              <w:t>招标，采购代理服务收费按差额定率累进法计算。</w:t>
            </w:r>
          </w:p>
          <w:p>
            <w:pPr>
              <w:spacing w:line="46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rPr>
              <w:t>例：某</w:t>
            </w:r>
            <w:r>
              <w:rPr>
                <w:rFonts w:hint="eastAsia" w:ascii="新宋体" w:hAnsi="新宋体" w:eastAsia="新宋体"/>
                <w:color w:val="auto"/>
                <w:sz w:val="22"/>
                <w:highlight w:val="none"/>
                <w:lang w:val="en-US" w:eastAsia="zh-CN"/>
              </w:rPr>
              <w:t>服务</w:t>
            </w:r>
            <w:r>
              <w:rPr>
                <w:rFonts w:hint="eastAsia" w:ascii="新宋体" w:hAnsi="新宋体" w:eastAsia="新宋体"/>
                <w:color w:val="auto"/>
                <w:sz w:val="22"/>
                <w:highlight w:val="none"/>
              </w:rPr>
              <w:t>招标代理业务成交金额为</w:t>
            </w:r>
            <w:r>
              <w:rPr>
                <w:rFonts w:hint="eastAsia" w:ascii="新宋体" w:hAnsi="新宋体" w:eastAsia="新宋体"/>
                <w:color w:val="auto"/>
                <w:sz w:val="22"/>
                <w:highlight w:val="none"/>
                <w:lang w:val="en-US" w:eastAsia="zh-CN"/>
              </w:rPr>
              <w:t>600</w:t>
            </w:r>
            <w:r>
              <w:rPr>
                <w:rFonts w:hint="eastAsia" w:ascii="新宋体" w:hAnsi="新宋体" w:eastAsia="新宋体"/>
                <w:color w:val="auto"/>
                <w:sz w:val="22"/>
                <w:highlight w:val="none"/>
              </w:rPr>
              <w:t>万元，计算招标代理服务收费额如下：</w:t>
            </w:r>
          </w:p>
          <w:p>
            <w:pPr>
              <w:spacing w:line="460" w:lineRule="exact"/>
              <w:ind w:firstLine="110" w:firstLineChars="50"/>
              <w:rPr>
                <w:rFonts w:hint="eastAsia" w:ascii="新宋体" w:hAnsi="新宋体" w:eastAsia="新宋体"/>
                <w:color w:val="auto"/>
                <w:sz w:val="22"/>
                <w:highlight w:val="none"/>
              </w:rPr>
            </w:pPr>
            <w:r>
              <w:rPr>
                <w:rFonts w:hint="eastAsia" w:ascii="新宋体" w:hAnsi="新宋体" w:eastAsia="新宋体"/>
                <w:color w:val="auto"/>
                <w:sz w:val="22"/>
                <w:highlight w:val="none"/>
              </w:rPr>
              <w:t>100万元×1.5%＝1.5万元</w:t>
            </w:r>
          </w:p>
          <w:p>
            <w:pPr>
              <w:spacing w:line="46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5</w:t>
            </w:r>
            <w:r>
              <w:rPr>
                <w:rFonts w:hint="eastAsia" w:ascii="新宋体" w:hAnsi="新宋体" w:eastAsia="新宋体"/>
                <w:color w:val="auto"/>
                <w:sz w:val="22"/>
                <w:highlight w:val="none"/>
              </w:rPr>
              <w:t>00－100）万元×</w:t>
            </w:r>
            <w:r>
              <w:rPr>
                <w:rFonts w:hint="eastAsia" w:ascii="新宋体" w:hAnsi="新宋体" w:eastAsia="新宋体"/>
                <w:color w:val="auto"/>
                <w:sz w:val="22"/>
                <w:highlight w:val="none"/>
                <w:lang w:val="en-US" w:eastAsia="zh-CN"/>
              </w:rPr>
              <w:t>0.8</w:t>
            </w: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3.2</w:t>
            </w:r>
            <w:r>
              <w:rPr>
                <w:rFonts w:hint="eastAsia" w:ascii="新宋体" w:hAnsi="新宋体" w:eastAsia="新宋体"/>
                <w:color w:val="auto"/>
                <w:sz w:val="22"/>
                <w:highlight w:val="none"/>
              </w:rPr>
              <w:t>万元</w:t>
            </w:r>
          </w:p>
          <w:p>
            <w:pPr>
              <w:spacing w:line="46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00－</w:t>
            </w:r>
            <w:r>
              <w:rPr>
                <w:rFonts w:hint="eastAsia" w:ascii="新宋体" w:hAnsi="新宋体" w:eastAsia="新宋体"/>
                <w:color w:val="auto"/>
                <w:sz w:val="22"/>
                <w:highlight w:val="none"/>
                <w:lang w:val="en-US" w:eastAsia="zh-CN"/>
              </w:rPr>
              <w:t>5</w:t>
            </w:r>
            <w:r>
              <w:rPr>
                <w:rFonts w:hint="eastAsia" w:ascii="新宋体" w:hAnsi="新宋体" w:eastAsia="新宋体"/>
                <w:color w:val="auto"/>
                <w:sz w:val="22"/>
                <w:highlight w:val="none"/>
              </w:rPr>
              <w:t>00）万元×</w:t>
            </w:r>
            <w:r>
              <w:rPr>
                <w:rFonts w:hint="eastAsia" w:ascii="新宋体" w:hAnsi="新宋体" w:eastAsia="新宋体"/>
                <w:color w:val="auto"/>
                <w:sz w:val="22"/>
                <w:highlight w:val="none"/>
                <w:lang w:val="en-US" w:eastAsia="zh-CN"/>
              </w:rPr>
              <w:t>0.45</w:t>
            </w: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0.45</w:t>
            </w:r>
            <w:r>
              <w:rPr>
                <w:rFonts w:hint="eastAsia" w:ascii="新宋体" w:hAnsi="新宋体" w:eastAsia="新宋体"/>
                <w:color w:val="auto"/>
                <w:sz w:val="22"/>
                <w:highlight w:val="none"/>
              </w:rPr>
              <w:t>万元</w:t>
            </w:r>
          </w:p>
          <w:p>
            <w:pPr>
              <w:keepNext w:val="0"/>
              <w:keepLines w:val="0"/>
              <w:pageBreakBefore w:val="0"/>
              <w:kinsoku/>
              <w:wordWrap/>
              <w:overflowPunct/>
              <w:topLinePunct w:val="0"/>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合计收费=1.5+</w:t>
            </w:r>
            <w:r>
              <w:rPr>
                <w:rFonts w:hint="eastAsia" w:ascii="新宋体" w:hAnsi="新宋体" w:eastAsia="新宋体"/>
                <w:color w:val="auto"/>
                <w:sz w:val="22"/>
                <w:highlight w:val="none"/>
                <w:lang w:val="en-US" w:eastAsia="zh-CN"/>
              </w:rPr>
              <w:t>3.2+0.45</w:t>
            </w: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5.15</w:t>
            </w:r>
            <w:r>
              <w:rPr>
                <w:rFonts w:hint="eastAsia" w:ascii="新宋体" w:hAnsi="新宋体" w:eastAsia="新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7</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8</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9</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pPr>
              <w:keepNext w:val="0"/>
              <w:keepLines w:val="0"/>
              <w:pageBreakBefore w:val="0"/>
              <w:numPr>
                <w:ilvl w:val="0"/>
                <w:numId w:val="3"/>
              </w:numPr>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pPr>
              <w:keepNext w:val="0"/>
              <w:keepLines w:val="0"/>
              <w:pageBreakBefore w:val="0"/>
              <w:numPr>
                <w:ilvl w:val="0"/>
                <w:numId w:val="3"/>
              </w:numPr>
              <w:kinsoku/>
              <w:wordWrap/>
              <w:overflowPunct/>
              <w:topLinePunct w:val="0"/>
              <w:bidi w:val="0"/>
              <w:spacing w:line="460" w:lineRule="exact"/>
              <w:ind w:left="0" w:leftChars="0" w:firstLine="0" w:firstLineChars="0"/>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pPr>
              <w:keepNext w:val="0"/>
              <w:keepLines w:val="0"/>
              <w:pageBreakBefore w:val="0"/>
              <w:numPr>
                <w:ilvl w:val="0"/>
                <w:numId w:val="0"/>
              </w:numPr>
              <w:kinsoku/>
              <w:wordWrap/>
              <w:overflowPunct/>
              <w:topLinePunct w:val="0"/>
              <w:bidi w:val="0"/>
              <w:spacing w:line="460" w:lineRule="exact"/>
              <w:ind w:leftChars="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eastAsia="zh-CN" w:bidi="ar"/>
              </w:rPr>
              <w:t>（</w:t>
            </w:r>
            <w:r>
              <w:rPr>
                <w:rFonts w:hint="eastAsia" w:ascii="新宋体" w:hAnsi="新宋体" w:eastAsia="新宋体" w:cs="新宋体"/>
                <w:b/>
                <w:bCs/>
                <w:color w:val="auto"/>
                <w:sz w:val="22"/>
                <w:szCs w:val="22"/>
                <w:highlight w:val="none"/>
                <w:lang w:val="en-US" w:eastAsia="zh-CN" w:bidi="ar"/>
              </w:rPr>
              <w:t>若不提供备份文件，</w:t>
            </w:r>
            <w:r>
              <w:rPr>
                <w:rFonts w:hint="eastAsia" w:ascii="新宋体" w:hAnsi="新宋体" w:eastAsia="新宋体" w:cs="新宋体"/>
                <w:b/>
                <w:bCs/>
                <w:color w:val="auto"/>
                <w:sz w:val="22"/>
                <w:szCs w:val="22"/>
                <w:highlight w:val="none"/>
                <w:lang w:bidi="ar"/>
              </w:rPr>
              <w:t>电子加密投标文件</w:t>
            </w:r>
            <w:r>
              <w:rPr>
                <w:rFonts w:hint="eastAsia" w:ascii="新宋体" w:hAnsi="新宋体" w:eastAsia="新宋体" w:cs="新宋体"/>
                <w:b/>
                <w:bCs/>
                <w:color w:val="auto"/>
                <w:sz w:val="22"/>
                <w:szCs w:val="22"/>
                <w:highlight w:val="none"/>
                <w:lang w:val="en-US" w:eastAsia="zh-CN" w:bidi="ar"/>
              </w:rPr>
              <w:t>解密失败，投标供应商自行负责。</w:t>
            </w:r>
            <w:r>
              <w:rPr>
                <w:rFonts w:hint="eastAsia" w:ascii="新宋体" w:hAnsi="新宋体" w:eastAsia="新宋体" w:cs="新宋体"/>
                <w:b/>
                <w:bCs/>
                <w:color w:val="auto"/>
                <w:sz w:val="22"/>
                <w:szCs w:val="22"/>
                <w:highlight w:val="none"/>
                <w:lang w:eastAsia="zh-CN" w:bidi="ar"/>
              </w:rPr>
              <w:t>）</w:t>
            </w:r>
          </w:p>
          <w:p>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val="en-US" w:eastAsia="zh-CN"/>
              </w:rPr>
              <w:t>可以</w:t>
            </w:r>
            <w:r>
              <w:rPr>
                <w:rFonts w:hint="eastAsia" w:ascii="新宋体" w:hAnsi="新宋体" w:eastAsia="新宋体" w:cs="新宋体"/>
                <w:b/>
                <w:color w:val="auto"/>
                <w:sz w:val="22"/>
                <w:szCs w:val="22"/>
                <w:highlight w:val="none"/>
                <w:u w:val="single"/>
              </w:rPr>
              <w:t>（EMS邮寄形式）在投标截止时间前递交</w:t>
            </w:r>
            <w:r>
              <w:rPr>
                <w:rFonts w:hint="eastAsia" w:ascii="新宋体" w:hAnsi="新宋体" w:eastAsia="新宋体" w:cs="新宋体"/>
                <w:b/>
                <w:color w:val="auto"/>
                <w:sz w:val="22"/>
                <w:szCs w:val="22"/>
                <w:highlight w:val="none"/>
                <w:u w:val="single"/>
                <w:lang w:eastAsia="zh-CN"/>
              </w:rPr>
              <w:t>，</w:t>
            </w:r>
            <w:r>
              <w:rPr>
                <w:rFonts w:hint="eastAsia" w:ascii="新宋体" w:hAnsi="新宋体" w:eastAsia="新宋体" w:cs="新宋体"/>
                <w:b/>
                <w:color w:val="auto"/>
                <w:sz w:val="22"/>
                <w:szCs w:val="22"/>
                <w:highlight w:val="none"/>
                <w:u w:val="single"/>
                <w:lang w:val="en-US" w:eastAsia="zh-CN"/>
              </w:rPr>
              <w:t>并需采购代理机构确认是否收到，</w:t>
            </w: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b w:val="0"/>
                <w:bCs w:val="0"/>
                <w:color w:val="auto"/>
                <w:sz w:val="22"/>
                <w:szCs w:val="22"/>
                <w:highlight w:val="none"/>
              </w:rPr>
              <w:t>温州市鹿城区汤家桥路大自然家园三期2幢B单元2901室</w:t>
            </w:r>
            <w:r>
              <w:rPr>
                <w:rFonts w:hint="eastAsia" w:ascii="新宋体" w:hAnsi="新宋体" w:eastAsia="新宋体" w:cs="新宋体"/>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a.投标供应商应在投标截止时间前将“电子加密投标文件”成功上传递交至“政府采购云平台”，否则投标无效。</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b.“电子加密投标文件”成功上传递交后，供应商可自行打印投标文件接收回执。</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pPr>
              <w:tabs>
                <w:tab w:val="left" w:pos="360"/>
              </w:tabs>
              <w:spacing w:line="46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lang w:bidi="ar"/>
              </w:rPr>
              <w:t>a.投标供应商在“政府采购云平台”完成“电子加密投标文件”的上传递交后，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可以</w:t>
            </w:r>
            <w:r>
              <w:rPr>
                <w:rFonts w:hint="eastAsia" w:ascii="新宋体" w:hAnsi="新宋体" w:eastAsia="新宋体" w:cs="新宋体"/>
                <w:b/>
                <w:bCs/>
                <w:color w:val="auto"/>
                <w:sz w:val="22"/>
                <w:szCs w:val="22"/>
                <w:highlight w:val="none"/>
              </w:rPr>
              <w:t>（EMS邮寄形式）在投标截止时间前递交</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并需采购代理机构确认是否收到</w:t>
            </w:r>
            <w:r>
              <w:rPr>
                <w:rFonts w:hint="eastAsia" w:ascii="新宋体" w:hAnsi="新宋体" w:eastAsia="新宋体" w:cs="新宋体"/>
                <w:b/>
                <w:bCs/>
                <w:color w:val="auto"/>
                <w:sz w:val="22"/>
                <w:szCs w:val="22"/>
                <w:highlight w:val="none"/>
                <w:lang w:eastAsia="zh-CN"/>
              </w:rPr>
              <w:t>）</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w:t>
            </w:r>
            <w:r>
              <w:rPr>
                <w:rFonts w:hint="eastAsia" w:ascii="新宋体" w:hAnsi="新宋体" w:eastAsia="新宋体" w:cs="新宋体"/>
                <w:color w:val="auto"/>
                <w:sz w:val="22"/>
                <w:szCs w:val="22"/>
                <w:highlight w:val="none"/>
                <w:lang w:eastAsia="zh-CN" w:bidi="ar"/>
              </w:rPr>
              <w:t>（</w:t>
            </w:r>
            <w:r>
              <w:rPr>
                <w:rFonts w:hint="eastAsia" w:ascii="新宋体" w:hAnsi="新宋体" w:eastAsia="新宋体" w:cs="新宋体"/>
                <w:color w:val="auto"/>
                <w:sz w:val="22"/>
                <w:szCs w:val="22"/>
                <w:highlight w:val="none"/>
                <w:lang w:bidi="ar"/>
              </w:rPr>
              <w:t>邮寄</w:t>
            </w:r>
            <w:r>
              <w:rPr>
                <w:rFonts w:hint="eastAsia" w:ascii="新宋体" w:hAnsi="新宋体" w:eastAsia="新宋体" w:cs="新宋体"/>
                <w:color w:val="auto"/>
                <w:sz w:val="22"/>
                <w:szCs w:val="22"/>
                <w:highlight w:val="none"/>
                <w:lang w:eastAsia="zh-CN" w:bidi="ar"/>
              </w:rPr>
              <w:t>）</w:t>
            </w:r>
            <w:r>
              <w:rPr>
                <w:rFonts w:hint="eastAsia" w:ascii="新宋体" w:hAnsi="新宋体" w:eastAsia="新宋体" w:cs="新宋体"/>
                <w:color w:val="auto"/>
                <w:sz w:val="22"/>
                <w:szCs w:val="22"/>
                <w:highlight w:val="none"/>
                <w:lang w:bidi="ar"/>
              </w:rPr>
              <w:t>送达至投标地点的“备份投标文件”将不予接收；</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（1）开标后，采购组织机构将向各投标供应商发出“电子加密投标文件”的解密通知，各投标供应商代表应当在接到解密通知后</w:t>
            </w:r>
            <w:r>
              <w:rPr>
                <w:rFonts w:hint="eastAsia" w:ascii="新宋体" w:hAnsi="新宋体" w:eastAsia="新宋体" w:cs="新宋体"/>
                <w:color w:val="auto"/>
                <w:sz w:val="22"/>
                <w:szCs w:val="22"/>
                <w:highlight w:val="none"/>
                <w:lang w:val="en-US" w:eastAsia="zh-CN" w:bidi="ar"/>
              </w:rPr>
              <w:t>30</w:t>
            </w:r>
            <w:r>
              <w:rPr>
                <w:rFonts w:hint="eastAsia" w:ascii="新宋体" w:hAnsi="新宋体" w:eastAsia="新宋体" w:cs="新宋体"/>
                <w:color w:val="auto"/>
                <w:sz w:val="22"/>
                <w:szCs w:val="22"/>
                <w:highlight w:val="none"/>
                <w:lang w:bidi="ar"/>
              </w:rPr>
              <w:t>分钟内自行完成“电子加密投标文件”的在线解密。</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b/>
                <w:bCs/>
                <w:color w:val="auto"/>
                <w:sz w:val="22"/>
                <w:szCs w:val="22"/>
                <w:highlight w:val="none"/>
              </w:rPr>
              <w:t>2020</w:t>
            </w:r>
            <w:r>
              <w:rPr>
                <w:rFonts w:hint="eastAsia" w:ascii="新宋体" w:hAnsi="新宋体" w:eastAsia="新宋体"/>
                <w:b/>
                <w:bCs/>
                <w:color w:val="auto"/>
                <w:sz w:val="22"/>
                <w:szCs w:val="22"/>
                <w:highlight w:val="none"/>
                <w:lang w:val="en-US" w:eastAsia="zh-CN"/>
              </w:rPr>
              <w:t xml:space="preserve">年5月15日 </w:t>
            </w:r>
            <w:r>
              <w:rPr>
                <w:rFonts w:hint="eastAsia" w:ascii="新宋体" w:hAnsi="新宋体" w:eastAsia="新宋体"/>
                <w:b/>
                <w:bCs/>
                <w:color w:val="auto"/>
                <w:sz w:val="22"/>
                <w:szCs w:val="22"/>
                <w:highlight w:val="none"/>
              </w:rPr>
              <w:t xml:space="preserve"> </w:t>
            </w:r>
            <w:r>
              <w:rPr>
                <w:rFonts w:hint="eastAsia" w:ascii="新宋体" w:hAnsi="新宋体" w:eastAsia="新宋体"/>
                <w:b/>
                <w:bCs/>
                <w:color w:val="auto"/>
                <w:sz w:val="22"/>
                <w:szCs w:val="22"/>
                <w:highlight w:val="none"/>
                <w:lang w:val="en-US" w:eastAsia="zh-CN"/>
              </w:rPr>
              <w:t xml:space="preserve"> 9</w:t>
            </w:r>
            <w:r>
              <w:rPr>
                <w:rFonts w:hint="eastAsia" w:ascii="新宋体" w:hAnsi="新宋体" w:eastAsia="新宋体"/>
                <w:b/>
                <w:bCs/>
                <w:color w:val="auto"/>
                <w:sz w:val="22"/>
                <w:szCs w:val="22"/>
                <w:highlight w:val="none"/>
              </w:rPr>
              <w:t>:</w:t>
            </w: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0:00</w:t>
            </w:r>
            <w:r>
              <w:rPr>
                <w:rFonts w:hint="eastAsia" w:ascii="新宋体" w:hAnsi="新宋体" w:eastAsia="新宋体"/>
                <w:b/>
                <w:bCs/>
                <w:color w:val="auto"/>
                <w:sz w:val="22"/>
                <w:szCs w:val="22"/>
                <w:highlight w:val="none"/>
                <w:lang w:val="en-US" w:eastAsia="zh-CN"/>
              </w:rPr>
              <w:t>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投标地点：温州市行政审批与公共资源交易服务管理中心（温州市鹿城区会展路1268号温州市民中心A座3楼公共资源交易受理区）</w:t>
            </w:r>
            <w:r>
              <w:rPr>
                <w:rFonts w:hint="eastAsia" w:ascii="新宋体" w:hAnsi="新宋体" w:eastAsia="新宋体" w:cs="新宋体"/>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4</w:t>
            </w:r>
          </w:p>
        </w:tc>
        <w:tc>
          <w:tcPr>
            <w:tcW w:w="9788" w:type="dxa"/>
            <w:tcBorders>
              <w:top w:val="single" w:color="000000" w:sz="2" w:space="0"/>
              <w:left w:val="single" w:color="000000" w:sz="2" w:space="0"/>
              <w:bottom w:val="single" w:color="auto" w:sz="4" w:space="0"/>
              <w:right w:val="single" w:color="000000" w:sz="8" w:space="0"/>
            </w:tcBorders>
            <w:noWrap w:val="0"/>
            <w:vAlign w:val="center"/>
          </w:tcPr>
          <w:p>
            <w:pPr>
              <w:keepNext w:val="0"/>
              <w:keepLines w:val="0"/>
              <w:pageBreakBefore w:val="0"/>
              <w:widowControl/>
              <w:kinsoku/>
              <w:wordWrap/>
              <w:overflowPunct/>
              <w:topLinePunct w:val="0"/>
              <w:bidi w:val="0"/>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color w:val="auto"/>
                <w:sz w:val="22"/>
                <w:szCs w:val="22"/>
                <w:highlight w:val="none"/>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5</w:t>
            </w:r>
          </w:p>
        </w:tc>
        <w:tc>
          <w:tcPr>
            <w:tcW w:w="9788" w:type="dxa"/>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kinsoku/>
              <w:wordWrap/>
              <w:overflowPunct/>
              <w:topLinePunct w:val="0"/>
              <w:bidi w:val="0"/>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kinsoku/>
              <w:wordWrap/>
              <w:overflowPunct/>
              <w:topLinePunct w:val="0"/>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788" w:type="dxa"/>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widowControl/>
              <w:kinsoku/>
              <w:wordWrap/>
              <w:overflowPunct/>
              <w:topLinePunct w:val="0"/>
              <w:bidi w:val="0"/>
              <w:snapToGrid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为优化政府采购金融服务，为供应商参与信用融资提供便利，中标供应商可通过“政府采购云平台金融服务中心”了解有关金融政采贷相关信息</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详情请查看：</w:t>
            </w:r>
          </w:p>
          <w:p>
            <w:pPr>
              <w:keepNext w:val="0"/>
              <w:keepLines w:val="0"/>
              <w:pageBreakBefore w:val="0"/>
              <w:widowControl/>
              <w:kinsoku/>
              <w:wordWrap/>
              <w:overflowPunct/>
              <w:topLinePunct w:val="0"/>
              <w:bidi w:val="0"/>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https://jinrong.zcygov.cn/?utm=a0017.2ef5001f.ct001.42.71561160646211eaaa9f25ccf25d2d6b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bidi w:val="0"/>
              <w:snapToGrid w:val="0"/>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bidi="ar"/>
              </w:rPr>
              <w:t>18</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kinsoku/>
              <w:wordWrap/>
              <w:overflowPunct/>
              <w:topLinePunct w:val="0"/>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1、本项目对符合财政扶持政策的中小企业（小型、微型）、监狱企业、残疾人福利性单位给予价格优惠扶持，价格优惠扶持见。</w:t>
            </w:r>
          </w:p>
          <w:p>
            <w:pPr>
              <w:keepNext w:val="0"/>
              <w:keepLines w:val="0"/>
              <w:pageBreakBefore w:val="0"/>
              <w:widowControl/>
              <w:kinsoku/>
              <w:wordWrap/>
              <w:overflowPunct/>
              <w:topLinePunct w:val="0"/>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2、满足转发财政部 工业和信息化部关于印发《政府采购促进中小企业发展暂行办法》的通知（浙财采监[2012]11号）的规定的中小企业可享受优惠扶持。</w:t>
            </w:r>
          </w:p>
          <w:p>
            <w:pPr>
              <w:keepNext w:val="0"/>
              <w:keepLines w:val="0"/>
              <w:pageBreakBefore w:val="0"/>
              <w:widowControl/>
              <w:kinsoku/>
              <w:wordWrap/>
              <w:overflowPunct/>
              <w:topLinePunct w:val="0"/>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满足关于政府采购支持监狱企业发展有关问题的通知（财库[2014]68号）的规定的供应商可享受优惠扶持。</w:t>
            </w:r>
          </w:p>
          <w:p>
            <w:pPr>
              <w:keepNext w:val="0"/>
              <w:keepLines w:val="0"/>
              <w:pageBreakBefore w:val="0"/>
              <w:widowControl/>
              <w:kinsoku/>
              <w:wordWrap/>
              <w:overflowPunct/>
              <w:topLinePunct w:val="0"/>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满足关于促进残疾人就业政府采购政策的通知（财库[2017]141号）的规定的供应商可享受优惠扶持。</w:t>
            </w:r>
          </w:p>
          <w:p>
            <w:pPr>
              <w:keepNext w:val="0"/>
              <w:keepLines w:val="0"/>
              <w:pageBreakBefore w:val="0"/>
              <w:widowControl/>
              <w:kinsoku/>
              <w:wordWrap/>
              <w:overflowPunct/>
              <w:topLinePunct w:val="0"/>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3、节能产品、环境标志产品的强制采购政策</w:t>
            </w:r>
          </w:p>
          <w:p>
            <w:pPr>
              <w:keepNext w:val="0"/>
              <w:keepLines w:val="0"/>
              <w:pageBreakBefore w:val="0"/>
              <w:widowControl/>
              <w:kinsoku/>
              <w:wordWrap/>
              <w:overflowPunct/>
              <w:topLinePunct w:val="0"/>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kinsoku/>
              <w:wordWrap/>
              <w:overflowPunct/>
              <w:topLinePunct w:val="0"/>
              <w:bidi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4、节能产品、环境标志产品的优先采购政策</w:t>
            </w:r>
          </w:p>
          <w:p>
            <w:pPr>
              <w:keepNext w:val="0"/>
              <w:keepLines w:val="0"/>
              <w:pageBreakBefore w:val="0"/>
              <w:widowControl/>
              <w:kinsoku/>
              <w:wordWrap/>
              <w:overflowPunct/>
              <w:topLinePunct w:val="0"/>
              <w:bidi w:val="0"/>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509"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bidi w:val="0"/>
              <w:snapToGrid w:val="0"/>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bidi="ar"/>
              </w:rPr>
              <w:t>19</w:t>
            </w:r>
          </w:p>
        </w:tc>
        <w:tc>
          <w:tcPr>
            <w:tcW w:w="978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kinsoku/>
              <w:wordWrap/>
              <w:overflowPunct/>
              <w:topLinePunct w:val="0"/>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pPr>
              <w:keepNext w:val="0"/>
              <w:keepLines w:val="0"/>
              <w:pageBreakBefore w:val="0"/>
              <w:kinsoku/>
              <w:wordWrap/>
              <w:overflowPunct/>
              <w:topLinePunct w:val="0"/>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1）采购人或采购代理机构将对本项目供应商的信用记录进行查询。查询渠道为信用中国网站（www.creditchina.gov.cn）、中国政府采购网（www.ccgp.gov.cn）；</w:t>
            </w:r>
          </w:p>
          <w:p>
            <w:pPr>
              <w:keepNext w:val="0"/>
              <w:keepLines w:val="0"/>
              <w:pageBreakBefore w:val="0"/>
              <w:kinsoku/>
              <w:wordWrap/>
              <w:overflowPunct/>
              <w:topLinePunct w:val="0"/>
              <w:bidi w:val="0"/>
              <w:snapToGrid w:val="0"/>
              <w:spacing w:line="460" w:lineRule="exact"/>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pPr>
              <w:keepNext w:val="0"/>
              <w:keepLines w:val="0"/>
              <w:pageBreakBefore w:val="0"/>
              <w:kinsoku/>
              <w:wordWrap/>
              <w:overflowPunct/>
              <w:topLinePunct w:val="0"/>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pPr>
              <w:keepNext w:val="0"/>
              <w:keepLines w:val="0"/>
              <w:pageBreakBefore w:val="0"/>
              <w:kinsoku/>
              <w:wordWrap/>
              <w:overflowPunct/>
              <w:topLinePunct w:val="0"/>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kinsoku/>
              <w:wordWrap/>
              <w:overflowPunct/>
              <w:topLinePunct w:val="0"/>
              <w:bidi w:val="0"/>
              <w:snapToGrid w:val="0"/>
              <w:spacing w:line="460" w:lineRule="exac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pStyle w:val="24"/>
        <w:ind w:left="0" w:leftChars="0" w:firstLine="0" w:firstLineChars="0"/>
        <w:rPr>
          <w:rFonts w:hint="eastAsia" w:ascii="新宋体" w:hAnsi="新宋体" w:eastAsia="新宋体" w:cs="新宋体"/>
          <w:b/>
          <w:bCs/>
          <w:color w:val="auto"/>
          <w:sz w:val="26"/>
          <w:szCs w:val="26"/>
          <w:highlight w:val="none"/>
        </w:rPr>
      </w:pPr>
    </w:p>
    <w:p>
      <w:pPr>
        <w:spacing w:before="100" w:beforeAutospacing="1" w:after="100" w:afterAutospacing="1" w:line="460" w:lineRule="exact"/>
        <w:jc w:val="center"/>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t>一、 说   明</w:t>
      </w:r>
    </w:p>
    <w:p>
      <w:pPr>
        <w:tabs>
          <w:tab w:val="left" w:pos="360"/>
        </w:tabs>
        <w:spacing w:line="460" w:lineRule="exact"/>
        <w:ind w:firstLine="550" w:firstLineChars="25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highlight w:val="none"/>
        </w:rPr>
        <w:t>本次招标是</w:t>
      </w:r>
      <w:r>
        <w:rPr>
          <w:rFonts w:hint="eastAsia" w:ascii="新宋体" w:hAnsi="新宋体" w:eastAsia="新宋体" w:cs="新宋体"/>
          <w:color w:val="auto"/>
          <w:sz w:val="22"/>
          <w:highlight w:val="none"/>
          <w:lang w:val="en-US" w:eastAsia="zh-CN"/>
        </w:rPr>
        <w:t>根据</w:t>
      </w:r>
      <w:r>
        <w:rPr>
          <w:rFonts w:hint="eastAsia" w:ascii="新宋体" w:hAnsi="新宋体" w:eastAsia="新宋体" w:cs="新宋体"/>
          <w:color w:val="auto"/>
          <w:sz w:val="22"/>
          <w:highlight w:val="none"/>
        </w:rPr>
        <w:t>《中华人民共和国政府采购法》、《政府采购货物和服务招标投标管理办法》、《中华人民共和国政府采购法实施条例》和《关于进一步规范政府采购活动的若干意见》等法律及有关法规组织和实施的。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、定义</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甲方：是指合同签订的一方，一般与招标人、用户相同；</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原件备查：要求携带原件备查的，供应商应按要求携带备查，如评标委员会发现投标文件资料复印件存有瑕疵，致使内容模糊、关键信息难以辨认、材料真实性存疑等情形的，有权核对原件或评标委</w:t>
      </w:r>
      <w:r>
        <w:rPr>
          <w:rFonts w:hint="eastAsia" w:ascii="新宋体" w:hAnsi="新宋体" w:eastAsia="新宋体" w:cs="新宋体"/>
          <w:color w:val="auto"/>
          <w:sz w:val="22"/>
          <w:szCs w:val="22"/>
          <w:highlight w:val="none"/>
        </w:rPr>
        <w:t>员会认为有必有核对原件，若供应商未能提交原件，将会导致评标委员会作出对其不利的评定，一切后果由供应商自行承担。</w:t>
      </w:r>
    </w:p>
    <w:p>
      <w:pPr>
        <w:tabs>
          <w:tab w:val="left" w:pos="360"/>
        </w:tabs>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、投标人代表</w:t>
      </w:r>
    </w:p>
    <w:p>
      <w:pPr>
        <w:tabs>
          <w:tab w:val="left" w:pos="360"/>
        </w:tabs>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.1指全权代表投标人参加投标活动并签署投标文件的人，如果投标人代表不是法定代表人，须持有《法定代表人授权书》（见附件）。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4</w:t>
      </w:r>
      <w:r>
        <w:rPr>
          <w:rFonts w:hint="eastAsia" w:ascii="新宋体" w:hAnsi="新宋体" w:eastAsia="新宋体" w:cs="新宋体"/>
          <w:b/>
          <w:color w:val="auto"/>
          <w:sz w:val="22"/>
          <w:szCs w:val="22"/>
          <w:highlight w:val="none"/>
        </w:rPr>
        <w:t>、投标费用</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lang w:val="en-US" w:eastAsia="zh-CN"/>
        </w:rPr>
        <w:t>4</w:t>
      </w:r>
      <w:r>
        <w:rPr>
          <w:rFonts w:hint="eastAsia" w:ascii="新宋体" w:hAnsi="新宋体" w:eastAsia="新宋体" w:cs="新宋体"/>
          <w:b/>
          <w:color w:val="auto"/>
          <w:sz w:val="22"/>
          <w:szCs w:val="22"/>
          <w:highlight w:val="none"/>
        </w:rPr>
        <w:t>.1</w:t>
      </w:r>
      <w:r>
        <w:rPr>
          <w:rFonts w:hint="eastAsia" w:ascii="新宋体" w:hAnsi="新宋体" w:eastAsia="新宋体" w:cs="新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二、 招标文件</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1、招标文件由招标文件目录所列内容及相关资料组成。</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2、招标文件的澄清</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3、招标文件的修改</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olor w:val="auto"/>
          <w:sz w:val="22"/>
          <w:szCs w:val="22"/>
          <w:highlight w:val="none"/>
        </w:rPr>
        <w:t>。</w:t>
      </w:r>
    </w:p>
    <w:p>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r>
        <w:rPr>
          <w:rFonts w:hint="eastAsia" w:ascii="新宋体" w:hAnsi="新宋体" w:eastAsia="新宋体"/>
          <w:b/>
          <w:bCs/>
          <w:color w:val="auto"/>
          <w:sz w:val="26"/>
          <w:szCs w:val="26"/>
          <w:highlight w:val="none"/>
        </w:rPr>
        <w:t>三、 投标文件的编制</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1、投标人应认真阅读招标文件中所有事项、格式、条款和技术规范等。</w:t>
      </w:r>
      <w:r>
        <w:rPr>
          <w:rFonts w:hint="eastAsia" w:ascii="新宋体" w:hAnsi="新宋体" w:eastAsia="新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3、</w:t>
      </w:r>
      <w:r>
        <w:rPr>
          <w:rFonts w:hint="eastAsia" w:ascii="新宋体" w:hAnsi="新宋体" w:eastAsia="新宋体"/>
          <w:b/>
          <w:bCs/>
          <w:color w:val="auto"/>
          <w:sz w:val="22"/>
          <w:szCs w:val="22"/>
          <w:highlight w:val="none"/>
        </w:rPr>
        <w:t>投标文件的构成：</w:t>
      </w:r>
    </w:p>
    <w:p>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pPr>
        <w:keepNext w:val="0"/>
        <w:keepLines w:val="0"/>
        <w:pageBreakBefore w:val="0"/>
        <w:kinsoku/>
        <w:wordWrap/>
        <w:topLinePunct w:val="0"/>
        <w:bidi w:val="0"/>
        <w:spacing w:line="460" w:lineRule="exact"/>
        <w:ind w:firstLine="541" w:firstLineChars="245"/>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en-US" w:eastAsia="zh-CN"/>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pPr>
        <w:keepNext w:val="0"/>
        <w:keepLines w:val="0"/>
        <w:pageBreakBefore w:val="0"/>
        <w:kinsoku/>
        <w:wordWrap/>
        <w:topLinePunct w:val="0"/>
        <w:bidi w:val="0"/>
        <w:spacing w:line="460" w:lineRule="exact"/>
        <w:ind w:firstLine="539" w:firstLineChars="245"/>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基本资格条件审查材料：即证明其符合《中华人民共和国政府采购法》规定的供应商基本条件的有关资格证明文件。</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val="0"/>
          <w:bCs/>
          <w:color w:val="auto"/>
          <w:sz w:val="22"/>
          <w:szCs w:val="22"/>
          <w:highlight w:val="none"/>
          <w:u w:val="single"/>
        </w:rPr>
        <w:t>营业执照</w:t>
      </w:r>
      <w:r>
        <w:rPr>
          <w:rFonts w:hint="eastAsia" w:ascii="新宋体" w:hAnsi="新宋体" w:eastAsia="新宋体" w:cs="新宋体"/>
          <w:color w:val="auto"/>
          <w:sz w:val="22"/>
          <w:szCs w:val="22"/>
          <w:highlight w:val="none"/>
          <w:u w:val="single"/>
        </w:rPr>
        <w:t xml:space="preserve">(或事业法人登记证书或其它工商等登记证明材料；自然人参与政府采购，提供身份证)复印件； </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）最近一年财务报表(复印件，新成立的公司提供情况说明)；</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）具有履行合同所必需的</w:t>
      </w:r>
      <w:r>
        <w:rPr>
          <w:rFonts w:hint="eastAsia" w:ascii="新宋体" w:hAnsi="新宋体" w:eastAsia="新宋体" w:cs="新宋体"/>
          <w:color w:val="auto"/>
          <w:sz w:val="22"/>
          <w:szCs w:val="22"/>
          <w:highlight w:val="none"/>
          <w:u w:val="single"/>
          <w:lang w:val="en-US" w:eastAsia="zh-CN"/>
        </w:rPr>
        <w:t>场地、</w:t>
      </w:r>
      <w:r>
        <w:rPr>
          <w:rFonts w:hint="eastAsia" w:ascii="新宋体" w:hAnsi="新宋体" w:eastAsia="新宋体" w:cs="新宋体"/>
          <w:color w:val="auto"/>
          <w:sz w:val="22"/>
          <w:szCs w:val="22"/>
          <w:highlight w:val="none"/>
          <w:u w:val="single"/>
        </w:rPr>
        <w:t>设备和专业技术能力的承诺函；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）依法缴纳税收和社会保障</w:t>
      </w:r>
      <w:r>
        <w:rPr>
          <w:rFonts w:hint="eastAsia" w:ascii="新宋体" w:hAnsi="新宋体" w:eastAsia="新宋体" w:cs="新宋体"/>
          <w:color w:val="auto"/>
          <w:sz w:val="22"/>
          <w:szCs w:val="22"/>
          <w:highlight w:val="none"/>
          <w:u w:val="single"/>
          <w:lang w:val="en-US" w:eastAsia="zh-CN"/>
        </w:rPr>
        <w:t>资</w:t>
      </w:r>
      <w:r>
        <w:rPr>
          <w:rFonts w:hint="eastAsia" w:ascii="新宋体" w:hAnsi="新宋体" w:eastAsia="新宋体" w:cs="新宋体"/>
          <w:color w:val="auto"/>
          <w:sz w:val="22"/>
          <w:szCs w:val="22"/>
          <w:highlight w:val="none"/>
          <w:u w:val="single"/>
        </w:rPr>
        <w:t>金的承诺函；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rPr>
        <w:t>）参加政府采购活动前3年内在经营活动中没有重大违法记录的声明函；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6</w:t>
      </w:r>
      <w:r>
        <w:rPr>
          <w:rFonts w:hint="eastAsia" w:ascii="新宋体" w:hAnsi="新宋体" w:eastAsia="新宋体" w:cs="新宋体"/>
          <w:color w:val="auto"/>
          <w:sz w:val="22"/>
          <w:szCs w:val="22"/>
          <w:highlight w:val="none"/>
          <w:u w:val="single"/>
        </w:rPr>
        <w:t>）单位负责人为同一人或者存在直接控股、管理关系的不同供应商，不得参加同一合同项下的政府采购活动承诺函；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7</w:t>
      </w:r>
      <w:r>
        <w:rPr>
          <w:rFonts w:hint="eastAsia" w:ascii="新宋体" w:hAnsi="新宋体" w:eastAsia="新宋体" w:cs="新宋体"/>
          <w:color w:val="auto"/>
          <w:sz w:val="22"/>
          <w:szCs w:val="22"/>
          <w:highlight w:val="none"/>
          <w:u w:val="single"/>
        </w:rPr>
        <w:t>）标供应商不属于公益一类事业单位承诺函。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8</w:t>
      </w:r>
      <w:r>
        <w:rPr>
          <w:rFonts w:hint="eastAsia" w:ascii="新宋体" w:hAnsi="新宋体" w:eastAsia="新宋体" w:cs="新宋体"/>
          <w:color w:val="auto"/>
          <w:sz w:val="22"/>
          <w:szCs w:val="22"/>
          <w:highlight w:val="none"/>
          <w:u w:val="single"/>
          <w:lang w:eastAsia="zh-CN"/>
        </w:rPr>
        <w:t>）未被“信用中国”（www.creditchina.gov.cn）、中国政府采购网（www.ccgp.gov.cn）列入失信被执行人、重大税收违法案件当事人名单、政府采购严重违法失信行为记录名单</w:t>
      </w:r>
      <w:r>
        <w:rPr>
          <w:rFonts w:hint="eastAsia" w:ascii="新宋体" w:hAnsi="新宋体" w:eastAsia="新宋体" w:cs="新宋体"/>
          <w:color w:val="auto"/>
          <w:sz w:val="22"/>
          <w:szCs w:val="22"/>
          <w:highlight w:val="none"/>
          <w:u w:val="single"/>
          <w:lang w:val="en-US" w:eastAsia="zh-CN"/>
        </w:rPr>
        <w:t>.</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信用信息查询记录和证据以</w:t>
      </w:r>
      <w:r>
        <w:rPr>
          <w:rFonts w:hint="eastAsia" w:ascii="新宋体" w:hAnsi="新宋体" w:eastAsia="新宋体" w:cs="新宋体"/>
          <w:color w:val="auto"/>
          <w:sz w:val="22"/>
          <w:szCs w:val="22"/>
          <w:highlight w:val="none"/>
          <w:u w:val="single"/>
          <w:lang w:val="en-US" w:eastAsia="zh-CN"/>
        </w:rPr>
        <w:t>项目公告发出日期后的</w:t>
      </w:r>
      <w:r>
        <w:rPr>
          <w:rFonts w:hint="eastAsia" w:ascii="新宋体" w:hAnsi="新宋体" w:eastAsia="新宋体" w:cs="新宋体"/>
          <w:color w:val="auto"/>
          <w:sz w:val="22"/>
          <w:szCs w:val="22"/>
          <w:highlight w:val="none"/>
          <w:u w:val="single"/>
        </w:rPr>
        <w:t>网页截图</w:t>
      </w:r>
      <w:r>
        <w:rPr>
          <w:rFonts w:hint="eastAsia" w:ascii="新宋体" w:hAnsi="新宋体" w:eastAsia="新宋体" w:cs="新宋体"/>
          <w:color w:val="auto"/>
          <w:sz w:val="22"/>
          <w:szCs w:val="22"/>
          <w:highlight w:val="none"/>
          <w:u w:val="single"/>
          <w:lang w:val="en-US" w:eastAsia="zh-CN"/>
        </w:rPr>
        <w:t>为准</w:t>
      </w:r>
      <w:r>
        <w:rPr>
          <w:rFonts w:hint="eastAsia" w:ascii="新宋体" w:hAnsi="新宋体" w:eastAsia="新宋体" w:cs="新宋体"/>
          <w:color w:val="auto"/>
          <w:sz w:val="22"/>
          <w:szCs w:val="22"/>
          <w:highlight w:val="none"/>
          <w:u w:val="single"/>
        </w:rPr>
        <w:t>；</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9</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政府采购活动确认声明书</w:t>
      </w:r>
    </w:p>
    <w:p>
      <w:pPr>
        <w:keepNext w:val="0"/>
        <w:keepLines w:val="0"/>
        <w:pageBreakBefore w:val="0"/>
        <w:numPr>
          <w:ilvl w:val="0"/>
          <w:numId w:val="0"/>
        </w:numPr>
        <w:kinsoku/>
        <w:wordWrap/>
        <w:topLinePunct w:val="0"/>
        <w:bidi w:val="0"/>
        <w:snapToGrid w:val="0"/>
        <w:spacing w:line="460" w:lineRule="exact"/>
        <w:ind w:leftChars="2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pPr>
        <w:keepNext w:val="0"/>
        <w:keepLines w:val="0"/>
        <w:pageBreakBefore w:val="0"/>
        <w:kinsoku/>
        <w:wordWrap/>
        <w:topLinePunct w:val="0"/>
        <w:bidi w:val="0"/>
        <w:snapToGrid w:val="0"/>
        <w:spacing w:line="460" w:lineRule="exact"/>
        <w:ind w:left="105" w:leftChars="50"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u w:val="none"/>
          <w:lang w:val="en-US" w:eastAsia="zh-CN"/>
        </w:rPr>
        <w:t>3.2</w:t>
      </w:r>
      <w:r>
        <w:rPr>
          <w:rFonts w:hint="eastAsia" w:ascii="新宋体" w:hAnsi="新宋体" w:eastAsia="新宋体" w:cs="新宋体"/>
          <w:b/>
          <w:bCs/>
          <w:color w:val="auto"/>
          <w:sz w:val="22"/>
          <w:szCs w:val="22"/>
          <w:highlight w:val="none"/>
          <w:u w:val="none"/>
        </w:rPr>
        <w:t xml:space="preserve">投标人的报价文件至少应包括以下内容： </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（1）投标响应函</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w:t>
      </w:r>
      <w:r>
        <w:rPr>
          <w:rFonts w:hint="eastAsia" w:ascii="新宋体" w:hAnsi="新宋体" w:eastAsia="新宋体" w:cs="新宋体"/>
          <w:color w:val="auto"/>
          <w:sz w:val="22"/>
          <w:szCs w:val="22"/>
          <w:highlight w:val="none"/>
          <w:u w:val="single"/>
          <w:lang w:val="en-US" w:eastAsia="zh-CN"/>
        </w:rPr>
        <w:t>投标报价</w:t>
      </w:r>
      <w:r>
        <w:rPr>
          <w:rFonts w:hint="eastAsia" w:ascii="新宋体" w:hAnsi="新宋体" w:eastAsia="新宋体" w:cs="新宋体"/>
          <w:color w:val="auto"/>
          <w:sz w:val="22"/>
          <w:szCs w:val="22"/>
          <w:highlight w:val="none"/>
          <w:u w:val="single"/>
        </w:rPr>
        <w:t>一览表</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single"/>
        </w:rPr>
        <w:t>（3）</w:t>
      </w:r>
      <w:r>
        <w:rPr>
          <w:rFonts w:hint="eastAsia" w:ascii="新宋体" w:hAnsi="新宋体" w:eastAsia="新宋体" w:cs="新宋体"/>
          <w:color w:val="auto"/>
          <w:sz w:val="22"/>
          <w:szCs w:val="22"/>
          <w:highlight w:val="none"/>
          <w:u w:val="single"/>
          <w:lang w:val="en-US" w:eastAsia="zh-CN"/>
        </w:rPr>
        <w:t>投标分项报价表</w:t>
      </w:r>
    </w:p>
    <w:p>
      <w:pPr>
        <w:keepNext w:val="0"/>
        <w:keepLines w:val="0"/>
        <w:pageBreakBefore w:val="0"/>
        <w:kinsoku/>
        <w:wordWrap/>
        <w:topLinePunct w:val="0"/>
        <w:bidi w:val="0"/>
        <w:snapToGrid w:val="0"/>
        <w:spacing w:line="460" w:lineRule="exact"/>
        <w:ind w:left="105" w:leftChars="50"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（4）中小企业声明函、监狱企业、残疾人福利性单位及其他相关的充分的证明材料。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如有</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rPr>
        <w:t xml:space="preserve"> </w:t>
      </w:r>
    </w:p>
    <w:p>
      <w:pPr>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3.3</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（1）法定代表人授权委托书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需提供</w:t>
      </w:r>
      <w:r>
        <w:rPr>
          <w:rFonts w:hint="eastAsia" w:ascii="新宋体" w:hAnsi="新宋体" w:eastAsia="新宋体" w:cs="新宋体"/>
          <w:color w:val="auto"/>
          <w:sz w:val="22"/>
          <w:szCs w:val="22"/>
          <w:highlight w:val="none"/>
        </w:rPr>
        <w:t>法定代表人及授权委托人的身份证复印件加盖公章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（2）投标人情况表</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eastAsia="zh-CN"/>
        </w:rPr>
        <w:t>偏离表（</w:t>
      </w:r>
      <w:r>
        <w:rPr>
          <w:rFonts w:hint="eastAsia" w:ascii="新宋体" w:hAnsi="新宋体" w:eastAsia="新宋体" w:cs="新宋体"/>
          <w:color w:val="auto"/>
          <w:sz w:val="22"/>
          <w:szCs w:val="22"/>
          <w:highlight w:val="none"/>
          <w:lang w:val="en-US" w:eastAsia="zh-CN"/>
        </w:rPr>
        <w:t>商务、技术偏离</w:t>
      </w:r>
      <w:r>
        <w:rPr>
          <w:rFonts w:hint="eastAsia" w:ascii="新宋体" w:hAnsi="新宋体" w:eastAsia="新宋体" w:cs="新宋体"/>
          <w:color w:val="auto"/>
          <w:sz w:val="22"/>
          <w:szCs w:val="22"/>
          <w:highlight w:val="none"/>
          <w:lang w:val="zh-CN" w:eastAsia="zh-CN"/>
        </w:rPr>
        <w:t>）</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（4）投标人资质及相关情况</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（5）技术方案</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（6）项目管理方案</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（7）投标人的培训及售后服务</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（8）项目投入技术力量</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（9）业绩</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eastAsia="zh-CN"/>
        </w:rPr>
        <w:t>）资质文件（如有）</w:t>
      </w:r>
    </w:p>
    <w:p>
      <w:pPr>
        <w:keepNext w:val="0"/>
        <w:keepLines w:val="0"/>
        <w:pageBreakBefore w:val="0"/>
        <w:widowControl w:val="0"/>
        <w:kinsoku/>
        <w:wordWrap/>
        <w:overflowPunct/>
        <w:topLinePunct w:val="0"/>
        <w:autoSpaceDE/>
        <w:autoSpaceDN/>
        <w:bidi w:val="0"/>
        <w:snapToGrid w:val="0"/>
        <w:spacing w:line="460" w:lineRule="exact"/>
        <w:ind w:firstLine="440" w:firstLineChars="200"/>
        <w:rPr>
          <w:rFonts w:hint="eastAsia" w:ascii="新宋体" w:hAnsi="新宋体" w:eastAsia="新宋体" w:cs="新宋体"/>
          <w:color w:val="auto"/>
          <w:sz w:val="22"/>
          <w:szCs w:val="22"/>
          <w:highlight w:val="none"/>
          <w:u w:val="none" w:color="000000"/>
        </w:rPr>
      </w:pP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eastAsia="zh-CN"/>
        </w:rPr>
        <w:t>）其他必要提供的资料</w:t>
      </w:r>
    </w:p>
    <w:p>
      <w:pPr>
        <w:spacing w:line="460" w:lineRule="exact"/>
        <w:ind w:firstLine="663" w:firstLineChars="3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zh-CN"/>
        </w:rPr>
        <w:t>投标人的</w:t>
      </w:r>
      <w:r>
        <w:rPr>
          <w:rFonts w:hint="eastAsia" w:ascii="新宋体" w:hAnsi="新宋体" w:eastAsia="新宋体" w:cs="新宋体"/>
          <w:b/>
          <w:color w:val="auto"/>
          <w:sz w:val="22"/>
          <w:szCs w:val="22"/>
          <w:highlight w:val="none"/>
        </w:rPr>
        <w:t>投标文件必须按照招标文件要求制作</w:t>
      </w:r>
      <w:r>
        <w:rPr>
          <w:rFonts w:hint="eastAsia" w:ascii="新宋体" w:hAnsi="新宋体" w:eastAsia="新宋体" w:cs="新宋体"/>
          <w:b/>
          <w:bCs/>
          <w:color w:val="auto"/>
          <w:sz w:val="22"/>
          <w:szCs w:val="22"/>
          <w:highlight w:val="none"/>
        </w:rPr>
        <w:t>。</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pPr>
        <w:spacing w:line="460" w:lineRule="exact"/>
        <w:ind w:firstLine="541" w:firstLineChars="245"/>
        <w:rPr>
          <w:rFonts w:hint="eastAsia" w:ascii="新宋体" w:hAnsi="新宋体" w:eastAsia="新宋体" w:cs="新宋体"/>
          <w:b/>
          <w:bCs w:val="0"/>
          <w:color w:val="auto"/>
          <w:highlight w:val="none"/>
          <w:u w:val="single"/>
          <w:lang w:val="en-US" w:eastAsia="zh-CN"/>
        </w:rPr>
      </w:pPr>
      <w:r>
        <w:rPr>
          <w:rFonts w:hint="eastAsia" w:ascii="新宋体" w:hAnsi="新宋体" w:eastAsia="新宋体" w:cs="新宋体"/>
          <w:b/>
          <w:bCs w:val="0"/>
          <w:color w:val="auto"/>
          <w:sz w:val="22"/>
          <w:highlight w:val="none"/>
        </w:rPr>
        <w:t>4.1</w:t>
      </w:r>
      <w:r>
        <w:rPr>
          <w:rFonts w:hint="eastAsia" w:ascii="新宋体" w:hAnsi="新宋体" w:eastAsia="新宋体"/>
          <w:b/>
          <w:color w:val="auto"/>
          <w:sz w:val="22"/>
          <w:highlight w:val="none"/>
        </w:rPr>
        <w:t>投标报价是指</w:t>
      </w:r>
      <w:r>
        <w:rPr>
          <w:rFonts w:hint="eastAsia" w:ascii="新宋体" w:hAnsi="新宋体" w:eastAsia="新宋体"/>
          <w:b/>
          <w:color w:val="auto"/>
          <w:sz w:val="22"/>
          <w:highlight w:val="none"/>
          <w:lang w:val="en-US" w:eastAsia="zh-CN"/>
        </w:rPr>
        <w:t>温州金融综合服务平台</w:t>
      </w:r>
      <w:r>
        <w:rPr>
          <w:rFonts w:hint="eastAsia" w:ascii="新宋体" w:hAnsi="新宋体" w:eastAsia="新宋体"/>
          <w:b/>
          <w:color w:val="auto"/>
          <w:sz w:val="22"/>
          <w:highlight w:val="none"/>
        </w:rPr>
        <w:t>建设软件</w:t>
      </w:r>
      <w:r>
        <w:rPr>
          <w:rFonts w:hint="eastAsia" w:ascii="新宋体" w:hAnsi="新宋体" w:eastAsia="新宋体"/>
          <w:b/>
          <w:bCs/>
          <w:color w:val="auto"/>
          <w:sz w:val="22"/>
          <w:szCs w:val="22"/>
          <w:highlight w:val="none"/>
        </w:rPr>
        <w:t>（设计、开发、升级）人工费、测试、维护、培训、售后服务、利润、不可预见费、税金、劳动保险费、技术培训费</w:t>
      </w:r>
      <w:r>
        <w:rPr>
          <w:rFonts w:hint="eastAsia" w:ascii="新宋体" w:hAnsi="新宋体" w:eastAsia="新宋体"/>
          <w:b/>
          <w:color w:val="auto"/>
          <w:sz w:val="22"/>
          <w:szCs w:val="22"/>
          <w:highlight w:val="none"/>
        </w:rPr>
        <w:t>等完成合同所需的一切本身和不可或缺的所有工作开支、政策性文件规定及合同包含的所有风险、责任等各项全部费用</w:t>
      </w:r>
      <w:r>
        <w:rPr>
          <w:rFonts w:hint="eastAsia" w:ascii="新宋体" w:hAnsi="新宋体" w:eastAsia="新宋体"/>
          <w:b/>
          <w:color w:val="auto"/>
          <w:sz w:val="22"/>
          <w:highlight w:val="none"/>
        </w:rPr>
        <w:t>，供应商应根据上述因素自行考虑含入投标报价</w:t>
      </w:r>
      <w:r>
        <w:rPr>
          <w:rFonts w:hint="eastAsia" w:ascii="新宋体" w:hAnsi="新宋体" w:eastAsia="新宋体" w:cs="新宋体"/>
          <w:b/>
          <w:color w:val="auto"/>
          <w:sz w:val="22"/>
          <w:highlight w:val="none"/>
        </w:rPr>
        <w:t>。</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4.2投标人必须按附件中的投标报价一览表内容填写价格，并由投标人代表签署。</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招标人和招标代理机构不接受任何选择投标，对任何服务只允许一个价格。</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 xml:space="preserve"> 120 </w:t>
      </w:r>
      <w:r>
        <w:rPr>
          <w:rFonts w:hint="eastAsia" w:ascii="新宋体" w:hAnsi="新宋体" w:eastAsia="新宋体" w:cs="新宋体"/>
          <w:b/>
          <w:color w:val="auto"/>
          <w:sz w:val="22"/>
          <w:szCs w:val="22"/>
          <w:highlight w:val="none"/>
        </w:rPr>
        <w:t>天内投标应保持有效。</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新宋体" w:hAnsi="新宋体" w:eastAsia="新宋体" w:cs="Times New Roman"/>
          <w:b/>
          <w:bCs/>
          <w:color w:val="auto"/>
          <w:sz w:val="22"/>
          <w:szCs w:val="22"/>
          <w:highlight w:val="none"/>
        </w:rPr>
      </w:pPr>
      <w:r>
        <w:rPr>
          <w:rFonts w:hint="eastAsia" w:ascii="新宋体" w:hAnsi="新宋体" w:eastAsia="新宋体" w:cs="Times New Roman"/>
          <w:b/>
          <w:bCs/>
          <w:color w:val="auto"/>
          <w:sz w:val="22"/>
          <w:szCs w:val="22"/>
          <w:highlight w:val="none"/>
          <w:lang w:val="en-US" w:eastAsia="zh-CN"/>
        </w:rPr>
        <w:t>6、</w:t>
      </w:r>
      <w:r>
        <w:rPr>
          <w:rFonts w:hint="eastAsia" w:ascii="新宋体" w:hAnsi="新宋体" w:eastAsia="新宋体" w:cs="Times New Roman"/>
          <w:b/>
          <w:bCs/>
          <w:color w:val="auto"/>
          <w:sz w:val="22"/>
          <w:szCs w:val="22"/>
          <w:highlight w:val="none"/>
        </w:rPr>
        <w:t>投标保证金</w:t>
      </w:r>
    </w:p>
    <w:p>
      <w:pPr>
        <w:spacing w:line="460" w:lineRule="exact"/>
        <w:ind w:firstLine="539" w:firstLineChars="245"/>
        <w:rPr>
          <w:rFonts w:hint="eastAsia" w:ascii="新宋体" w:hAnsi="新宋体" w:eastAsia="新宋体" w:cs="Times New Roman"/>
          <w:color w:val="auto"/>
          <w:sz w:val="22"/>
          <w:szCs w:val="22"/>
          <w:highlight w:val="none"/>
        </w:rPr>
      </w:pPr>
      <w:r>
        <w:rPr>
          <w:rFonts w:hint="eastAsia" w:ascii="新宋体" w:hAnsi="新宋体" w:eastAsia="新宋体" w:cs="Times New Roman"/>
          <w:color w:val="auto"/>
          <w:sz w:val="22"/>
          <w:szCs w:val="22"/>
          <w:highlight w:val="none"/>
        </w:rPr>
        <w:t>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bCs/>
          <w:color w:val="auto"/>
          <w:sz w:val="22"/>
          <w:szCs w:val="22"/>
          <w:highlight w:val="none"/>
        </w:rPr>
        <w:t>、投标文件编制</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7</w:t>
      </w:r>
      <w:r>
        <w:rPr>
          <w:rFonts w:hint="eastAsia" w:ascii="新宋体" w:hAnsi="新宋体" w:eastAsia="新宋体" w:cs="新宋体"/>
          <w:b/>
          <w:bCs/>
          <w:color w:val="auto"/>
          <w:sz w:val="22"/>
          <w:szCs w:val="22"/>
          <w:highlight w:val="none"/>
          <w:u w:val="single"/>
        </w:rPr>
        <w:t>.1本项目通过“政府采购云平台（http://zfcg.czt.zj.gov.cn）”实行在线投标响应（电子投标）。供应商应通过“政采云电子交易客户端”，并按照本招标文件和“政府采购云平台”的要求编制并加密投标文件。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b/>
          <w:bCs/>
          <w:color w:val="auto"/>
          <w:sz w:val="22"/>
          <w:szCs w:val="22"/>
          <w:highlight w:val="none"/>
          <w:u w:val="single"/>
          <w:lang w:val="en-US" w:eastAsia="zh-CN"/>
        </w:rPr>
        <w:t>7</w:t>
      </w:r>
      <w:r>
        <w:rPr>
          <w:rFonts w:hint="eastAsia" w:ascii="新宋体" w:hAnsi="新宋体" w:eastAsia="新宋体" w:cs="新宋体"/>
          <w:b/>
          <w:bCs/>
          <w:color w:val="auto"/>
          <w:sz w:val="22"/>
          <w:szCs w:val="22"/>
          <w:highlight w:val="none"/>
          <w:u w:val="single"/>
        </w:rPr>
        <w:t>.2投标供应商应当按照本章节 “投标文件的构成”规定的内容及顺序在“政采云电子交易客户端”编制投标文件。其中《资格文件》和《商务技术文件》中不得出现本项目投标报价</w:t>
      </w:r>
      <w:r>
        <w:rPr>
          <w:rFonts w:hint="eastAsia" w:ascii="新宋体" w:hAnsi="新宋体" w:eastAsia="新宋体" w:cs="新宋体"/>
          <w:b/>
          <w:bCs/>
          <w:color w:val="auto"/>
          <w:sz w:val="22"/>
          <w:szCs w:val="22"/>
          <w:highlight w:val="none"/>
          <w:u w:val="single"/>
          <w:lang w:eastAsia="zh-CN"/>
        </w:rPr>
        <w:t>。</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7</w:t>
      </w:r>
      <w:r>
        <w:rPr>
          <w:rFonts w:hint="eastAsia" w:ascii="新宋体" w:hAnsi="新宋体" w:eastAsia="新宋体" w:cs="新宋体"/>
          <w:b/>
          <w:bCs/>
          <w:color w:val="auto"/>
          <w:sz w:val="22"/>
          <w:szCs w:val="22"/>
          <w:highlight w:val="none"/>
          <w:u w:val="single"/>
        </w:rPr>
        <w:t>.3本文件《第</w:t>
      </w:r>
      <w:r>
        <w:rPr>
          <w:rFonts w:hint="eastAsia" w:ascii="新宋体" w:hAnsi="新宋体" w:eastAsia="新宋体" w:cs="新宋体"/>
          <w:b/>
          <w:bCs/>
          <w:color w:val="auto"/>
          <w:sz w:val="22"/>
          <w:szCs w:val="22"/>
          <w:highlight w:val="none"/>
          <w:u w:val="single"/>
          <w:lang w:val="en-US" w:eastAsia="zh-CN"/>
        </w:rPr>
        <w:t>三</w:t>
      </w:r>
      <w:r>
        <w:rPr>
          <w:rFonts w:hint="eastAsia" w:ascii="新宋体" w:hAnsi="新宋体" w:eastAsia="新宋体" w:cs="新宋体"/>
          <w:b/>
          <w:bCs/>
          <w:color w:val="auto"/>
          <w:sz w:val="22"/>
          <w:szCs w:val="22"/>
          <w:highlight w:val="none"/>
          <w:u w:val="single"/>
        </w:rPr>
        <w:t xml:space="preserve">部分  </w:t>
      </w:r>
      <w:r>
        <w:rPr>
          <w:rFonts w:hint="eastAsia" w:ascii="新宋体" w:hAnsi="新宋体" w:eastAsia="新宋体" w:cs="新宋体"/>
          <w:b/>
          <w:bCs/>
          <w:color w:val="auto"/>
          <w:sz w:val="22"/>
          <w:szCs w:val="22"/>
          <w:highlight w:val="none"/>
          <w:u w:val="single"/>
          <w:lang w:val="en-US" w:eastAsia="zh-CN"/>
        </w:rPr>
        <w:t>附件</w:t>
      </w:r>
      <w:r>
        <w:rPr>
          <w:rFonts w:hint="eastAsia" w:ascii="新宋体" w:hAnsi="新宋体" w:eastAsia="新宋体" w:cs="新宋体"/>
          <w:b/>
          <w:bCs/>
          <w:color w:val="auto"/>
          <w:sz w:val="22"/>
          <w:szCs w:val="22"/>
          <w:highlight w:val="none"/>
          <w:u w:val="single"/>
        </w:rPr>
        <w:t>》中有提供格式的，投标供应商须参照格式进行编制（格式中要求提供相关证明材料的还需后附相关证明材料），并按格式要求在指定位置根据要求进行签章，否则视为未提供；本文件《第</w:t>
      </w:r>
      <w:r>
        <w:rPr>
          <w:rFonts w:hint="eastAsia" w:ascii="新宋体" w:hAnsi="新宋体" w:eastAsia="新宋体" w:cs="新宋体"/>
          <w:b/>
          <w:bCs/>
          <w:color w:val="auto"/>
          <w:sz w:val="22"/>
          <w:szCs w:val="22"/>
          <w:highlight w:val="none"/>
          <w:u w:val="single"/>
          <w:lang w:val="en-US" w:eastAsia="zh-CN"/>
        </w:rPr>
        <w:t>三</w:t>
      </w:r>
      <w:r>
        <w:rPr>
          <w:rFonts w:hint="eastAsia" w:ascii="新宋体" w:hAnsi="新宋体" w:eastAsia="新宋体" w:cs="新宋体"/>
          <w:b/>
          <w:bCs/>
          <w:color w:val="auto"/>
          <w:sz w:val="22"/>
          <w:szCs w:val="22"/>
          <w:highlight w:val="none"/>
          <w:u w:val="single"/>
        </w:rPr>
        <w:t xml:space="preserve">部分  </w:t>
      </w:r>
      <w:r>
        <w:rPr>
          <w:rFonts w:hint="eastAsia" w:ascii="新宋体" w:hAnsi="新宋体" w:eastAsia="新宋体" w:cs="新宋体"/>
          <w:b/>
          <w:bCs/>
          <w:color w:val="auto"/>
          <w:sz w:val="22"/>
          <w:szCs w:val="22"/>
          <w:highlight w:val="none"/>
          <w:u w:val="single"/>
          <w:lang w:val="en-US" w:eastAsia="zh-CN"/>
        </w:rPr>
        <w:t>附件</w:t>
      </w:r>
      <w:r>
        <w:rPr>
          <w:rFonts w:hint="eastAsia" w:ascii="新宋体" w:hAnsi="新宋体" w:eastAsia="新宋体" w:cs="新宋体"/>
          <w:b/>
          <w:bCs/>
          <w:color w:val="auto"/>
          <w:sz w:val="22"/>
          <w:szCs w:val="22"/>
          <w:highlight w:val="none"/>
          <w:u w:val="single"/>
        </w:rPr>
        <w:t>》未提供格式的，请各投标单位自行拟定格式，并加盖单位公章并由法定代表人或其授权代表签署（签字或盖章），否则视为未提供。</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7</w:t>
      </w:r>
      <w:r>
        <w:rPr>
          <w:rFonts w:hint="eastAsia" w:ascii="新宋体" w:hAnsi="新宋体" w:eastAsia="新宋体" w:cs="新宋体"/>
          <w:b/>
          <w:bCs/>
          <w:color w:val="auto"/>
          <w:sz w:val="22"/>
          <w:szCs w:val="22"/>
          <w:highlight w:val="none"/>
          <w:u w:val="single"/>
        </w:rPr>
        <w:t>.4《投标文件》内容不完整、编排混乱导致《投标文件》被误读、漏读或者查找不到相关内容的，投标人</w:t>
      </w:r>
      <w:r>
        <w:rPr>
          <w:rFonts w:hint="eastAsia" w:ascii="新宋体" w:hAnsi="新宋体" w:eastAsia="新宋体" w:cs="新宋体"/>
          <w:b/>
          <w:bCs/>
          <w:color w:val="auto"/>
          <w:sz w:val="22"/>
          <w:szCs w:val="22"/>
          <w:highlight w:val="none"/>
          <w:u w:val="single"/>
          <w:lang w:val="en-US" w:eastAsia="zh-CN"/>
        </w:rPr>
        <w:t>自行负</w:t>
      </w:r>
      <w:r>
        <w:rPr>
          <w:rFonts w:hint="eastAsia" w:ascii="新宋体" w:hAnsi="新宋体" w:eastAsia="新宋体" w:cs="新宋体"/>
          <w:b/>
          <w:bCs/>
          <w:color w:val="auto"/>
          <w:sz w:val="22"/>
          <w:szCs w:val="22"/>
          <w:highlight w:val="none"/>
          <w:u w:val="single"/>
        </w:rPr>
        <w:t>责。</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7</w:t>
      </w:r>
      <w:r>
        <w:rPr>
          <w:rFonts w:hint="eastAsia" w:ascii="新宋体" w:hAnsi="新宋体" w:eastAsia="新宋体" w:cs="新宋体"/>
          <w:b/>
          <w:bCs/>
          <w:color w:val="auto"/>
          <w:sz w:val="22"/>
          <w:szCs w:val="22"/>
          <w:highlight w:val="none"/>
          <w:u w:val="single"/>
        </w:rPr>
        <w:t>.5《投标文件》因字迹潦草或表达不清所引起的后果由投标供应商负责。</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7</w:t>
      </w:r>
      <w:r>
        <w:rPr>
          <w:rFonts w:hint="eastAsia" w:ascii="新宋体" w:hAnsi="新宋体" w:eastAsia="新宋体" w:cs="新宋体"/>
          <w:b/>
          <w:bCs/>
          <w:color w:val="auto"/>
          <w:sz w:val="22"/>
          <w:szCs w:val="22"/>
          <w:highlight w:val="none"/>
          <w:u w:val="single"/>
        </w:rPr>
        <w:t>.6投标供应商没有按照本章节 “投标文件</w:t>
      </w:r>
      <w:r>
        <w:rPr>
          <w:rFonts w:hint="eastAsia" w:ascii="新宋体" w:hAnsi="新宋体" w:eastAsia="新宋体" w:cs="新宋体"/>
          <w:b/>
          <w:bCs/>
          <w:color w:val="auto"/>
          <w:sz w:val="22"/>
          <w:szCs w:val="22"/>
          <w:highlight w:val="none"/>
          <w:u w:val="single"/>
          <w:lang w:val="en-US" w:eastAsia="zh-CN"/>
        </w:rPr>
        <w:t>的构成</w:t>
      </w:r>
      <w:r>
        <w:rPr>
          <w:rFonts w:hint="eastAsia" w:ascii="新宋体" w:hAnsi="新宋体" w:eastAsia="新宋体" w:cs="新宋体"/>
          <w:b/>
          <w:bCs/>
          <w:color w:val="auto"/>
          <w:sz w:val="22"/>
          <w:szCs w:val="22"/>
          <w:highlight w:val="none"/>
          <w:u w:val="single"/>
        </w:rPr>
        <w:t>”要求提供全部资料，或者没有仔细阅读招标文件，或者没有对招标文件在各方面的要求作出实质性响应是投标供应商的风险，由此造成的一切后果由投标供应商自行承担。</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投标文件的签章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.1《投标文件》的签章：见《前附表》；</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.2《投标文件》应由投标供应商法定代表人或其授权代表签字（或盖章），并时加盖投标供应商公章。</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.3电子签章操作指南详见采购公告附件《供应商项目采购-电子招投标操作指南》。</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投标文件的形式</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.1投标文件的形式：见《前附表》；</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9</w:t>
      </w:r>
      <w:r>
        <w:rPr>
          <w:rFonts w:hint="eastAsia" w:ascii="新宋体" w:hAnsi="新宋体" w:eastAsia="新宋体" w:cs="新宋体"/>
          <w:b/>
          <w:bCs/>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10、</w:t>
      </w:r>
      <w:r>
        <w:rPr>
          <w:rFonts w:hint="eastAsia" w:ascii="新宋体" w:hAnsi="新宋体" w:eastAsia="新宋体" w:cs="新宋体"/>
          <w:b/>
          <w:bCs/>
          <w:color w:val="auto"/>
          <w:sz w:val="22"/>
          <w:szCs w:val="22"/>
          <w:highlight w:val="none"/>
        </w:rPr>
        <w:t>投标文件的份数</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10</w:t>
      </w:r>
      <w:r>
        <w:rPr>
          <w:rFonts w:hint="eastAsia" w:ascii="新宋体" w:hAnsi="新宋体" w:eastAsia="新宋体" w:cs="新宋体"/>
          <w:b/>
          <w:bCs/>
          <w:color w:val="auto"/>
          <w:sz w:val="22"/>
          <w:szCs w:val="22"/>
          <w:highlight w:val="none"/>
        </w:rPr>
        <w:t>.1投标文件的份数：见《前附表》。</w:t>
      </w:r>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 投标文件的递交</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1、</w:t>
      </w:r>
      <w:r>
        <w:rPr>
          <w:rFonts w:hint="eastAsia" w:ascii="新宋体" w:hAnsi="新宋体" w:eastAsia="新宋体" w:cs="新宋体"/>
          <w:b w:val="0"/>
          <w:bCs w:val="0"/>
          <w:color w:val="auto"/>
          <w:sz w:val="22"/>
          <w:szCs w:val="22"/>
          <w:highlight w:val="none"/>
        </w:rPr>
        <w:t>投标文件的上传和递交</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1.1“投标文件”的上传、递交：见《前附表》。</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“电子加密投标文件”解密和异常情况处理</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2.1“电子加密投标文件”解密：见《前附表》。</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投标文件的补充、修改或撤回</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3.2投标截止时间后，投标供应商不得撤回、修改《投标文件》。</w:t>
      </w:r>
    </w:p>
    <w:p>
      <w:pPr>
        <w:spacing w:line="460" w:lineRule="exact"/>
        <w:ind w:firstLine="539" w:firstLineChars="245"/>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4、</w:t>
      </w:r>
      <w:r>
        <w:rPr>
          <w:rFonts w:hint="eastAsia" w:ascii="新宋体" w:hAnsi="新宋体" w:eastAsia="新宋体" w:cs="新宋体"/>
          <w:b w:val="0"/>
          <w:bCs w:val="0"/>
          <w:color w:val="auto"/>
          <w:sz w:val="22"/>
          <w:szCs w:val="22"/>
          <w:highlight w:val="none"/>
        </w:rPr>
        <w:t>投标文件的备选方案</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 开标和评标</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、评标委员会</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2</w:t>
      </w:r>
      <w:r>
        <w:rPr>
          <w:rFonts w:hint="eastAsia" w:ascii="新宋体" w:hAnsi="新宋体" w:eastAsia="新宋体" w:cs="新宋体"/>
          <w:b/>
          <w:bCs w:val="0"/>
          <w:color w:val="auto"/>
          <w:sz w:val="22"/>
          <w:szCs w:val="22"/>
          <w:highlight w:val="none"/>
        </w:rPr>
        <w:t>、评标过程的保密性</w:t>
      </w:r>
    </w:p>
    <w:p>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bCs/>
          <w:color w:val="auto"/>
          <w:kern w:val="2"/>
          <w:sz w:val="22"/>
          <w:szCs w:val="22"/>
          <w:highlight w:val="none"/>
          <w:lang w:val="en-US" w:eastAsia="zh-CN" w:bidi="ar-SA"/>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开标形式</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val="0"/>
          <w:color w:val="auto"/>
          <w:sz w:val="22"/>
          <w:szCs w:val="22"/>
          <w:highlight w:val="none"/>
          <w:lang w:val="en-US" w:eastAsia="zh-CN"/>
        </w:rPr>
        <w:t xml:space="preserve"> 采购</w:t>
      </w:r>
      <w:r>
        <w:rPr>
          <w:rFonts w:hint="eastAsia" w:ascii="新宋体" w:hAnsi="新宋体" w:eastAsia="新宋体" w:cs="新宋体"/>
          <w:b/>
          <w:color w:val="auto"/>
          <w:sz w:val="22"/>
          <w:szCs w:val="22"/>
          <w:highlight w:val="none"/>
        </w:rPr>
        <w:t>组织机构将按照招标文件规定的时间通过“政府采购云平台”组织开标、开启投标文件，所有供应商均应当准时</w:t>
      </w:r>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cs="新宋体"/>
          <w:b/>
          <w:color w:val="auto"/>
          <w:sz w:val="22"/>
          <w:szCs w:val="22"/>
          <w:highlight w:val="none"/>
        </w:rPr>
        <w:t>参加。</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开标准备</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.1开标的准备工作由采购组织机构负责落实；</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采购组织机构将按照招标文件规定的时间通过“政府采购云平台”组织开标、开启投标文件，所有供应商均应当准时</w:t>
      </w:r>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val="en-US" w:eastAsia="zh-CN"/>
        </w:rPr>
        <w:t>)</w:t>
      </w:r>
      <w:r>
        <w:rPr>
          <w:rFonts w:hint="eastAsia" w:ascii="新宋体" w:hAnsi="新宋体" w:eastAsia="新宋体" w:cs="新宋体"/>
          <w:b/>
          <w:color w:val="auto"/>
          <w:sz w:val="22"/>
          <w:szCs w:val="22"/>
          <w:highlight w:val="none"/>
        </w:rPr>
        <w:t>参加。</w:t>
      </w:r>
      <w:r>
        <w:rPr>
          <w:rFonts w:hint="eastAsia" w:ascii="新宋体" w:hAnsi="新宋体" w:eastAsia="新宋体" w:cs="新宋体"/>
          <w:b/>
          <w:color w:val="auto"/>
          <w:kern w:val="0"/>
          <w:sz w:val="22"/>
          <w:szCs w:val="22"/>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开标流程</w:t>
      </w:r>
    </w:p>
    <w:p>
      <w:pPr>
        <w:spacing w:line="460" w:lineRule="exact"/>
        <w:ind w:firstLine="541" w:firstLineChars="245"/>
        <w:rPr>
          <w:rFonts w:hint="default" w:ascii="新宋体" w:hAnsi="新宋体" w:eastAsia="新宋体" w:cs="新宋体"/>
          <w:b/>
          <w:color w:val="auto"/>
          <w:kern w:val="0"/>
          <w:sz w:val="22"/>
          <w:szCs w:val="22"/>
          <w:highlight w:val="none"/>
          <w:lang w:val="en-US" w:eastAsia="zh-CN"/>
        </w:rPr>
      </w:pPr>
      <w:r>
        <w:rPr>
          <w:rFonts w:hint="eastAsia" w:ascii="新宋体" w:hAnsi="新宋体" w:eastAsia="新宋体" w:cs="新宋体"/>
          <w:b/>
          <w:color w:val="auto"/>
          <w:kern w:val="0"/>
          <w:sz w:val="22"/>
          <w:szCs w:val="22"/>
          <w:highlight w:val="none"/>
          <w:lang w:val="en-US" w:eastAsia="zh-CN"/>
        </w:rPr>
        <w:t>5</w:t>
      </w:r>
      <w:r>
        <w:rPr>
          <w:rFonts w:hint="eastAsia" w:ascii="新宋体" w:hAnsi="新宋体" w:eastAsia="新宋体" w:cs="新宋体"/>
          <w:b/>
          <w:color w:val="auto"/>
          <w:kern w:val="0"/>
          <w:sz w:val="22"/>
          <w:szCs w:val="22"/>
          <w:highlight w:val="none"/>
        </w:rPr>
        <w:t>.1开标</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评标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color w:val="auto"/>
          <w:highlight w:val="none"/>
        </w:rPr>
      </w:pPr>
      <w:r>
        <w:rPr>
          <w:rFonts w:hint="eastAsia" w:ascii="新宋体" w:hAnsi="新宋体" w:eastAsia="新宋体" w:cs="新宋体"/>
          <w:bCs/>
          <w:color w:val="auto"/>
          <w:sz w:val="22"/>
          <w:szCs w:val="22"/>
          <w:highlight w:val="none"/>
        </w:rPr>
        <w:t>投标人不足3家的，不得开标。</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解密成功后，</w:t>
      </w:r>
      <w:r>
        <w:rPr>
          <w:rFonts w:hint="eastAsia" w:ascii="新宋体" w:hAnsi="新宋体" w:eastAsia="新宋体" w:cs="新宋体"/>
          <w:color w:val="auto"/>
          <w:kern w:val="0"/>
          <w:sz w:val="22"/>
          <w:szCs w:val="22"/>
          <w:highlight w:val="none"/>
        </w:rPr>
        <w:t>开启投标供应商的《报价文件》，</w:t>
      </w:r>
      <w:r>
        <w:rPr>
          <w:rFonts w:hint="eastAsia" w:ascii="新宋体" w:hAnsi="新宋体" w:eastAsia="新宋体" w:cs="新宋体"/>
          <w:color w:val="auto"/>
          <w:kern w:val="0"/>
          <w:sz w:val="22"/>
          <w:szCs w:val="22"/>
          <w:highlight w:val="none"/>
          <w:lang w:val="en-US" w:eastAsia="zh-CN"/>
        </w:rPr>
        <w:t>供应商通过政采云系统对自己报价文件相关内容进行签字确认</w:t>
      </w:r>
      <w:r>
        <w:rPr>
          <w:rFonts w:hint="eastAsia" w:ascii="新宋体" w:hAnsi="新宋体" w:eastAsia="新宋体" w:cs="新宋体"/>
          <w:color w:val="auto"/>
          <w:kern w:val="0"/>
          <w:sz w:val="22"/>
          <w:szCs w:val="22"/>
          <w:highlight w:val="none"/>
        </w:rPr>
        <w:t>（不予确认的应说明理由，否则视为无异议）。</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投标文件</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，进入资格审查；</w:t>
      </w:r>
      <w:r>
        <w:rPr>
          <w:rFonts w:hint="eastAsia" w:ascii="新宋体" w:hAnsi="新宋体" w:eastAsia="新宋体" w:cs="新宋体"/>
          <w:bCs/>
          <w:color w:val="auto"/>
          <w:sz w:val="22"/>
          <w:szCs w:val="22"/>
          <w:highlight w:val="none"/>
        </w:rPr>
        <w:t>合格投标人不足3家的，不得评标。</w:t>
      </w:r>
    </w:p>
    <w:p>
      <w:pPr>
        <w:spacing w:line="460" w:lineRule="exact"/>
        <w:ind w:firstLine="541"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备注：开标大会的结束后，采购人或采购代理机构将对依法对投标供应商的资格进行审查，资格审查结束后进入符合性审查和商务技术的评审工作，具体见本章节“投标供应商资格审查”相关规定。</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开启资格审查通过的投标供应商的商务技术文件进入符合性审查</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color w:val="auto"/>
          <w:highlight w:val="none"/>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对通过资格审查、符合性审查的合格供应商进行商务技术部分的评审。</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）评标委员会对报价的合理性、准确性等进行审查核实。</w:t>
      </w:r>
    </w:p>
    <w:p>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评审结束后，公布中标（成交）候选供应商名单及采购人最终确定中标或成交供应商名单的时间和公告方式等</w:t>
      </w:r>
      <w:r>
        <w:rPr>
          <w:rFonts w:hint="eastAsia" w:ascii="新宋体" w:hAnsi="新宋体" w:eastAsia="新宋体" w:cs="新宋体"/>
          <w:color w:val="auto"/>
          <w:kern w:val="0"/>
          <w:sz w:val="22"/>
          <w:szCs w:val="22"/>
          <w:highlight w:val="none"/>
          <w:lang w:val="en-US" w:eastAsia="zh-CN"/>
        </w:rPr>
        <w:t>。</w:t>
      </w:r>
    </w:p>
    <w:p>
      <w:pPr>
        <w:spacing w:line="460" w:lineRule="exact"/>
        <w:ind w:firstLine="541" w:firstLineChars="245"/>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新宋体" w:hAnsi="新宋体" w:eastAsia="新宋体" w:cs="新宋体"/>
          <w:color w:val="auto"/>
          <w:sz w:val="22"/>
          <w:szCs w:val="22"/>
          <w:highlight w:val="none"/>
        </w:rPr>
      </w:pPr>
      <w:bookmarkStart w:id="5" w:name="_Toc24550037"/>
      <w:bookmarkStart w:id="6" w:name="_Toc33194393"/>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投标供应商资格审查</w:t>
      </w:r>
      <w:bookmarkEnd w:id="5"/>
      <w:bookmarkEnd w:id="6"/>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lang w:val="en-US" w:eastAsia="zh-CN"/>
        </w:rPr>
        <w:t>6</w:t>
      </w:r>
      <w:r>
        <w:rPr>
          <w:rFonts w:hint="eastAsia" w:ascii="新宋体" w:hAnsi="新宋体" w:eastAsia="新宋体" w:cs="新宋体"/>
          <w:b/>
          <w:color w:val="auto"/>
          <w:sz w:val="22"/>
          <w:szCs w:val="22"/>
          <w:highlight w:val="none"/>
        </w:rPr>
        <w:t>.1开标大会结束后，采购人或采购代理机构首先依法对各投标供应商的资格进行审查，审查各投标供应商的资格是否满足招标文件的要求。</w:t>
      </w:r>
      <w:r>
        <w:rPr>
          <w:rFonts w:hint="eastAsia" w:ascii="新宋体" w:hAnsi="新宋体" w:eastAsia="新宋体" w:cs="新宋体"/>
          <w:color w:val="auto"/>
          <w:sz w:val="22"/>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541" w:firstLineChars="245"/>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lang w:val="en-US" w:eastAsia="zh-CN"/>
        </w:rPr>
        <w:t>6</w:t>
      </w:r>
      <w:r>
        <w:rPr>
          <w:rFonts w:hint="eastAsia" w:ascii="新宋体" w:hAnsi="新宋体" w:eastAsia="新宋体" w:cs="新宋体"/>
          <w:b/>
          <w:color w:val="auto"/>
          <w:sz w:val="22"/>
          <w:szCs w:val="22"/>
          <w:highlight w:val="none"/>
        </w:rPr>
        <w:t>.2投标供应商提交的资格证明材料无法证明其符合招标文件规定的“投标供应商资格要求”的，采购人或采购代理机构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.3单位负责人为同一人或者存在直接控股、管理关系的不同供应商参加同一合同项下的政府采购活动的，相关投标供应商均作资格无效处理。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评标委员按照招标文件中规定的评标方法和标准，对投标文件进行商务和技术评估，综合比较与评价。</w:t>
      </w:r>
    </w:p>
    <w:p>
      <w:pPr>
        <w:spacing w:line="460" w:lineRule="exact"/>
        <w:ind w:firstLine="541" w:firstLineChars="245"/>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lang w:val="en-US" w:eastAsia="zh-CN"/>
        </w:rPr>
        <w:t>8、</w:t>
      </w:r>
      <w:r>
        <w:rPr>
          <w:rFonts w:hint="eastAsia" w:ascii="新宋体" w:hAnsi="新宋体" w:eastAsia="新宋体" w:cs="新宋体"/>
          <w:b/>
          <w:color w:val="auto"/>
          <w:sz w:val="22"/>
          <w:szCs w:val="22"/>
          <w:highlight w:val="none"/>
          <w:u w:val="single"/>
        </w:rPr>
        <w:t>投标人存在下列情况之一的，投标无效：</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（1）投标文件未按招标文件要求签署、盖章的；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（2）不具备招标文件中规定的资格要求的； </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（3）明显不符合招标文件中主要技术规格、技术标准的；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（4）投标文件内容不全或关键字迹模糊无法辨认的；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（5）投标人代表没有法定代表人合法、有效委托的；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）报价超过招标文件中规定的预算金额或者最高限价的</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投标文件存在一个或一个以上备选（替代）投标方案的；</w:t>
      </w:r>
    </w:p>
    <w:p>
      <w:pPr>
        <w:spacing w:line="460" w:lineRule="exact"/>
        <w:ind w:firstLine="539" w:firstLineChars="245"/>
        <w:rPr>
          <w:rFonts w:hint="eastAsia"/>
          <w:color w:val="auto"/>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）仅提交“备份投标文件”的；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9</w:t>
      </w:r>
      <w:r>
        <w:rPr>
          <w:rFonts w:hint="eastAsia" w:ascii="新宋体" w:hAnsi="新宋体" w:eastAsia="新宋体" w:cs="新宋体"/>
          <w:bCs/>
          <w:color w:val="auto"/>
          <w:sz w:val="22"/>
          <w:szCs w:val="22"/>
          <w:highlight w:val="none"/>
        </w:rPr>
        <w:t>）投标文件含有招标人不能接受的附加条件的；</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）法律、法规和招标文件规定的其他无效情形。</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9、</w:t>
      </w:r>
      <w:r>
        <w:rPr>
          <w:rFonts w:hint="eastAsia" w:ascii="新宋体" w:hAnsi="新宋体" w:eastAsia="新宋体" w:cs="新宋体"/>
          <w:b/>
          <w:bCs/>
          <w:color w:val="auto"/>
          <w:sz w:val="22"/>
          <w:szCs w:val="22"/>
          <w:highlight w:val="none"/>
          <w:u w:val="single"/>
        </w:rPr>
        <w:t>有下列情形之一的，视为投标人串通投标，其投标无效</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pPr>
        <w:spacing w:line="460" w:lineRule="exact"/>
        <w:ind w:firstLine="539" w:firstLineChars="245"/>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（5）不同投标人的投标文件相互混装。</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10、</w:t>
      </w:r>
      <w:r>
        <w:rPr>
          <w:rFonts w:hint="eastAsia" w:ascii="新宋体" w:hAnsi="新宋体" w:eastAsia="新宋体" w:cs="新宋体"/>
          <w:b/>
          <w:bCs/>
          <w:color w:val="auto"/>
          <w:sz w:val="22"/>
          <w:szCs w:val="22"/>
          <w:highlight w:val="none"/>
          <w:u w:val="single"/>
        </w:rPr>
        <w:t>投标文件报价出现前后不一致的，按照下列规定修正：</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（1）投标文件中开标一览表（报价表）内容与投标文件中相应内容不一致的，以开标一览表（报价表）为准；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条第</w:t>
      </w:r>
      <w:r>
        <w:rPr>
          <w:rFonts w:hint="eastAsia" w:ascii="新宋体" w:hAnsi="新宋体" w:eastAsia="新宋体" w:cs="新宋体"/>
          <w:color w:val="auto"/>
          <w:sz w:val="22"/>
          <w:szCs w:val="22"/>
          <w:highlight w:val="none"/>
          <w:lang w:val="en-US" w:eastAsia="zh-CN"/>
        </w:rPr>
        <w:t>12.2</w:t>
      </w:r>
      <w:r>
        <w:rPr>
          <w:rFonts w:hint="eastAsia" w:ascii="新宋体" w:hAnsi="新宋体" w:eastAsia="新宋体" w:cs="新宋体"/>
          <w:color w:val="auto"/>
          <w:sz w:val="22"/>
          <w:szCs w:val="22"/>
          <w:highlight w:val="none"/>
        </w:rPr>
        <w:t>款的规定经投标人确认后产生约束力，投标人不确认的，其投标无效。</w:t>
      </w:r>
    </w:p>
    <w:p>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rPr>
        <w:t>、投标文件的澄清</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rPr>
        <w:t>.1在评标期间，评标委员会可要求投标人对于投标文件中含义不明确、同类问题表述不一致</w:t>
      </w:r>
      <w:r>
        <w:rPr>
          <w:rFonts w:hint="eastAsia" w:ascii="新宋体" w:hAnsi="新宋体" w:eastAsia="新宋体"/>
          <w:bCs/>
          <w:color w:val="auto"/>
          <w:sz w:val="22"/>
          <w:szCs w:val="22"/>
          <w:highlight w:val="none"/>
        </w:rPr>
        <w:t>或者有明显文字和计算错误的内容，评标委员会应当以书面形式（或通过“政府采购云平台”在线询标）要求投标人在规定的时间内作出必要的澄清、说明或者补正。投标供应商澄清、说明或补正时间为30分钟。</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lang w:val="en-US" w:eastAsia="zh-CN"/>
        </w:rPr>
        <w:t>12.2</w:t>
      </w:r>
      <w:r>
        <w:rPr>
          <w:rFonts w:hint="eastAsia" w:ascii="新宋体" w:hAnsi="新宋体" w:eastAsia="新宋体"/>
          <w:bCs/>
          <w:color w:val="auto"/>
          <w:sz w:val="22"/>
          <w:szCs w:val="22"/>
          <w:highlight w:val="none"/>
        </w:rPr>
        <w:t>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lang w:val="en-US" w:eastAsia="zh-CN"/>
        </w:rPr>
        <w:t>12</w:t>
      </w:r>
      <w:r>
        <w:rPr>
          <w:rFonts w:hint="eastAsia" w:ascii="新宋体" w:hAnsi="新宋体" w:eastAsia="新宋体"/>
          <w:color w:val="auto"/>
          <w:sz w:val="22"/>
          <w:szCs w:val="22"/>
          <w:highlight w:val="none"/>
        </w:rPr>
        <w:t>.2</w:t>
      </w:r>
      <w:r>
        <w:rPr>
          <w:rFonts w:hint="eastAsia" w:ascii="新宋体" w:hAnsi="新宋体" w:eastAsia="新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r>
        <w:rPr>
          <w:rFonts w:hint="eastAsia" w:ascii="新宋体" w:hAnsi="新宋体" w:eastAsia="新宋体" w:cs="新宋体"/>
          <w:color w:val="auto"/>
          <w:sz w:val="22"/>
          <w:szCs w:val="22"/>
          <w:highlight w:val="none"/>
        </w:rPr>
        <w:t>评审结果</w:t>
      </w:r>
      <w:r>
        <w:rPr>
          <w:rFonts w:hint="eastAsia" w:ascii="新宋体" w:hAnsi="新宋体" w:eastAsia="新宋体" w:cs="新宋体"/>
          <w:color w:val="auto"/>
          <w:sz w:val="22"/>
          <w:szCs w:val="22"/>
          <w:highlight w:val="none"/>
          <w:lang w:val="en-US" w:eastAsia="zh-CN"/>
        </w:rPr>
        <w:t>的修改</w:t>
      </w:r>
    </w:p>
    <w:p>
      <w:pPr>
        <w:spacing w:line="460" w:lineRule="exact"/>
        <w:ind w:firstLine="762" w:firstLineChars="3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.1评标结果汇总完成后，除下列情形外，任何人不得修改评标结果：</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pPr>
        <w:spacing w:line="460" w:lineRule="exact"/>
        <w:ind w:firstLine="759" w:firstLineChars="3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pPr>
        <w:spacing w:line="460" w:lineRule="exact"/>
        <w:ind w:firstLine="759" w:firstLineChars="345"/>
        <w:rPr>
          <w:color w:val="auto"/>
          <w:highlight w:val="none"/>
        </w:rPr>
      </w:pPr>
      <w:r>
        <w:rPr>
          <w:rFonts w:hint="eastAsia" w:ascii="新宋体" w:hAnsi="新宋体" w:eastAsia="新宋体" w:cs="新宋体"/>
          <w:bCs/>
          <w:color w:val="auto"/>
          <w:kern w:val="2"/>
          <w:sz w:val="22"/>
          <w:szCs w:val="22"/>
          <w:highlight w:val="none"/>
          <w:lang w:val="en-US" w:eastAsia="zh-CN" w:bidi="ar-SA"/>
        </w:rPr>
        <w:t>13.2书面评标报告签署前，经复核发现存在以上情形之一的，评标委员会将当场修改评标结果，并在</w:t>
      </w:r>
      <w:r>
        <w:rPr>
          <w:rFonts w:hint="eastAsia" w:ascii="新宋体" w:hAnsi="新宋体" w:eastAsia="新宋体" w:cs="新宋体"/>
          <w:b/>
          <w:bCs w:val="0"/>
          <w:color w:val="auto"/>
          <w:kern w:val="2"/>
          <w:sz w:val="22"/>
          <w:szCs w:val="22"/>
          <w:highlight w:val="none"/>
          <w:lang w:val="en-US" w:eastAsia="zh-CN" w:bidi="ar-SA"/>
        </w:rPr>
        <w:t>评</w:t>
      </w:r>
      <w:r>
        <w:rPr>
          <w:rFonts w:hint="eastAsia" w:ascii="新宋体" w:hAnsi="新宋体" w:eastAsia="新宋体" w:cs="新宋体"/>
          <w:b/>
          <w:bCs w:val="0"/>
          <w:color w:val="auto"/>
          <w:sz w:val="22"/>
          <w:szCs w:val="22"/>
          <w:highlight w:val="none"/>
        </w:rPr>
        <w:t>标</w:t>
      </w:r>
      <w:r>
        <w:rPr>
          <w:rFonts w:hint="eastAsia" w:ascii="新宋体" w:hAnsi="新宋体" w:eastAsia="新宋体" w:cs="新宋体"/>
          <w:b/>
          <w:color w:val="auto"/>
          <w:sz w:val="22"/>
          <w:szCs w:val="22"/>
          <w:highlight w:val="none"/>
        </w:rPr>
        <w:t>报告中记载。</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lang w:val="en-US" w:eastAsia="zh-CN"/>
        </w:rPr>
        <w:t>14</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确定中标候选人</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14</w:t>
      </w:r>
      <w:r>
        <w:rPr>
          <w:rFonts w:hint="eastAsia" w:ascii="新宋体" w:hAnsi="新宋体" w:eastAsia="新宋体"/>
          <w:color w:val="auto"/>
          <w:sz w:val="22"/>
          <w:szCs w:val="22"/>
          <w:highlight w:val="none"/>
        </w:rPr>
        <w:t>.1由评标委员会确定中标候选人。</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14</w:t>
      </w:r>
      <w:r>
        <w:rPr>
          <w:rFonts w:hint="eastAsia" w:ascii="新宋体" w:hAnsi="新宋体" w:eastAsia="新宋体"/>
          <w:color w:val="auto"/>
          <w:sz w:val="22"/>
          <w:szCs w:val="22"/>
          <w:highlight w:val="none"/>
        </w:rPr>
        <w:t>.2评标委员会依据法律、法规及招标文件有关规定按评审后得分（即</w:t>
      </w:r>
      <w:r>
        <w:rPr>
          <w:rFonts w:hint="eastAsia" w:ascii="新宋体" w:hAnsi="新宋体" w:eastAsia="新宋体"/>
          <w:color w:val="auto"/>
          <w:sz w:val="22"/>
          <w:szCs w:val="22"/>
          <w:highlight w:val="none"/>
          <w:lang w:val="en-US" w:eastAsia="zh-CN"/>
        </w:rPr>
        <w:t>商务技术</w:t>
      </w:r>
      <w:r>
        <w:rPr>
          <w:rFonts w:hint="eastAsia" w:ascii="新宋体" w:hAnsi="新宋体" w:eastAsia="新宋体"/>
          <w:color w:val="auto"/>
          <w:sz w:val="22"/>
          <w:szCs w:val="22"/>
          <w:highlight w:val="none"/>
        </w:rPr>
        <w:t>分与</w:t>
      </w:r>
      <w:r>
        <w:rPr>
          <w:rFonts w:hint="eastAsia" w:ascii="新宋体" w:hAnsi="新宋体" w:eastAsia="新宋体"/>
          <w:color w:val="auto"/>
          <w:sz w:val="22"/>
          <w:szCs w:val="22"/>
          <w:highlight w:val="none"/>
          <w:lang w:val="en-US" w:eastAsia="zh-CN"/>
        </w:rPr>
        <w:t>报价得</w:t>
      </w:r>
      <w:r>
        <w:rPr>
          <w:rFonts w:hint="eastAsia" w:ascii="新宋体" w:hAnsi="新宋体" w:eastAsia="新宋体"/>
          <w:color w:val="auto"/>
          <w:sz w:val="22"/>
          <w:szCs w:val="22"/>
          <w:highlight w:val="none"/>
        </w:rPr>
        <w:t>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新宋体" w:hAnsi="新宋体" w:eastAsia="新宋体" w:cs="新宋体"/>
          <w:bCs/>
          <w:color w:val="auto"/>
          <w:sz w:val="22"/>
          <w:szCs w:val="22"/>
          <w:highlight w:val="none"/>
          <w:lang w:val="en-US" w:eastAsia="zh-CN"/>
        </w:rPr>
      </w:pPr>
      <w:r>
        <w:rPr>
          <w:rFonts w:hint="eastAsia" w:ascii="新宋体" w:hAnsi="新宋体" w:eastAsia="新宋体"/>
          <w:b/>
          <w:bCs/>
          <w:color w:val="auto"/>
          <w:sz w:val="22"/>
          <w:szCs w:val="22"/>
          <w:highlight w:val="none"/>
          <w:lang w:val="en-US" w:eastAsia="zh-CN"/>
        </w:rPr>
        <w:t>15</w:t>
      </w:r>
      <w:r>
        <w:rPr>
          <w:rFonts w:hint="eastAsia" w:ascii="新宋体" w:hAnsi="新宋体" w:eastAsia="新宋体"/>
          <w:b/>
          <w:bCs/>
          <w:color w:val="auto"/>
          <w:sz w:val="22"/>
          <w:szCs w:val="22"/>
          <w:highlight w:val="none"/>
        </w:rPr>
        <w:t>、确定中标人</w:t>
      </w:r>
    </w:p>
    <w:p>
      <w:pPr>
        <w:spacing w:line="460" w:lineRule="exact"/>
        <w:ind w:firstLine="762" w:firstLineChars="345"/>
        <w:rPr>
          <w:rFonts w:hint="eastAsia" w:ascii="新宋体" w:hAnsi="新宋体" w:eastAsia="新宋体"/>
          <w:b/>
          <w:bCs/>
          <w:color w:val="auto"/>
          <w:sz w:val="22"/>
          <w:szCs w:val="22"/>
          <w:highlight w:val="none"/>
        </w:rPr>
      </w:pPr>
      <w:r>
        <w:rPr>
          <w:rFonts w:hint="eastAsia" w:ascii="新宋体" w:hAnsi="新宋体" w:eastAsia="新宋体" w:cs="新宋体"/>
          <w:b/>
          <w:bCs w:val="0"/>
          <w:color w:val="auto"/>
          <w:sz w:val="22"/>
          <w:szCs w:val="22"/>
          <w:highlight w:val="none"/>
          <w:lang w:val="en-US" w:eastAsia="zh-CN"/>
        </w:rPr>
        <w:t>15</w:t>
      </w:r>
      <w:r>
        <w:rPr>
          <w:rFonts w:hint="eastAsia" w:ascii="新宋体" w:hAnsi="新宋体" w:eastAsia="新宋体"/>
          <w:b/>
          <w:bCs/>
          <w:color w:val="auto"/>
          <w:sz w:val="22"/>
          <w:szCs w:val="22"/>
          <w:highlight w:val="none"/>
        </w:rPr>
        <w:t>.1招标人按照</w:t>
      </w:r>
      <w:r>
        <w:rPr>
          <w:rFonts w:hint="eastAsia" w:ascii="新宋体" w:hAnsi="新宋体" w:eastAsia="新宋体"/>
          <w:b/>
          <w:bCs/>
          <w:color w:val="auto"/>
          <w:sz w:val="22"/>
          <w:szCs w:val="22"/>
          <w:highlight w:val="none"/>
          <w:lang w:val="en-US" w:eastAsia="zh-CN"/>
        </w:rPr>
        <w:t>书面</w:t>
      </w:r>
      <w:r>
        <w:rPr>
          <w:rFonts w:hint="eastAsia" w:ascii="新宋体" w:hAnsi="新宋体" w:eastAsia="新宋体"/>
          <w:b/>
          <w:bCs/>
          <w:color w:val="auto"/>
          <w:sz w:val="22"/>
          <w:szCs w:val="22"/>
          <w:highlight w:val="none"/>
        </w:rPr>
        <w:t>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15</w:t>
      </w:r>
      <w:r>
        <w:rPr>
          <w:rFonts w:hint="eastAsia" w:ascii="新宋体" w:hAnsi="新宋体" w:eastAsia="新宋体"/>
          <w:color w:val="auto"/>
          <w:sz w:val="22"/>
          <w:szCs w:val="22"/>
          <w:highlight w:val="none"/>
        </w:rPr>
        <w:t>.2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color w:val="auto"/>
          <w:sz w:val="22"/>
          <w:szCs w:val="22"/>
          <w:highlight w:val="none"/>
        </w:rPr>
        <w:t>重新组织招标。</w:t>
      </w:r>
    </w:p>
    <w:p>
      <w:pPr>
        <w:spacing w:line="460" w:lineRule="exact"/>
        <w:ind w:firstLine="759" w:firstLineChars="345"/>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16、起草、签署评审报告</w:t>
      </w:r>
    </w:p>
    <w:p>
      <w:pPr>
        <w:spacing w:line="460" w:lineRule="exact"/>
        <w:ind w:firstLine="759" w:firstLineChars="345"/>
        <w:rPr>
          <w:rFonts w:hint="eastAsia" w:ascii="新宋体" w:hAnsi="新宋体"/>
          <w:b/>
          <w:bCs/>
          <w:color w:val="auto"/>
          <w:sz w:val="22"/>
          <w:szCs w:val="22"/>
          <w:highlight w:val="none"/>
        </w:rPr>
      </w:pPr>
      <w:r>
        <w:rPr>
          <w:rFonts w:hint="eastAsia" w:ascii="新宋体" w:hAnsi="新宋体" w:eastAsia="新宋体" w:cs="Times New Roman"/>
          <w:color w:val="auto"/>
          <w:sz w:val="22"/>
          <w:szCs w:val="22"/>
          <w:highlight w:val="none"/>
          <w:lang w:val="en-US" w:eastAsia="zh-CN"/>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17</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lang w:val="en-US" w:eastAsia="zh-CN"/>
        </w:rPr>
        <w:t>18</w:t>
      </w:r>
      <w:r>
        <w:rPr>
          <w:rFonts w:hint="eastAsia" w:ascii="新宋体" w:hAnsi="新宋体" w:eastAsia="新宋体"/>
          <w:color w:val="auto"/>
          <w:sz w:val="22"/>
          <w:szCs w:val="22"/>
          <w:highlight w:val="none"/>
        </w:rPr>
        <w:t>、</w:t>
      </w:r>
      <w:r>
        <w:rPr>
          <w:rFonts w:hint="eastAsia" w:ascii="新宋体" w:hAnsi="新宋体" w:eastAsia="新宋体"/>
          <w:b/>
          <w:color w:val="auto"/>
          <w:sz w:val="22"/>
          <w:szCs w:val="22"/>
          <w:highlight w:val="none"/>
        </w:rPr>
        <w:t>招标人对决标结果不做任何解释，也不保证最低价中标。</w:t>
      </w:r>
    </w:p>
    <w:p>
      <w:pPr>
        <w:spacing w:line="460" w:lineRule="exact"/>
        <w:ind w:firstLine="762" w:firstLineChars="345"/>
        <w:rPr>
          <w:rFonts w:hint="eastAsia" w:ascii="新宋体" w:hAnsi="新宋体" w:eastAsia="新宋体" w:cs="新宋体"/>
          <w:b/>
          <w:color w:val="auto"/>
          <w:sz w:val="22"/>
          <w:szCs w:val="22"/>
          <w:highlight w:val="none"/>
        </w:rPr>
      </w:pPr>
      <w:r>
        <w:rPr>
          <w:rFonts w:hint="eastAsia" w:ascii="新宋体" w:hAnsi="新宋体" w:eastAsia="新宋体"/>
          <w:b/>
          <w:color w:val="auto"/>
          <w:sz w:val="22"/>
          <w:szCs w:val="22"/>
          <w:highlight w:val="none"/>
          <w:lang w:val="en-US" w:eastAsia="zh-CN"/>
        </w:rPr>
        <w:t>19</w:t>
      </w:r>
      <w:r>
        <w:rPr>
          <w:rFonts w:hint="eastAsia" w:ascii="新宋体" w:hAnsi="新宋体" w:eastAsia="新宋体"/>
          <w:b/>
          <w:color w:val="auto"/>
          <w:sz w:val="22"/>
          <w:szCs w:val="22"/>
          <w:highlight w:val="none"/>
        </w:rPr>
        <w:t>、评标细则详见“评标原则及方法”。</w:t>
      </w:r>
    </w:p>
    <w:p>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t>六、 授予合同</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 xml:space="preserve">中标人确定后，招标人将向中标人发出中标通知书。 </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3.1中标人应按中标通知书规定的时间、地点与招标人签订合同。</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中标人对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pPr>
        <w:spacing w:line="460" w:lineRule="exact"/>
        <w:ind w:firstLine="571" w:firstLineChars="245"/>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4</w:t>
      </w:r>
      <w:r>
        <w:rPr>
          <w:rFonts w:hint="eastAsia" w:ascii="新宋体" w:hAnsi="新宋体" w:eastAsia="新宋体" w:cs="新宋体"/>
          <w:b/>
          <w:color w:val="auto"/>
          <w:sz w:val="22"/>
          <w:highlight w:val="none"/>
        </w:rPr>
        <w:t>、质疑与投诉</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2招标人或招标代理机构在收到投标人的书面质疑后七个工作日内作出答复，但答复的内容不得涉及商业秘密。质疑供应商对招标人或招标代理机构的答复不满意，可以在答复期满后十五个工作日内向同级采购监督管理部门投诉。</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pPr>
        <w:keepNext w:val="0"/>
        <w:keepLines w:val="0"/>
        <w:pageBreakBefore w:val="0"/>
        <w:kinsoku/>
        <w:wordWrap/>
        <w:overflowPunct/>
        <w:topLinePunct w:val="0"/>
        <w:bidi w:val="0"/>
        <w:adjustRightInd/>
        <w:snapToGrid/>
        <w:spacing w:line="440" w:lineRule="exact"/>
        <w:ind w:firstLine="539" w:firstLineChars="245"/>
        <w:textAlignment w:val="auto"/>
        <w:rPr>
          <w:rFonts w:ascii="新宋体" w:hAnsi="新宋体" w:eastAsia="新宋体"/>
          <w:sz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.4</w:t>
      </w:r>
      <w:r>
        <w:rPr>
          <w:rFonts w:hint="eastAsia" w:ascii="新宋体" w:hAnsi="新宋体" w:eastAsia="新宋体"/>
          <w:sz w:val="22"/>
          <w:highlight w:val="none"/>
          <w:lang w:val="en-US" w:eastAsia="zh-CN"/>
        </w:rPr>
        <w:t>、</w:t>
      </w:r>
      <w:r>
        <w:rPr>
          <w:rFonts w:ascii="新宋体" w:hAnsi="新宋体" w:eastAsia="新宋体"/>
          <w:sz w:val="22"/>
          <w:highlight w:val="none"/>
        </w:rPr>
        <w:t>采购监督部门：</w:t>
      </w:r>
      <w:r>
        <w:rPr>
          <w:rFonts w:hint="eastAsia" w:ascii="新宋体" w:hAnsi="新宋体" w:eastAsia="新宋体"/>
          <w:sz w:val="22"/>
          <w:highlight w:val="none"/>
        </w:rPr>
        <w:t>温州市财政局政府采购监管处</w:t>
      </w:r>
    </w:p>
    <w:p>
      <w:pPr>
        <w:keepNext w:val="0"/>
        <w:keepLines w:val="0"/>
        <w:pageBreakBefore w:val="0"/>
        <w:kinsoku/>
        <w:wordWrap/>
        <w:overflowPunct/>
        <w:topLinePunct w:val="0"/>
        <w:bidi w:val="0"/>
        <w:adjustRightInd/>
        <w:snapToGrid/>
        <w:spacing w:line="440" w:lineRule="exact"/>
        <w:ind w:firstLine="976" w:firstLineChars="444"/>
        <w:textAlignment w:val="auto"/>
        <w:rPr>
          <w:rFonts w:ascii="新宋体" w:hAnsi="新宋体" w:eastAsia="新宋体"/>
          <w:sz w:val="22"/>
          <w:highlight w:val="none"/>
        </w:rPr>
      </w:pPr>
      <w:r>
        <w:rPr>
          <w:rFonts w:hint="eastAsia" w:ascii="新宋体" w:hAnsi="新宋体" w:eastAsia="新宋体"/>
          <w:sz w:val="22"/>
          <w:highlight w:val="none"/>
        </w:rPr>
        <w:t>联系人：陈先生、马女士</w:t>
      </w:r>
    </w:p>
    <w:p>
      <w:pPr>
        <w:keepNext w:val="0"/>
        <w:keepLines w:val="0"/>
        <w:pageBreakBefore w:val="0"/>
        <w:kinsoku/>
        <w:wordWrap/>
        <w:overflowPunct/>
        <w:topLinePunct w:val="0"/>
        <w:bidi w:val="0"/>
        <w:adjustRightInd/>
        <w:snapToGrid/>
        <w:spacing w:line="440" w:lineRule="exact"/>
        <w:ind w:left="441" w:leftChars="210" w:firstLine="440" w:firstLineChars="200"/>
        <w:textAlignment w:val="auto"/>
        <w:rPr>
          <w:rFonts w:hint="eastAsia" w:ascii="新宋体" w:hAnsi="新宋体" w:eastAsia="新宋体"/>
          <w:sz w:val="22"/>
          <w:highlight w:val="none"/>
        </w:rPr>
      </w:pPr>
      <w:r>
        <w:rPr>
          <w:rFonts w:ascii="新宋体" w:hAnsi="新宋体" w:eastAsia="新宋体"/>
          <w:sz w:val="22"/>
          <w:highlight w:val="none"/>
        </w:rPr>
        <w:t>电话：</w:t>
      </w:r>
      <w:r>
        <w:rPr>
          <w:rFonts w:hint="eastAsia" w:ascii="新宋体" w:hAnsi="新宋体" w:eastAsia="新宋体"/>
          <w:sz w:val="22"/>
          <w:highlight w:val="none"/>
        </w:rPr>
        <w:t>0577-88506788、0577-88523909</w:t>
      </w:r>
    </w:p>
    <w:p>
      <w:pPr>
        <w:spacing w:line="460" w:lineRule="exact"/>
        <w:ind w:firstLine="880" w:firstLineChars="400"/>
        <w:outlineLvl w:val="9"/>
        <w:rPr>
          <w:rFonts w:hint="eastAsia" w:ascii="新宋体" w:hAnsi="新宋体" w:eastAsia="新宋体" w:cs="新宋体"/>
          <w:color w:val="auto"/>
          <w:sz w:val="22"/>
          <w:highlight w:val="none"/>
        </w:rPr>
      </w:pPr>
    </w:p>
    <w:p>
      <w:pPr>
        <w:pStyle w:val="2"/>
        <w:rPr>
          <w:rFonts w:hint="eastAsia"/>
          <w:highlight w:val="none"/>
        </w:rPr>
      </w:pPr>
    </w:p>
    <w:p>
      <w:pPr>
        <w:spacing w:line="460" w:lineRule="exact"/>
        <w:ind w:firstLine="976" w:firstLineChars="444"/>
        <w:outlineLvl w:val="9"/>
        <w:rPr>
          <w:rFonts w:hint="eastAsia" w:ascii="新宋体" w:hAnsi="新宋体" w:eastAsia="新宋体" w:cs="新宋体"/>
          <w:color w:val="auto"/>
          <w:sz w:val="22"/>
          <w:highlight w:val="none"/>
        </w:rPr>
      </w:pPr>
    </w:p>
    <w:p>
      <w:pPr>
        <w:spacing w:line="460" w:lineRule="exact"/>
        <w:ind w:firstLine="539" w:firstLineChars="245"/>
        <w:outlineLvl w:val="9"/>
        <w:rPr>
          <w:rFonts w:hint="eastAsia" w:ascii="新宋体" w:hAnsi="新宋体" w:eastAsia="新宋体" w:cs="新宋体"/>
          <w:color w:val="auto"/>
          <w:sz w:val="22"/>
          <w:highlight w:val="none"/>
        </w:rPr>
      </w:pPr>
    </w:p>
    <w:p>
      <w:pPr>
        <w:outlineLvl w:val="9"/>
        <w:rPr>
          <w:rFonts w:hint="eastAsia" w:ascii="新宋体" w:hAnsi="新宋体" w:eastAsia="新宋体" w:cs="新宋体"/>
          <w:color w:val="auto"/>
          <w:sz w:val="22"/>
          <w:highlight w:val="none"/>
        </w:rPr>
      </w:pPr>
    </w:p>
    <w:p>
      <w:pPr>
        <w:outlineLvl w:val="9"/>
        <w:rPr>
          <w:rFonts w:hint="eastAsia" w:ascii="新宋体" w:hAnsi="新宋体" w:eastAsia="新宋体" w:cs="新宋体"/>
          <w:color w:val="auto"/>
          <w:sz w:val="22"/>
          <w:highlight w:val="none"/>
        </w:rPr>
      </w:pPr>
    </w:p>
    <w:p>
      <w:pPr>
        <w:outlineLvl w:val="9"/>
        <w:rPr>
          <w:rFonts w:hint="eastAsia" w:ascii="新宋体" w:hAnsi="新宋体" w:eastAsia="新宋体" w:cs="新宋体"/>
          <w:color w:val="auto"/>
          <w:sz w:val="22"/>
          <w:highlight w:val="none"/>
        </w:rPr>
      </w:pPr>
    </w:p>
    <w:p>
      <w:pPr>
        <w:outlineLvl w:val="9"/>
        <w:rPr>
          <w:rFonts w:hint="eastAsia" w:ascii="新宋体" w:hAnsi="新宋体" w:eastAsia="新宋体" w:cs="新宋体"/>
          <w:color w:val="auto"/>
          <w:sz w:val="22"/>
          <w:highlight w:val="none"/>
        </w:rPr>
      </w:pPr>
    </w:p>
    <w:p>
      <w:pPr>
        <w:outlineLvl w:val="9"/>
        <w:rPr>
          <w:rFonts w:hint="eastAsia"/>
          <w:highlight w:val="none"/>
        </w:rPr>
      </w:pPr>
    </w:p>
    <w:p>
      <w:pPr>
        <w:pStyle w:val="22"/>
        <w:outlineLvl w:val="9"/>
        <w:rPr>
          <w:rFonts w:hint="eastAsia" w:ascii="新宋体" w:hAnsi="新宋体" w:eastAsia="新宋体" w:cs="新宋体"/>
          <w:color w:val="auto"/>
          <w:sz w:val="22"/>
          <w:highlight w:val="none"/>
        </w:rPr>
      </w:pPr>
    </w:p>
    <w:p>
      <w:pPr>
        <w:pStyle w:val="22"/>
        <w:outlineLvl w:val="9"/>
        <w:rPr>
          <w:rFonts w:hint="eastAsia" w:ascii="新宋体" w:hAnsi="新宋体" w:eastAsia="新宋体" w:cs="新宋体"/>
          <w:color w:val="auto"/>
          <w:sz w:val="22"/>
          <w:highlight w:val="none"/>
        </w:rPr>
      </w:pPr>
    </w:p>
    <w:p>
      <w:pPr>
        <w:pStyle w:val="22"/>
        <w:outlineLvl w:val="9"/>
        <w:rPr>
          <w:rFonts w:hint="eastAsia" w:ascii="新宋体" w:hAnsi="新宋体" w:eastAsia="新宋体" w:cs="新宋体"/>
          <w:color w:val="auto"/>
          <w:sz w:val="22"/>
          <w:highlight w:val="none"/>
        </w:rPr>
      </w:pPr>
    </w:p>
    <w:p>
      <w:pPr>
        <w:pStyle w:val="22"/>
        <w:outlineLvl w:val="9"/>
        <w:rPr>
          <w:rFonts w:hint="eastAsia" w:ascii="新宋体" w:hAnsi="新宋体" w:eastAsia="新宋体" w:cs="新宋体"/>
          <w:color w:val="auto"/>
          <w:sz w:val="22"/>
          <w:highlight w:val="none"/>
        </w:rPr>
      </w:pPr>
    </w:p>
    <w:p>
      <w:pPr>
        <w:pStyle w:val="22"/>
        <w:outlineLvl w:val="9"/>
        <w:rPr>
          <w:rFonts w:hint="eastAsia" w:ascii="新宋体" w:hAnsi="新宋体" w:eastAsia="新宋体" w:cs="新宋体"/>
          <w:color w:val="auto"/>
          <w:sz w:val="22"/>
          <w:highlight w:val="none"/>
        </w:rPr>
      </w:pPr>
    </w:p>
    <w:p>
      <w:pPr>
        <w:pStyle w:val="22"/>
        <w:outlineLvl w:val="9"/>
        <w:rPr>
          <w:rFonts w:hint="eastAsia" w:ascii="新宋体" w:hAnsi="新宋体" w:eastAsia="新宋体" w:cs="新宋体"/>
          <w:color w:val="auto"/>
          <w:sz w:val="22"/>
          <w:highlight w:val="none"/>
        </w:rPr>
      </w:pPr>
    </w:p>
    <w:p>
      <w:pPr>
        <w:pStyle w:val="22"/>
        <w:outlineLvl w:val="9"/>
        <w:rPr>
          <w:rFonts w:hint="eastAsia" w:ascii="新宋体" w:hAnsi="新宋体" w:eastAsia="新宋体" w:cs="新宋体"/>
          <w:color w:val="auto"/>
          <w:sz w:val="22"/>
          <w:highlight w:val="none"/>
        </w:rPr>
      </w:pPr>
    </w:p>
    <w:p>
      <w:pPr>
        <w:pStyle w:val="22"/>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outlineLvl w:val="9"/>
        <w:rPr>
          <w:rFonts w:hint="eastAsia" w:ascii="新宋体" w:hAnsi="新宋体" w:eastAsia="新宋体" w:cs="新宋体"/>
          <w:color w:val="auto"/>
          <w:sz w:val="22"/>
          <w:highlight w:val="none"/>
        </w:rPr>
      </w:pPr>
    </w:p>
    <w:p>
      <w:pPr>
        <w:pStyle w:val="24"/>
        <w:ind w:left="0" w:leftChars="0" w:firstLine="0" w:firstLineChars="0"/>
        <w:rPr>
          <w:rFonts w:hint="default" w:ascii="新宋体" w:hAnsi="新宋体" w:eastAsia="新宋体" w:cs="新宋体"/>
          <w:color w:val="auto"/>
          <w:sz w:val="22"/>
          <w:highlight w:val="none"/>
          <w:lang w:val="en-US" w:eastAsia="zh-CN"/>
        </w:rPr>
      </w:pPr>
    </w:p>
    <w:p>
      <w:pPr>
        <w:pStyle w:val="22"/>
        <w:spacing w:line="460" w:lineRule="exact"/>
        <w:ind w:left="430" w:leftChars="205"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第二部分    合同主要条款</w:t>
      </w:r>
    </w:p>
    <w:p>
      <w:pPr>
        <w:widowControl/>
        <w:snapToGrid w:val="0"/>
        <w:spacing w:line="420" w:lineRule="atLeast"/>
        <w:jc w:val="left"/>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项目合同编号：</w:t>
      </w:r>
      <w:r>
        <w:rPr>
          <w:rFonts w:ascii="新宋体" w:hAnsi="新宋体" w:eastAsia="新宋体"/>
          <w:color w:val="auto"/>
          <w:kern w:val="0"/>
          <w:sz w:val="22"/>
          <w:szCs w:val="22"/>
          <w:highlight w:val="none"/>
        </w:rPr>
        <w:t xml:space="preserve">                       </w:t>
      </w:r>
      <w:r>
        <w:rPr>
          <w:rFonts w:hint="eastAsia" w:ascii="新宋体" w:hAnsi="新宋体" w:eastAsia="新宋体"/>
          <w:color w:val="auto"/>
          <w:kern w:val="0"/>
          <w:sz w:val="22"/>
          <w:szCs w:val="22"/>
          <w:highlight w:val="none"/>
        </w:rPr>
        <w:t xml:space="preserve">                      </w:t>
      </w:r>
      <w:r>
        <w:rPr>
          <w:rFonts w:ascii="新宋体" w:hAnsi="新宋体" w:eastAsia="新宋体"/>
          <w:color w:val="auto"/>
          <w:kern w:val="0"/>
          <w:sz w:val="22"/>
          <w:szCs w:val="22"/>
          <w:highlight w:val="none"/>
        </w:rPr>
        <w:t xml:space="preserve">  </w:t>
      </w:r>
      <w:r>
        <w:rPr>
          <w:rFonts w:hint="eastAsia" w:ascii="新宋体" w:hAnsi="新宋体" w:eastAsia="新宋体" w:cs="宋体"/>
          <w:color w:val="auto"/>
          <w:kern w:val="0"/>
          <w:sz w:val="22"/>
          <w:szCs w:val="22"/>
          <w:highlight w:val="none"/>
        </w:rPr>
        <w:t>密级：</w:t>
      </w:r>
    </w:p>
    <w:p>
      <w:pPr>
        <w:widowControl/>
        <w:snapToGrid w:val="0"/>
        <w:spacing w:line="420" w:lineRule="atLeast"/>
        <w:jc w:val="left"/>
        <w:rPr>
          <w:rFonts w:cs="宋体"/>
          <w:color w:val="auto"/>
          <w:kern w:val="0"/>
          <w:sz w:val="32"/>
          <w:highlight w:val="none"/>
        </w:rPr>
      </w:pPr>
    </w:p>
    <w:p>
      <w:pPr>
        <w:widowControl/>
        <w:snapToGrid w:val="0"/>
        <w:spacing w:line="420" w:lineRule="atLeast"/>
        <w:jc w:val="left"/>
        <w:rPr>
          <w:rFonts w:cs="宋体"/>
          <w:color w:val="auto"/>
          <w:kern w:val="0"/>
          <w:sz w:val="32"/>
          <w:highlight w:val="none"/>
        </w:rPr>
      </w:pPr>
    </w:p>
    <w:p>
      <w:pPr>
        <w:widowControl/>
        <w:snapToGrid w:val="0"/>
        <w:spacing w:line="420" w:lineRule="atLeast"/>
        <w:jc w:val="left"/>
        <w:rPr>
          <w:rFonts w:cs="宋体"/>
          <w:color w:val="auto"/>
          <w:kern w:val="0"/>
          <w:sz w:val="32"/>
          <w:highlight w:val="none"/>
        </w:rPr>
      </w:pPr>
    </w:p>
    <w:p>
      <w:pPr>
        <w:widowControl/>
        <w:snapToGrid w:val="0"/>
        <w:spacing w:line="420" w:lineRule="atLeast"/>
        <w:jc w:val="center"/>
        <w:rPr>
          <w:rFonts w:hint="eastAsia" w:ascii="‘Times New Roman‘" w:eastAsia="黑体" w:cs="宋体"/>
          <w:color w:val="auto"/>
          <w:kern w:val="0"/>
          <w:sz w:val="44"/>
          <w:szCs w:val="44"/>
          <w:highlight w:val="none"/>
          <w:lang w:eastAsia="zh-CN"/>
        </w:rPr>
      </w:pPr>
      <w:r>
        <w:rPr>
          <w:rFonts w:hint="eastAsia" w:ascii="‘Times New Roman‘" w:eastAsia="黑体" w:cs="宋体"/>
          <w:color w:val="auto"/>
          <w:kern w:val="0"/>
          <w:sz w:val="44"/>
          <w:szCs w:val="44"/>
          <w:highlight w:val="none"/>
          <w:lang w:eastAsia="zh-CN"/>
        </w:rPr>
        <w:t>温州市人民政府金融工作办公室</w:t>
      </w:r>
    </w:p>
    <w:p>
      <w:pPr>
        <w:widowControl/>
        <w:snapToGrid w:val="0"/>
        <w:spacing w:line="420" w:lineRule="atLeast"/>
        <w:jc w:val="center"/>
        <w:rPr>
          <w:rFonts w:eastAsia="黑体" w:cs="宋体"/>
          <w:color w:val="auto"/>
          <w:kern w:val="0"/>
          <w:sz w:val="44"/>
          <w:szCs w:val="44"/>
          <w:highlight w:val="none"/>
        </w:rPr>
      </w:pPr>
      <w:r>
        <w:rPr>
          <w:rFonts w:hint="eastAsia" w:ascii="‘Times New Roman‘" w:eastAsia="黑体" w:cs="宋体"/>
          <w:color w:val="auto"/>
          <w:kern w:val="0"/>
          <w:sz w:val="44"/>
          <w:szCs w:val="44"/>
          <w:highlight w:val="none"/>
        </w:rPr>
        <w:t>采购合同</w:t>
      </w:r>
    </w:p>
    <w:p>
      <w:pPr>
        <w:widowControl/>
        <w:snapToGrid w:val="0"/>
        <w:spacing w:line="420" w:lineRule="atLeast"/>
        <w:jc w:val="left"/>
        <w:rPr>
          <w:rFonts w:cs="宋体"/>
          <w:color w:val="auto"/>
          <w:kern w:val="0"/>
          <w:sz w:val="32"/>
          <w:highlight w:val="none"/>
        </w:rPr>
      </w:pPr>
    </w:p>
    <w:p>
      <w:pPr>
        <w:widowControl/>
        <w:snapToGrid w:val="0"/>
        <w:spacing w:line="360" w:lineRule="auto"/>
        <w:jc w:val="left"/>
        <w:rPr>
          <w:rFonts w:ascii="黑体" w:eastAsia="黑体" w:cs="宋体"/>
          <w:color w:val="auto"/>
          <w:kern w:val="0"/>
          <w:sz w:val="36"/>
          <w:highlight w:val="none"/>
        </w:rPr>
      </w:pPr>
    </w:p>
    <w:p>
      <w:pPr>
        <w:keepNext/>
        <w:keepLines/>
        <w:rPr>
          <w:color w:val="auto"/>
          <w:highlight w:val="none"/>
        </w:rPr>
      </w:pPr>
    </w:p>
    <w:p>
      <w:pPr>
        <w:keepNext/>
        <w:keepLines/>
        <w:rPr>
          <w:color w:val="auto"/>
          <w:highlight w:val="none"/>
        </w:rPr>
      </w:pPr>
    </w:p>
    <w:p>
      <w:pPr>
        <w:rPr>
          <w:color w:val="auto"/>
          <w:highlight w:val="none"/>
        </w:rPr>
      </w:pPr>
    </w:p>
    <w:p>
      <w:pPr>
        <w:widowControl/>
        <w:snapToGrid w:val="0"/>
        <w:spacing w:line="800" w:lineRule="exact"/>
        <w:ind w:firstLine="520" w:firstLineChars="200"/>
        <w:jc w:val="left"/>
        <w:rPr>
          <w:rFonts w:hint="eastAsia" w:ascii="黑体" w:eastAsia="黑体" w:cs="宋体"/>
          <w:color w:val="auto"/>
          <w:kern w:val="0"/>
          <w:sz w:val="26"/>
          <w:szCs w:val="26"/>
          <w:highlight w:val="none"/>
          <w:u w:val="single"/>
        </w:rPr>
      </w:pPr>
      <w:r>
        <w:rPr>
          <w:rFonts w:hint="eastAsia" w:ascii="黑体" w:eastAsia="黑体" w:cs="宋体"/>
          <w:color w:val="auto"/>
          <w:kern w:val="0"/>
          <w:sz w:val="26"/>
          <w:szCs w:val="26"/>
          <w:highlight w:val="none"/>
        </w:rPr>
        <w:t>项目名称：</w:t>
      </w:r>
      <w:r>
        <w:rPr>
          <w:rFonts w:hint="eastAsia" w:ascii="黑体" w:eastAsia="黑体" w:cs="宋体"/>
          <w:color w:val="auto"/>
          <w:kern w:val="0"/>
          <w:sz w:val="26"/>
          <w:szCs w:val="26"/>
          <w:highlight w:val="none"/>
          <w:u w:val="single"/>
        </w:rPr>
        <w:t xml:space="preserve">                           </w:t>
      </w:r>
    </w:p>
    <w:p>
      <w:pPr>
        <w:widowControl/>
        <w:snapToGrid w:val="0"/>
        <w:spacing w:line="800" w:lineRule="exact"/>
        <w:ind w:firstLine="520" w:firstLineChars="200"/>
        <w:jc w:val="left"/>
        <w:rPr>
          <w:rFonts w:hint="eastAsia" w:ascii="黑体" w:eastAsia="黑体" w:cs="宋体"/>
          <w:color w:val="auto"/>
          <w:kern w:val="0"/>
          <w:sz w:val="26"/>
          <w:szCs w:val="26"/>
          <w:highlight w:val="none"/>
        </w:rPr>
      </w:pPr>
      <w:r>
        <w:rPr>
          <w:rFonts w:hint="eastAsia" w:ascii="黑体" w:eastAsia="黑体" w:cs="宋体"/>
          <w:color w:val="auto"/>
          <w:kern w:val="0"/>
          <w:sz w:val="26"/>
          <w:szCs w:val="26"/>
          <w:highlight w:val="none"/>
        </w:rPr>
        <w:t>甲方（盖章）：</w:t>
      </w:r>
      <w:r>
        <w:rPr>
          <w:rFonts w:hint="eastAsia" w:ascii="黑体" w:eastAsia="黑体" w:cs="宋体"/>
          <w:color w:val="auto"/>
          <w:kern w:val="0"/>
          <w:sz w:val="26"/>
          <w:szCs w:val="26"/>
          <w:highlight w:val="none"/>
          <w:u w:val="single"/>
        </w:rPr>
        <w:t xml:space="preserve">  </w:t>
      </w:r>
      <w:r>
        <w:rPr>
          <w:rFonts w:hint="eastAsia" w:ascii="黑体" w:eastAsia="黑体" w:cs="宋体"/>
          <w:color w:val="auto"/>
          <w:kern w:val="0"/>
          <w:sz w:val="26"/>
          <w:szCs w:val="26"/>
          <w:highlight w:val="none"/>
          <w:u w:val="single"/>
          <w:lang w:eastAsia="zh-CN"/>
        </w:rPr>
        <w:t>温州市人民政府金融工作办公室</w:t>
      </w:r>
      <w:r>
        <w:rPr>
          <w:rFonts w:hint="eastAsia" w:ascii="黑体" w:eastAsia="黑体" w:cs="宋体"/>
          <w:color w:val="auto"/>
          <w:kern w:val="0"/>
          <w:sz w:val="26"/>
          <w:szCs w:val="26"/>
          <w:highlight w:val="none"/>
          <w:u w:val="single"/>
        </w:rPr>
        <w:t xml:space="preserve">    </w:t>
      </w:r>
      <w:r>
        <w:rPr>
          <w:rFonts w:hint="eastAsia" w:ascii="黑体" w:eastAsia="黑体" w:cs="宋体"/>
          <w:color w:val="auto"/>
          <w:kern w:val="0"/>
          <w:sz w:val="26"/>
          <w:szCs w:val="26"/>
          <w:highlight w:val="none"/>
        </w:rPr>
        <w:t xml:space="preserve">       </w:t>
      </w:r>
      <w:r>
        <w:rPr>
          <w:rFonts w:hint="eastAsia" w:ascii="黑体" w:eastAsia="黑体" w:cs="宋体"/>
          <w:color w:val="auto"/>
          <w:kern w:val="0"/>
          <w:sz w:val="26"/>
          <w:szCs w:val="26"/>
          <w:highlight w:val="none"/>
          <w:u w:val="single"/>
        </w:rPr>
        <w:t xml:space="preserve">     </w:t>
      </w:r>
    </w:p>
    <w:p>
      <w:pPr>
        <w:widowControl/>
        <w:snapToGrid w:val="0"/>
        <w:spacing w:line="800" w:lineRule="exact"/>
        <w:ind w:firstLine="520" w:firstLineChars="200"/>
        <w:jc w:val="left"/>
        <w:rPr>
          <w:rFonts w:hint="eastAsia" w:ascii="黑体" w:eastAsia="黑体" w:cs="宋体"/>
          <w:color w:val="auto"/>
          <w:kern w:val="0"/>
          <w:sz w:val="26"/>
          <w:szCs w:val="26"/>
          <w:highlight w:val="none"/>
          <w:u w:val="single"/>
        </w:rPr>
      </w:pPr>
      <w:r>
        <w:rPr>
          <w:rFonts w:hint="eastAsia" w:ascii="黑体" w:eastAsia="黑体" w:cs="宋体"/>
          <w:color w:val="auto"/>
          <w:kern w:val="0"/>
          <w:sz w:val="26"/>
          <w:szCs w:val="26"/>
          <w:highlight w:val="none"/>
        </w:rPr>
        <w:t>乙方（盖章）：</w:t>
      </w:r>
      <w:r>
        <w:rPr>
          <w:rFonts w:hint="eastAsia" w:ascii="黑体" w:eastAsia="黑体" w:cs="宋体"/>
          <w:color w:val="auto"/>
          <w:kern w:val="0"/>
          <w:sz w:val="26"/>
          <w:szCs w:val="26"/>
          <w:highlight w:val="none"/>
          <w:u w:val="single"/>
        </w:rPr>
        <w:t xml:space="preserve">                          </w:t>
      </w:r>
    </w:p>
    <w:p>
      <w:pPr>
        <w:widowControl/>
        <w:snapToGrid w:val="0"/>
        <w:spacing w:line="800" w:lineRule="exact"/>
        <w:ind w:firstLine="520" w:firstLineChars="200"/>
        <w:jc w:val="left"/>
        <w:rPr>
          <w:rFonts w:hint="eastAsia" w:ascii="黑体" w:eastAsia="黑体" w:cs="宋体"/>
          <w:color w:val="auto"/>
          <w:kern w:val="0"/>
          <w:sz w:val="26"/>
          <w:szCs w:val="26"/>
          <w:highlight w:val="none"/>
          <w:u w:val="single"/>
        </w:rPr>
      </w:pPr>
      <w:r>
        <w:rPr>
          <w:rFonts w:hint="eastAsia" w:ascii="黑体" w:eastAsia="黑体" w:cs="宋体"/>
          <w:color w:val="auto"/>
          <w:kern w:val="0"/>
          <w:sz w:val="26"/>
          <w:szCs w:val="26"/>
          <w:highlight w:val="none"/>
        </w:rPr>
        <w:t>签署时间：</w:t>
      </w:r>
      <w:r>
        <w:rPr>
          <w:rFonts w:hint="eastAsia" w:ascii="黑体" w:eastAsia="黑体" w:cs="宋体"/>
          <w:color w:val="auto"/>
          <w:kern w:val="0"/>
          <w:sz w:val="26"/>
          <w:szCs w:val="26"/>
          <w:highlight w:val="none"/>
          <w:u w:val="single"/>
        </w:rPr>
        <w:t xml:space="preserve">    年    月         </w:t>
      </w:r>
    </w:p>
    <w:p>
      <w:pPr>
        <w:widowControl/>
        <w:snapToGrid w:val="0"/>
        <w:spacing w:line="800" w:lineRule="exact"/>
        <w:ind w:firstLine="520" w:firstLineChars="200"/>
        <w:jc w:val="left"/>
        <w:rPr>
          <w:rFonts w:hint="eastAsia" w:ascii="黑体" w:eastAsia="黑体" w:cs="宋体"/>
          <w:color w:val="auto"/>
          <w:kern w:val="0"/>
          <w:sz w:val="36"/>
          <w:highlight w:val="none"/>
          <w:u w:val="single"/>
        </w:rPr>
      </w:pPr>
      <w:r>
        <w:rPr>
          <w:rFonts w:hint="eastAsia" w:ascii="黑体" w:eastAsia="黑体" w:cs="宋体"/>
          <w:color w:val="auto"/>
          <w:kern w:val="0"/>
          <w:sz w:val="26"/>
          <w:szCs w:val="26"/>
          <w:highlight w:val="none"/>
        </w:rPr>
        <w:t>签署地点：</w:t>
      </w:r>
      <w:r>
        <w:rPr>
          <w:rFonts w:hint="eastAsia" w:ascii="黑体" w:eastAsia="黑体" w:cs="宋体"/>
          <w:color w:val="auto"/>
          <w:kern w:val="0"/>
          <w:sz w:val="26"/>
          <w:szCs w:val="26"/>
          <w:highlight w:val="none"/>
          <w:u w:val="single"/>
        </w:rPr>
        <w:t xml:space="preserve">温州市      </w:t>
      </w:r>
      <w:r>
        <w:rPr>
          <w:rFonts w:hint="eastAsia" w:ascii="黑体" w:eastAsia="黑体" w:cs="宋体"/>
          <w:color w:val="auto"/>
          <w:kern w:val="0"/>
          <w:sz w:val="36"/>
          <w:highlight w:val="none"/>
          <w:u w:val="single"/>
        </w:rPr>
        <w:t xml:space="preserve">       </w:t>
      </w:r>
    </w:p>
    <w:p>
      <w:pPr>
        <w:widowControl/>
        <w:snapToGrid w:val="0"/>
        <w:spacing w:line="720" w:lineRule="auto"/>
        <w:jc w:val="left"/>
        <w:rPr>
          <w:rFonts w:hint="eastAsia" w:ascii="黑体" w:eastAsia="黑体" w:cs="宋体"/>
          <w:color w:val="auto"/>
          <w:kern w:val="0"/>
          <w:sz w:val="36"/>
          <w:highlight w:val="none"/>
        </w:rPr>
      </w:pPr>
    </w:p>
    <w:p>
      <w:pPr>
        <w:widowControl/>
        <w:snapToGrid w:val="0"/>
        <w:spacing w:line="720" w:lineRule="auto"/>
        <w:jc w:val="left"/>
        <w:rPr>
          <w:rFonts w:hint="eastAsia" w:ascii="黑体" w:eastAsia="黑体" w:cs="宋体"/>
          <w:color w:val="auto"/>
          <w:kern w:val="0"/>
          <w:sz w:val="36"/>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hint="eastAsia" w:ascii="新宋体" w:hAnsi="新宋体" w:eastAsia="新宋体"/>
          <w:b/>
          <w:color w:val="auto"/>
          <w:sz w:val="22"/>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1</w:t>
      </w:r>
      <w:r>
        <w:rPr>
          <w:rFonts w:ascii="新宋体" w:hAnsi="新宋体" w:eastAsia="新宋体"/>
          <w:bCs/>
          <w:color w:val="auto"/>
          <w:sz w:val="22"/>
          <w:highlight w:val="none"/>
        </w:rPr>
        <w:t>、</w:t>
      </w:r>
      <w:r>
        <w:rPr>
          <w:rFonts w:hint="eastAsia" w:ascii="新宋体" w:hAnsi="新宋体" w:eastAsia="新宋体"/>
          <w:bCs/>
          <w:color w:val="auto"/>
          <w:sz w:val="22"/>
          <w:highlight w:val="none"/>
        </w:rPr>
        <w:t xml:space="preserve"> 总则</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2</w:t>
      </w:r>
      <w:r>
        <w:rPr>
          <w:rFonts w:ascii="新宋体" w:hAnsi="新宋体" w:eastAsia="新宋体"/>
          <w:bCs/>
          <w:color w:val="auto"/>
          <w:sz w:val="22"/>
          <w:highlight w:val="none"/>
        </w:rPr>
        <w:t>、</w:t>
      </w:r>
      <w:r>
        <w:rPr>
          <w:rFonts w:hint="eastAsia" w:ascii="新宋体" w:hAnsi="新宋体" w:eastAsia="新宋体"/>
          <w:bCs/>
          <w:color w:val="auto"/>
          <w:sz w:val="22"/>
          <w:highlight w:val="none"/>
        </w:rPr>
        <w:t xml:space="preserve"> 甲方责任</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3</w:t>
      </w:r>
      <w:r>
        <w:rPr>
          <w:rFonts w:ascii="新宋体" w:hAnsi="新宋体" w:eastAsia="新宋体"/>
          <w:bCs/>
          <w:color w:val="auto"/>
          <w:sz w:val="22"/>
          <w:highlight w:val="none"/>
        </w:rPr>
        <w:t>、</w:t>
      </w:r>
      <w:r>
        <w:rPr>
          <w:rFonts w:hint="eastAsia" w:ascii="新宋体" w:hAnsi="新宋体" w:eastAsia="新宋体"/>
          <w:bCs/>
          <w:color w:val="auto"/>
          <w:sz w:val="22"/>
          <w:highlight w:val="none"/>
        </w:rPr>
        <w:t xml:space="preserve"> 乙方责任</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4</w:t>
      </w:r>
      <w:r>
        <w:rPr>
          <w:rFonts w:ascii="新宋体" w:hAnsi="新宋体" w:eastAsia="新宋体"/>
          <w:bCs/>
          <w:color w:val="auto"/>
          <w:sz w:val="22"/>
          <w:highlight w:val="none"/>
        </w:rPr>
        <w:t>、</w:t>
      </w:r>
      <w:r>
        <w:rPr>
          <w:rFonts w:hint="eastAsia" w:ascii="新宋体" w:hAnsi="新宋体" w:eastAsia="新宋体"/>
          <w:bCs/>
          <w:color w:val="auto"/>
          <w:sz w:val="22"/>
          <w:highlight w:val="none"/>
        </w:rPr>
        <w:t xml:space="preserve"> 售后服务和技术培训</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5</w:t>
      </w:r>
      <w:r>
        <w:rPr>
          <w:rFonts w:ascii="新宋体" w:hAnsi="新宋体" w:eastAsia="新宋体"/>
          <w:bCs/>
          <w:color w:val="auto"/>
          <w:sz w:val="22"/>
          <w:highlight w:val="none"/>
        </w:rPr>
        <w:t>、</w:t>
      </w:r>
      <w:r>
        <w:rPr>
          <w:rFonts w:hint="eastAsia" w:ascii="新宋体" w:hAnsi="新宋体" w:eastAsia="新宋体"/>
          <w:bCs/>
          <w:color w:val="auto"/>
          <w:sz w:val="22"/>
          <w:highlight w:val="none"/>
        </w:rPr>
        <w:t> 项目合同金额</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6</w:t>
      </w:r>
      <w:r>
        <w:rPr>
          <w:rFonts w:ascii="新宋体" w:hAnsi="新宋体" w:eastAsia="新宋体"/>
          <w:bCs/>
          <w:color w:val="auto"/>
          <w:sz w:val="22"/>
          <w:highlight w:val="none"/>
        </w:rPr>
        <w:t>、</w:t>
      </w:r>
      <w:r>
        <w:rPr>
          <w:rFonts w:hint="eastAsia" w:ascii="新宋体" w:hAnsi="新宋体" w:eastAsia="新宋体"/>
          <w:bCs/>
          <w:color w:val="auto"/>
          <w:sz w:val="22"/>
          <w:highlight w:val="none"/>
        </w:rPr>
        <w:t> 项目合同支付条款</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7</w:t>
      </w:r>
      <w:r>
        <w:rPr>
          <w:rFonts w:ascii="新宋体" w:hAnsi="新宋体" w:eastAsia="新宋体"/>
          <w:bCs/>
          <w:color w:val="auto"/>
          <w:sz w:val="22"/>
          <w:highlight w:val="none"/>
        </w:rPr>
        <w:t>、</w:t>
      </w:r>
      <w:r>
        <w:rPr>
          <w:rFonts w:hint="eastAsia" w:ascii="新宋体" w:hAnsi="新宋体" w:eastAsia="新宋体"/>
          <w:bCs/>
          <w:color w:val="auto"/>
          <w:sz w:val="22"/>
          <w:highlight w:val="none"/>
        </w:rPr>
        <w:t> 项目合同修改</w:t>
      </w:r>
    </w:p>
    <w:p>
      <w:pPr>
        <w:spacing w:line="440" w:lineRule="exact"/>
        <w:ind w:firstLine="539" w:firstLineChars="245"/>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8</w:t>
      </w:r>
      <w:r>
        <w:rPr>
          <w:rFonts w:ascii="新宋体" w:hAnsi="新宋体" w:eastAsia="新宋体"/>
          <w:bCs/>
          <w:color w:val="auto"/>
          <w:sz w:val="22"/>
          <w:highlight w:val="none"/>
        </w:rPr>
        <w:t>、</w:t>
      </w:r>
      <w:r>
        <w:rPr>
          <w:rFonts w:hint="eastAsia" w:ascii="新宋体" w:hAnsi="新宋体" w:eastAsia="新宋体"/>
          <w:bCs/>
          <w:color w:val="auto"/>
          <w:sz w:val="22"/>
          <w:highlight w:val="none"/>
        </w:rPr>
        <w:t> 违约责任</w:t>
      </w:r>
    </w:p>
    <w:p>
      <w:pPr>
        <w:spacing w:line="440" w:lineRule="exact"/>
        <w:ind w:firstLine="539" w:firstLineChars="245"/>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9、 项目合同终止</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10、不可抗力</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11</w:t>
      </w:r>
      <w:r>
        <w:rPr>
          <w:rFonts w:ascii="新宋体" w:hAnsi="新宋体" w:eastAsia="新宋体"/>
          <w:bCs/>
          <w:color w:val="auto"/>
          <w:sz w:val="22"/>
          <w:highlight w:val="none"/>
        </w:rPr>
        <w:t>、</w:t>
      </w:r>
      <w:r>
        <w:rPr>
          <w:rFonts w:hint="eastAsia" w:ascii="新宋体" w:hAnsi="新宋体" w:eastAsia="新宋体"/>
          <w:bCs/>
          <w:color w:val="auto"/>
          <w:sz w:val="22"/>
          <w:highlight w:val="none"/>
        </w:rPr>
        <w:t>项目知识产权</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12</w:t>
      </w:r>
      <w:r>
        <w:rPr>
          <w:rFonts w:ascii="新宋体" w:hAnsi="新宋体" w:eastAsia="新宋体"/>
          <w:bCs/>
          <w:color w:val="auto"/>
          <w:sz w:val="22"/>
          <w:highlight w:val="none"/>
        </w:rPr>
        <w:t>、</w:t>
      </w:r>
      <w:r>
        <w:rPr>
          <w:rFonts w:hint="eastAsia" w:ascii="新宋体" w:hAnsi="新宋体" w:eastAsia="新宋体"/>
          <w:bCs/>
          <w:color w:val="auto"/>
          <w:sz w:val="22"/>
          <w:highlight w:val="none"/>
        </w:rPr>
        <w:t>项目保密</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13</w:t>
      </w:r>
      <w:r>
        <w:rPr>
          <w:rFonts w:ascii="新宋体" w:hAnsi="新宋体" w:eastAsia="新宋体"/>
          <w:bCs/>
          <w:color w:val="auto"/>
          <w:sz w:val="22"/>
          <w:highlight w:val="none"/>
        </w:rPr>
        <w:t>、</w:t>
      </w:r>
      <w:r>
        <w:rPr>
          <w:rFonts w:hint="eastAsia" w:ascii="新宋体" w:hAnsi="新宋体" w:eastAsia="新宋体"/>
          <w:bCs/>
          <w:color w:val="auto"/>
          <w:sz w:val="22"/>
          <w:highlight w:val="none"/>
        </w:rPr>
        <w:t>仲裁</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14</w:t>
      </w:r>
      <w:r>
        <w:rPr>
          <w:rFonts w:ascii="新宋体" w:hAnsi="新宋体" w:eastAsia="新宋体"/>
          <w:bCs/>
          <w:color w:val="auto"/>
          <w:sz w:val="22"/>
          <w:highlight w:val="none"/>
        </w:rPr>
        <w:t>、</w:t>
      </w:r>
      <w:r>
        <w:rPr>
          <w:rFonts w:hint="eastAsia" w:ascii="新宋体" w:hAnsi="新宋体" w:eastAsia="新宋体"/>
          <w:bCs/>
          <w:color w:val="auto"/>
          <w:sz w:val="22"/>
          <w:highlight w:val="none"/>
        </w:rPr>
        <w:t>项目合同附件清单</w:t>
      </w:r>
    </w:p>
    <w:p>
      <w:pPr>
        <w:spacing w:line="440" w:lineRule="exact"/>
        <w:ind w:firstLine="539" w:firstLineChars="245"/>
        <w:rPr>
          <w:rFonts w:ascii="新宋体" w:hAnsi="新宋体" w:eastAsia="新宋体"/>
          <w:bCs/>
          <w:color w:val="auto"/>
          <w:sz w:val="22"/>
          <w:highlight w:val="none"/>
        </w:rPr>
      </w:pPr>
      <w:r>
        <w:rPr>
          <w:rFonts w:hint="eastAsia" w:ascii="新宋体" w:hAnsi="新宋体" w:eastAsia="新宋体"/>
          <w:bCs/>
          <w:color w:val="auto"/>
          <w:sz w:val="22"/>
          <w:highlight w:val="none"/>
        </w:rPr>
        <w:t>15</w:t>
      </w:r>
      <w:r>
        <w:rPr>
          <w:rFonts w:ascii="新宋体" w:hAnsi="新宋体" w:eastAsia="新宋体"/>
          <w:bCs/>
          <w:color w:val="auto"/>
          <w:sz w:val="22"/>
          <w:highlight w:val="none"/>
        </w:rPr>
        <w:t>、</w:t>
      </w:r>
      <w:r>
        <w:rPr>
          <w:rFonts w:hint="eastAsia" w:ascii="新宋体" w:hAnsi="新宋体" w:eastAsia="新宋体"/>
          <w:bCs/>
          <w:color w:val="auto"/>
          <w:sz w:val="22"/>
          <w:highlight w:val="none"/>
        </w:rPr>
        <w:t>项目合同生效及其它争议解决</w:t>
      </w:r>
    </w:p>
    <w:p>
      <w:pPr>
        <w:spacing w:line="440" w:lineRule="exact"/>
        <w:ind w:firstLine="539" w:firstLineChars="245"/>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16</w:t>
      </w:r>
      <w:r>
        <w:rPr>
          <w:rFonts w:ascii="新宋体" w:hAnsi="新宋体" w:eastAsia="新宋体"/>
          <w:bCs/>
          <w:color w:val="auto"/>
          <w:sz w:val="22"/>
          <w:highlight w:val="none"/>
        </w:rPr>
        <w:t>、</w:t>
      </w:r>
      <w:r>
        <w:rPr>
          <w:rFonts w:hint="eastAsia" w:ascii="新宋体" w:hAnsi="新宋体" w:eastAsia="新宋体"/>
          <w:bCs/>
          <w:color w:val="auto"/>
          <w:sz w:val="22"/>
          <w:highlight w:val="none"/>
        </w:rPr>
        <w:t>项目合同签章</w:t>
      </w: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rPr>
          <w:rFonts w:hint="eastAsia" w:ascii="新宋体" w:hAnsi="新宋体" w:eastAsia="新宋体"/>
          <w:b/>
          <w:bCs/>
          <w:color w:val="auto"/>
          <w:sz w:val="32"/>
          <w:szCs w:val="32"/>
          <w:highlight w:val="none"/>
        </w:rPr>
      </w:pPr>
    </w:p>
    <w:p>
      <w:pPr>
        <w:rPr>
          <w:rFonts w:hint="eastAsia" w:ascii="新宋体" w:hAnsi="新宋体" w:eastAsia="新宋体"/>
          <w:b/>
          <w:bCs/>
          <w:color w:val="auto"/>
          <w:sz w:val="32"/>
          <w:szCs w:val="32"/>
          <w:highlight w:val="none"/>
        </w:rPr>
      </w:pPr>
    </w:p>
    <w:p>
      <w:pPr>
        <w:rPr>
          <w:rFonts w:hint="eastAsia"/>
          <w:color w:val="auto"/>
          <w:highlight w:val="none"/>
        </w:rPr>
      </w:pPr>
    </w:p>
    <w:p>
      <w:pPr>
        <w:spacing w:line="500" w:lineRule="exact"/>
        <w:jc w:val="center"/>
        <w:rPr>
          <w:rFonts w:hint="eastAsia" w:ascii="新宋体" w:hAnsi="新宋体" w:eastAsia="新宋体"/>
          <w:b/>
          <w:bCs/>
          <w:color w:val="auto"/>
          <w:sz w:val="32"/>
          <w:szCs w:val="32"/>
          <w:highlight w:val="none"/>
        </w:rPr>
      </w:pPr>
    </w:p>
    <w:p>
      <w:pPr>
        <w:rPr>
          <w:rFonts w:hint="eastAsia" w:ascii="新宋体" w:hAnsi="新宋体" w:eastAsia="新宋体"/>
          <w:b/>
          <w:bCs/>
          <w:color w:val="auto"/>
          <w:sz w:val="32"/>
          <w:szCs w:val="32"/>
          <w:highlight w:val="none"/>
        </w:rPr>
      </w:pPr>
    </w:p>
    <w:p>
      <w:pPr>
        <w:rPr>
          <w:rFonts w:hint="eastAsia"/>
          <w:color w:val="auto"/>
          <w:highlight w:val="none"/>
        </w:rPr>
      </w:pP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1、总则</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年</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月</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日委托温州历程招标有限公司进行的公开招标的</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（项目编号：</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）中，甲方接受乙方对本次</w:t>
      </w:r>
      <w:r>
        <w:rPr>
          <w:rFonts w:hint="eastAsia" w:ascii="新宋体" w:hAnsi="新宋体" w:eastAsia="新宋体"/>
          <w:color w:val="auto"/>
          <w:sz w:val="22"/>
          <w:szCs w:val="22"/>
          <w:highlight w:val="none"/>
          <w:u w:val="single"/>
        </w:rPr>
        <w:t xml:space="preserve">                    </w:t>
      </w:r>
      <w:r>
        <w:rPr>
          <w:rFonts w:hint="eastAsia" w:ascii="新宋体" w:hAnsi="新宋体" w:eastAsia="新宋体" w:cs="宋体"/>
          <w:color w:val="auto"/>
          <w:kern w:val="0"/>
          <w:sz w:val="22"/>
          <w:szCs w:val="22"/>
          <w:highlight w:val="none"/>
        </w:rPr>
        <w:t>项目的投标，甲乙双方根据《中华人民共和国合同法》、《中华人民共和国采购法》等法规和本合同的招标文件、投标文件及其．投标中的承诺，经双方协商，同意按下述条款和条件签订本合同，共同遵守。</w:t>
      </w:r>
    </w:p>
    <w:p>
      <w:pPr>
        <w:spacing w:line="460" w:lineRule="exact"/>
        <w:ind w:firstLine="541" w:firstLineChars="245"/>
        <w:rPr>
          <w:rFonts w:ascii="新宋体" w:hAnsi="新宋体" w:eastAsia="新宋体"/>
          <w:b/>
          <w:color w:val="auto"/>
          <w:sz w:val="22"/>
          <w:szCs w:val="22"/>
          <w:highlight w:val="none"/>
        </w:rPr>
      </w:pPr>
      <w:r>
        <w:rPr>
          <w:rFonts w:ascii="新宋体" w:hAnsi="新宋体" w:eastAsia="新宋体"/>
          <w:b/>
          <w:color w:val="auto"/>
          <w:sz w:val="22"/>
          <w:szCs w:val="22"/>
          <w:highlight w:val="none"/>
        </w:rPr>
        <w:t>2</w:t>
      </w:r>
      <w:r>
        <w:rPr>
          <w:rFonts w:hint="eastAsia" w:ascii="新宋体" w:hAnsi="新宋体" w:eastAsia="新宋体"/>
          <w:b/>
          <w:color w:val="auto"/>
          <w:sz w:val="22"/>
          <w:szCs w:val="22"/>
          <w:highlight w:val="none"/>
        </w:rPr>
        <w:t>、甲方责任</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2.1</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 xml:space="preserve">提出项目建设任务和需求，负责项目的总体组织工作，并保留根据实际工作需求，提出对项目建设方案进行适当修改的权利。 </w:t>
      </w:r>
    </w:p>
    <w:p>
      <w:pPr>
        <w:spacing w:line="460" w:lineRule="exact"/>
        <w:ind w:firstLine="539" w:firstLineChars="245"/>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2.2</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应为调研、安装、测试、调试等</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工作提供必要的工作环境及协助人员。</w:t>
      </w:r>
    </w:p>
    <w:p>
      <w:pPr>
        <w:spacing w:line="460" w:lineRule="exact"/>
        <w:ind w:firstLine="539" w:firstLineChars="245"/>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2.3</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负责组织由</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提供的技术培训工作。</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2.4</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负责协调最终用户和</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的关系，并提供最终用户的联系方式。</w:t>
      </w:r>
    </w:p>
    <w:p>
      <w:pPr>
        <w:spacing w:line="460" w:lineRule="exact"/>
        <w:ind w:firstLine="539" w:firstLineChars="245"/>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2.5</w:t>
      </w:r>
      <w:r>
        <w:rPr>
          <w:rFonts w:hint="eastAsia" w:ascii="新宋体" w:hAnsi="新宋体" w:eastAsia="新宋体" w:cs="宋体"/>
          <w:color w:val="auto"/>
          <w:kern w:val="0"/>
          <w:sz w:val="22"/>
          <w:szCs w:val="22"/>
          <w:highlight w:val="none"/>
        </w:rPr>
        <w:t>甲方对乙方</w:t>
      </w:r>
      <w:r>
        <w:rPr>
          <w:rFonts w:ascii="新宋体" w:hAnsi="新宋体" w:eastAsia="新宋体" w:cs="宋体"/>
          <w:color w:val="auto"/>
          <w:kern w:val="0"/>
          <w:sz w:val="22"/>
          <w:szCs w:val="22"/>
          <w:highlight w:val="none"/>
        </w:rPr>
        <w:t>向</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提供的内部资料予以保密，</w:t>
      </w:r>
      <w:r>
        <w:rPr>
          <w:rFonts w:hint="eastAsia" w:ascii="新宋体" w:hAnsi="新宋体" w:eastAsia="新宋体" w:cs="宋体"/>
          <w:color w:val="auto"/>
          <w:kern w:val="0"/>
          <w:sz w:val="22"/>
          <w:szCs w:val="22"/>
          <w:highlight w:val="none"/>
        </w:rPr>
        <w:t>且</w:t>
      </w:r>
      <w:r>
        <w:rPr>
          <w:rFonts w:ascii="新宋体" w:hAnsi="新宋体" w:eastAsia="新宋体" w:cs="宋体"/>
          <w:color w:val="auto"/>
          <w:kern w:val="0"/>
          <w:sz w:val="22"/>
          <w:szCs w:val="22"/>
          <w:highlight w:val="none"/>
        </w:rPr>
        <w:t>不向任何第三方泄露</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的商业机密和技术机密。</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3、乙方责任</w:t>
      </w:r>
    </w:p>
    <w:p>
      <w:pPr>
        <w:spacing w:line="460" w:lineRule="exact"/>
        <w:ind w:firstLine="541" w:firstLineChars="245"/>
        <w:rPr>
          <w:rFonts w:hint="eastAsia" w:ascii="新宋体" w:hAnsi="新宋体" w:eastAsia="新宋体" w:cs="宋体"/>
          <w:color w:val="auto"/>
          <w:kern w:val="0"/>
          <w:sz w:val="22"/>
          <w:szCs w:val="22"/>
          <w:highlight w:val="none"/>
        </w:rPr>
      </w:pPr>
      <w:r>
        <w:rPr>
          <w:rFonts w:ascii="新宋体" w:hAnsi="新宋体" w:eastAsia="新宋体"/>
          <w:b/>
          <w:color w:val="auto"/>
          <w:sz w:val="22"/>
          <w:szCs w:val="22"/>
          <w:highlight w:val="none"/>
        </w:rPr>
        <w:t>3.1</w:t>
      </w:r>
      <w:r>
        <w:rPr>
          <w:rFonts w:hint="eastAsia" w:ascii="新宋体" w:hAnsi="新宋体" w:eastAsia="新宋体"/>
          <w:b/>
          <w:color w:val="auto"/>
          <w:sz w:val="22"/>
          <w:szCs w:val="22"/>
          <w:highlight w:val="none"/>
        </w:rPr>
        <w:t>乙方必须</w:t>
      </w:r>
      <w:r>
        <w:rPr>
          <w:rFonts w:ascii="新宋体" w:hAnsi="新宋体" w:eastAsia="新宋体" w:cs="宋体"/>
          <w:color w:val="auto"/>
          <w:kern w:val="0"/>
          <w:sz w:val="22"/>
          <w:szCs w:val="22"/>
          <w:highlight w:val="none"/>
        </w:rPr>
        <w:t>根据项目</w:t>
      </w:r>
      <w:r>
        <w:rPr>
          <w:rFonts w:hint="eastAsia" w:ascii="新宋体" w:hAnsi="新宋体" w:eastAsia="新宋体" w:cs="宋体"/>
          <w:color w:val="auto"/>
          <w:kern w:val="0"/>
          <w:sz w:val="22"/>
          <w:szCs w:val="22"/>
          <w:highlight w:val="none"/>
        </w:rPr>
        <w:t>招标文件</w:t>
      </w:r>
      <w:r>
        <w:rPr>
          <w:rFonts w:ascii="新宋体" w:hAnsi="新宋体" w:eastAsia="新宋体" w:cs="宋体"/>
          <w:color w:val="auto"/>
          <w:kern w:val="0"/>
          <w:sz w:val="22"/>
          <w:szCs w:val="22"/>
          <w:highlight w:val="none"/>
        </w:rPr>
        <w:t>中《</w:t>
      </w:r>
      <w:r>
        <w:rPr>
          <w:rFonts w:hint="eastAsia" w:ascii="新宋体" w:hAnsi="新宋体" w:eastAsia="新宋体" w:cs="宋体"/>
          <w:color w:val="auto"/>
          <w:kern w:val="0"/>
          <w:sz w:val="22"/>
          <w:szCs w:val="22"/>
          <w:highlight w:val="none"/>
        </w:rPr>
        <w:t>招标内容及要求</w:t>
      </w:r>
      <w:r>
        <w:rPr>
          <w:rFonts w:ascii="新宋体" w:hAnsi="新宋体" w:eastAsia="新宋体" w:cs="宋体"/>
          <w:color w:val="auto"/>
          <w:kern w:val="0"/>
          <w:sz w:val="22"/>
          <w:szCs w:val="22"/>
          <w:highlight w:val="none"/>
        </w:rPr>
        <w:t>》细化项目建设需求，并</w:t>
      </w:r>
      <w:r>
        <w:rPr>
          <w:rFonts w:hint="eastAsia" w:ascii="新宋体" w:hAnsi="新宋体" w:eastAsia="新宋体" w:cs="宋体"/>
          <w:color w:val="auto"/>
          <w:kern w:val="0"/>
          <w:sz w:val="22"/>
          <w:szCs w:val="22"/>
          <w:highlight w:val="none"/>
        </w:rPr>
        <w:t>按照投标文件</w:t>
      </w:r>
      <w:r>
        <w:rPr>
          <w:rFonts w:ascii="新宋体" w:hAnsi="新宋体" w:eastAsia="新宋体" w:cs="宋体"/>
          <w:color w:val="auto"/>
          <w:kern w:val="0"/>
          <w:sz w:val="22"/>
          <w:szCs w:val="22"/>
          <w:highlight w:val="none"/>
        </w:rPr>
        <w:t>中的</w:t>
      </w:r>
      <w:r>
        <w:rPr>
          <w:rFonts w:hint="eastAsia" w:ascii="新宋体" w:hAnsi="新宋体" w:eastAsia="新宋体" w:cs="宋体"/>
          <w:color w:val="auto"/>
          <w:kern w:val="0"/>
          <w:sz w:val="22"/>
          <w:szCs w:val="22"/>
          <w:highlight w:val="none"/>
        </w:rPr>
        <w:t>规定进行项目</w:t>
      </w:r>
      <w:r>
        <w:rPr>
          <w:rFonts w:ascii="新宋体" w:hAnsi="新宋体" w:eastAsia="新宋体" w:cs="宋体"/>
          <w:color w:val="auto"/>
          <w:kern w:val="0"/>
          <w:sz w:val="22"/>
          <w:szCs w:val="22"/>
          <w:highlight w:val="none"/>
        </w:rPr>
        <w:t>建设</w:t>
      </w:r>
      <w:r>
        <w:rPr>
          <w:rFonts w:hint="eastAsia" w:ascii="新宋体" w:hAnsi="新宋体" w:eastAsia="新宋体" w:cs="宋体"/>
          <w:color w:val="auto"/>
          <w:kern w:val="0"/>
          <w:sz w:val="22"/>
          <w:szCs w:val="22"/>
          <w:highlight w:val="none"/>
        </w:rPr>
        <w:t>和</w:t>
      </w:r>
      <w:r>
        <w:rPr>
          <w:rFonts w:ascii="新宋体" w:hAnsi="新宋体" w:eastAsia="新宋体" w:cs="宋体"/>
          <w:color w:val="auto"/>
          <w:kern w:val="0"/>
          <w:sz w:val="22"/>
          <w:szCs w:val="22"/>
          <w:highlight w:val="none"/>
        </w:rPr>
        <w:t>具体实施工作。</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3.2</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根据</w:t>
      </w:r>
      <w:r>
        <w:rPr>
          <w:rFonts w:hint="eastAsia" w:ascii="新宋体" w:hAnsi="新宋体" w:eastAsia="新宋体" w:cs="宋体"/>
          <w:color w:val="auto"/>
          <w:kern w:val="0"/>
          <w:sz w:val="22"/>
          <w:szCs w:val="22"/>
          <w:highlight w:val="none"/>
        </w:rPr>
        <w:t>招标文件</w:t>
      </w:r>
      <w:r>
        <w:rPr>
          <w:rFonts w:ascii="新宋体" w:hAnsi="新宋体" w:eastAsia="新宋体" w:cs="宋体"/>
          <w:color w:val="auto"/>
          <w:kern w:val="0"/>
          <w:sz w:val="22"/>
          <w:szCs w:val="22"/>
          <w:highlight w:val="none"/>
        </w:rPr>
        <w:t>的基本技术要求与</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共同确定项目所需的系统软件、硬件的数量及规格要求。</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3.3</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保证按合同规定时间完工，并在工程结束时提交完整的相应技术文档及用户手册，并积极配合</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对工程项目进行验收。</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3.4</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向</w:t>
      </w:r>
      <w:r>
        <w:rPr>
          <w:rFonts w:hint="eastAsia" w:ascii="新宋体" w:hAnsi="新宋体" w:eastAsia="新宋体" w:cs="宋体"/>
          <w:color w:val="auto"/>
          <w:kern w:val="0"/>
          <w:sz w:val="22"/>
          <w:szCs w:val="22"/>
          <w:highlight w:val="none"/>
        </w:rPr>
        <w:t>甲方提供</w:t>
      </w:r>
      <w:r>
        <w:rPr>
          <w:rFonts w:ascii="新宋体" w:hAnsi="新宋体" w:eastAsia="新宋体" w:cs="宋体"/>
          <w:color w:val="auto"/>
          <w:kern w:val="0"/>
          <w:sz w:val="22"/>
          <w:szCs w:val="22"/>
          <w:highlight w:val="none"/>
        </w:rPr>
        <w:t>提供</w:t>
      </w:r>
      <w:r>
        <w:rPr>
          <w:rFonts w:hint="eastAsia" w:ascii="新宋体" w:hAnsi="新宋体" w:eastAsia="新宋体" w:cs="宋体"/>
          <w:color w:val="auto"/>
          <w:kern w:val="0"/>
          <w:sz w:val="22"/>
          <w:szCs w:val="22"/>
          <w:highlight w:val="none"/>
          <w:u w:val="single"/>
        </w:rPr>
        <w:t xml:space="preserve">       </w:t>
      </w:r>
      <w:r>
        <w:rPr>
          <w:rFonts w:ascii="新宋体" w:hAnsi="新宋体" w:eastAsia="新宋体" w:cs="宋体"/>
          <w:color w:val="auto"/>
          <w:kern w:val="0"/>
          <w:sz w:val="22"/>
          <w:szCs w:val="22"/>
          <w:highlight w:val="none"/>
        </w:rPr>
        <w:t>年</w:t>
      </w:r>
      <w:r>
        <w:rPr>
          <w:rFonts w:hint="eastAsia" w:ascii="新宋体" w:hAnsi="新宋体" w:eastAsia="新宋体" w:cs="宋体"/>
          <w:color w:val="auto"/>
          <w:kern w:val="0"/>
          <w:sz w:val="22"/>
          <w:szCs w:val="22"/>
          <w:highlight w:val="none"/>
        </w:rPr>
        <w:t>免费的</w:t>
      </w:r>
      <w:r>
        <w:rPr>
          <w:rFonts w:ascii="新宋体" w:hAnsi="新宋体" w:eastAsia="新宋体" w:cs="宋体"/>
          <w:color w:val="auto"/>
          <w:kern w:val="0"/>
          <w:sz w:val="22"/>
          <w:szCs w:val="22"/>
          <w:highlight w:val="none"/>
        </w:rPr>
        <w:t>软件升级</w:t>
      </w:r>
      <w:r>
        <w:rPr>
          <w:rFonts w:hint="eastAsia" w:ascii="新宋体" w:hAnsi="新宋体" w:eastAsia="新宋体" w:cs="宋体"/>
          <w:color w:val="auto"/>
          <w:kern w:val="0"/>
          <w:sz w:val="22"/>
          <w:szCs w:val="22"/>
          <w:highlight w:val="none"/>
        </w:rPr>
        <w:t>、</w:t>
      </w:r>
      <w:r>
        <w:rPr>
          <w:rFonts w:ascii="新宋体" w:hAnsi="新宋体" w:eastAsia="新宋体" w:cs="宋体"/>
          <w:color w:val="auto"/>
          <w:kern w:val="0"/>
          <w:sz w:val="22"/>
          <w:szCs w:val="22"/>
          <w:highlight w:val="none"/>
        </w:rPr>
        <w:t>技术升级与支持服务</w:t>
      </w:r>
      <w:r>
        <w:rPr>
          <w:rFonts w:hint="eastAsia" w:ascii="新宋体" w:hAnsi="新宋体" w:eastAsia="新宋体" w:cs="宋体"/>
          <w:color w:val="auto"/>
          <w:kern w:val="0"/>
          <w:sz w:val="22"/>
          <w:szCs w:val="22"/>
          <w:highlight w:val="none"/>
        </w:rPr>
        <w:t>,</w:t>
      </w:r>
      <w:r>
        <w:rPr>
          <w:rFonts w:hint="eastAsia"/>
          <w:color w:val="auto"/>
          <w:highlight w:val="none"/>
        </w:rPr>
        <w:t xml:space="preserve"> 其中第</w:t>
      </w:r>
      <w:r>
        <w:rPr>
          <w:rFonts w:hint="eastAsia"/>
          <w:color w:val="auto"/>
          <w:highlight w:val="none"/>
          <w:u w:val="single"/>
        </w:rPr>
        <w:t xml:space="preserve">    </w:t>
      </w:r>
      <w:r>
        <w:rPr>
          <w:rFonts w:hint="eastAsia"/>
          <w:color w:val="auto"/>
          <w:highlight w:val="none"/>
        </w:rPr>
        <w:t>年为驻场服务。</w:t>
      </w:r>
      <w:r>
        <w:rPr>
          <w:rFonts w:hint="eastAsia" w:ascii="新宋体" w:hAnsi="新宋体" w:eastAsia="新宋体" w:cs="宋体"/>
          <w:color w:val="auto"/>
          <w:kern w:val="0"/>
          <w:sz w:val="22"/>
          <w:szCs w:val="22"/>
          <w:highlight w:val="none"/>
        </w:rPr>
        <w:t xml:space="preserve"> </w:t>
      </w:r>
      <w:r>
        <w:rPr>
          <w:rFonts w:hint="eastAsia" w:ascii="新宋体" w:hAnsi="新宋体" w:eastAsia="新宋体" w:cs="宋体"/>
          <w:color w:val="auto"/>
          <w:kern w:val="0"/>
          <w:sz w:val="22"/>
          <w:szCs w:val="22"/>
          <w:highlight w:val="none"/>
          <w:u w:val="single"/>
        </w:rPr>
        <w:t xml:space="preserve">   </w:t>
      </w:r>
      <w:r>
        <w:rPr>
          <w:rFonts w:ascii="新宋体" w:hAnsi="新宋体" w:eastAsia="新宋体" w:cs="宋体"/>
          <w:color w:val="auto"/>
          <w:kern w:val="0"/>
          <w:sz w:val="22"/>
          <w:szCs w:val="22"/>
          <w:highlight w:val="none"/>
        </w:rPr>
        <w:t>年的时间从</w:t>
      </w:r>
      <w:r>
        <w:rPr>
          <w:rFonts w:hint="eastAsia" w:ascii="新宋体" w:hAnsi="新宋体" w:eastAsia="新宋体" w:cs="宋体"/>
          <w:color w:val="auto"/>
          <w:kern w:val="0"/>
          <w:sz w:val="22"/>
          <w:szCs w:val="22"/>
          <w:highlight w:val="none"/>
        </w:rPr>
        <w:t>项目通过验收之日（即验收报告核准时间）次日</w:t>
      </w:r>
      <w:r>
        <w:rPr>
          <w:rFonts w:ascii="新宋体" w:hAnsi="新宋体" w:eastAsia="新宋体" w:cs="宋体"/>
          <w:color w:val="auto"/>
          <w:kern w:val="0"/>
          <w:sz w:val="22"/>
          <w:szCs w:val="22"/>
          <w:highlight w:val="none"/>
        </w:rPr>
        <w:t>起</w:t>
      </w:r>
      <w:r>
        <w:rPr>
          <w:rFonts w:hint="eastAsia" w:ascii="新宋体" w:hAnsi="新宋体" w:eastAsia="新宋体" w:cs="宋体"/>
          <w:color w:val="auto"/>
          <w:kern w:val="0"/>
          <w:sz w:val="22"/>
          <w:szCs w:val="22"/>
          <w:highlight w:val="none"/>
        </w:rPr>
        <w:t>开始</w:t>
      </w:r>
      <w:r>
        <w:rPr>
          <w:rFonts w:ascii="新宋体" w:hAnsi="新宋体" w:eastAsia="新宋体" w:cs="宋体"/>
          <w:color w:val="auto"/>
          <w:kern w:val="0"/>
          <w:sz w:val="22"/>
          <w:szCs w:val="22"/>
          <w:highlight w:val="none"/>
        </w:rPr>
        <w:t>计算</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3.5乙方</w:t>
      </w:r>
      <w:r>
        <w:rPr>
          <w:rFonts w:ascii="新宋体" w:hAnsi="新宋体" w:eastAsia="新宋体" w:cs="宋体"/>
          <w:color w:val="auto"/>
          <w:kern w:val="0"/>
          <w:sz w:val="22"/>
          <w:szCs w:val="22"/>
          <w:highlight w:val="none"/>
        </w:rPr>
        <w:t>为</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提供项目的</w:t>
      </w:r>
      <w:r>
        <w:rPr>
          <w:rFonts w:hint="eastAsia" w:ascii="新宋体" w:hAnsi="新宋体" w:eastAsia="新宋体" w:cs="宋体"/>
          <w:color w:val="auto"/>
          <w:kern w:val="0"/>
          <w:sz w:val="22"/>
          <w:szCs w:val="22"/>
          <w:highlight w:val="none"/>
        </w:rPr>
        <w:t>所有</w:t>
      </w:r>
      <w:r>
        <w:rPr>
          <w:rFonts w:ascii="新宋体" w:hAnsi="新宋体" w:eastAsia="新宋体" w:cs="宋体"/>
          <w:color w:val="auto"/>
          <w:kern w:val="0"/>
          <w:sz w:val="22"/>
          <w:szCs w:val="22"/>
          <w:highlight w:val="none"/>
        </w:rPr>
        <w:t>软、硬件设备使用、管理及维护等方面的培训</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6</w:t>
      </w:r>
      <w:r>
        <w:rPr>
          <w:rFonts w:ascii="新宋体" w:hAnsi="新宋体" w:eastAsia="新宋体" w:cs="宋体"/>
          <w:color w:val="auto"/>
          <w:kern w:val="0"/>
          <w:sz w:val="22"/>
          <w:szCs w:val="22"/>
          <w:highlight w:val="none"/>
        </w:rPr>
        <w:t>未经</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书面授权或同意，</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不得以任何方式将项目转交第三方或由第三方提供相关服务。</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7</w:t>
      </w:r>
      <w:r>
        <w:rPr>
          <w:rFonts w:hint="eastAsia" w:ascii="新宋体" w:hAnsi="新宋体" w:eastAsia="新宋体" w:cs="宋体"/>
          <w:color w:val="auto"/>
          <w:kern w:val="0"/>
          <w:sz w:val="22"/>
          <w:szCs w:val="22"/>
          <w:highlight w:val="none"/>
          <w:lang w:val="en-US" w:eastAsia="zh-CN"/>
        </w:rPr>
        <w:t xml:space="preserve"> </w:t>
      </w:r>
      <w:r>
        <w:rPr>
          <w:rFonts w:hint="eastAsia" w:ascii="新宋体" w:hAnsi="新宋体" w:eastAsia="新宋体" w:cs="新宋体"/>
          <w:bCs/>
          <w:color w:val="auto"/>
          <w:sz w:val="22"/>
          <w:szCs w:val="22"/>
          <w:highlight w:val="none"/>
          <w:u w:val="single"/>
          <w:lang w:val="en-US" w:eastAsia="zh-CN"/>
        </w:rPr>
        <w:t>9</w:t>
      </w:r>
      <w:r>
        <w:rPr>
          <w:rFonts w:hint="eastAsia" w:ascii="新宋体" w:hAnsi="新宋体" w:eastAsia="新宋体" w:cs="新宋体"/>
          <w:bCs/>
          <w:color w:val="auto"/>
          <w:sz w:val="22"/>
          <w:szCs w:val="22"/>
          <w:highlight w:val="none"/>
          <w:lang w:val="en-US" w:eastAsia="zh-CN"/>
        </w:rPr>
        <w:t>月底试运行上线，</w:t>
      </w:r>
      <w:r>
        <w:rPr>
          <w:rFonts w:hint="eastAsia" w:ascii="新宋体" w:hAnsi="新宋体" w:eastAsia="新宋体" w:cs="新宋体"/>
          <w:bCs/>
          <w:color w:val="auto"/>
          <w:sz w:val="22"/>
          <w:szCs w:val="22"/>
          <w:highlight w:val="none"/>
          <w:u w:val="single"/>
          <w:lang w:val="en-US" w:eastAsia="zh-CN"/>
        </w:rPr>
        <w:t>12</w:t>
      </w:r>
      <w:r>
        <w:rPr>
          <w:rFonts w:hint="eastAsia" w:ascii="新宋体" w:hAnsi="新宋体" w:eastAsia="新宋体" w:cs="新宋体"/>
          <w:bCs/>
          <w:color w:val="auto"/>
          <w:sz w:val="22"/>
          <w:szCs w:val="22"/>
          <w:highlight w:val="none"/>
          <w:lang w:val="en-US" w:eastAsia="zh-CN"/>
        </w:rPr>
        <w:t>月底正式运行</w:t>
      </w:r>
      <w:r>
        <w:rPr>
          <w:rFonts w:hint="eastAsia" w:ascii="新宋体" w:hAnsi="新宋体" w:eastAsia="新宋体" w:cs="宋体"/>
          <w:color w:val="auto"/>
          <w:kern w:val="0"/>
          <w:sz w:val="22"/>
          <w:szCs w:val="22"/>
          <w:highlight w:val="none"/>
        </w:rPr>
        <w:t>。</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4、售后服务和技术培训</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应按附件《技术支持和售后服务方案》的内容为</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提供技术</w:t>
      </w:r>
      <w:r>
        <w:rPr>
          <w:rFonts w:hint="eastAsia" w:ascii="新宋体" w:hAnsi="新宋体" w:eastAsia="新宋体" w:cs="宋体"/>
          <w:color w:val="auto"/>
          <w:kern w:val="0"/>
          <w:sz w:val="22"/>
          <w:szCs w:val="22"/>
          <w:highlight w:val="none"/>
        </w:rPr>
        <w:t>支持</w:t>
      </w:r>
      <w:r>
        <w:rPr>
          <w:rFonts w:ascii="新宋体" w:hAnsi="新宋体" w:eastAsia="新宋体" w:cs="宋体"/>
          <w:color w:val="auto"/>
          <w:kern w:val="0"/>
          <w:sz w:val="22"/>
          <w:szCs w:val="22"/>
          <w:highlight w:val="none"/>
        </w:rPr>
        <w:t>和售后服务。</w:t>
      </w:r>
    </w:p>
    <w:p>
      <w:pPr>
        <w:spacing w:line="460" w:lineRule="exact"/>
        <w:ind w:firstLine="541" w:firstLineChars="245"/>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5、项目合同总金额</w:t>
      </w:r>
    </w:p>
    <w:p>
      <w:pPr>
        <w:spacing w:line="460" w:lineRule="exact"/>
        <w:ind w:firstLine="539" w:firstLineChars="245"/>
        <w:rPr>
          <w:rFonts w:hint="eastAsia" w:ascii="新宋体" w:hAnsi="新宋体" w:eastAsia="新宋体" w:cs="宋体"/>
          <w:b/>
          <w:color w:val="auto"/>
          <w:kern w:val="0"/>
          <w:sz w:val="22"/>
          <w:szCs w:val="22"/>
          <w:highlight w:val="none"/>
          <w:u w:val="single"/>
        </w:rPr>
      </w:pPr>
      <w:r>
        <w:rPr>
          <w:rFonts w:ascii="新宋体" w:hAnsi="新宋体" w:eastAsia="新宋体" w:cs="宋体"/>
          <w:color w:val="auto"/>
          <w:kern w:val="0"/>
          <w:sz w:val="22"/>
          <w:szCs w:val="22"/>
          <w:highlight w:val="none"/>
        </w:rPr>
        <w:t>合同总金额为：</w:t>
      </w:r>
      <w:r>
        <w:rPr>
          <w:rFonts w:hint="eastAsia" w:ascii="新宋体" w:hAnsi="新宋体" w:eastAsia="新宋体" w:cs="宋体"/>
          <w:b/>
          <w:color w:val="auto"/>
          <w:kern w:val="0"/>
          <w:sz w:val="22"/>
          <w:szCs w:val="22"/>
          <w:highlight w:val="none"/>
          <w:u w:val="single"/>
        </w:rPr>
        <w:t>RMB¥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大写：</w:t>
      </w:r>
      <w:r>
        <w:rPr>
          <w:rFonts w:hint="eastAsia" w:ascii="新宋体" w:hAnsi="新宋体" w:eastAsia="新宋体" w:cs="宋体"/>
          <w:color w:val="auto"/>
          <w:kern w:val="0"/>
          <w:sz w:val="22"/>
          <w:szCs w:val="22"/>
          <w:highlight w:val="none"/>
          <w:u w:val="single"/>
        </w:rPr>
        <w:t xml:space="preserve">                                           </w:t>
      </w:r>
      <w:r>
        <w:rPr>
          <w:rFonts w:ascii="新宋体" w:hAnsi="新宋体" w:eastAsia="新宋体" w:cs="宋体"/>
          <w:color w:val="auto"/>
          <w:kern w:val="0"/>
          <w:sz w:val="22"/>
          <w:szCs w:val="22"/>
          <w:highlight w:val="none"/>
        </w:rPr>
        <w:t>元整；</w:t>
      </w:r>
    </w:p>
    <w:p>
      <w:pPr>
        <w:spacing w:line="460" w:lineRule="exact"/>
        <w:ind w:firstLine="541" w:firstLineChars="245"/>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详细价格清单</w:t>
      </w:r>
    </w:p>
    <w:tbl>
      <w:tblPr>
        <w:tblStyle w:val="5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2197"/>
        <w:gridCol w:w="720"/>
        <w:gridCol w:w="1440"/>
        <w:gridCol w:w="143"/>
        <w:gridCol w:w="1297"/>
        <w:gridCol w:w="1260"/>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Pr>
        <w:tc>
          <w:tcPr>
            <w:tcW w:w="2514"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软件模块（硬件）名称</w:t>
            </w:r>
          </w:p>
        </w:tc>
        <w:tc>
          <w:tcPr>
            <w:tcW w:w="2197"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说明</w:t>
            </w:r>
          </w:p>
        </w:tc>
        <w:tc>
          <w:tcPr>
            <w:tcW w:w="72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44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单价</w:t>
            </w:r>
          </w:p>
        </w:tc>
        <w:tc>
          <w:tcPr>
            <w:tcW w:w="1440" w:type="dxa"/>
            <w:gridSpan w:val="2"/>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总价</w:t>
            </w:r>
          </w:p>
        </w:tc>
        <w:tc>
          <w:tcPr>
            <w:tcW w:w="126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Height w:val="595" w:hRule="atLeast"/>
        </w:trPr>
        <w:tc>
          <w:tcPr>
            <w:tcW w:w="2514" w:type="dxa"/>
            <w:noWrap w:val="0"/>
            <w:vAlign w:val="center"/>
          </w:tcPr>
          <w:p>
            <w:pPr>
              <w:spacing w:line="460" w:lineRule="exact"/>
              <w:rPr>
                <w:rFonts w:hint="eastAsia" w:ascii="新宋体" w:hAnsi="新宋体" w:eastAsia="新宋体" w:cs="Arial"/>
                <w:b/>
                <w:bCs/>
                <w:color w:val="auto"/>
                <w:sz w:val="22"/>
                <w:szCs w:val="22"/>
                <w:highlight w:val="none"/>
              </w:rPr>
            </w:pPr>
          </w:p>
        </w:tc>
        <w:tc>
          <w:tcPr>
            <w:tcW w:w="2197" w:type="dxa"/>
            <w:noWrap w:val="0"/>
            <w:vAlign w:val="center"/>
          </w:tcPr>
          <w:p>
            <w:pPr>
              <w:topLinePunct/>
              <w:adjustRightInd w:val="0"/>
              <w:spacing w:line="460" w:lineRule="exact"/>
              <w:rPr>
                <w:rFonts w:ascii="新宋体" w:hAnsi="新宋体" w:eastAsia="新宋体" w:cs="Arial"/>
                <w:color w:val="auto"/>
                <w:sz w:val="22"/>
                <w:szCs w:val="22"/>
                <w:highlight w:val="none"/>
              </w:rPr>
            </w:pPr>
          </w:p>
        </w:tc>
        <w:tc>
          <w:tcPr>
            <w:tcW w:w="720" w:type="dxa"/>
            <w:noWrap w:val="0"/>
            <w:vAlign w:val="center"/>
          </w:tcPr>
          <w:p>
            <w:pPr>
              <w:spacing w:line="460" w:lineRule="exact"/>
              <w:jc w:val="center"/>
              <w:rPr>
                <w:rFonts w:hint="eastAsia" w:ascii="新宋体" w:hAnsi="新宋体" w:eastAsia="新宋体" w:cs="Arial"/>
                <w:b/>
                <w:bCs/>
                <w:color w:val="auto"/>
                <w:sz w:val="22"/>
                <w:szCs w:val="22"/>
                <w:highlight w:val="none"/>
              </w:rPr>
            </w:pPr>
          </w:p>
        </w:tc>
        <w:tc>
          <w:tcPr>
            <w:tcW w:w="1440" w:type="dxa"/>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440" w:type="dxa"/>
            <w:gridSpan w:val="2"/>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260" w:type="dxa"/>
            <w:noWrap w:val="0"/>
            <w:vAlign w:val="center"/>
          </w:tcPr>
          <w:p>
            <w:pPr>
              <w:pStyle w:val="28"/>
              <w:tabs>
                <w:tab w:val="left" w:pos="8540"/>
              </w:tabs>
              <w:spacing w:line="460" w:lineRule="exact"/>
              <w:jc w:val="center"/>
              <w:rPr>
                <w:rFonts w:hint="eastAsia" w:ascii="新宋体" w:hAnsi="新宋体" w:eastAsia="新宋体" w:cs="Arial"/>
                <w:b w:val="0"/>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Height w:val="645" w:hRule="atLeast"/>
        </w:trPr>
        <w:tc>
          <w:tcPr>
            <w:tcW w:w="2514" w:type="dxa"/>
            <w:noWrap w:val="0"/>
            <w:vAlign w:val="center"/>
          </w:tcPr>
          <w:p>
            <w:pPr>
              <w:spacing w:line="460" w:lineRule="exact"/>
              <w:rPr>
                <w:rFonts w:hint="eastAsia" w:ascii="新宋体" w:hAnsi="新宋体" w:eastAsia="新宋体" w:cs="Arial"/>
                <w:b/>
                <w:bCs/>
                <w:color w:val="auto"/>
                <w:sz w:val="22"/>
                <w:szCs w:val="22"/>
                <w:highlight w:val="none"/>
              </w:rPr>
            </w:pPr>
          </w:p>
        </w:tc>
        <w:tc>
          <w:tcPr>
            <w:tcW w:w="2197" w:type="dxa"/>
            <w:noWrap w:val="0"/>
            <w:vAlign w:val="center"/>
          </w:tcPr>
          <w:p>
            <w:pPr>
              <w:topLinePunct/>
              <w:adjustRightInd w:val="0"/>
              <w:spacing w:line="460" w:lineRule="exact"/>
              <w:rPr>
                <w:rFonts w:ascii="新宋体" w:hAnsi="新宋体" w:eastAsia="新宋体" w:cs="Arial"/>
                <w:color w:val="auto"/>
                <w:sz w:val="22"/>
                <w:szCs w:val="22"/>
                <w:highlight w:val="none"/>
              </w:rPr>
            </w:pPr>
          </w:p>
        </w:tc>
        <w:tc>
          <w:tcPr>
            <w:tcW w:w="720" w:type="dxa"/>
            <w:noWrap w:val="0"/>
            <w:vAlign w:val="center"/>
          </w:tcPr>
          <w:p>
            <w:pPr>
              <w:spacing w:line="460" w:lineRule="exact"/>
              <w:jc w:val="center"/>
              <w:rPr>
                <w:rFonts w:hint="eastAsia" w:ascii="新宋体" w:hAnsi="新宋体" w:eastAsia="新宋体" w:cs="Arial"/>
                <w:b/>
                <w:bCs/>
                <w:color w:val="auto"/>
                <w:sz w:val="22"/>
                <w:szCs w:val="22"/>
                <w:highlight w:val="none"/>
              </w:rPr>
            </w:pPr>
          </w:p>
        </w:tc>
        <w:tc>
          <w:tcPr>
            <w:tcW w:w="1440" w:type="dxa"/>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440" w:type="dxa"/>
            <w:gridSpan w:val="2"/>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260" w:type="dxa"/>
            <w:noWrap w:val="0"/>
            <w:vAlign w:val="center"/>
          </w:tcPr>
          <w:p>
            <w:pPr>
              <w:pStyle w:val="28"/>
              <w:tabs>
                <w:tab w:val="left" w:pos="8540"/>
              </w:tabs>
              <w:spacing w:line="460" w:lineRule="exact"/>
              <w:jc w:val="center"/>
              <w:rPr>
                <w:rFonts w:hint="eastAsia" w:ascii="新宋体" w:hAnsi="新宋体" w:eastAsia="新宋体" w:cs="Arial"/>
                <w:b w:val="0"/>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14" w:type="dxa"/>
            <w:noWrap w:val="0"/>
            <w:vAlign w:val="center"/>
          </w:tcPr>
          <w:p>
            <w:pPr>
              <w:widowControl/>
              <w:spacing w:line="46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合计总价</w:t>
            </w:r>
          </w:p>
        </w:tc>
        <w:tc>
          <w:tcPr>
            <w:tcW w:w="4500" w:type="dxa"/>
            <w:gridSpan w:val="4"/>
            <w:noWrap w:val="0"/>
            <w:vAlign w:val="center"/>
          </w:tcPr>
          <w:p>
            <w:pPr>
              <w:widowControl/>
              <w:spacing w:line="46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（大写）    整</w:t>
            </w:r>
          </w:p>
        </w:tc>
        <w:tc>
          <w:tcPr>
            <w:tcW w:w="2700" w:type="dxa"/>
            <w:gridSpan w:val="3"/>
            <w:noWrap w:val="0"/>
            <w:vAlign w:val="center"/>
          </w:tcPr>
          <w:p>
            <w:pPr>
              <w:pStyle w:val="28"/>
              <w:tabs>
                <w:tab w:val="left" w:pos="8540"/>
              </w:tabs>
              <w:spacing w:line="460" w:lineRule="exact"/>
              <w:jc w:val="center"/>
              <w:rPr>
                <w:rFonts w:hint="eastAsia" w:ascii="新宋体" w:hAnsi="新宋体" w:eastAsia="新宋体" w:cs="Arial"/>
                <w:b w:val="0"/>
                <w:bCs/>
                <w:color w:val="auto"/>
                <w:kern w:val="2"/>
                <w:sz w:val="22"/>
                <w:szCs w:val="22"/>
                <w:highlight w:val="none"/>
              </w:rPr>
            </w:pPr>
            <w:r>
              <w:rPr>
                <w:rFonts w:hint="eastAsia" w:ascii="新宋体" w:hAnsi="新宋体" w:eastAsia="新宋体" w:cs="Arial"/>
                <w:b w:val="0"/>
                <w:bCs/>
                <w:color w:val="auto"/>
                <w:kern w:val="2"/>
                <w:sz w:val="22"/>
                <w:szCs w:val="22"/>
                <w:highlight w:val="none"/>
              </w:rPr>
              <w:t>￥： .00</w:t>
            </w:r>
          </w:p>
        </w:tc>
      </w:tr>
    </w:tbl>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6、项目合同支付条款</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履约保证金：乙方根据甲方双方协议，在合同签订后</w:t>
      </w:r>
      <w:r>
        <w:rPr>
          <w:rFonts w:hint="eastAsia" w:ascii="新宋体" w:hAnsi="新宋体" w:eastAsia="新宋体" w:cs="宋体"/>
          <w:color w:val="auto"/>
          <w:kern w:val="0"/>
          <w:sz w:val="22"/>
          <w:szCs w:val="22"/>
          <w:highlight w:val="none"/>
          <w:lang w:val="en-US" w:eastAsia="zh-CN"/>
        </w:rPr>
        <w:t>5</w:t>
      </w:r>
      <w:r>
        <w:rPr>
          <w:rFonts w:hint="eastAsia" w:ascii="新宋体" w:hAnsi="新宋体" w:eastAsia="新宋体" w:cs="宋体"/>
          <w:color w:val="auto"/>
          <w:kern w:val="0"/>
          <w:sz w:val="22"/>
          <w:szCs w:val="22"/>
          <w:highlight w:val="none"/>
        </w:rPr>
        <w:t>个工作日内乙方向甲方提供合</w:t>
      </w:r>
      <w:r>
        <w:rPr>
          <w:rFonts w:hint="eastAsia" w:ascii="新宋体" w:hAnsi="新宋体" w:eastAsia="新宋体" w:cs="宋体"/>
          <w:color w:val="auto"/>
          <w:kern w:val="0"/>
          <w:sz w:val="22"/>
          <w:szCs w:val="22"/>
          <w:highlight w:val="none"/>
          <w:lang w:val="en-US" w:eastAsia="zh-CN"/>
        </w:rPr>
        <w:t>同</w:t>
      </w:r>
      <w:r>
        <w:rPr>
          <w:rFonts w:hint="eastAsia" w:ascii="新宋体" w:hAnsi="新宋体" w:eastAsia="新宋体" w:cs="宋体"/>
          <w:color w:val="auto"/>
          <w:kern w:val="0"/>
          <w:sz w:val="22"/>
          <w:szCs w:val="22"/>
          <w:highlight w:val="none"/>
        </w:rPr>
        <w:t>金额的</w:t>
      </w:r>
      <w:r>
        <w:rPr>
          <w:rFonts w:hint="eastAsia" w:ascii="新宋体" w:hAnsi="新宋体" w:eastAsia="新宋体" w:cs="宋体"/>
          <w:color w:val="auto"/>
          <w:kern w:val="0"/>
          <w:sz w:val="22"/>
          <w:szCs w:val="22"/>
          <w:highlight w:val="none"/>
          <w:lang w:val="en-US" w:eastAsia="zh-CN"/>
        </w:rPr>
        <w:t>5</w:t>
      </w:r>
      <w:r>
        <w:rPr>
          <w:rFonts w:hint="eastAsia" w:ascii="新宋体" w:hAnsi="新宋体" w:eastAsia="新宋体" w:cs="宋体"/>
          <w:color w:val="auto"/>
          <w:kern w:val="0"/>
          <w:sz w:val="22"/>
          <w:szCs w:val="22"/>
          <w:highlight w:val="none"/>
        </w:rPr>
        <w:t xml:space="preserve">%，即¥ </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（人名币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元）履约保证金</w:t>
      </w:r>
      <w:r>
        <w:rPr>
          <w:rFonts w:hint="eastAsia" w:ascii="新宋体" w:hAnsi="新宋体" w:eastAsia="新宋体"/>
          <w:b/>
          <w:bCs/>
          <w:color w:val="auto"/>
          <w:sz w:val="22"/>
          <w:highlight w:val="none"/>
          <w:lang w:eastAsia="zh-CN"/>
        </w:rPr>
        <w:t>（</w:t>
      </w:r>
      <w:r>
        <w:rPr>
          <w:rFonts w:hint="eastAsia" w:ascii="新宋体" w:hAnsi="新宋体" w:eastAsia="新宋体"/>
          <w:b/>
          <w:bCs/>
          <w:color w:val="auto"/>
          <w:sz w:val="22"/>
          <w:highlight w:val="none"/>
          <w:lang w:val="en-US" w:eastAsia="zh-CN"/>
        </w:rPr>
        <w:t>可</w:t>
      </w:r>
      <w:r>
        <w:rPr>
          <w:rFonts w:hint="eastAsia" w:ascii="新宋体" w:hAnsi="新宋体" w:eastAsia="新宋体"/>
          <w:b/>
          <w:bCs/>
          <w:color w:val="auto"/>
          <w:sz w:val="22"/>
          <w:highlight w:val="none"/>
          <w:lang w:eastAsia="zh-CN"/>
        </w:rPr>
        <w:t>保函形式）</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第一笔款：合同签订生效之后，5个工作日内，向乙方合同价的30%，即人民币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元整（RMB¥</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第二笔款：甲方在系统安装完毕（应该是项目全部建设完成），经试运行后</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天并经验收合格后，在收到乙方提供的下列单据15个工作日内，向乙方支付市本级合同价的</w:t>
      </w:r>
      <w:r>
        <w:rPr>
          <w:rFonts w:hint="eastAsia" w:ascii="新宋体" w:hAnsi="新宋体" w:eastAsia="新宋体" w:cs="宋体"/>
          <w:color w:val="auto"/>
          <w:kern w:val="0"/>
          <w:sz w:val="22"/>
          <w:szCs w:val="22"/>
          <w:highlight w:val="none"/>
          <w:lang w:val="en-US" w:eastAsia="zh-CN"/>
        </w:rPr>
        <w:t>65</w:t>
      </w:r>
      <w:r>
        <w:rPr>
          <w:rFonts w:hint="eastAsia" w:ascii="新宋体" w:hAnsi="新宋体" w:eastAsia="新宋体" w:cs="宋体"/>
          <w:color w:val="auto"/>
          <w:kern w:val="0"/>
          <w:sz w:val="22"/>
          <w:szCs w:val="22"/>
          <w:highlight w:val="none"/>
        </w:rPr>
        <w:t>%，即人民币即人民币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元整（RMB¥</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lang w:val="en-US" w:eastAsia="zh-CN"/>
        </w:rPr>
        <w:t>退还</w:t>
      </w:r>
      <w:r>
        <w:rPr>
          <w:rFonts w:hint="eastAsia" w:ascii="新宋体" w:hAnsi="新宋体" w:eastAsia="新宋体" w:cs="宋体"/>
          <w:color w:val="auto"/>
          <w:kern w:val="0"/>
          <w:sz w:val="22"/>
          <w:szCs w:val="22"/>
          <w:highlight w:val="none"/>
        </w:rPr>
        <w:t>履约保证金；</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第</w:t>
      </w:r>
      <w:r>
        <w:rPr>
          <w:rFonts w:hint="eastAsia" w:ascii="新宋体" w:hAnsi="新宋体" w:eastAsia="新宋体" w:cs="宋体"/>
          <w:color w:val="auto"/>
          <w:kern w:val="0"/>
          <w:sz w:val="22"/>
          <w:szCs w:val="22"/>
          <w:highlight w:val="none"/>
          <w:lang w:val="en-US" w:eastAsia="zh-CN"/>
        </w:rPr>
        <w:t>三</w:t>
      </w:r>
      <w:r>
        <w:rPr>
          <w:rFonts w:hint="eastAsia" w:ascii="新宋体" w:hAnsi="新宋体" w:eastAsia="新宋体" w:cs="宋体"/>
          <w:color w:val="auto"/>
          <w:kern w:val="0"/>
          <w:sz w:val="22"/>
          <w:szCs w:val="22"/>
          <w:highlight w:val="none"/>
        </w:rPr>
        <w:t>笔款</w:t>
      </w:r>
      <w:r>
        <w:rPr>
          <w:rFonts w:hint="eastAsia" w:ascii="新宋体" w:hAnsi="新宋体" w:eastAsia="新宋体" w:cs="宋体"/>
          <w:color w:val="auto"/>
          <w:kern w:val="0"/>
          <w:sz w:val="22"/>
          <w:szCs w:val="22"/>
          <w:highlight w:val="none"/>
          <w:lang w:eastAsia="zh-CN"/>
        </w:rPr>
        <w:t>：</w:t>
      </w:r>
      <w:r>
        <w:rPr>
          <w:rFonts w:hint="eastAsia" w:ascii="新宋体" w:hAnsi="新宋体" w:eastAsia="新宋体" w:cs="宋体"/>
          <w:color w:val="auto"/>
          <w:kern w:val="0"/>
          <w:sz w:val="22"/>
          <w:szCs w:val="22"/>
          <w:highlight w:val="none"/>
        </w:rPr>
        <w:t>在系统正常运行三年后，甲方做出系统运行良好的证明且收到乙方提供的下列单据15个工作日内，向乙方</w:t>
      </w:r>
      <w:r>
        <w:rPr>
          <w:rFonts w:hint="eastAsia" w:ascii="新宋体" w:hAnsi="新宋体" w:eastAsia="新宋体" w:cs="宋体"/>
          <w:color w:val="auto"/>
          <w:kern w:val="0"/>
          <w:sz w:val="22"/>
          <w:szCs w:val="22"/>
          <w:highlight w:val="none"/>
          <w:lang w:val="en-US" w:eastAsia="zh-CN"/>
        </w:rPr>
        <w:t>支付</w:t>
      </w:r>
      <w:r>
        <w:rPr>
          <w:rFonts w:hint="eastAsia" w:ascii="新宋体" w:hAnsi="新宋体" w:eastAsia="新宋体" w:cs="宋体"/>
          <w:color w:val="auto"/>
          <w:kern w:val="0"/>
          <w:sz w:val="22"/>
          <w:szCs w:val="22"/>
          <w:highlight w:val="none"/>
        </w:rPr>
        <w:t>合同总价</w:t>
      </w:r>
      <w:r>
        <w:rPr>
          <w:rFonts w:hint="eastAsia" w:ascii="新宋体" w:hAnsi="新宋体" w:eastAsia="新宋体" w:cs="宋体"/>
          <w:color w:val="auto"/>
          <w:kern w:val="0"/>
          <w:sz w:val="22"/>
          <w:szCs w:val="22"/>
          <w:highlight w:val="none"/>
          <w:lang w:val="en-US" w:eastAsia="zh-CN"/>
        </w:rPr>
        <w:t>5</w:t>
      </w:r>
      <w:r>
        <w:rPr>
          <w:rFonts w:hint="eastAsia" w:ascii="新宋体" w:hAnsi="新宋体" w:eastAsia="新宋体" w:cs="宋体"/>
          <w:color w:val="auto"/>
          <w:kern w:val="0"/>
          <w:sz w:val="22"/>
          <w:szCs w:val="22"/>
          <w:highlight w:val="none"/>
        </w:rPr>
        <w:t>%，即人民币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整（RMB¥</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7、项目合同修改</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除了合同条款第1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条的规定外，任何对合同的变更、修改</w:t>
      </w:r>
      <w:r>
        <w:rPr>
          <w:rFonts w:hint="eastAsia" w:ascii="新宋体" w:hAnsi="新宋体" w:eastAsia="新宋体" w:cs="宋体"/>
          <w:color w:val="auto"/>
          <w:kern w:val="0"/>
          <w:sz w:val="22"/>
          <w:szCs w:val="22"/>
          <w:highlight w:val="none"/>
        </w:rPr>
        <w:t>和补充</w:t>
      </w:r>
      <w:r>
        <w:rPr>
          <w:rFonts w:ascii="新宋体" w:hAnsi="新宋体" w:eastAsia="新宋体" w:cs="Helvetica"/>
          <w:color w:val="auto"/>
          <w:kern w:val="0"/>
          <w:sz w:val="22"/>
          <w:szCs w:val="22"/>
          <w:highlight w:val="none"/>
        </w:rPr>
        <w:t>,</w:t>
      </w:r>
      <w:r>
        <w:rPr>
          <w:rFonts w:hint="eastAsia" w:ascii="新宋体" w:hAnsi="新宋体" w:eastAsia="新宋体" w:cs="Helvetica"/>
          <w:color w:val="auto"/>
          <w:kern w:val="0"/>
          <w:sz w:val="22"/>
          <w:szCs w:val="22"/>
          <w:highlight w:val="none"/>
        </w:rPr>
        <w:t>须报院领导审批后，</w:t>
      </w:r>
      <w:r>
        <w:rPr>
          <w:rFonts w:hint="eastAsia" w:ascii="新宋体" w:hAnsi="新宋体" w:eastAsia="新宋体" w:cs="宋体"/>
          <w:color w:val="auto"/>
          <w:kern w:val="0"/>
          <w:sz w:val="22"/>
          <w:szCs w:val="22"/>
          <w:highlight w:val="none"/>
        </w:rPr>
        <w:t>只有在双方授权的代表签署书面文</w:t>
      </w:r>
      <w:r>
        <w:rPr>
          <w:rFonts w:ascii="新宋体" w:hAnsi="新宋体" w:eastAsia="新宋体" w:cs="宋体"/>
          <w:color w:val="auto"/>
          <w:kern w:val="0"/>
          <w:sz w:val="22"/>
          <w:szCs w:val="22"/>
          <w:highlight w:val="none"/>
        </w:rPr>
        <w:t>件后有效，并作为附件成为本合同不可分割的组成部分。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8、违约责任</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.1在履行合同的过程中，如果</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遇到将不能按照合同规定的时间完成系统实施和提供服务时，应该及时以书面形式将拖延的事实、可能拖延的时间和原因通知</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在收到</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通知后，应尽快对情况进行评价，并确定是否酌情延长交货时间和提供服务以及是否收到误期赔偿费。延期应通过修改合同的方式由双方认可。</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.2 除了合同条款第1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条的情况外，除非延期是根据合同条款</w:t>
      </w: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.1的规定取得</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的同意而不收取误期赔偿费之外，当</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已经拖延交货和提供服务，</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应在不影响合同项下的其他补救措施的情况下，从合同价中扣除误期赔偿费。每延误一周的赔偿费按合同总价的百分之零点五（0.5%）计收，不足一周按一周计算，直至交货或提供服务为止。误期赔偿费的最高限额为合同价格的百分之五（5%）。一旦达到误期赔偿费的最高限额，</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有权根据合同第</w:t>
      </w:r>
      <w:r>
        <w:rPr>
          <w:rFonts w:hint="eastAsia" w:ascii="新宋体" w:hAnsi="新宋体" w:eastAsia="新宋体" w:cs="宋体"/>
          <w:color w:val="auto"/>
          <w:kern w:val="0"/>
          <w:sz w:val="22"/>
          <w:szCs w:val="22"/>
          <w:highlight w:val="none"/>
        </w:rPr>
        <w:t>9</w:t>
      </w:r>
      <w:r>
        <w:rPr>
          <w:rFonts w:ascii="新宋体" w:hAnsi="新宋体" w:eastAsia="新宋体" w:cs="宋体"/>
          <w:color w:val="auto"/>
          <w:kern w:val="0"/>
          <w:sz w:val="22"/>
          <w:szCs w:val="22"/>
          <w:highlight w:val="none"/>
        </w:rPr>
        <w:t>条款的规定终止合同。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.3如果</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没有按照合同规定的时间付款，每延误一周的赔偿费按应付货款的百分之零点五（0.5%）计收，直至将应付货款付给</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为止。误期赔偿费的最高限额为合同价格的百分之五（5%）。</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9、项目合同终止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由于合同一方不履行合同或严重违反合同，造成合同部分或全部无法履行时，对方除有权向违约方索赔外，并有权部分或全部终止合同。对于部分终止的合同，违约方除应承担</w:t>
      </w:r>
      <w:r>
        <w:rPr>
          <w:rFonts w:hint="eastAsia" w:ascii="新宋体" w:hAnsi="新宋体" w:eastAsia="新宋体" w:cs="宋体"/>
          <w:color w:val="auto"/>
          <w:kern w:val="0"/>
          <w:sz w:val="22"/>
          <w:szCs w:val="22"/>
          <w:highlight w:val="none"/>
        </w:rPr>
        <w:t>相应</w:t>
      </w:r>
      <w:r>
        <w:rPr>
          <w:rFonts w:ascii="新宋体" w:hAnsi="新宋体" w:eastAsia="新宋体" w:cs="宋体"/>
          <w:color w:val="auto"/>
          <w:kern w:val="0"/>
          <w:sz w:val="22"/>
          <w:szCs w:val="22"/>
          <w:highlight w:val="none"/>
        </w:rPr>
        <w:t>规定的责任外，还应继续履行合同的剩余部分。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9</w:t>
      </w:r>
      <w:r>
        <w:rPr>
          <w:rFonts w:ascii="新宋体" w:hAnsi="新宋体" w:eastAsia="新宋体" w:cs="宋体"/>
          <w:color w:val="auto"/>
          <w:kern w:val="0"/>
          <w:sz w:val="22"/>
          <w:szCs w:val="22"/>
          <w:highlight w:val="none"/>
        </w:rPr>
        <w:t>.1违约终止合同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在</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对</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违约而采取的任何补救措施</w:t>
      </w:r>
      <w:r>
        <w:rPr>
          <w:rFonts w:hint="eastAsia" w:ascii="新宋体" w:hAnsi="新宋体" w:eastAsia="新宋体" w:cs="宋体"/>
          <w:color w:val="auto"/>
          <w:kern w:val="0"/>
          <w:sz w:val="22"/>
          <w:szCs w:val="22"/>
          <w:highlight w:val="none"/>
        </w:rPr>
        <w:t>没有成效</w:t>
      </w:r>
      <w:r>
        <w:rPr>
          <w:rFonts w:ascii="新宋体" w:hAnsi="新宋体" w:eastAsia="新宋体" w:cs="宋体"/>
          <w:color w:val="auto"/>
          <w:kern w:val="0"/>
          <w:sz w:val="22"/>
          <w:szCs w:val="22"/>
          <w:highlight w:val="none"/>
        </w:rPr>
        <w:t>的情况下，</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可向</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发出书面违约通知书，提出终止部分或全部合同：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（1）如果</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未能在合同规定的期限或</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根据合同条款的规定同意延长的限期内提供部分或全部的货物或系统产品，达到合同所规定的建设需求和服务；</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（2）如果</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未能履行合同规定的其他任何义务。</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9</w:t>
      </w:r>
      <w:r>
        <w:rPr>
          <w:rFonts w:ascii="新宋体" w:hAnsi="新宋体" w:eastAsia="新宋体" w:cs="宋体"/>
          <w:color w:val="auto"/>
          <w:kern w:val="0"/>
          <w:sz w:val="22"/>
          <w:szCs w:val="22"/>
          <w:highlight w:val="none"/>
        </w:rPr>
        <w:t>.2 因破产而终止合同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如果</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破产或无清偿能力，</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可在任何时候以书面形式通知</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，提出终止合同而不给</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补偿。该终止合同将不损害或影响</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已经采取或将要采取的任何行动或补救措施的权力。</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10、不可抗力</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.1本合同规定的不可抗力事件是指</w:t>
      </w:r>
      <w:r>
        <w:rPr>
          <w:rFonts w:hint="eastAsia" w:ascii="新宋体" w:hAnsi="新宋体" w:eastAsia="新宋体" w:cs="宋体"/>
          <w:color w:val="auto"/>
          <w:kern w:val="0"/>
          <w:sz w:val="22"/>
          <w:szCs w:val="22"/>
          <w:highlight w:val="none"/>
        </w:rPr>
        <w:t>甲乙</w:t>
      </w:r>
      <w:r>
        <w:rPr>
          <w:rFonts w:ascii="新宋体" w:hAnsi="新宋体" w:eastAsia="新宋体" w:cs="宋体"/>
          <w:color w:val="auto"/>
          <w:kern w:val="0"/>
          <w:sz w:val="22"/>
          <w:szCs w:val="22"/>
          <w:highlight w:val="none"/>
        </w:rPr>
        <w:t>双方在缔结合同时所不能预见的，并且它的发生及其后果是无法避免和无法克服的事件，诸如战争和严重的风灾、水灾、雪灾、地震等自然灾害，以及政策性等不由双方控制的，也包括双方同意的其他不可抗力事件。</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.2签约双方任一方由于受不可抗力事件的影响而不能执行合同时，履行合同的期限应予以延长，其延长的期限应相当于事件所影响的时间。</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3受阻一方应在不可抗力事件发生后尽快用书面方式或电报、传真通知对方，并于事件发生后14天内将有关当局出具的证明文件用特快专递或挂号信寄给对方审阅确认。一旦不可抗力事件的影响持续120天以上，双方应通过友好协商在合理的时间内达成进一步履行合同的协议，</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也可以考虑解除合同。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11、项目知识产权</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项目</w:t>
      </w:r>
      <w:r>
        <w:rPr>
          <w:rFonts w:ascii="新宋体" w:hAnsi="新宋体" w:eastAsia="新宋体" w:cs="宋体"/>
          <w:color w:val="auto"/>
          <w:kern w:val="0"/>
          <w:sz w:val="22"/>
          <w:szCs w:val="22"/>
          <w:highlight w:val="none"/>
        </w:rPr>
        <w:t>知识产权</w:t>
      </w:r>
      <w:r>
        <w:rPr>
          <w:rFonts w:hint="eastAsia" w:ascii="新宋体" w:hAnsi="新宋体" w:eastAsia="新宋体" w:cs="宋体"/>
          <w:color w:val="auto"/>
          <w:kern w:val="0"/>
          <w:sz w:val="22"/>
          <w:szCs w:val="22"/>
          <w:highlight w:val="none"/>
        </w:rPr>
        <w:t>归甲方所</w:t>
      </w:r>
      <w:r>
        <w:rPr>
          <w:rFonts w:ascii="新宋体" w:hAnsi="新宋体" w:eastAsia="新宋体" w:cs="宋体"/>
          <w:color w:val="auto"/>
          <w:kern w:val="0"/>
          <w:sz w:val="22"/>
          <w:szCs w:val="22"/>
          <w:highlight w:val="none"/>
        </w:rPr>
        <w:t>有。</w:t>
      </w:r>
      <w:r>
        <w:rPr>
          <w:rFonts w:hint="eastAsia" w:ascii="新宋体" w:hAnsi="新宋体" w:eastAsia="新宋体" w:cs="宋体"/>
          <w:color w:val="auto"/>
          <w:kern w:val="0"/>
          <w:sz w:val="22"/>
          <w:szCs w:val="22"/>
          <w:highlight w:val="none"/>
        </w:rPr>
        <w:t>涉及的源代码必须遵循标准和规范，并在项目验收后无条件提交给甲方，甲方拥有对该系统软件源码进行后续修改、完善以及升级改造的权利。</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.2</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应保证</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在中华人民共和国使用该系统产品或系统产品的任何一部分时，免受第三方提出的侵犯其专利权、商标权或工业设计权的索赔或起诉。</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.3如果</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在使用该货物或货物的任何一部分时被任何第三方诉称侵犯了该第三方知识产权或任何其它权利，</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应立即通知</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应负责处理这一指控并应以</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的名义自负费用向起诉方提出抗辩。由此可能产生的一切法律责任和经济责任均由</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承担。</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将尽可能地对</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抗辩给予协助，由此发生的费用由</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承担。</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.4如果</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发现任何第三方在未被</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许可的范围内非法使用</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获得的知识产权，</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应立即通知</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应在收到</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通知后</w:t>
      </w:r>
      <w:r>
        <w:rPr>
          <w:rFonts w:hint="eastAsia" w:ascii="新宋体" w:hAnsi="新宋体" w:eastAsia="新宋体" w:cs="宋体"/>
          <w:color w:val="auto"/>
          <w:kern w:val="0"/>
          <w:sz w:val="22"/>
          <w:szCs w:val="22"/>
          <w:highlight w:val="none"/>
        </w:rPr>
        <w:t>第一时间</w:t>
      </w:r>
      <w:r>
        <w:rPr>
          <w:rFonts w:ascii="新宋体" w:hAnsi="新宋体" w:eastAsia="新宋体" w:cs="宋体"/>
          <w:color w:val="auto"/>
          <w:kern w:val="0"/>
          <w:sz w:val="22"/>
          <w:szCs w:val="22"/>
          <w:highlight w:val="none"/>
        </w:rPr>
        <w:t>采取适当行动以制止非法使用行为；否则，如果</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要求，</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应授权</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根据中国法律规定对该第三方提起诉讼，并给</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尽可能的协助。</w:t>
      </w:r>
      <w:r>
        <w:rPr>
          <w:rFonts w:hint="eastAsia" w:ascii="新宋体" w:hAnsi="新宋体" w:eastAsia="新宋体" w:cs="宋体"/>
          <w:color w:val="auto"/>
          <w:kern w:val="0"/>
          <w:sz w:val="22"/>
          <w:szCs w:val="22"/>
          <w:highlight w:val="none"/>
        </w:rPr>
        <w:t>甲方</w:t>
      </w:r>
      <w:r>
        <w:rPr>
          <w:rFonts w:ascii="新宋体" w:hAnsi="新宋体" w:eastAsia="新宋体" w:cs="宋体"/>
          <w:color w:val="auto"/>
          <w:kern w:val="0"/>
          <w:sz w:val="22"/>
          <w:szCs w:val="22"/>
          <w:highlight w:val="none"/>
        </w:rPr>
        <w:t>应负担诉讼中发生的全部费用，并有权获得判决给付的全部赔偿。如果有</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的责任，由</w:t>
      </w:r>
      <w:r>
        <w:rPr>
          <w:rFonts w:hint="eastAsia" w:ascii="新宋体" w:hAnsi="新宋体" w:eastAsia="新宋体" w:cs="宋体"/>
          <w:color w:val="auto"/>
          <w:kern w:val="0"/>
          <w:sz w:val="22"/>
          <w:szCs w:val="22"/>
          <w:highlight w:val="none"/>
        </w:rPr>
        <w:t>乙方</w:t>
      </w:r>
      <w:r>
        <w:rPr>
          <w:rFonts w:ascii="新宋体" w:hAnsi="新宋体" w:eastAsia="新宋体" w:cs="宋体"/>
          <w:color w:val="auto"/>
          <w:kern w:val="0"/>
          <w:sz w:val="22"/>
          <w:szCs w:val="22"/>
          <w:highlight w:val="none"/>
        </w:rPr>
        <w:t>承担相应的责任。</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12、项目保密</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2</w:t>
      </w: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甲方向乙方提供的所有资料，仅供本项目小组人员参考使用，乙方须严守资料中所涉秘密、妥善保管，不得遗失、转借、复印。</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12.2乙方发现甲方的保密事项已经泄露或可能泄露时，应当立即采取补救措施，并及时报告甲方。</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12.3本项目完成后15天内，甲方有权向乙方索回部分或全部资料。乙方应根据甲方要求，如数退还。</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12.4乙方负责对项目相关人员组织进行保密教育，并在接受和退还涉密内容的资料时建立登记制度。</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12.5因乙方原因造成的泄失密事件，乙方须承担有关法律责任，并赔偿相应经济损失。</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2</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6</w:t>
      </w:r>
      <w:r>
        <w:rPr>
          <w:rFonts w:ascii="新宋体" w:hAnsi="新宋体" w:eastAsia="新宋体" w:cs="宋体"/>
          <w:color w:val="auto"/>
          <w:kern w:val="0"/>
          <w:sz w:val="22"/>
          <w:szCs w:val="22"/>
          <w:highlight w:val="none"/>
        </w:rPr>
        <w:t>本项目所有文档及本项目所接触的双方资料，未经对方授权代表书面许可，不得向与合同无关的其他方泄漏任何文件或与合同有关的数据，包括合同本身。</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黑体"/>
          <w:color w:val="auto"/>
          <w:kern w:val="0"/>
          <w:sz w:val="22"/>
          <w:szCs w:val="22"/>
          <w:highlight w:val="none"/>
        </w:rPr>
        <w:t>13、</w:t>
      </w:r>
      <w:r>
        <w:rPr>
          <w:rFonts w:hint="eastAsia" w:ascii="新宋体" w:hAnsi="新宋体" w:eastAsia="新宋体" w:cs="宋体"/>
          <w:color w:val="auto"/>
          <w:kern w:val="0"/>
          <w:sz w:val="22"/>
          <w:szCs w:val="22"/>
          <w:highlight w:val="none"/>
        </w:rPr>
        <w:t>仲裁</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13.1合同的实施或与合同有关的一切争端应通过双方友好协商解决。如果友好协商开始60天后还不能解决，任何一方都可依法向项目合同签署地提交仲裁委员会或人民法院解决。</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13.2仲裁费除仲裁机关另有裁决外均由败诉方负担。</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13.3在仲裁期间，除正在进行仲裁的部分以外，双方应继续执行合同的其余部分。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13.4本合同适用中华人民共和国法律。</w:t>
      </w:r>
    </w:p>
    <w:p>
      <w:pPr>
        <w:spacing w:line="460" w:lineRule="exact"/>
        <w:ind w:firstLine="539" w:firstLineChars="245"/>
        <w:rPr>
          <w:rFonts w:hint="eastAsia" w:ascii="新宋体" w:hAnsi="新宋体" w:eastAsia="新宋体" w:cs="黑体"/>
          <w:color w:val="auto"/>
          <w:kern w:val="0"/>
          <w:sz w:val="22"/>
          <w:szCs w:val="22"/>
          <w:highlight w:val="none"/>
        </w:rPr>
      </w:pPr>
      <w:r>
        <w:rPr>
          <w:rFonts w:hint="eastAsia" w:ascii="新宋体" w:hAnsi="新宋体" w:eastAsia="新宋体" w:cs="黑体"/>
          <w:color w:val="auto"/>
          <w:kern w:val="0"/>
          <w:sz w:val="22"/>
          <w:szCs w:val="22"/>
          <w:highlight w:val="none"/>
        </w:rPr>
        <w:t>14、项目合同附件清单</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附件</w:t>
      </w:r>
      <w:r>
        <w:rPr>
          <w:rFonts w:hint="eastAsia" w:ascii="新宋体" w:hAnsi="新宋体" w:eastAsia="新宋体" w:cs="宋体"/>
          <w:color w:val="auto"/>
          <w:kern w:val="0"/>
          <w:sz w:val="22"/>
          <w:szCs w:val="22"/>
          <w:highlight w:val="none"/>
        </w:rPr>
        <w:t>一</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软件功能要求</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附件二：招标文件（项目编号：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附件</w:t>
      </w:r>
      <w:r>
        <w:rPr>
          <w:rFonts w:hint="eastAsia" w:ascii="新宋体" w:hAnsi="新宋体" w:eastAsia="新宋体" w:cs="宋体"/>
          <w:color w:val="auto"/>
          <w:kern w:val="0"/>
          <w:sz w:val="22"/>
          <w:szCs w:val="22"/>
          <w:highlight w:val="none"/>
        </w:rPr>
        <w:t>三</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乙方投标文件（项目编号：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附件</w:t>
      </w:r>
      <w:r>
        <w:rPr>
          <w:rFonts w:hint="eastAsia" w:ascii="新宋体" w:hAnsi="新宋体" w:eastAsia="新宋体" w:cs="宋体"/>
          <w:color w:val="auto"/>
          <w:kern w:val="0"/>
          <w:sz w:val="22"/>
          <w:szCs w:val="22"/>
          <w:highlight w:val="none"/>
        </w:rPr>
        <w:t>四</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其他</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15、项目合同生效及其它</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15.1合同应在双方签字盖章并在甲方收到乙方提供的履约保证金后开始生效。</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15.2本合同一式柒份，双方各执叁份，合同附件及招标文件、乙方投标文件、成交通知书等是合同不可分割的一部分，具有同等法律效力。</w:t>
      </w:r>
      <w:r>
        <w:rPr>
          <w:rFonts w:hint="eastAsia" w:ascii="新宋体" w:hAnsi="新宋体" w:eastAsia="新宋体" w:cs="宋体"/>
          <w:b/>
          <w:bCs/>
          <w:color w:val="auto"/>
          <w:kern w:val="0"/>
          <w:sz w:val="22"/>
          <w:szCs w:val="22"/>
          <w:highlight w:val="none"/>
        </w:rPr>
        <w:t>壹份送招标代理机构备案。</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15.3如需修改或补充合同内容，经协商，双方应签署书面修改或补充协议，该协议将作为本合同的一个组成部分。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15.4本合同终止日期为系统保修期的结束日期，到期后自行终止。</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15.5双方可就该软件系统 </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年免费维护期满后的维护与技术支持服务等内容另外签署服务合同。服务内容与合同规定的</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年期免费服务标准内容一致。</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16、项目合同签章</w:t>
      </w:r>
    </w:p>
    <w:p>
      <w:pPr>
        <w:spacing w:line="460" w:lineRule="exact"/>
        <w:ind w:firstLine="539" w:firstLineChars="245"/>
        <w:rPr>
          <w:rFonts w:hint="eastAsia" w:ascii="新宋体" w:hAnsi="新宋体" w:eastAsia="新宋体" w:cs="宋体"/>
          <w:color w:val="auto"/>
          <w:kern w:val="0"/>
          <w:sz w:val="22"/>
          <w:szCs w:val="22"/>
          <w:highlight w:val="none"/>
        </w:rPr>
      </w:pPr>
    </w:p>
    <w:p>
      <w:pPr>
        <w:spacing w:line="460" w:lineRule="exact"/>
        <w:ind w:firstLine="539" w:firstLineChars="245"/>
        <w:rPr>
          <w:rFonts w:hint="eastAsia" w:ascii="新宋体" w:hAnsi="新宋体" w:eastAsia="新宋体" w:cs="宋体"/>
          <w:color w:val="auto"/>
          <w:kern w:val="0"/>
          <w:sz w:val="22"/>
          <w:szCs w:val="22"/>
          <w:highlight w:val="none"/>
        </w:rPr>
      </w:pP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甲方：</w:t>
      </w:r>
      <w:r>
        <w:rPr>
          <w:rFonts w:hint="eastAsia" w:ascii="新宋体" w:hAnsi="新宋体" w:eastAsia="新宋体" w:cs="宋体"/>
          <w:color w:val="auto"/>
          <w:kern w:val="0"/>
          <w:sz w:val="22"/>
          <w:szCs w:val="22"/>
          <w:highlight w:val="none"/>
          <w:lang w:eastAsia="zh-CN"/>
        </w:rPr>
        <w:t>温州市人民政府金融工作办公室</w:t>
      </w:r>
      <w:r>
        <w:rPr>
          <w:rFonts w:hint="eastAsia" w:ascii="新宋体" w:hAnsi="新宋体" w:eastAsia="新宋体" w:cs="宋体"/>
          <w:color w:val="auto"/>
          <w:kern w:val="0"/>
          <w:sz w:val="22"/>
          <w:szCs w:val="22"/>
          <w:highlight w:val="none"/>
        </w:rPr>
        <w:t xml:space="preserve">    乙方：</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法定（委托）代表人（签字）：                      法定（委托）代表人（签字）：</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项目联系人：                                      项目联系人：</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通信地址：                                        通信地址：</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电话：                                            电话：</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传真：                                            传真：</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签字日期：     年   月   日                       签字日期：   年   月   日</w:t>
      </w:r>
    </w:p>
    <w:p>
      <w:pPr>
        <w:widowControl/>
        <w:spacing w:line="360" w:lineRule="auto"/>
        <w:rPr>
          <w:rFonts w:hint="eastAsia" w:ascii="新宋体" w:hAnsi="新宋体" w:eastAsia="新宋体" w:cs="新宋体"/>
          <w:b/>
          <w:bCs/>
          <w:color w:val="auto"/>
          <w:kern w:val="0"/>
          <w:sz w:val="28"/>
          <w:szCs w:val="28"/>
          <w:highlight w:val="none"/>
        </w:rPr>
      </w:pPr>
    </w:p>
    <w:p>
      <w:pPr>
        <w:pStyle w:val="10"/>
        <w:rPr>
          <w:rFonts w:hint="eastAsia" w:ascii="新宋体" w:hAnsi="新宋体" w:eastAsia="新宋体" w:cs="新宋体"/>
          <w:b w:val="0"/>
          <w:bCs/>
          <w:color w:val="auto"/>
          <w:sz w:val="28"/>
          <w:szCs w:val="28"/>
          <w:highlight w:val="none"/>
        </w:rPr>
      </w:pPr>
    </w:p>
    <w:p>
      <w:pPr>
        <w:outlineLvl w:val="9"/>
        <w:rPr>
          <w:rFonts w:hint="eastAsia" w:ascii="新宋体" w:hAnsi="新宋体" w:eastAsia="新宋体" w:cs="新宋体"/>
          <w:b/>
          <w:bCs/>
          <w:color w:val="auto"/>
          <w:kern w:val="0"/>
          <w:sz w:val="28"/>
          <w:szCs w:val="28"/>
          <w:highlight w:val="none"/>
        </w:rPr>
      </w:pPr>
    </w:p>
    <w:p>
      <w:pPr>
        <w:pStyle w:val="10"/>
        <w:outlineLvl w:val="9"/>
        <w:rPr>
          <w:rFonts w:hint="eastAsia" w:ascii="新宋体" w:hAnsi="新宋体" w:eastAsia="新宋体" w:cs="新宋体"/>
          <w:b w:val="0"/>
          <w:bCs/>
          <w:color w:val="auto"/>
          <w:sz w:val="28"/>
          <w:szCs w:val="28"/>
          <w:highlight w:val="none"/>
        </w:rPr>
      </w:pPr>
    </w:p>
    <w:p>
      <w:pPr>
        <w:outlineLvl w:val="9"/>
        <w:rPr>
          <w:rFonts w:hint="eastAsia"/>
          <w:color w:val="auto"/>
          <w:highlight w:val="none"/>
        </w:rPr>
      </w:pPr>
    </w:p>
    <w:p>
      <w:pPr>
        <w:pStyle w:val="10"/>
        <w:outlineLvl w:val="9"/>
        <w:rPr>
          <w:rFonts w:hint="eastAsia" w:ascii="新宋体" w:hAnsi="新宋体" w:eastAsia="新宋体" w:cs="新宋体"/>
          <w:b w:val="0"/>
          <w:bCs/>
          <w:color w:val="auto"/>
          <w:sz w:val="28"/>
          <w:szCs w:val="28"/>
          <w:highlight w:val="none"/>
        </w:rPr>
      </w:pPr>
    </w:p>
    <w:p>
      <w:pPr>
        <w:outlineLvl w:val="9"/>
        <w:rPr>
          <w:rFonts w:hint="eastAsia" w:ascii="新宋体" w:hAnsi="新宋体" w:eastAsia="新宋体" w:cs="新宋体"/>
          <w:b w:val="0"/>
          <w:bCs/>
          <w:color w:val="auto"/>
          <w:sz w:val="28"/>
          <w:szCs w:val="28"/>
          <w:highlight w:val="none"/>
        </w:rPr>
      </w:pPr>
    </w:p>
    <w:p>
      <w:pPr>
        <w:outlineLvl w:val="9"/>
        <w:rPr>
          <w:rFonts w:hint="eastAsia" w:ascii="新宋体" w:hAnsi="新宋体" w:eastAsia="新宋体" w:cs="新宋体"/>
          <w:b w:val="0"/>
          <w:bCs/>
          <w:color w:val="auto"/>
          <w:sz w:val="28"/>
          <w:szCs w:val="28"/>
          <w:highlight w:val="none"/>
        </w:rPr>
      </w:pPr>
    </w:p>
    <w:p>
      <w:pPr>
        <w:outlineLvl w:val="9"/>
        <w:rPr>
          <w:rFonts w:hint="eastAsia" w:ascii="新宋体" w:hAnsi="新宋体" w:eastAsia="新宋体" w:cs="新宋体"/>
          <w:b w:val="0"/>
          <w:bCs/>
          <w:color w:val="auto"/>
          <w:sz w:val="28"/>
          <w:szCs w:val="28"/>
          <w:highlight w:val="none"/>
        </w:rPr>
      </w:pPr>
    </w:p>
    <w:p>
      <w:pPr>
        <w:outlineLvl w:val="9"/>
        <w:rPr>
          <w:rFonts w:hint="eastAsia" w:ascii="新宋体" w:hAnsi="新宋体" w:eastAsia="新宋体" w:cs="新宋体"/>
          <w:b w:val="0"/>
          <w:bCs/>
          <w:color w:val="auto"/>
          <w:sz w:val="28"/>
          <w:szCs w:val="28"/>
          <w:highlight w:val="none"/>
        </w:rPr>
      </w:pPr>
    </w:p>
    <w:p>
      <w:pPr>
        <w:outlineLvl w:val="9"/>
        <w:rPr>
          <w:rFonts w:hint="eastAsia"/>
          <w:highlight w:val="none"/>
        </w:rPr>
      </w:pPr>
    </w:p>
    <w:p>
      <w:pPr>
        <w:outlineLvl w:val="9"/>
        <w:rPr>
          <w:rFonts w:hint="eastAsia"/>
          <w:highlight w:val="none"/>
        </w:rPr>
      </w:pPr>
    </w:p>
    <w:p>
      <w:pPr>
        <w:outlineLvl w:val="9"/>
        <w:rPr>
          <w:rFonts w:hint="eastAsia" w:ascii="新宋体" w:hAnsi="新宋体" w:eastAsia="新宋体" w:cs="新宋体"/>
          <w:b w:val="0"/>
          <w:bCs/>
          <w:color w:val="auto"/>
          <w:sz w:val="28"/>
          <w:szCs w:val="28"/>
          <w:highlight w:val="none"/>
        </w:rPr>
      </w:pPr>
    </w:p>
    <w:p>
      <w:pPr>
        <w:rPr>
          <w:rFonts w:hint="eastAsia" w:ascii="新宋体" w:hAnsi="新宋体" w:eastAsia="新宋体" w:cs="新宋体"/>
          <w:b w:val="0"/>
          <w:bCs/>
          <w:color w:val="auto"/>
          <w:sz w:val="28"/>
          <w:szCs w:val="28"/>
          <w:highlight w:val="none"/>
        </w:rPr>
      </w:pPr>
    </w:p>
    <w:p>
      <w:pPr>
        <w:pStyle w:val="2"/>
        <w:rPr>
          <w:rFonts w:hint="eastAsia" w:ascii="新宋体" w:hAnsi="新宋体" w:eastAsia="新宋体" w:cs="新宋体"/>
          <w:b w:val="0"/>
          <w:bCs/>
          <w:color w:val="auto"/>
          <w:sz w:val="28"/>
          <w:szCs w:val="28"/>
          <w:highlight w:val="none"/>
        </w:rPr>
      </w:pPr>
    </w:p>
    <w:p>
      <w:pPr>
        <w:rPr>
          <w:rFonts w:hint="eastAsia" w:ascii="新宋体" w:hAnsi="新宋体" w:eastAsia="新宋体" w:cs="新宋体"/>
          <w:b w:val="0"/>
          <w:bCs/>
          <w:color w:val="auto"/>
          <w:sz w:val="28"/>
          <w:szCs w:val="28"/>
          <w:highlight w:val="none"/>
        </w:rPr>
      </w:pPr>
    </w:p>
    <w:p>
      <w:pPr>
        <w:pStyle w:val="2"/>
        <w:rPr>
          <w:rFonts w:hint="eastAsia" w:ascii="新宋体" w:hAnsi="新宋体" w:eastAsia="新宋体" w:cs="新宋体"/>
          <w:b w:val="0"/>
          <w:bCs/>
          <w:color w:val="auto"/>
          <w:sz w:val="28"/>
          <w:szCs w:val="28"/>
          <w:highlight w:val="none"/>
        </w:rPr>
      </w:pPr>
    </w:p>
    <w:p>
      <w:pPr>
        <w:rPr>
          <w:rFonts w:hint="eastAsia" w:ascii="新宋体" w:hAnsi="新宋体" w:eastAsia="新宋体" w:cs="新宋体"/>
          <w:b w:val="0"/>
          <w:bCs/>
          <w:color w:val="auto"/>
          <w:sz w:val="28"/>
          <w:szCs w:val="28"/>
          <w:highlight w:val="none"/>
        </w:rPr>
      </w:pPr>
    </w:p>
    <w:p>
      <w:pPr>
        <w:pStyle w:val="22"/>
        <w:spacing w:line="460" w:lineRule="exact"/>
        <w:ind w:left="433" w:leftChars="206" w:firstLine="0" w:firstLine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30"/>
          <w:highlight w:val="none"/>
        </w:rPr>
        <w:t>第三部分    附件</w:t>
      </w:r>
    </w:p>
    <w:p>
      <w:pPr>
        <w:pStyle w:val="22"/>
        <w:spacing w:line="460" w:lineRule="exact"/>
        <w:ind w:left="433" w:hanging="433" w:hangingChars="196"/>
        <w:outlineLvl w:val="1"/>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附件一</w:t>
      </w:r>
    </w:p>
    <w:p>
      <w:pPr>
        <w:pStyle w:val="6"/>
        <w:keepNext w:val="0"/>
        <w:keepLines w:val="0"/>
        <w:pageBreakBefore w:val="0"/>
        <w:widowControl w:val="0"/>
        <w:tabs>
          <w:tab w:val="left" w:pos="774"/>
        </w:tabs>
        <w:kinsoku/>
        <w:wordWrap/>
        <w:overflowPunct/>
        <w:topLinePunct w:val="0"/>
        <w:autoSpaceDE w:val="0"/>
        <w:autoSpaceDN w:val="0"/>
        <w:bidi w:val="0"/>
        <w:adjustRightInd/>
        <w:snapToGrid/>
        <w:spacing w:before="240" w:line="400" w:lineRule="exact"/>
        <w:ind w:left="777" w:hanging="578"/>
        <w:jc w:val="center"/>
        <w:textAlignment w:val="auto"/>
        <w:rPr>
          <w:rFonts w:hint="default" w:ascii="新宋体" w:hAnsi="新宋体" w:eastAsia="新宋体" w:cs="新宋体"/>
          <w:bCs/>
          <w:color w:val="auto"/>
          <w:szCs w:val="28"/>
          <w:highlight w:val="none"/>
          <w:lang w:val="en-US" w:eastAsia="zh-CN"/>
        </w:rPr>
      </w:pPr>
      <w:r>
        <w:rPr>
          <w:rFonts w:hint="eastAsia" w:ascii="新宋体" w:hAnsi="新宋体" w:eastAsia="新宋体" w:cs="新宋体"/>
          <w:b/>
          <w:bCs/>
          <w:color w:val="auto"/>
          <w:kern w:val="2"/>
          <w:sz w:val="28"/>
          <w:szCs w:val="28"/>
          <w:highlight w:val="none"/>
          <w:lang w:val="en-US" w:eastAsia="zh-CN" w:bidi="ar-SA"/>
        </w:rPr>
        <w:t>报价文件</w:t>
      </w:r>
    </w:p>
    <w:p>
      <w:pPr>
        <w:spacing w:line="400" w:lineRule="exact"/>
        <w:jc w:val="center"/>
        <w:outlineLvl w:val="3"/>
        <w:rPr>
          <w:rFonts w:hint="eastAsia" w:ascii="新宋体" w:hAnsi="新宋体" w:eastAsia="新宋体" w:cs="新宋体"/>
          <w:bCs/>
          <w:color w:val="auto"/>
          <w:szCs w:val="28"/>
          <w:highlight w:val="none"/>
          <w:lang w:val="zh-CN"/>
        </w:rPr>
      </w:pPr>
      <w:r>
        <w:rPr>
          <w:rFonts w:hint="eastAsia" w:ascii="新宋体" w:hAnsi="新宋体" w:eastAsia="新宋体" w:cs="新宋体"/>
          <w:b/>
          <w:bCs/>
          <w:color w:val="auto"/>
          <w:kern w:val="2"/>
          <w:sz w:val="28"/>
          <w:szCs w:val="28"/>
          <w:highlight w:val="none"/>
          <w:lang w:val="en-US" w:eastAsia="zh-CN" w:bidi="ar-SA"/>
        </w:rPr>
        <w:t>1、</w:t>
      </w:r>
      <w:r>
        <w:rPr>
          <w:rFonts w:hint="eastAsia" w:ascii="新宋体" w:hAnsi="新宋体" w:eastAsia="新宋体" w:cs="新宋体"/>
          <w:b/>
          <w:bCs/>
          <w:color w:val="auto"/>
          <w:kern w:val="2"/>
          <w:sz w:val="28"/>
          <w:szCs w:val="28"/>
          <w:highlight w:val="none"/>
          <w:lang w:val="zh-CN" w:eastAsia="zh-CN" w:bidi="ar-SA"/>
        </w:rPr>
        <w:t>投标</w:t>
      </w:r>
      <w:r>
        <w:rPr>
          <w:rFonts w:hint="eastAsia" w:ascii="新宋体" w:hAnsi="新宋体" w:eastAsia="新宋体" w:cs="新宋体"/>
          <w:b/>
          <w:bCs/>
          <w:color w:val="auto"/>
          <w:kern w:val="2"/>
          <w:sz w:val="28"/>
          <w:szCs w:val="28"/>
          <w:highlight w:val="none"/>
          <w:lang w:val="en-US" w:eastAsia="zh-CN" w:bidi="ar-SA"/>
        </w:rPr>
        <w:t>响应</w:t>
      </w:r>
      <w:r>
        <w:rPr>
          <w:rFonts w:hint="eastAsia" w:ascii="新宋体" w:hAnsi="新宋体" w:eastAsia="新宋体" w:cs="新宋体"/>
          <w:b/>
          <w:bCs/>
          <w:color w:val="auto"/>
          <w:kern w:val="2"/>
          <w:sz w:val="28"/>
          <w:szCs w:val="28"/>
          <w:highlight w:val="none"/>
          <w:lang w:val="zh-CN" w:eastAsia="zh-CN" w:bidi="ar-SA"/>
        </w:rPr>
        <w:t>函</w:t>
      </w:r>
    </w:p>
    <w:p>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温州市人民政府金融工作办公室</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4、投标有效期内不撤销投标文件</w:t>
      </w:r>
      <w:r>
        <w:rPr>
          <w:rFonts w:hint="eastAsia" w:ascii="新宋体" w:hAnsi="新宋体" w:eastAsia="新宋体" w:cs="新宋体"/>
          <w:color w:val="auto"/>
          <w:sz w:val="22"/>
          <w:szCs w:val="22"/>
          <w:highlight w:val="none"/>
          <w:lang w:eastAsia="zh-CN"/>
        </w:rPr>
        <w:t>，</w:t>
      </w:r>
      <w:r>
        <w:rPr>
          <w:rFonts w:hint="eastAsia" w:ascii="新宋体" w:hAnsi="新宋体" w:eastAsia="新宋体"/>
          <w:color w:val="auto"/>
          <w:sz w:val="22"/>
          <w:szCs w:val="22"/>
          <w:highlight w:val="none"/>
        </w:rPr>
        <w:t>如中标，有效期将延至合同终止日为止</w:t>
      </w:r>
      <w:r>
        <w:rPr>
          <w:rFonts w:hint="eastAsia" w:ascii="新宋体" w:hAnsi="新宋体" w:eastAsia="新宋体"/>
          <w:color w:val="auto"/>
          <w:sz w:val="22"/>
          <w:szCs w:val="22"/>
          <w:highlight w:val="none"/>
          <w:lang w:eastAsia="zh-CN"/>
        </w:rPr>
        <w:t>。</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(3)与采购人、其它供应商或者招标代理机构恶意串通的；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(4)向采购人、招标代理机构行贿或者提供其他不正当利益的；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供应商有前款第(1)至(5)项情形之一的，中标、成交无效。</w:t>
      </w:r>
    </w:p>
    <w:p>
      <w:pPr>
        <w:shd w:val="clear" w:color="auto" w:fill="FFFFFF"/>
        <w:snapToGrid w:val="0"/>
        <w:spacing w:line="360" w:lineRule="auto"/>
        <w:rPr>
          <w:rFonts w:hint="eastAsia" w:ascii="新宋体" w:hAnsi="新宋体" w:eastAsia="新宋体" w:cs="新宋体"/>
          <w:color w:val="auto"/>
          <w:kern w:val="0"/>
          <w:sz w:val="22"/>
          <w:szCs w:val="22"/>
          <w:highlight w:val="none"/>
          <w:lang w:val="zh-CN"/>
        </w:rPr>
      </w:pP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 xml:space="preserve">传真：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 xml:space="preserve">电子邮件：  </w:t>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pPr>
        <w:spacing w:line="460" w:lineRule="exact"/>
        <w:ind w:firstLine="435"/>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pPr>
        <w:pStyle w:val="22"/>
        <w:rPr>
          <w:rFonts w:hint="eastAsia" w:ascii="新宋体" w:hAnsi="新宋体" w:eastAsia="新宋体" w:cs="新宋体"/>
          <w:b/>
          <w:bCs/>
          <w:color w:val="auto"/>
          <w:kern w:val="0"/>
          <w:sz w:val="22"/>
          <w:szCs w:val="22"/>
          <w:highlight w:val="none"/>
          <w:lang w:val="zh-CN"/>
        </w:rPr>
      </w:pPr>
    </w:p>
    <w:p>
      <w:pPr>
        <w:pStyle w:val="22"/>
        <w:rPr>
          <w:rFonts w:hint="eastAsia" w:ascii="新宋体" w:hAnsi="新宋体" w:eastAsia="新宋体" w:cs="新宋体"/>
          <w:b/>
          <w:bCs/>
          <w:color w:val="auto"/>
          <w:kern w:val="0"/>
          <w:sz w:val="22"/>
          <w:szCs w:val="22"/>
          <w:highlight w:val="none"/>
          <w:lang w:val="zh-CN"/>
        </w:rPr>
      </w:pPr>
    </w:p>
    <w:p>
      <w:pPr>
        <w:pStyle w:val="22"/>
        <w:rPr>
          <w:rFonts w:hint="eastAsia" w:ascii="新宋体" w:hAnsi="新宋体" w:eastAsia="新宋体" w:cs="新宋体"/>
          <w:b/>
          <w:bCs/>
          <w:color w:val="auto"/>
          <w:kern w:val="0"/>
          <w:sz w:val="22"/>
          <w:szCs w:val="22"/>
          <w:highlight w:val="none"/>
          <w:lang w:val="zh-CN"/>
        </w:rPr>
      </w:pPr>
    </w:p>
    <w:p>
      <w:pPr>
        <w:pStyle w:val="22"/>
        <w:rPr>
          <w:rFonts w:hint="eastAsia" w:ascii="新宋体" w:hAnsi="新宋体" w:eastAsia="新宋体" w:cs="新宋体"/>
          <w:b/>
          <w:bCs/>
          <w:color w:val="auto"/>
          <w:kern w:val="0"/>
          <w:sz w:val="22"/>
          <w:szCs w:val="22"/>
          <w:highlight w:val="none"/>
          <w:lang w:val="zh-CN"/>
        </w:rPr>
      </w:pPr>
    </w:p>
    <w:p>
      <w:pPr>
        <w:pStyle w:val="22"/>
        <w:rPr>
          <w:rFonts w:hint="eastAsia" w:ascii="新宋体" w:hAnsi="新宋体" w:eastAsia="新宋体" w:cs="新宋体"/>
          <w:b/>
          <w:bCs/>
          <w:color w:val="auto"/>
          <w:kern w:val="0"/>
          <w:sz w:val="22"/>
          <w:szCs w:val="22"/>
          <w:highlight w:val="none"/>
          <w:lang w:val="zh-CN"/>
        </w:rPr>
      </w:pPr>
    </w:p>
    <w:p>
      <w:pPr>
        <w:pStyle w:val="22"/>
        <w:rPr>
          <w:rFonts w:hint="eastAsia" w:ascii="新宋体" w:hAnsi="新宋体" w:eastAsia="新宋体" w:cs="新宋体"/>
          <w:b/>
          <w:bCs/>
          <w:color w:val="auto"/>
          <w:kern w:val="0"/>
          <w:sz w:val="22"/>
          <w:szCs w:val="22"/>
          <w:highlight w:val="none"/>
          <w:lang w:val="zh-CN"/>
        </w:rPr>
      </w:pPr>
    </w:p>
    <w:p>
      <w:pPr>
        <w:pStyle w:val="22"/>
        <w:rPr>
          <w:rFonts w:hint="eastAsia" w:ascii="新宋体" w:hAnsi="新宋体" w:eastAsia="新宋体" w:cs="新宋体"/>
          <w:b/>
          <w:bCs/>
          <w:color w:val="auto"/>
          <w:kern w:val="0"/>
          <w:sz w:val="22"/>
          <w:szCs w:val="22"/>
          <w:highlight w:val="none"/>
          <w:lang w:val="zh-CN"/>
        </w:rPr>
      </w:pPr>
    </w:p>
    <w:p>
      <w:pPr>
        <w:spacing w:line="460" w:lineRule="exact"/>
        <w:ind w:firstLine="435"/>
        <w:rPr>
          <w:rFonts w:hint="eastAsia" w:ascii="新宋体" w:hAnsi="新宋体" w:eastAsia="新宋体" w:cs="新宋体"/>
          <w:color w:val="auto"/>
          <w:sz w:val="22"/>
          <w:szCs w:val="22"/>
          <w:highlight w:val="none"/>
        </w:rPr>
      </w:pPr>
    </w:p>
    <w:p>
      <w:pPr>
        <w:spacing w:line="460" w:lineRule="exact"/>
        <w:outlineLvl w:val="9"/>
        <w:rPr>
          <w:rFonts w:hint="eastAsia" w:ascii="新宋体" w:hAnsi="新宋体" w:eastAsia="新宋体" w:cs="新宋体"/>
          <w:b/>
          <w:bCs/>
          <w:color w:val="auto"/>
          <w:sz w:val="22"/>
          <w:szCs w:val="22"/>
          <w:highlight w:val="none"/>
        </w:rPr>
      </w:pPr>
    </w:p>
    <w:p>
      <w:pPr>
        <w:pStyle w:val="22"/>
        <w:rPr>
          <w:rFonts w:hint="eastAsia"/>
          <w:color w:val="auto"/>
          <w:highlight w:val="none"/>
        </w:rPr>
      </w:pPr>
    </w:p>
    <w:p>
      <w:pPr>
        <w:pStyle w:val="22"/>
        <w:rPr>
          <w:rFonts w:hint="eastAsia"/>
          <w:color w:val="auto"/>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rPr>
        <w:t>投标报价一览表</w:t>
      </w:r>
    </w:p>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pPr>
        <w:spacing w:line="380" w:lineRule="exact"/>
        <w:ind w:left="535" w:leftChars="-171" w:hanging="894" w:hangingChars="405"/>
        <w:rPr>
          <w:rFonts w:hint="eastAsia" w:ascii="新宋体" w:hAnsi="新宋体" w:eastAsia="新宋体" w:cs="新宋体"/>
          <w:b/>
          <w:color w:val="auto"/>
          <w:sz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项目名称：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bCs/>
          <w:color w:val="auto"/>
          <w:sz w:val="22"/>
          <w:szCs w:val="22"/>
          <w:highlight w:val="none"/>
        </w:rPr>
        <w:t>项目编号</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rPr>
        <w:t xml:space="preserve"> </w:t>
      </w:r>
    </w:p>
    <w:tbl>
      <w:tblPr>
        <w:tblStyle w:val="52"/>
        <w:tblpPr w:leftFromText="180" w:rightFromText="180" w:vertAnchor="text" w:horzAnchor="page" w:tblpX="1077" w:tblpY="3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07"/>
        <w:gridCol w:w="3516"/>
        <w:gridCol w:w="1360"/>
        <w:gridCol w:w="121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9"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序号</w:t>
            </w:r>
          </w:p>
        </w:tc>
        <w:tc>
          <w:tcPr>
            <w:tcW w:w="1607" w:type="dxa"/>
            <w:noWrap w:val="0"/>
            <w:vAlign w:val="center"/>
          </w:tcPr>
          <w:p>
            <w:pPr>
              <w:spacing w:line="380" w:lineRule="exact"/>
              <w:jc w:val="center"/>
              <w:rPr>
                <w:rFonts w:ascii="新宋体" w:eastAsia="新宋体"/>
                <w:bCs/>
                <w:color w:val="auto"/>
                <w:sz w:val="22"/>
                <w:szCs w:val="22"/>
                <w:highlight w:val="none"/>
              </w:rPr>
            </w:pPr>
            <w:r>
              <w:rPr>
                <w:rFonts w:hint="eastAsia" w:ascii="新宋体" w:eastAsia="新宋体"/>
                <w:bCs/>
                <w:color w:val="auto"/>
                <w:sz w:val="22"/>
                <w:szCs w:val="22"/>
                <w:highlight w:val="none"/>
              </w:rPr>
              <w:t>系统名称</w:t>
            </w:r>
          </w:p>
        </w:tc>
        <w:tc>
          <w:tcPr>
            <w:tcW w:w="3516" w:type="dxa"/>
            <w:noWrap w:val="0"/>
            <w:vAlign w:val="center"/>
          </w:tcPr>
          <w:p>
            <w:pPr>
              <w:spacing w:line="380" w:lineRule="exact"/>
              <w:ind w:left="-422" w:leftChars="-201" w:firstLine="968" w:firstLineChars="440"/>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投标报价</w:t>
            </w:r>
          </w:p>
        </w:tc>
        <w:tc>
          <w:tcPr>
            <w:tcW w:w="1360"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交付期限</w:t>
            </w:r>
          </w:p>
        </w:tc>
        <w:tc>
          <w:tcPr>
            <w:tcW w:w="1213"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交付地点</w:t>
            </w:r>
          </w:p>
        </w:tc>
        <w:tc>
          <w:tcPr>
            <w:tcW w:w="1470"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79" w:type="dxa"/>
            <w:vMerge w:val="restart"/>
            <w:noWrap w:val="0"/>
            <w:vAlign w:val="center"/>
          </w:tcPr>
          <w:p>
            <w:pPr>
              <w:spacing w:line="38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p>
        </w:tc>
        <w:tc>
          <w:tcPr>
            <w:tcW w:w="1607" w:type="dxa"/>
            <w:vMerge w:val="restart"/>
            <w:noWrap w:val="0"/>
            <w:vAlign w:val="top"/>
          </w:tcPr>
          <w:p>
            <w:pPr>
              <w:spacing w:line="380" w:lineRule="exact"/>
              <w:rPr>
                <w:rFonts w:hint="eastAsia" w:ascii="新宋体" w:hAnsi="新宋体" w:eastAsia="新宋体"/>
                <w:bCs/>
                <w:color w:val="auto"/>
                <w:sz w:val="22"/>
                <w:szCs w:val="22"/>
                <w:highlight w:val="none"/>
              </w:rPr>
            </w:pPr>
          </w:p>
        </w:tc>
        <w:tc>
          <w:tcPr>
            <w:tcW w:w="3516" w:type="dxa"/>
            <w:noWrap w:val="0"/>
            <w:vAlign w:val="top"/>
          </w:tcPr>
          <w:p>
            <w:pPr>
              <w:spacing w:line="380" w:lineRule="exact"/>
              <w:rPr>
                <w:rFonts w:hint="eastAsia" w:ascii="新宋体" w:eastAsia="新宋体"/>
                <w:bCs/>
                <w:color w:val="auto"/>
                <w:sz w:val="22"/>
                <w:szCs w:val="22"/>
                <w:highlight w:val="none"/>
              </w:rPr>
            </w:pPr>
            <w:r>
              <w:rPr>
                <w:rFonts w:hint="eastAsia" w:ascii="新宋体" w:eastAsia="新宋体"/>
                <w:bCs/>
                <w:color w:val="auto"/>
                <w:sz w:val="22"/>
                <w:szCs w:val="22"/>
                <w:highlight w:val="none"/>
              </w:rPr>
              <w:t>小写：</w:t>
            </w:r>
          </w:p>
        </w:tc>
        <w:tc>
          <w:tcPr>
            <w:tcW w:w="1360" w:type="dxa"/>
            <w:vMerge w:val="restart"/>
            <w:noWrap w:val="0"/>
            <w:vAlign w:val="top"/>
          </w:tcPr>
          <w:p>
            <w:pPr>
              <w:spacing w:line="380" w:lineRule="exact"/>
              <w:rPr>
                <w:rFonts w:hint="eastAsia" w:ascii="新宋体" w:eastAsia="新宋体"/>
                <w:bCs/>
                <w:color w:val="auto"/>
                <w:sz w:val="22"/>
                <w:szCs w:val="22"/>
                <w:highlight w:val="none"/>
              </w:rPr>
            </w:pPr>
          </w:p>
        </w:tc>
        <w:tc>
          <w:tcPr>
            <w:tcW w:w="1213" w:type="dxa"/>
            <w:vMerge w:val="restart"/>
            <w:noWrap w:val="0"/>
            <w:vAlign w:val="top"/>
          </w:tcPr>
          <w:p>
            <w:pPr>
              <w:spacing w:line="380" w:lineRule="exact"/>
              <w:rPr>
                <w:rFonts w:hint="eastAsia" w:ascii="新宋体" w:eastAsia="新宋体"/>
                <w:bCs/>
                <w:color w:val="auto"/>
                <w:sz w:val="22"/>
                <w:szCs w:val="22"/>
                <w:highlight w:val="none"/>
              </w:rPr>
            </w:pPr>
            <w:r>
              <w:rPr>
                <w:rFonts w:hint="eastAsia" w:ascii="新宋体" w:hAnsi="新宋体" w:eastAsia="新宋体"/>
                <w:color w:val="auto"/>
                <w:sz w:val="22"/>
                <w:szCs w:val="22"/>
                <w:highlight w:val="none"/>
              </w:rPr>
              <w:t xml:space="preserve"> </w:t>
            </w:r>
          </w:p>
        </w:tc>
        <w:tc>
          <w:tcPr>
            <w:tcW w:w="1470" w:type="dxa"/>
            <w:vMerge w:val="restart"/>
            <w:noWrap w:val="0"/>
            <w:vAlign w:val="top"/>
          </w:tcPr>
          <w:p>
            <w:pPr>
              <w:spacing w:line="380" w:lineRule="exact"/>
              <w:rPr>
                <w:rFonts w:ascii="新宋体" w:eastAsia="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79" w:type="dxa"/>
            <w:vMerge w:val="continue"/>
            <w:noWrap w:val="0"/>
            <w:vAlign w:val="top"/>
          </w:tcPr>
          <w:p>
            <w:pPr>
              <w:spacing w:line="380" w:lineRule="exact"/>
              <w:rPr>
                <w:rFonts w:hint="eastAsia" w:ascii="新宋体" w:hAnsi="新宋体" w:eastAsia="新宋体"/>
                <w:bCs/>
                <w:color w:val="auto"/>
                <w:sz w:val="22"/>
                <w:szCs w:val="22"/>
                <w:highlight w:val="none"/>
              </w:rPr>
            </w:pPr>
          </w:p>
        </w:tc>
        <w:tc>
          <w:tcPr>
            <w:tcW w:w="1607" w:type="dxa"/>
            <w:vMerge w:val="continue"/>
            <w:noWrap w:val="0"/>
            <w:vAlign w:val="top"/>
          </w:tcPr>
          <w:p>
            <w:pPr>
              <w:spacing w:line="380" w:lineRule="exact"/>
              <w:rPr>
                <w:rFonts w:hint="eastAsia" w:ascii="新宋体" w:hAnsi="新宋体" w:eastAsia="新宋体"/>
                <w:bCs/>
                <w:color w:val="auto"/>
                <w:sz w:val="22"/>
                <w:szCs w:val="22"/>
                <w:highlight w:val="none"/>
              </w:rPr>
            </w:pPr>
          </w:p>
        </w:tc>
        <w:tc>
          <w:tcPr>
            <w:tcW w:w="3516" w:type="dxa"/>
            <w:noWrap w:val="0"/>
            <w:vAlign w:val="top"/>
          </w:tcPr>
          <w:p>
            <w:pPr>
              <w:spacing w:line="380" w:lineRule="exact"/>
              <w:rPr>
                <w:rFonts w:hint="eastAsia" w:ascii="新宋体" w:eastAsia="新宋体"/>
                <w:bCs/>
                <w:color w:val="auto"/>
                <w:sz w:val="22"/>
                <w:szCs w:val="22"/>
                <w:highlight w:val="none"/>
              </w:rPr>
            </w:pPr>
            <w:r>
              <w:rPr>
                <w:rFonts w:hint="eastAsia" w:ascii="新宋体" w:eastAsia="新宋体"/>
                <w:bCs/>
                <w:color w:val="auto"/>
                <w:sz w:val="22"/>
                <w:szCs w:val="22"/>
                <w:highlight w:val="none"/>
              </w:rPr>
              <w:t>大写：</w:t>
            </w:r>
          </w:p>
        </w:tc>
        <w:tc>
          <w:tcPr>
            <w:tcW w:w="1360" w:type="dxa"/>
            <w:vMerge w:val="continue"/>
            <w:noWrap w:val="0"/>
            <w:vAlign w:val="top"/>
          </w:tcPr>
          <w:p>
            <w:pPr>
              <w:spacing w:line="380" w:lineRule="exact"/>
              <w:rPr>
                <w:rFonts w:hint="eastAsia" w:ascii="新宋体" w:eastAsia="新宋体"/>
                <w:bCs/>
                <w:color w:val="auto"/>
                <w:sz w:val="22"/>
                <w:szCs w:val="22"/>
                <w:highlight w:val="none"/>
              </w:rPr>
            </w:pPr>
          </w:p>
        </w:tc>
        <w:tc>
          <w:tcPr>
            <w:tcW w:w="1213" w:type="dxa"/>
            <w:vMerge w:val="continue"/>
            <w:noWrap w:val="0"/>
            <w:vAlign w:val="top"/>
          </w:tcPr>
          <w:p>
            <w:pPr>
              <w:spacing w:line="380" w:lineRule="exact"/>
              <w:rPr>
                <w:rFonts w:hint="eastAsia" w:ascii="新宋体" w:hAnsi="新宋体" w:eastAsia="新宋体"/>
                <w:color w:val="auto"/>
                <w:sz w:val="22"/>
                <w:szCs w:val="22"/>
                <w:highlight w:val="none"/>
              </w:rPr>
            </w:pPr>
          </w:p>
        </w:tc>
        <w:tc>
          <w:tcPr>
            <w:tcW w:w="1470" w:type="dxa"/>
            <w:vMerge w:val="continue"/>
            <w:noWrap w:val="0"/>
            <w:vAlign w:val="top"/>
          </w:tcPr>
          <w:p>
            <w:pPr>
              <w:spacing w:line="380" w:lineRule="exact"/>
              <w:rPr>
                <w:rFonts w:hint="eastAsia" w:ascii="新宋体" w:eastAsia="新宋体"/>
                <w:bCs/>
                <w:color w:val="auto"/>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ind w:left="535" w:leftChars="-171" w:hanging="894" w:hangingChars="405"/>
        <w:textAlignment w:val="auto"/>
        <w:rPr>
          <w:rFonts w:hint="eastAsia" w:ascii="新宋体" w:hAnsi="新宋体" w:eastAsia="新宋体"/>
          <w:b/>
          <w:color w:val="auto"/>
          <w:sz w:val="22"/>
          <w:szCs w:val="22"/>
          <w:highlight w:val="none"/>
        </w:rPr>
      </w:pPr>
    </w:p>
    <w:p>
      <w:pPr>
        <w:spacing w:line="45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szCs w:val="22"/>
          <w:highlight w:val="none"/>
        </w:rPr>
        <w:t xml:space="preserve">说明  </w:t>
      </w:r>
      <w:r>
        <w:rPr>
          <w:rFonts w:hint="eastAsia" w:ascii="新宋体" w:hAnsi="新宋体" w:eastAsia="新宋体"/>
          <w:b/>
          <w:color w:val="auto"/>
          <w:sz w:val="22"/>
          <w:highlight w:val="none"/>
        </w:rPr>
        <w:t>1、 此栏投标报价应与附件</w:t>
      </w:r>
      <w:r>
        <w:rPr>
          <w:rFonts w:hint="eastAsia" w:ascii="新宋体" w:hAnsi="新宋体" w:eastAsia="新宋体"/>
          <w:b/>
          <w:color w:val="auto"/>
          <w:sz w:val="22"/>
          <w:highlight w:val="none"/>
          <w:lang w:val="en-US" w:eastAsia="zh-CN"/>
        </w:rPr>
        <w:t>一中</w:t>
      </w:r>
      <w:r>
        <w:rPr>
          <w:rFonts w:hint="eastAsia" w:ascii="新宋体" w:hAnsi="新宋体" w:eastAsia="新宋体"/>
          <w:b/>
          <w:color w:val="auto"/>
          <w:sz w:val="22"/>
          <w:highlight w:val="none"/>
        </w:rPr>
        <w:t>“</w:t>
      </w:r>
      <w:r>
        <w:rPr>
          <w:rFonts w:hint="eastAsia" w:ascii="新宋体" w:hAnsi="新宋体" w:eastAsia="新宋体"/>
          <w:b/>
          <w:color w:val="auto"/>
          <w:sz w:val="22"/>
          <w:highlight w:val="none"/>
          <w:lang w:val="en-US" w:eastAsia="zh-CN"/>
        </w:rPr>
        <w:t>3、投标</w:t>
      </w:r>
      <w:r>
        <w:rPr>
          <w:rFonts w:hint="eastAsia" w:ascii="新宋体" w:hAnsi="新宋体" w:eastAsia="新宋体"/>
          <w:b/>
          <w:color w:val="auto"/>
          <w:sz w:val="22"/>
          <w:highlight w:val="none"/>
        </w:rPr>
        <w:t>分项报价表”中的总计价相一致。</w:t>
      </w:r>
    </w:p>
    <w:p>
      <w:pPr>
        <w:spacing w:line="450" w:lineRule="exact"/>
        <w:rPr>
          <w:rFonts w:hint="eastAsia" w:ascii="新宋体" w:hAnsi="新宋体" w:eastAsia="新宋体"/>
          <w:b/>
          <w:color w:val="auto"/>
          <w:sz w:val="22"/>
          <w:highlight w:val="none"/>
        </w:rPr>
      </w:pPr>
      <w:r>
        <w:rPr>
          <w:rFonts w:hint="eastAsia" w:ascii="新宋体" w:hAnsi="新宋体" w:eastAsia="新宋体"/>
          <w:b/>
          <w:color w:val="auto"/>
          <w:sz w:val="22"/>
          <w:highlight w:val="none"/>
        </w:rPr>
        <w:t xml:space="preserve">         </w:t>
      </w:r>
      <w:r>
        <w:rPr>
          <w:rFonts w:hint="eastAsia" w:ascii="新宋体" w:hAnsi="新宋体" w:eastAsia="新宋体"/>
          <w:b/>
          <w:color w:val="auto"/>
          <w:sz w:val="22"/>
          <w:highlight w:val="none"/>
          <w:lang w:val="en-US" w:eastAsia="zh-CN"/>
        </w:rPr>
        <w:t xml:space="preserve"> </w:t>
      </w:r>
      <w:r>
        <w:rPr>
          <w:rFonts w:hint="eastAsia" w:ascii="新宋体" w:hAnsi="新宋体" w:eastAsia="新宋体"/>
          <w:b/>
          <w:color w:val="auto"/>
          <w:sz w:val="22"/>
          <w:highlight w:val="none"/>
        </w:rPr>
        <w:t xml:space="preserve"> </w:t>
      </w:r>
      <w:r>
        <w:rPr>
          <w:rFonts w:hint="eastAsia" w:ascii="新宋体" w:hAnsi="新宋体" w:eastAsia="新宋体"/>
          <w:b/>
          <w:color w:val="auto"/>
          <w:sz w:val="22"/>
          <w:highlight w:val="none"/>
          <w:lang w:val="en-US" w:eastAsia="zh-CN"/>
        </w:rPr>
        <w:t>2</w:t>
      </w:r>
      <w:r>
        <w:rPr>
          <w:rFonts w:hint="eastAsia" w:ascii="新宋体" w:hAnsi="新宋体" w:eastAsia="新宋体"/>
          <w:b/>
          <w:color w:val="auto"/>
          <w:sz w:val="22"/>
          <w:highlight w:val="none"/>
        </w:rPr>
        <w:t>、不提供此表格将被视为没有实质性响应招标文件</w:t>
      </w:r>
    </w:p>
    <w:p>
      <w:pPr>
        <w:keepNext w:val="0"/>
        <w:keepLines w:val="0"/>
        <w:pageBreakBefore w:val="0"/>
        <w:widowControl w:val="0"/>
        <w:kinsoku/>
        <w:wordWrap/>
        <w:overflowPunct/>
        <w:topLinePunct w:val="0"/>
        <w:autoSpaceDE/>
        <w:autoSpaceDN/>
        <w:bidi w:val="0"/>
        <w:adjustRightInd/>
        <w:snapToGrid/>
        <w:spacing w:line="460" w:lineRule="exact"/>
        <w:ind w:left="532" w:leftChars="-171" w:hanging="891" w:hangingChars="405"/>
        <w:textAlignment w:val="auto"/>
        <w:rPr>
          <w:rFonts w:hint="eastAsia" w:ascii="新宋体" w:hAnsi="新宋体" w:eastAsia="新宋体" w:cs="新宋体"/>
          <w:color w:val="auto"/>
          <w:sz w:val="22"/>
          <w:szCs w:val="22"/>
          <w:highlight w:val="none"/>
        </w:rPr>
      </w:pPr>
    </w:p>
    <w:p>
      <w:pPr>
        <w:pStyle w:val="24"/>
        <w:rPr>
          <w:rFonts w:hint="eastAsia" w:ascii="新宋体" w:hAnsi="新宋体" w:eastAsia="新宋体" w:cs="新宋体"/>
          <w:color w:val="auto"/>
          <w:highlight w:val="none"/>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spacing w:line="38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22"/>
        <w:rPr>
          <w:rFonts w:hint="eastAsia" w:ascii="新宋体" w:hAnsi="新宋体" w:eastAsia="新宋体" w:cs="新宋体"/>
          <w:color w:val="auto"/>
          <w:sz w:val="22"/>
          <w:szCs w:val="22"/>
          <w:highlight w:val="none"/>
        </w:rPr>
      </w:pPr>
    </w:p>
    <w:p>
      <w:pPr>
        <w:pStyle w:val="22"/>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22"/>
        <w:rPr>
          <w:rFonts w:hint="eastAsia"/>
          <w:color w:val="auto"/>
          <w:highlight w:val="none"/>
        </w:rPr>
      </w:pPr>
    </w:p>
    <w:p>
      <w:pPr>
        <w:rPr>
          <w:rFonts w:hint="eastAsia"/>
          <w:color w:val="auto"/>
          <w:highlight w:val="none"/>
        </w:rPr>
      </w:pPr>
    </w:p>
    <w:p>
      <w:pPr>
        <w:pStyle w:val="10"/>
        <w:rPr>
          <w:rFonts w:hint="eastAsia"/>
          <w:color w:val="auto"/>
          <w:highlight w:val="none"/>
        </w:rPr>
      </w:pPr>
    </w:p>
    <w:p>
      <w:pPr>
        <w:rPr>
          <w:rFonts w:hint="eastAsia" w:ascii="新宋体" w:hAnsi="新宋体" w:eastAsia="新宋体" w:cs="新宋体"/>
          <w:color w:val="auto"/>
          <w:sz w:val="22"/>
          <w:szCs w:val="22"/>
          <w:highlight w:val="none"/>
        </w:rPr>
      </w:pPr>
    </w:p>
    <w:p>
      <w:pPr>
        <w:pStyle w:val="22"/>
        <w:ind w:left="0" w:leftChars="0" w:firstLine="0" w:firstLineChars="0"/>
        <w:rPr>
          <w:rFonts w:hint="eastAsia" w:ascii="新宋体" w:hAnsi="新宋体" w:eastAsia="新宋体"/>
          <w:b/>
          <w:bCs/>
          <w:color w:val="auto"/>
          <w:sz w:val="22"/>
          <w:szCs w:val="22"/>
          <w:highlight w:val="none"/>
        </w:rPr>
      </w:pPr>
    </w:p>
    <w:p>
      <w:pPr>
        <w:pStyle w:val="22"/>
        <w:ind w:left="0" w:leftChars="0" w:firstLine="0" w:firstLineChars="0"/>
        <w:rPr>
          <w:rFonts w:hint="eastAsia" w:ascii="新宋体" w:hAnsi="新宋体" w:eastAsia="新宋体"/>
          <w:b/>
          <w:bCs/>
          <w:color w:val="auto"/>
          <w:sz w:val="22"/>
          <w:szCs w:val="22"/>
          <w:highlight w:val="none"/>
        </w:rPr>
      </w:pPr>
    </w:p>
    <w:p>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3、</w:t>
      </w:r>
      <w:r>
        <w:rPr>
          <w:rFonts w:hint="eastAsia" w:ascii="新宋体" w:hAnsi="新宋体" w:eastAsia="新宋体" w:cs="新宋体"/>
          <w:b/>
          <w:bCs/>
          <w:color w:val="auto"/>
          <w:sz w:val="28"/>
          <w:szCs w:val="28"/>
          <w:highlight w:val="none"/>
        </w:rPr>
        <w:t>投标分项报价表</w:t>
      </w:r>
    </w:p>
    <w:p>
      <w:pPr>
        <w:spacing w:line="400" w:lineRule="exact"/>
        <w:jc w:val="center"/>
        <w:outlineLvl w:val="9"/>
        <w:rPr>
          <w:rFonts w:hint="default" w:ascii="新宋体" w:hAnsi="新宋体" w:eastAsia="新宋体" w:cs="新宋体"/>
          <w:b w:val="0"/>
          <w:bCs w:val="0"/>
          <w:color w:val="auto"/>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bCs/>
          <w:color w:val="auto"/>
          <w:sz w:val="22"/>
          <w:szCs w:val="22"/>
          <w:highlight w:val="none"/>
          <w:lang w:val="en-US" w:eastAsia="zh-CN"/>
        </w:rPr>
        <w:t>项目</w:t>
      </w:r>
      <w:r>
        <w:rPr>
          <w:rFonts w:hint="eastAsia" w:ascii="新宋体" w:hAnsi="新宋体" w:eastAsia="新宋体" w:cs="新宋体"/>
          <w:bCs/>
          <w:color w:val="auto"/>
          <w:sz w:val="22"/>
          <w:szCs w:val="22"/>
          <w:highlight w:val="none"/>
        </w:rPr>
        <w:t>编号：</w:t>
      </w:r>
    </w:p>
    <w:tbl>
      <w:tblPr>
        <w:tblStyle w:val="52"/>
        <w:tblW w:w="10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572"/>
        <w:gridCol w:w="2488"/>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p>
            <w:pPr>
              <w:spacing w:line="460" w:lineRule="exact"/>
              <w:jc w:val="center"/>
              <w:rPr>
                <w:rFonts w:hint="eastAsia" w:ascii="新宋体" w:hAnsi="新宋体" w:eastAsia="新宋体" w:cs="新宋体"/>
                <w:color w:val="auto"/>
                <w:sz w:val="22"/>
                <w:szCs w:val="22"/>
                <w:highlight w:val="none"/>
              </w:rPr>
            </w:pPr>
          </w:p>
        </w:tc>
        <w:tc>
          <w:tcPr>
            <w:tcW w:w="257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2488" w:type="dxa"/>
            <w:noWrap w:val="0"/>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规格及技术参数</w:t>
            </w: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单价 </w:t>
            </w: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合价 </w:t>
            </w: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2572"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p>
        </w:tc>
        <w:tc>
          <w:tcPr>
            <w:tcW w:w="2488" w:type="dxa"/>
            <w:shd w:val="clear" w:color="auto" w:fill="FFFFFF"/>
            <w:noWrap w:val="0"/>
            <w:vAlign w:val="center"/>
          </w:tcPr>
          <w:p>
            <w:pPr>
              <w:widowControl/>
              <w:spacing w:before="120" w:beforeLines="50" w:after="120" w:afterLines="50" w:line="460" w:lineRule="exact"/>
              <w:rPr>
                <w:rFonts w:hint="eastAsia" w:ascii="新宋体" w:hAnsi="新宋体" w:eastAsia="新宋体" w:cs="新宋体"/>
                <w:b/>
                <w:bCs/>
                <w:color w:val="auto"/>
                <w:sz w:val="22"/>
                <w:szCs w:val="22"/>
                <w:highlight w:val="none"/>
              </w:rPr>
            </w:pPr>
          </w:p>
        </w:tc>
        <w:tc>
          <w:tcPr>
            <w:tcW w:w="104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46"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277"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958"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5060"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安装、测试和调试（含第三方检验费）</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5060"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技术培训费、技术服务费 </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5060"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5060"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招标代理服务费</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5060"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922" w:type="dxa"/>
            <w:gridSpan w:val="3"/>
            <w:noWrap w:val="0"/>
            <w:vAlign w:val="top"/>
          </w:tcPr>
          <w:p>
            <w:pPr>
              <w:spacing w:line="460" w:lineRule="exact"/>
              <w:ind w:firstLine="1650" w:firstLineChars="7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    计   价</w:t>
            </w:r>
          </w:p>
        </w:tc>
        <w:tc>
          <w:tcPr>
            <w:tcW w:w="4328"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bl>
    <w:p>
      <w:pPr>
        <w:tabs>
          <w:tab w:val="left" w:pos="360"/>
        </w:tabs>
        <w:spacing w:line="460" w:lineRule="exact"/>
        <w:rPr>
          <w:rFonts w:hint="eastAsia" w:ascii="新宋体" w:hAnsi="新宋体" w:eastAsia="新宋体"/>
          <w:b/>
          <w:color w:val="auto"/>
          <w:sz w:val="22"/>
          <w:szCs w:val="22"/>
          <w:highlight w:val="none"/>
        </w:rPr>
      </w:pPr>
    </w:p>
    <w:p>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说明：</w:t>
      </w:r>
      <w:r>
        <w:rPr>
          <w:rFonts w:hint="eastAsia" w:ascii="新宋体" w:hAnsi="新宋体" w:eastAsia="新宋体"/>
          <w:b/>
          <w:bCs/>
          <w:color w:val="auto"/>
          <w:sz w:val="22"/>
          <w:szCs w:val="22"/>
          <w:highlight w:val="none"/>
        </w:rPr>
        <w:t>1、此表总计价应与附件</w:t>
      </w:r>
      <w:r>
        <w:rPr>
          <w:rFonts w:hint="eastAsia" w:ascii="新宋体" w:hAnsi="新宋体" w:eastAsia="新宋体"/>
          <w:b/>
          <w:bCs/>
          <w:color w:val="auto"/>
          <w:sz w:val="22"/>
          <w:szCs w:val="22"/>
          <w:highlight w:val="none"/>
          <w:lang w:val="en-US" w:eastAsia="zh-CN"/>
        </w:rPr>
        <w:t>一中</w:t>
      </w:r>
      <w:r>
        <w:rPr>
          <w:rFonts w:hint="eastAsia" w:ascii="新宋体" w:hAnsi="新宋体" w:eastAsia="新宋体"/>
          <w:b/>
          <w:bCs/>
          <w:color w:val="auto"/>
          <w:sz w:val="22"/>
          <w:szCs w:val="22"/>
          <w:highlight w:val="none"/>
        </w:rPr>
        <w:t>“</w:t>
      </w:r>
      <w:r>
        <w:rPr>
          <w:rFonts w:hint="eastAsia" w:ascii="新宋体" w:hAnsi="新宋体" w:eastAsia="新宋体"/>
          <w:b/>
          <w:bCs/>
          <w:color w:val="auto"/>
          <w:sz w:val="22"/>
          <w:szCs w:val="22"/>
          <w:highlight w:val="none"/>
          <w:lang w:val="en-US" w:eastAsia="zh-CN"/>
        </w:rPr>
        <w:t>2、</w:t>
      </w:r>
      <w:r>
        <w:rPr>
          <w:rFonts w:hint="eastAsia" w:ascii="新宋体" w:hAnsi="新宋体" w:eastAsia="新宋体"/>
          <w:b/>
          <w:bCs/>
          <w:color w:val="auto"/>
          <w:sz w:val="22"/>
          <w:szCs w:val="22"/>
          <w:highlight w:val="none"/>
        </w:rPr>
        <w:t>投标报价一览表”中投标报价相一致。</w:t>
      </w:r>
    </w:p>
    <w:p>
      <w:pPr>
        <w:spacing w:line="380" w:lineRule="exact"/>
        <w:ind w:firstLine="755" w:firstLineChars="34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2、不提供详细投标分项报价将视为没有实质性响应招标文件。</w:t>
      </w:r>
    </w:p>
    <w:p>
      <w:pPr>
        <w:spacing w:line="380" w:lineRule="exact"/>
        <w:ind w:firstLine="72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3、如果免费请在该项内容栏内注明“免”，如果含在产品价格中则填“含”，如无此项内容则填“无”，不留空白。</w:t>
      </w:r>
    </w:p>
    <w:p>
      <w:pPr>
        <w:tabs>
          <w:tab w:val="left" w:pos="360"/>
        </w:tabs>
        <w:spacing w:line="460" w:lineRule="exact"/>
        <w:ind w:firstLine="773" w:firstLineChars="350"/>
        <w:rPr>
          <w:rFonts w:hint="eastAsia" w:ascii="新宋体" w:hAnsi="新宋体" w:eastAsia="新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600" w:firstLineChars="300"/>
        <w:textAlignment w:val="auto"/>
        <w:rPr>
          <w:rFonts w:hint="eastAsia" w:ascii="新宋体" w:hAnsi="新宋体" w:eastAsia="新宋体" w:cs="新宋体"/>
          <w:color w:val="auto"/>
          <w:sz w:val="20"/>
          <w:szCs w:val="22"/>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keepNext w:val="0"/>
        <w:keepLines w:val="0"/>
        <w:pageBreakBefore w:val="0"/>
        <w:widowControl w:val="0"/>
        <w:kinsoku/>
        <w:wordWrap/>
        <w:overflowPunct/>
        <w:topLinePunct w:val="0"/>
        <w:autoSpaceDE/>
        <w:autoSpaceDN/>
        <w:bidi w:val="0"/>
        <w:adjustRightInd/>
        <w:snapToGrid/>
        <w:spacing w:line="38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jc w:val="both"/>
        <w:rPr>
          <w:rFonts w:hint="eastAsia" w:ascii="新宋体" w:hAnsi="新宋体" w:eastAsia="新宋体" w:cs="新宋体"/>
          <w:b/>
          <w:bCs/>
          <w:color w:val="auto"/>
          <w:szCs w:val="21"/>
          <w:highlight w:val="none"/>
        </w:rPr>
      </w:pPr>
    </w:p>
    <w:p>
      <w:pPr>
        <w:rPr>
          <w:rFonts w:hint="eastAsia" w:ascii="新宋体" w:hAnsi="新宋体" w:eastAsia="新宋体" w:cs="新宋体"/>
          <w:color w:val="auto"/>
          <w:sz w:val="22"/>
          <w:szCs w:val="22"/>
          <w:highlight w:val="none"/>
        </w:rPr>
      </w:pPr>
    </w:p>
    <w:p>
      <w:pPr>
        <w:pStyle w:val="22"/>
        <w:ind w:left="0" w:leftChars="0" w:firstLine="0" w:firstLineChars="0"/>
        <w:rPr>
          <w:rFonts w:hint="eastAsia" w:ascii="新宋体" w:hAnsi="新宋体" w:eastAsia="新宋体" w:cs="新宋体"/>
          <w:color w:val="auto"/>
          <w:sz w:val="22"/>
          <w:szCs w:val="22"/>
          <w:highlight w:val="none"/>
          <w:lang w:val="en-US" w:eastAsia="zh-CN"/>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rPr>
        <w:t>监狱企业的相关证明材料</w:t>
      </w:r>
    </w:p>
    <w:p>
      <w:pPr>
        <w:spacing w:line="460" w:lineRule="exact"/>
        <w:ind w:firstLine="571" w:firstLineChars="245"/>
        <w:rPr>
          <w:rFonts w:hint="eastAsia" w:ascii="新宋体" w:hAnsi="新宋体" w:eastAsia="新宋体"/>
          <w:b/>
          <w:bCs/>
          <w:color w:val="auto"/>
          <w:sz w:val="22"/>
          <w:szCs w:val="22"/>
          <w:highlight w:val="none"/>
          <w:u w:val="single"/>
          <w:lang w:val="zh-CN"/>
        </w:rPr>
      </w:pPr>
      <w:r>
        <w:rPr>
          <w:rFonts w:hint="eastAsia" w:ascii="宋体" w:hAnsi="宋体"/>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是监狱企业的按非监狱企业处理，所提供的证明材料应为最新的最近的</w:t>
      </w:r>
      <w:r>
        <w:rPr>
          <w:rFonts w:hint="eastAsia" w:ascii="新宋体" w:hAnsi="新宋体" w:eastAsia="新宋体"/>
          <w:b/>
          <w:bCs/>
          <w:color w:val="auto"/>
          <w:sz w:val="22"/>
          <w:szCs w:val="22"/>
          <w:highlight w:val="none"/>
          <w:u w:val="single"/>
          <w:lang w:val="zh-CN"/>
        </w:rPr>
        <w:t>。</w:t>
      </w:r>
    </w:p>
    <w:p>
      <w:pPr>
        <w:adjustRightInd w:val="0"/>
        <w:snapToGrid w:val="0"/>
        <w:spacing w:line="300" w:lineRule="auto"/>
        <w:jc w:val="center"/>
        <w:rPr>
          <w:rFonts w:ascii="宋体" w:hAnsi="宋体"/>
          <w:b/>
          <w:color w:val="auto"/>
          <w:spacing w:val="6"/>
          <w:sz w:val="22"/>
          <w:szCs w:val="22"/>
          <w:highlight w:val="none"/>
        </w:rPr>
      </w:pPr>
    </w:p>
    <w:p>
      <w:pPr>
        <w:adjustRightInd w:val="0"/>
        <w:snapToGrid w:val="0"/>
        <w:spacing w:line="300" w:lineRule="auto"/>
        <w:jc w:val="center"/>
        <w:rPr>
          <w:rFonts w:hint="eastAsia" w:ascii="宋体" w:hAnsi="宋体"/>
          <w:b/>
          <w:color w:val="auto"/>
          <w:spacing w:val="6"/>
          <w:sz w:val="22"/>
          <w:szCs w:val="22"/>
          <w:highlight w:val="none"/>
        </w:rPr>
      </w:pPr>
    </w:p>
    <w:p>
      <w:pPr>
        <w:adjustRightInd w:val="0"/>
        <w:snapToGrid w:val="0"/>
        <w:spacing w:line="300" w:lineRule="auto"/>
        <w:jc w:val="center"/>
        <w:rPr>
          <w:rFonts w:hint="eastAsia" w:ascii="宋体" w:hAnsi="宋体"/>
          <w:b/>
          <w:color w:val="auto"/>
          <w:spacing w:val="6"/>
          <w:sz w:val="22"/>
          <w:szCs w:val="22"/>
          <w:highlight w:val="none"/>
        </w:rPr>
      </w:pPr>
    </w:p>
    <w:p>
      <w:pPr>
        <w:adjustRightInd w:val="0"/>
        <w:snapToGrid w:val="0"/>
        <w:spacing w:line="300" w:lineRule="auto"/>
        <w:jc w:val="center"/>
        <w:rPr>
          <w:rFonts w:hint="eastAsia" w:ascii="宋体" w:hAnsi="宋体" w:cs="Arial"/>
          <w:color w:val="auto"/>
          <w:kern w:val="0"/>
          <w:sz w:val="22"/>
          <w:szCs w:val="22"/>
          <w:highlight w:val="none"/>
        </w:rPr>
      </w:pPr>
      <w:r>
        <w:rPr>
          <w:rFonts w:hint="eastAsia" w:ascii="宋体" w:hAnsi="宋体"/>
          <w:b/>
          <w:color w:val="auto"/>
          <w:spacing w:val="6"/>
          <w:sz w:val="22"/>
          <w:szCs w:val="22"/>
          <w:highlight w:val="none"/>
        </w:rPr>
        <w:t>监狱企业声明函</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pStyle w:val="22"/>
        <w:rPr>
          <w:rFonts w:hint="eastAsia"/>
          <w:color w:val="auto"/>
          <w:highlight w:val="none"/>
        </w:rPr>
      </w:pPr>
    </w:p>
    <w:p>
      <w:pPr>
        <w:pStyle w:val="22"/>
        <w:rPr>
          <w:rFonts w:hint="eastAsia"/>
          <w:color w:val="auto"/>
          <w:highlight w:val="none"/>
        </w:rPr>
      </w:pPr>
    </w:p>
    <w:p>
      <w:pPr>
        <w:tabs>
          <w:tab w:val="left" w:pos="1620"/>
        </w:tabs>
        <w:spacing w:line="460" w:lineRule="exact"/>
        <w:outlineLvl w:val="3"/>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t>5、</w:t>
      </w:r>
      <w:r>
        <w:rPr>
          <w:rFonts w:hint="eastAsia" w:ascii="新宋体" w:hAnsi="新宋体" w:eastAsia="新宋体" w:cs="新宋体"/>
          <w:b/>
          <w:bCs/>
          <w:color w:val="auto"/>
          <w:sz w:val="28"/>
          <w:szCs w:val="28"/>
          <w:highlight w:val="none"/>
        </w:rPr>
        <w:t>中小企业的相关证明材料</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pPr>
        <w:spacing w:line="380" w:lineRule="exact"/>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lang w:val="zh-CN"/>
        </w:rPr>
      </w:pP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必须提供</w:t>
      </w:r>
      <w:r>
        <w:rPr>
          <w:rFonts w:hint="eastAsia" w:ascii="新宋体" w:hAnsi="新宋体" w:eastAsia="新宋体"/>
          <w:b/>
          <w:bCs/>
          <w:color w:val="auto"/>
          <w:sz w:val="22"/>
          <w:szCs w:val="22"/>
          <w:highlight w:val="none"/>
          <w:u w:val="single"/>
        </w:rPr>
        <w:t>投标人、</w:t>
      </w:r>
      <w:r>
        <w:rPr>
          <w:rFonts w:hint="eastAsia" w:ascii="新宋体" w:hAnsi="新宋体" w:eastAsia="新宋体"/>
          <w:b/>
          <w:bCs/>
          <w:color w:val="auto"/>
          <w:sz w:val="22"/>
          <w:szCs w:val="22"/>
          <w:highlight w:val="none"/>
          <w:u w:val="single"/>
          <w:lang w:val="zh-CN"/>
        </w:rPr>
        <w:t>投标产品生产企业为小型、微型企业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b/>
          <w:bCs/>
          <w:color w:val="auto"/>
          <w:sz w:val="22"/>
          <w:szCs w:val="22"/>
          <w:highlight w:val="none"/>
          <w:u w:val="single"/>
        </w:rPr>
        <w:t>规定所属行业</w:t>
      </w:r>
      <w:r>
        <w:rPr>
          <w:rFonts w:hint="eastAsia" w:ascii="新宋体" w:hAnsi="新宋体" w:eastAsia="新宋体"/>
          <w:b/>
          <w:bCs/>
          <w:color w:val="auto"/>
          <w:sz w:val="22"/>
          <w:szCs w:val="22"/>
          <w:highlight w:val="none"/>
          <w:u w:val="single"/>
          <w:lang w:val="zh-CN"/>
        </w:rPr>
        <w:t>为小型、微型企业</w:t>
      </w:r>
      <w:r>
        <w:rPr>
          <w:rFonts w:hint="eastAsia" w:ascii="新宋体" w:hAnsi="新宋体" w:eastAsia="新宋体"/>
          <w:b/>
          <w:bCs/>
          <w:color w:val="auto"/>
          <w:sz w:val="22"/>
          <w:szCs w:val="22"/>
          <w:highlight w:val="none"/>
          <w:u w:val="single"/>
        </w:rPr>
        <w:t>标准要求对应的</w:t>
      </w:r>
      <w:r>
        <w:rPr>
          <w:rFonts w:hint="eastAsia" w:ascii="新宋体" w:hAnsi="新宋体" w:eastAsia="新宋体"/>
          <w:b/>
          <w:bCs/>
          <w:color w:val="auto"/>
          <w:sz w:val="22"/>
          <w:szCs w:val="22"/>
          <w:highlight w:val="none"/>
          <w:u w:val="single"/>
          <w:lang w:val="zh-CN"/>
        </w:rPr>
        <w:t>相关充分证明材料（</w:t>
      </w:r>
      <w:r>
        <w:rPr>
          <w:rFonts w:hint="eastAsia" w:ascii="新宋体" w:hAnsi="新宋体" w:eastAsia="新宋体"/>
          <w:b/>
          <w:bCs/>
          <w:color w:val="auto"/>
          <w:sz w:val="22"/>
          <w:szCs w:val="22"/>
          <w:highlight w:val="none"/>
          <w:u w:val="single"/>
          <w:lang w:val="en-US" w:eastAsia="zh-CN"/>
        </w:rPr>
        <w:t>如社保、财务报表等</w:t>
      </w:r>
      <w:r>
        <w:rPr>
          <w:rFonts w:hint="eastAsia" w:ascii="新宋体" w:hAnsi="新宋体" w:eastAsia="新宋体"/>
          <w:b/>
          <w:bCs/>
          <w:color w:val="auto"/>
          <w:sz w:val="22"/>
          <w:szCs w:val="22"/>
          <w:highlight w:val="none"/>
          <w:u w:val="single"/>
          <w:lang w:val="zh-CN"/>
        </w:rPr>
        <w:t>）；</w:t>
      </w:r>
    </w:p>
    <w:p>
      <w:pPr>
        <w:spacing w:line="460" w:lineRule="exact"/>
        <w:ind w:firstLine="541" w:firstLineChars="245"/>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②</w:t>
      </w:r>
      <w:r>
        <w:rPr>
          <w:rFonts w:hint="eastAsia" w:ascii="新宋体" w:hAnsi="新宋体" w:eastAsia="新宋体"/>
          <w:b/>
          <w:bCs/>
          <w:color w:val="auto"/>
          <w:sz w:val="22"/>
          <w:szCs w:val="22"/>
          <w:highlight w:val="none"/>
          <w:lang w:val="zh-CN"/>
        </w:rPr>
        <w:t>投标人已通过浙江政府采购网申请注册并成为正式入库供应商</w:t>
      </w:r>
      <w:r>
        <w:rPr>
          <w:rFonts w:hint="eastAsia" w:ascii="新宋体" w:hAnsi="新宋体" w:eastAsia="新宋体"/>
          <w:b/>
          <w:bCs/>
          <w:color w:val="auto"/>
          <w:sz w:val="22"/>
          <w:szCs w:val="22"/>
          <w:highlight w:val="none"/>
          <w:u w:val="single"/>
          <w:lang w:val="zh-CN"/>
        </w:rPr>
        <w:t>并提供</w:t>
      </w:r>
      <w:r>
        <w:rPr>
          <w:rFonts w:hint="eastAsia" w:ascii="新宋体" w:hAnsi="新宋体" w:eastAsia="新宋体"/>
          <w:b/>
          <w:bCs/>
          <w:color w:val="auto"/>
          <w:sz w:val="22"/>
          <w:szCs w:val="22"/>
          <w:highlight w:val="none"/>
          <w:u w:val="single"/>
        </w:rPr>
        <w:t>注册为</w:t>
      </w:r>
      <w:r>
        <w:rPr>
          <w:rFonts w:hint="eastAsia" w:ascii="新宋体" w:hAnsi="新宋体" w:eastAsia="新宋体"/>
          <w:b/>
          <w:bCs/>
          <w:color w:val="auto"/>
          <w:sz w:val="22"/>
          <w:szCs w:val="22"/>
          <w:highlight w:val="none"/>
          <w:u w:val="single"/>
          <w:lang w:val="zh-CN"/>
        </w:rPr>
        <w:t>小型、微型企业证明材料</w:t>
      </w:r>
      <w:r>
        <w:rPr>
          <w:rFonts w:hint="eastAsia" w:ascii="新宋体" w:hAnsi="新宋体" w:eastAsia="新宋体"/>
          <w:b/>
          <w:bCs/>
          <w:color w:val="auto"/>
          <w:sz w:val="22"/>
          <w:szCs w:val="22"/>
          <w:highlight w:val="none"/>
          <w:lang w:val="zh-CN"/>
        </w:rPr>
        <w:t>。</w:t>
      </w:r>
    </w:p>
    <w:p>
      <w:pPr>
        <w:spacing w:line="460" w:lineRule="exact"/>
        <w:ind w:firstLine="541" w:firstLineChars="245"/>
        <w:rPr>
          <w:rFonts w:hint="eastAsia" w:ascii="新宋体" w:hAnsi="新宋体" w:eastAsia="新宋体"/>
          <w:b/>
          <w:bCs/>
          <w:color w:val="auto"/>
          <w:sz w:val="22"/>
          <w:szCs w:val="22"/>
          <w:highlight w:val="none"/>
        </w:rPr>
      </w:pP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rPr>
        <w:t>注：</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w:t>
      </w:r>
      <w:r>
        <w:rPr>
          <w:rFonts w:hint="eastAsia" w:ascii="新宋体" w:hAnsi="新宋体" w:eastAsia="新宋体"/>
          <w:b/>
          <w:bCs/>
          <w:color w:val="auto"/>
          <w:sz w:val="22"/>
          <w:szCs w:val="22"/>
          <w:highlight w:val="none"/>
          <w:u w:val="single"/>
          <w:lang w:val="zh-CN"/>
        </w:rPr>
        <w:t>小型、微型企业</w:t>
      </w:r>
      <w:r>
        <w:rPr>
          <w:rFonts w:hint="eastAsia" w:ascii="新宋体" w:hAnsi="新宋体" w:eastAsia="新宋体"/>
          <w:b/>
          <w:bCs/>
          <w:color w:val="auto"/>
          <w:sz w:val="22"/>
          <w:szCs w:val="22"/>
          <w:highlight w:val="none"/>
          <w:u w:val="single"/>
        </w:rPr>
        <w:t>的按非小型或</w:t>
      </w:r>
      <w:r>
        <w:rPr>
          <w:rFonts w:hint="eastAsia" w:ascii="新宋体" w:hAnsi="新宋体" w:eastAsia="新宋体"/>
          <w:b/>
          <w:bCs/>
          <w:color w:val="auto"/>
          <w:sz w:val="22"/>
          <w:szCs w:val="22"/>
          <w:highlight w:val="none"/>
          <w:u w:val="single"/>
          <w:lang w:val="zh-CN"/>
        </w:rPr>
        <w:t>微型企业</w:t>
      </w:r>
      <w:r>
        <w:rPr>
          <w:rFonts w:hint="eastAsia" w:ascii="新宋体" w:hAnsi="新宋体" w:eastAsia="新宋体"/>
          <w:b/>
          <w:bCs/>
          <w:color w:val="auto"/>
          <w:sz w:val="22"/>
          <w:szCs w:val="22"/>
          <w:highlight w:val="none"/>
          <w:u w:val="single"/>
        </w:rPr>
        <w:t>处理，所提供的证明材料应为最新的最近的</w:t>
      </w:r>
      <w:r>
        <w:rPr>
          <w:rFonts w:hint="eastAsia" w:ascii="新宋体" w:hAnsi="新宋体" w:eastAsia="新宋体"/>
          <w:b/>
          <w:bCs/>
          <w:color w:val="auto"/>
          <w:sz w:val="22"/>
          <w:szCs w:val="22"/>
          <w:highlight w:val="none"/>
          <w:u w:val="single"/>
          <w:lang w:val="zh-CN"/>
        </w:rPr>
        <w:t>。</w:t>
      </w: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tabs>
          <w:tab w:val="left" w:pos="1620"/>
        </w:tabs>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《中小企业声明函》</w:t>
      </w:r>
    </w:p>
    <w:p>
      <w:pPr>
        <w:snapToGrid w:val="0"/>
        <w:spacing w:line="460" w:lineRule="exact"/>
        <w:jc w:val="center"/>
        <w:rPr>
          <w:rFonts w:hint="eastAsia" w:ascii="新宋体" w:hAnsi="新宋体" w:eastAsia="新宋体" w:cs="新宋体"/>
          <w:color w:val="auto"/>
          <w:sz w:val="22"/>
          <w:szCs w:val="22"/>
          <w:highlight w:val="none"/>
        </w:rPr>
      </w:pPr>
      <w:r>
        <w:rPr>
          <w:rFonts w:hint="eastAsia" w:ascii="宋体" w:hAnsi="宋体" w:cs="Arial"/>
          <w:color w:val="auto"/>
          <w:kern w:val="0"/>
          <w:sz w:val="22"/>
          <w:szCs w:val="22"/>
          <w:highlight w:val="none"/>
        </w:rPr>
        <w:t>【不属于中小企业单位的无需填写、递交】</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本公司对上述声明的真实性负责。如有虚假，将依法承担相应责任。</w:t>
      </w: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pacing w:val="20"/>
          <w:sz w:val="22"/>
          <w:szCs w:val="22"/>
          <w:highlight w:val="none"/>
          <w:u w:val="single"/>
        </w:rPr>
      </w:pPr>
      <w:r>
        <w:rPr>
          <w:rFonts w:hint="eastAsia" w:ascii="新宋体" w:hAnsi="新宋体" w:eastAsia="新宋体" w:cs="新宋体"/>
          <w:color w:val="auto"/>
          <w:sz w:val="22"/>
          <w:szCs w:val="22"/>
          <w:highlight w:val="none"/>
        </w:rPr>
        <w:t>法定代表人或授权委托人</w:t>
      </w:r>
      <w:r>
        <w:rPr>
          <w:rFonts w:hint="eastAsia" w:ascii="新宋体" w:hAnsi="新宋体" w:eastAsia="新宋体" w:cs="新宋体"/>
          <w:color w:val="auto"/>
          <w:spacing w:val="20"/>
          <w:sz w:val="22"/>
          <w:szCs w:val="22"/>
          <w:highlight w:val="none"/>
        </w:rPr>
        <w:t>签名：</w:t>
      </w:r>
      <w:r>
        <w:rPr>
          <w:rFonts w:hint="eastAsia" w:ascii="新宋体" w:hAnsi="新宋体" w:eastAsia="新宋体" w:cs="新宋体"/>
          <w:color w:val="auto"/>
          <w:spacing w:val="20"/>
          <w:sz w:val="22"/>
          <w:szCs w:val="22"/>
          <w:highlight w:val="none"/>
          <w:u w:val="single"/>
        </w:rPr>
        <w:t xml:space="preserve">          </w:t>
      </w:r>
    </w:p>
    <w:p>
      <w:pPr>
        <w:snapToGrid w:val="0"/>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投标人盖章：</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 xml:space="preserve">           日  期：</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pStyle w:val="10"/>
        <w:rPr>
          <w:rFonts w:hint="eastAsia" w:ascii="新宋体" w:hAnsi="新宋体" w:eastAsia="新宋体" w:cs="新宋体"/>
          <w:color w:val="auto"/>
          <w:spacing w:val="20"/>
          <w:sz w:val="22"/>
          <w:szCs w:val="22"/>
          <w:highlight w:val="none"/>
        </w:rPr>
      </w:pPr>
    </w:p>
    <w:p>
      <w:pPr>
        <w:rPr>
          <w:rFonts w:hint="eastAsia"/>
          <w:color w:val="auto"/>
          <w:highlight w:val="none"/>
        </w:rPr>
      </w:pPr>
    </w:p>
    <w:p>
      <w:pPr>
        <w:spacing w:line="460" w:lineRule="exact"/>
        <w:rPr>
          <w:rFonts w:hint="eastAsia" w:ascii="新宋体" w:hAnsi="新宋体" w:eastAsia="新宋体" w:cs="新宋体"/>
          <w:color w:val="auto"/>
          <w:spacing w:val="20"/>
          <w:sz w:val="22"/>
          <w:szCs w:val="22"/>
          <w:highlight w:val="none"/>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t>6、</w:t>
      </w:r>
      <w:r>
        <w:rPr>
          <w:rFonts w:hint="eastAsia" w:ascii="新宋体" w:hAnsi="新宋体" w:eastAsia="新宋体" w:cs="新宋体"/>
          <w:b/>
          <w:bCs/>
          <w:color w:val="auto"/>
          <w:sz w:val="28"/>
          <w:szCs w:val="28"/>
          <w:highlight w:val="none"/>
        </w:rPr>
        <w:t>残疾人福利性单位的相关证明材料</w:t>
      </w:r>
    </w:p>
    <w:p>
      <w:pPr>
        <w:spacing w:line="460" w:lineRule="exact"/>
        <w:ind w:firstLine="699" w:firstLineChars="300"/>
        <w:rPr>
          <w:rFonts w:hint="eastAsia" w:ascii="新宋体" w:hAnsi="新宋体" w:eastAsia="新宋体" w:cs="新宋体"/>
          <w:color w:val="auto"/>
          <w:spacing w:val="20"/>
          <w:sz w:val="22"/>
          <w:szCs w:val="22"/>
          <w:highlight w:val="none"/>
        </w:rPr>
      </w:pPr>
      <w:r>
        <w:rPr>
          <w:rFonts w:hint="eastAsia" w:ascii="宋体" w:hAnsi="宋体"/>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是残疾人福利性单位的按非残疾人福利性单位处理，所提供的证明材料应为最新的最近的</w:t>
      </w:r>
      <w:r>
        <w:rPr>
          <w:rFonts w:hint="eastAsia" w:ascii="新宋体" w:hAnsi="新宋体" w:eastAsia="新宋体"/>
          <w:b/>
          <w:bCs/>
          <w:color w:val="auto"/>
          <w:sz w:val="22"/>
          <w:szCs w:val="22"/>
          <w:highlight w:val="none"/>
          <w:u w:val="single"/>
          <w:lang w:val="zh-CN"/>
        </w:rPr>
        <w:t>。</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pPr>
        <w:snapToGrid w:val="0"/>
        <w:spacing w:line="460" w:lineRule="exact"/>
        <w:jc w:val="center"/>
        <w:rPr>
          <w:rFonts w:hint="eastAsia" w:ascii="新宋体" w:hAnsi="新宋体" w:eastAsia="新宋体" w:cs="新宋体"/>
          <w:b/>
          <w:bCs/>
          <w:color w:val="auto"/>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keepNext w:val="0"/>
        <w:keepLines w:val="0"/>
        <w:pageBreakBefore w:val="0"/>
        <w:widowControl w:val="0"/>
        <w:kinsoku/>
        <w:wordWrap/>
        <w:overflowPunct/>
        <w:topLinePunct w:val="0"/>
        <w:autoSpaceDE/>
        <w:autoSpaceDN/>
        <w:bidi w:val="0"/>
        <w:snapToGrid w:val="0"/>
        <w:spacing w:line="460" w:lineRule="exact"/>
        <w:ind w:firstLine="464" w:firstLineChars="200"/>
        <w:textAlignment w:val="auto"/>
        <w:rPr>
          <w:rFonts w:hint="eastAsia" w:ascii="新宋体" w:hAnsi="新宋体" w:eastAsia="新宋体" w:cs="新宋体"/>
          <w:color w:val="auto"/>
          <w:spacing w:val="6"/>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pPr>
        <w:pStyle w:val="22"/>
        <w:keepNext w:val="0"/>
        <w:keepLines w:val="0"/>
        <w:pageBreakBefore w:val="0"/>
        <w:widowControl w:val="0"/>
        <w:kinsoku/>
        <w:wordWrap/>
        <w:overflowPunct/>
        <w:topLinePunct w:val="0"/>
        <w:autoSpaceDE/>
        <w:autoSpaceDN/>
        <w:bidi w:val="0"/>
        <w:spacing w:line="460" w:lineRule="exact"/>
        <w:ind w:left="437" w:leftChars="208" w:firstLine="0" w:firstLineChars="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2"/>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rPr>
          <w:rFonts w:hint="eastAsia" w:ascii="新宋体" w:hAnsi="新宋体" w:eastAsia="新宋体" w:cs="新宋体"/>
          <w:color w:val="auto"/>
          <w:kern w:val="0"/>
          <w:sz w:val="22"/>
          <w:szCs w:val="22"/>
          <w:highlight w:val="none"/>
        </w:rPr>
      </w:pPr>
    </w:p>
    <w:p>
      <w:pPr>
        <w:pStyle w:val="22"/>
        <w:spacing w:line="460" w:lineRule="exact"/>
        <w:ind w:left="433" w:hanging="433" w:hangingChars="196"/>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rPr>
        <w:t>附件</w:t>
      </w:r>
      <w:r>
        <w:rPr>
          <w:rFonts w:hint="eastAsia" w:ascii="新宋体" w:hAnsi="新宋体" w:eastAsia="新宋体" w:cs="新宋体"/>
          <w:b/>
          <w:color w:val="auto"/>
          <w:sz w:val="22"/>
          <w:szCs w:val="22"/>
          <w:highlight w:val="none"/>
          <w:lang w:val="en-US" w:eastAsia="zh-CN"/>
        </w:rPr>
        <w:t>二</w:t>
      </w:r>
    </w:p>
    <w:p>
      <w:pPr>
        <w:spacing w:line="460" w:lineRule="exact"/>
        <w:jc w:val="center"/>
        <w:outlineLvl w:val="2"/>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资格证明文件</w:t>
      </w:r>
      <w:r>
        <w:rPr>
          <w:rFonts w:hint="eastAsia" w:ascii="新宋体" w:hAnsi="新宋体" w:eastAsia="新宋体" w:cs="新宋体"/>
          <w:color w:val="auto"/>
          <w:sz w:val="28"/>
          <w:szCs w:val="28"/>
          <w:highlight w:val="none"/>
        </w:rPr>
        <w:t xml:space="preserve"> </w:t>
      </w:r>
    </w:p>
    <w:p>
      <w:pPr>
        <w:spacing w:line="400" w:lineRule="exact"/>
        <w:jc w:val="both"/>
        <w:outlineLvl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rPr>
        <w:t>有效营业执照（复印件盖单位公章）</w:t>
      </w:r>
    </w:p>
    <w:p>
      <w:pPr>
        <w:spacing w:line="400" w:lineRule="exact"/>
        <w:jc w:val="both"/>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rPr>
        <w:t>最近一年财务报表(复印件，新成立的公司提供情况说明)；</w:t>
      </w:r>
    </w:p>
    <w:p>
      <w:pPr>
        <w:keepNext w:val="0"/>
        <w:keepLines w:val="0"/>
        <w:pageBreakBefore w:val="0"/>
        <w:kinsoku/>
        <w:wordWrap/>
        <w:overflowPunct/>
        <w:topLinePunct w:val="0"/>
        <w:autoSpaceDE/>
        <w:autoSpaceDN/>
        <w:bidi w:val="0"/>
        <w:spacing w:line="460" w:lineRule="exact"/>
        <w:ind w:left="514" w:leftChars="245"/>
        <w:jc w:val="left"/>
        <w:textAlignment w:val="auto"/>
        <w:outlineLvl w:val="9"/>
        <w:rPr>
          <w:rFonts w:hint="eastAsia" w:ascii="新宋体" w:hAnsi="新宋体" w:eastAsia="新宋体" w:cs="新宋体"/>
          <w:b/>
          <w:bCs/>
          <w:color w:val="auto"/>
          <w:sz w:val="21"/>
          <w:szCs w:val="21"/>
          <w:highlight w:val="none"/>
          <w:u w:val="none"/>
          <w:lang w:val="en-US" w:eastAsia="zh-CN"/>
        </w:rPr>
      </w:pPr>
    </w:p>
    <w:p>
      <w:pPr>
        <w:keepNext w:val="0"/>
        <w:keepLines w:val="0"/>
        <w:pageBreakBefore w:val="0"/>
        <w:kinsoku/>
        <w:wordWrap/>
        <w:overflowPunct/>
        <w:topLinePunct w:val="0"/>
        <w:autoSpaceDE/>
        <w:autoSpaceDN/>
        <w:bidi w:val="0"/>
        <w:spacing w:line="460" w:lineRule="exact"/>
        <w:jc w:val="left"/>
        <w:textAlignment w:val="auto"/>
        <w:outlineLvl w:val="3"/>
        <w:rPr>
          <w:rFonts w:hint="eastAsia" w:ascii="新宋体" w:hAnsi="新宋体" w:eastAsia="新宋体" w:cs="新宋体"/>
          <w:color w:val="auto"/>
          <w:sz w:val="21"/>
          <w:szCs w:val="21"/>
          <w:highlight w:val="none"/>
          <w:lang w:eastAsia="zh-CN"/>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具有履行合同所必需的</w:t>
      </w:r>
      <w:r>
        <w:rPr>
          <w:rFonts w:hint="eastAsia" w:ascii="新宋体" w:hAnsi="新宋体" w:eastAsia="新宋体" w:cs="新宋体"/>
          <w:b/>
          <w:bCs/>
          <w:color w:val="auto"/>
          <w:sz w:val="24"/>
          <w:szCs w:val="24"/>
          <w:highlight w:val="none"/>
          <w:lang w:val="en-US" w:eastAsia="zh-CN"/>
        </w:rPr>
        <w:t>场地、</w:t>
      </w:r>
      <w:r>
        <w:rPr>
          <w:rFonts w:hint="eastAsia" w:ascii="新宋体" w:hAnsi="新宋体" w:eastAsia="新宋体" w:cs="新宋体"/>
          <w:b/>
          <w:bCs/>
          <w:color w:val="auto"/>
          <w:sz w:val="24"/>
          <w:szCs w:val="24"/>
          <w:highlight w:val="none"/>
        </w:rPr>
        <w:t>设备和专业技术能力的承诺函；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温州市人民政府金融工作办公室</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温州历程招标有限公司</w:t>
      </w:r>
      <w:r>
        <w:rPr>
          <w:rFonts w:hint="eastAsia" w:ascii="新宋体" w:hAnsi="新宋体" w:eastAsia="新宋体" w:cs="新宋体"/>
          <w:color w:val="auto"/>
          <w:kern w:val="0"/>
          <w:sz w:val="22"/>
          <w:szCs w:val="22"/>
          <w:highlight w:val="none"/>
        </w:rPr>
        <w:t>：</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承诺具有履行合同所必需的</w:t>
      </w:r>
      <w:r>
        <w:rPr>
          <w:rFonts w:hint="eastAsia" w:ascii="新宋体" w:hAnsi="新宋体" w:eastAsia="新宋体" w:cs="新宋体"/>
          <w:color w:val="auto"/>
          <w:kern w:val="0"/>
          <w:sz w:val="22"/>
          <w:szCs w:val="22"/>
          <w:highlight w:val="none"/>
          <w:lang w:val="en-US" w:eastAsia="zh-CN"/>
        </w:rPr>
        <w:t>场地、</w:t>
      </w:r>
      <w:r>
        <w:rPr>
          <w:rFonts w:hint="eastAsia" w:ascii="新宋体" w:hAnsi="新宋体" w:eastAsia="新宋体" w:cs="新宋体"/>
          <w:color w:val="auto"/>
          <w:kern w:val="0"/>
          <w:sz w:val="22"/>
          <w:szCs w:val="22"/>
          <w:highlight w:val="none"/>
        </w:rPr>
        <w:t>设备和专业技术能力。如有虚假，采购人可取消我方任何资格（投标/中标/签订合同），我方对此无任何异议。</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pStyle w:val="22"/>
        <w:keepNext w:val="0"/>
        <w:keepLines w:val="0"/>
        <w:pageBreakBefore w:val="0"/>
        <w:kinsoku/>
        <w:wordWrap/>
        <w:overflowPunct/>
        <w:topLinePunct w:val="0"/>
        <w:autoSpaceDE/>
        <w:autoSpaceDN/>
        <w:bidi w:val="0"/>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2"/>
        <w:keepNext w:val="0"/>
        <w:keepLines w:val="0"/>
        <w:pageBreakBefore w:val="0"/>
        <w:kinsoku/>
        <w:wordWrap/>
        <w:overflowPunct/>
        <w:topLinePunct w:val="0"/>
        <w:autoSpaceDE/>
        <w:autoSpaceDN/>
        <w:bidi w:val="0"/>
        <w:spacing w:line="460" w:lineRule="exact"/>
        <w:ind w:left="0" w:leftChars="0" w:firstLine="0" w:firstLineChars="0"/>
        <w:textAlignment w:val="auto"/>
        <w:rPr>
          <w:rFonts w:hint="eastAsia" w:ascii="宋体" w:hAnsi="宋体" w:cs="宋体"/>
          <w:color w:val="auto"/>
          <w:kern w:val="0"/>
          <w:sz w:val="24"/>
          <w:highlight w:val="none"/>
        </w:rPr>
      </w:pPr>
    </w:p>
    <w:p>
      <w:pPr>
        <w:keepNext w:val="0"/>
        <w:keepLines w:val="0"/>
        <w:pageBreakBefore w:val="0"/>
        <w:kinsoku/>
        <w:wordWrap/>
        <w:overflowPunct/>
        <w:topLinePunct w:val="0"/>
        <w:autoSpaceDE/>
        <w:autoSpaceDN/>
        <w:bidi w:val="0"/>
        <w:spacing w:line="460" w:lineRule="exact"/>
        <w:jc w:val="left"/>
        <w:textAlignment w:val="auto"/>
        <w:outlineLvl w:val="3"/>
        <w:rPr>
          <w:rFonts w:hint="eastAsia"/>
          <w:color w:val="auto"/>
          <w:sz w:val="20"/>
          <w:szCs w:val="22"/>
          <w:highlight w:val="none"/>
        </w:rPr>
      </w:pPr>
      <w:r>
        <w:rPr>
          <w:rFonts w:hint="eastAsia" w:ascii="新宋体" w:hAnsi="新宋体" w:eastAsia="新宋体" w:cs="新宋体"/>
          <w:b/>
          <w:bCs/>
          <w:color w:val="auto"/>
          <w:sz w:val="24"/>
          <w:szCs w:val="24"/>
          <w:highlight w:val="none"/>
          <w:lang w:val="en-US" w:eastAsia="zh-CN"/>
        </w:rPr>
        <w:t>4、</w:t>
      </w:r>
      <w:r>
        <w:rPr>
          <w:rFonts w:hint="eastAsia" w:ascii="新宋体" w:hAnsi="新宋体" w:eastAsia="新宋体" w:cs="新宋体"/>
          <w:b/>
          <w:bCs/>
          <w:color w:val="auto"/>
          <w:sz w:val="24"/>
          <w:szCs w:val="24"/>
          <w:highlight w:val="none"/>
        </w:rPr>
        <w:t>依法缴纳税收和社会保障</w:t>
      </w:r>
      <w:r>
        <w:rPr>
          <w:rFonts w:hint="eastAsia" w:ascii="新宋体" w:hAnsi="新宋体" w:eastAsia="新宋体" w:cs="新宋体"/>
          <w:b/>
          <w:bCs/>
          <w:color w:val="auto"/>
          <w:sz w:val="24"/>
          <w:szCs w:val="24"/>
          <w:highlight w:val="none"/>
          <w:lang w:val="en-US" w:eastAsia="zh-CN"/>
        </w:rPr>
        <w:t>资</w:t>
      </w:r>
      <w:r>
        <w:rPr>
          <w:rFonts w:hint="eastAsia" w:ascii="新宋体" w:hAnsi="新宋体" w:eastAsia="新宋体" w:cs="新宋体"/>
          <w:b/>
          <w:bCs/>
          <w:color w:val="auto"/>
          <w:sz w:val="24"/>
          <w:szCs w:val="24"/>
          <w:highlight w:val="none"/>
        </w:rPr>
        <w:t>金的承诺函；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温州市人民政府金融工作办公室</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温州历程招标有限公司</w:t>
      </w:r>
      <w:r>
        <w:rPr>
          <w:rFonts w:hint="eastAsia" w:ascii="新宋体" w:hAnsi="新宋体" w:eastAsia="新宋体" w:cs="新宋体"/>
          <w:color w:val="auto"/>
          <w:kern w:val="0"/>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我公司郑重声明，我公司严格依法缴纳税收和社会保障</w:t>
      </w:r>
      <w:r>
        <w:rPr>
          <w:rFonts w:hint="eastAsia" w:ascii="新宋体" w:hAnsi="新宋体" w:eastAsia="新宋体" w:cs="新宋体"/>
          <w:color w:val="auto"/>
          <w:kern w:val="0"/>
          <w:sz w:val="22"/>
          <w:szCs w:val="22"/>
          <w:highlight w:val="none"/>
          <w:lang w:val="en-US" w:eastAsia="zh-CN"/>
        </w:rPr>
        <w:t>资</w:t>
      </w:r>
      <w:r>
        <w:rPr>
          <w:rFonts w:hint="eastAsia" w:ascii="新宋体" w:hAnsi="新宋体" w:eastAsia="新宋体" w:cs="新宋体"/>
          <w:color w:val="auto"/>
          <w:kern w:val="0"/>
          <w:sz w:val="22"/>
          <w:szCs w:val="22"/>
          <w:highlight w:val="none"/>
        </w:rPr>
        <w:t>金，本文件中所提供的相关材料均真实有效，不存在虚假、造假行为。如有违反，愿承担一切责任。</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rPr>
      </w:pP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00" w:firstLine="6160" w:firstLineChars="28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rPr>
      </w:pPr>
    </w:p>
    <w:p>
      <w:pPr>
        <w:keepNext w:val="0"/>
        <w:keepLines w:val="0"/>
        <w:pageBreakBefore w:val="0"/>
        <w:numPr>
          <w:ilvl w:val="0"/>
          <w:numId w:val="0"/>
        </w:numPr>
        <w:kinsoku/>
        <w:wordWrap/>
        <w:overflowPunct/>
        <w:topLinePunct w:val="0"/>
        <w:autoSpaceDE/>
        <w:autoSpaceDN/>
        <w:bidi w:val="0"/>
        <w:spacing w:line="460" w:lineRule="exact"/>
        <w:textAlignment w:val="auto"/>
        <w:outlineLvl w:val="3"/>
        <w:rPr>
          <w:rFonts w:hint="eastAsia" w:ascii="新宋体" w:hAnsi="新宋体" w:eastAsia="新宋体" w:cs="新宋体"/>
          <w:b/>
          <w:bCs/>
          <w:color w:val="auto"/>
          <w:sz w:val="22"/>
          <w:szCs w:val="22"/>
          <w:highlight w:val="none"/>
          <w:u w:val="none"/>
        </w:rPr>
      </w:pPr>
      <w:r>
        <w:rPr>
          <w:rFonts w:hint="eastAsia" w:ascii="新宋体" w:hAnsi="新宋体" w:eastAsia="新宋体" w:cs="新宋体"/>
          <w:b/>
          <w:bCs/>
          <w:color w:val="auto"/>
          <w:sz w:val="24"/>
          <w:szCs w:val="24"/>
          <w:highlight w:val="none"/>
          <w:lang w:val="en-US" w:eastAsia="zh-CN"/>
        </w:rPr>
        <w:t>5、</w:t>
      </w:r>
      <w:r>
        <w:rPr>
          <w:rFonts w:hint="eastAsia" w:ascii="新宋体" w:hAnsi="新宋体" w:eastAsia="新宋体" w:cs="新宋体"/>
          <w:b/>
          <w:bCs/>
          <w:color w:val="auto"/>
          <w:sz w:val="24"/>
          <w:szCs w:val="24"/>
          <w:highlight w:val="none"/>
        </w:rPr>
        <w:t>参加政府采购活动前3年内在经营活动中没有重大违法记录的声明函</w:t>
      </w:r>
      <w:r>
        <w:rPr>
          <w:rFonts w:hint="eastAsia" w:ascii="新宋体" w:hAnsi="新宋体" w:eastAsia="新宋体" w:cs="新宋体"/>
          <w:b/>
          <w:bCs/>
          <w:color w:val="auto"/>
          <w:sz w:val="22"/>
          <w:szCs w:val="22"/>
          <w:highlight w:val="none"/>
          <w:u w:val="none"/>
        </w:rPr>
        <w:t>；</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温州市人民政府金融工作办公室</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温州历程招标有限公司</w:t>
      </w:r>
      <w:r>
        <w:rPr>
          <w:rFonts w:hint="eastAsia" w:ascii="新宋体" w:hAnsi="新宋体" w:eastAsia="新宋体" w:cs="新宋体"/>
          <w:color w:val="auto"/>
          <w:kern w:val="0"/>
          <w:sz w:val="22"/>
          <w:szCs w:val="22"/>
          <w:highlight w:val="none"/>
        </w:rPr>
        <w:t>：</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firstLine="5720" w:firstLineChars="2600"/>
        <w:textAlignment w:val="auto"/>
        <w:rPr>
          <w:rFonts w:hint="eastAsia"/>
          <w:color w:val="auto"/>
          <w:highlight w:val="none"/>
        </w:rPr>
      </w:pPr>
      <w:r>
        <w:rPr>
          <w:rFonts w:hint="eastAsia" w:ascii="新宋体" w:hAnsi="新宋体" w:eastAsia="新宋体" w:cs="新宋体"/>
          <w:color w:val="auto"/>
          <w:kern w:val="0"/>
          <w:sz w:val="22"/>
          <w:szCs w:val="22"/>
          <w:highlight w:val="none"/>
        </w:rPr>
        <w:t>日期：     年  月  日</w:t>
      </w:r>
    </w:p>
    <w:p>
      <w:pPr>
        <w:keepNext w:val="0"/>
        <w:keepLines w:val="0"/>
        <w:pageBreakBefore w:val="0"/>
        <w:numPr>
          <w:ilvl w:val="0"/>
          <w:numId w:val="0"/>
        </w:numPr>
        <w:kinsoku/>
        <w:wordWrap/>
        <w:overflowPunct/>
        <w:topLinePunct w:val="0"/>
        <w:autoSpaceDE/>
        <w:autoSpaceDN/>
        <w:bidi w:val="0"/>
        <w:spacing w:line="460" w:lineRule="exact"/>
        <w:ind w:leftChars="245"/>
        <w:textAlignment w:val="auto"/>
        <w:outlineLvl w:val="9"/>
        <w:rPr>
          <w:rFonts w:hint="eastAsia" w:ascii="新宋体" w:hAnsi="新宋体" w:eastAsia="新宋体" w:cs="新宋体"/>
          <w:b/>
          <w:bCs/>
          <w:color w:val="auto"/>
          <w:sz w:val="22"/>
          <w:szCs w:val="22"/>
          <w:highlight w:val="none"/>
          <w:u w:val="none"/>
          <w:lang w:eastAsia="zh-CN"/>
        </w:rPr>
      </w:pPr>
    </w:p>
    <w:p>
      <w:pPr>
        <w:keepNext w:val="0"/>
        <w:keepLines w:val="0"/>
        <w:pageBreakBefore w:val="0"/>
        <w:numPr>
          <w:ilvl w:val="0"/>
          <w:numId w:val="0"/>
        </w:numPr>
        <w:kinsoku/>
        <w:wordWrap/>
        <w:overflowPunct/>
        <w:topLinePunct w:val="0"/>
        <w:autoSpaceDE/>
        <w:autoSpaceDN/>
        <w:bidi w:val="0"/>
        <w:spacing w:line="460" w:lineRule="exact"/>
        <w:ind w:leftChars="245"/>
        <w:textAlignment w:val="auto"/>
        <w:outlineLvl w:val="9"/>
        <w:rPr>
          <w:rFonts w:hint="eastAsia" w:ascii="新宋体" w:hAnsi="新宋体" w:eastAsia="新宋体" w:cs="新宋体"/>
          <w:b/>
          <w:bCs/>
          <w:color w:val="auto"/>
          <w:sz w:val="22"/>
          <w:szCs w:val="22"/>
          <w:highlight w:val="none"/>
          <w:u w:val="none"/>
          <w:lang w:eastAsia="zh-CN"/>
        </w:rPr>
      </w:pPr>
    </w:p>
    <w:p>
      <w:pPr>
        <w:pStyle w:val="22"/>
        <w:ind w:left="0" w:leftChars="0" w:firstLine="0" w:firstLineChars="0"/>
        <w:rPr>
          <w:rFonts w:hint="eastAsia"/>
          <w:color w:val="auto"/>
          <w:highlight w:val="none"/>
          <w:lang w:eastAsia="zh-CN"/>
        </w:rPr>
      </w:pPr>
    </w:p>
    <w:p>
      <w:pPr>
        <w:keepNext w:val="0"/>
        <w:keepLines w:val="0"/>
        <w:pageBreakBefore w:val="0"/>
        <w:kinsoku/>
        <w:wordWrap/>
        <w:overflowPunct/>
        <w:topLinePunct w:val="0"/>
        <w:autoSpaceDE/>
        <w:autoSpaceDN/>
        <w:bidi w:val="0"/>
        <w:spacing w:line="460" w:lineRule="exact"/>
        <w:textAlignment w:val="auto"/>
        <w:outlineLvl w:val="3"/>
        <w:rPr>
          <w:rFonts w:hint="eastAsia" w:ascii="新宋体" w:hAnsi="新宋体" w:eastAsia="新宋体" w:cs="新宋体"/>
          <w:b/>
          <w:bCs/>
          <w:color w:val="auto"/>
          <w:sz w:val="21"/>
          <w:szCs w:val="21"/>
          <w:highlight w:val="none"/>
          <w:u w:val="none"/>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rPr>
        <w:t>单位负责人为同一人或者存在直接控股、管理关系的不同供应商，不得参加同一合同项下的政府采购活动承诺函；</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温州市人民政府金融工作办公室</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温州历程招标有限公司</w:t>
      </w:r>
      <w:r>
        <w:rPr>
          <w:rFonts w:hint="eastAsia" w:ascii="新宋体" w:hAnsi="新宋体" w:eastAsia="新宋体" w:cs="新宋体"/>
          <w:color w:val="auto"/>
          <w:kern w:val="0"/>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我方郑重承诺，我方此次参加</w:t>
      </w:r>
      <w:r>
        <w:rPr>
          <w:rFonts w:hint="eastAsia" w:ascii="新宋体" w:hAnsi="新宋体" w:eastAsia="新宋体"/>
          <w:b w:val="0"/>
          <w:bCs w:val="0"/>
          <w:color w:val="auto"/>
          <w:sz w:val="22"/>
          <w:szCs w:val="22"/>
          <w:highlight w:val="none"/>
          <w:lang w:eastAsia="zh-CN"/>
        </w:rPr>
        <w:t>温州市人民政府金融工作办公室</w:t>
      </w:r>
      <w:r>
        <w:rPr>
          <w:rFonts w:hint="eastAsia" w:ascii="新宋体" w:hAnsi="新宋体" w:eastAsia="新宋体" w:cs="新宋体"/>
          <w:color w:val="auto"/>
          <w:kern w:val="0"/>
          <w:sz w:val="22"/>
          <w:szCs w:val="22"/>
          <w:highlight w:val="none"/>
          <w:u w:val="single"/>
          <w:lang w:eastAsia="zh-CN"/>
        </w:rPr>
        <w:t xml:space="preserve">                  </w:t>
      </w:r>
      <w:r>
        <w:rPr>
          <w:rFonts w:hint="eastAsia" w:ascii="新宋体" w:hAnsi="新宋体" w:eastAsia="新宋体" w:cs="新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keepNext w:val="0"/>
        <w:keepLines w:val="0"/>
        <w:pageBreakBefore w:val="0"/>
        <w:shd w:val="clear" w:color="auto" w:fill="FFFFFF"/>
        <w:kinsoku/>
        <w:wordWrap/>
        <w:overflowPunct/>
        <w:topLinePunct w:val="0"/>
        <w:autoSpaceDE/>
        <w:autoSpaceDN/>
        <w:bidi w:val="0"/>
        <w:snapToGrid w:val="0"/>
        <w:spacing w:line="460" w:lineRule="exact"/>
        <w:jc w:val="center"/>
        <w:textAlignment w:val="auto"/>
        <w:rPr>
          <w:rFonts w:hint="eastAsia" w:ascii="新宋体" w:hAnsi="新宋体" w:eastAsia="新宋体" w:cs="新宋体"/>
          <w:b/>
          <w:color w:val="auto"/>
          <w:kern w:val="36"/>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firstLine="5720" w:firstLineChars="2600"/>
        <w:textAlignment w:val="auto"/>
        <w:rPr>
          <w:rFonts w:hint="eastAsia" w:ascii="宋体" w:hAnsi="宋体" w:cs="宋体"/>
          <w:color w:val="auto"/>
          <w:kern w:val="0"/>
          <w:sz w:val="24"/>
          <w:highlight w:val="none"/>
        </w:rPr>
      </w:pPr>
      <w:r>
        <w:rPr>
          <w:rFonts w:hint="eastAsia" w:ascii="新宋体" w:hAnsi="新宋体" w:eastAsia="新宋体" w:cs="新宋体"/>
          <w:color w:val="auto"/>
          <w:kern w:val="0"/>
          <w:sz w:val="22"/>
          <w:szCs w:val="22"/>
          <w:highlight w:val="none"/>
        </w:rPr>
        <w:t>日期：     年  月  日</w:t>
      </w: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rPr>
      </w:pPr>
    </w:p>
    <w:p>
      <w:pPr>
        <w:pStyle w:val="2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cs="宋体"/>
          <w:color w:val="auto"/>
          <w:kern w:val="0"/>
          <w:sz w:val="24"/>
          <w:highlight w:val="none"/>
        </w:rPr>
      </w:pPr>
    </w:p>
    <w:p>
      <w:pPr>
        <w:spacing w:line="400" w:lineRule="exact"/>
        <w:jc w:val="both"/>
        <w:outlineLvl w:val="3"/>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7、投</w:t>
      </w:r>
      <w:r>
        <w:rPr>
          <w:rFonts w:hint="eastAsia" w:ascii="新宋体" w:hAnsi="新宋体" w:eastAsia="新宋体" w:cs="新宋体"/>
          <w:b/>
          <w:bCs/>
          <w:color w:val="auto"/>
          <w:sz w:val="24"/>
          <w:szCs w:val="24"/>
          <w:highlight w:val="none"/>
        </w:rPr>
        <w:t>标供应商不属于公益一类事业单位承诺函</w:t>
      </w:r>
      <w:r>
        <w:rPr>
          <w:rFonts w:hint="eastAsia" w:ascii="新宋体" w:hAnsi="新宋体" w:eastAsia="新宋体" w:cs="新宋体"/>
          <w:b/>
          <w:bCs/>
          <w:color w:val="auto"/>
          <w:sz w:val="24"/>
          <w:szCs w:val="24"/>
          <w:highlight w:val="none"/>
          <w:lang w:eastAsia="zh-CN"/>
        </w:rPr>
        <w:t>；</w:t>
      </w:r>
    </w:p>
    <w:p>
      <w:pPr>
        <w:keepNext w:val="0"/>
        <w:keepLines w:val="0"/>
        <w:pageBreakBefore w:val="0"/>
        <w:shd w:val="clear" w:color="auto" w:fill="FFFFFF"/>
        <w:kinsoku/>
        <w:wordWrap/>
        <w:overflowPunct/>
        <w:topLinePunct w:val="0"/>
        <w:autoSpaceDE/>
        <w:autoSpaceDN/>
        <w:bidi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温州市人民政府金融工作办公室</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温州历程招标有限公司</w:t>
      </w:r>
      <w:r>
        <w:rPr>
          <w:rFonts w:hint="eastAsia" w:ascii="新宋体" w:hAnsi="新宋体" w:eastAsia="新宋体" w:cs="新宋体"/>
          <w:color w:val="auto"/>
          <w:kern w:val="0"/>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我方郑重承诺，我单位不属于公益一类事业单位，可承接</w:t>
      </w:r>
      <w:r>
        <w:rPr>
          <w:rFonts w:hint="eastAsia" w:ascii="新宋体" w:hAnsi="新宋体" w:eastAsia="新宋体" w:cs="新宋体"/>
          <w:color w:val="auto"/>
          <w:kern w:val="0"/>
          <w:sz w:val="22"/>
          <w:szCs w:val="22"/>
          <w:highlight w:val="none"/>
          <w:lang w:eastAsia="zh-CN"/>
        </w:rPr>
        <w:t>温州市人民政府金融工作办公室</w:t>
      </w:r>
      <w:r>
        <w:rPr>
          <w:rFonts w:hint="eastAsia" w:ascii="新宋体" w:hAnsi="新宋体" w:eastAsia="新宋体" w:cs="新宋体"/>
          <w:color w:val="auto"/>
          <w:kern w:val="0"/>
          <w:sz w:val="22"/>
          <w:szCs w:val="22"/>
          <w:highlight w:val="none"/>
          <w:u w:val="single"/>
          <w:lang w:eastAsia="zh-CN"/>
        </w:rPr>
        <w:t xml:space="preserve">    </w:t>
      </w:r>
      <w:r>
        <w:rPr>
          <w:rFonts w:hint="eastAsia" w:ascii="新宋体" w:hAnsi="新宋体" w:eastAsia="新宋体" w:cs="新宋体"/>
          <w:color w:val="auto"/>
          <w:kern w:val="0"/>
          <w:sz w:val="22"/>
          <w:szCs w:val="22"/>
          <w:highlight w:val="none"/>
        </w:rPr>
        <w:t>项目的相关服务内容。如有虚假或隐瞒，愿意承担一切后果。</w:t>
      </w:r>
    </w:p>
    <w:p>
      <w:pPr>
        <w:keepNext w:val="0"/>
        <w:keepLines w:val="0"/>
        <w:pageBreakBefore w:val="0"/>
        <w:shd w:val="clear" w:color="auto" w:fill="FFFFFF"/>
        <w:kinsoku/>
        <w:wordWrap/>
        <w:overflowPunct/>
        <w:topLinePunct w:val="0"/>
        <w:autoSpaceDE/>
        <w:autoSpaceDN/>
        <w:bidi w:val="0"/>
        <w:snapToGrid w:val="0"/>
        <w:spacing w:line="460" w:lineRule="exact"/>
        <w:jc w:val="center"/>
        <w:textAlignment w:val="auto"/>
        <w:rPr>
          <w:rFonts w:hint="eastAsia" w:ascii="新宋体" w:hAnsi="新宋体" w:eastAsia="新宋体" w:cs="新宋体"/>
          <w:b/>
          <w:color w:val="auto"/>
          <w:kern w:val="36"/>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keepNext w:val="0"/>
        <w:keepLines w:val="0"/>
        <w:pageBreakBefore w:val="0"/>
        <w:widowControl/>
        <w:kinsoku/>
        <w:wordWrap/>
        <w:overflowPunct/>
        <w:topLinePunct w:val="0"/>
        <w:autoSpaceDE/>
        <w:autoSpaceDN/>
        <w:bidi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keepNext w:val="0"/>
        <w:keepLines w:val="0"/>
        <w:pageBreakBefore w:val="0"/>
        <w:widowControl/>
        <w:kinsoku/>
        <w:wordWrap/>
        <w:overflowPunct/>
        <w:topLinePunct w:val="0"/>
        <w:autoSpaceDE/>
        <w:autoSpaceDN/>
        <w:bidi w:val="0"/>
        <w:adjustRightInd w:val="0"/>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460" w:lineRule="exact"/>
        <w:ind w:firstLine="6160" w:firstLineChars="2800"/>
        <w:jc w:val="left"/>
        <w:textAlignment w:val="auto"/>
        <w:rPr>
          <w:rFonts w:hint="eastAsia" w:ascii="宋体" w:hAnsi="宋体" w:cs="宋体"/>
          <w:color w:val="auto"/>
          <w:kern w:val="0"/>
          <w:sz w:val="24"/>
          <w:highlight w:val="none"/>
        </w:rPr>
      </w:pPr>
      <w:r>
        <w:rPr>
          <w:rFonts w:hint="eastAsia" w:ascii="新宋体" w:hAnsi="新宋体" w:eastAsia="新宋体" w:cs="新宋体"/>
          <w:color w:val="auto"/>
          <w:kern w:val="0"/>
          <w:sz w:val="22"/>
          <w:szCs w:val="22"/>
          <w:highlight w:val="none"/>
        </w:rPr>
        <w:t>日期：     年  月  日</w:t>
      </w: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rPr>
      </w:pPr>
    </w:p>
    <w:p>
      <w:pPr>
        <w:pStyle w:val="22"/>
        <w:keepNext w:val="0"/>
        <w:keepLines w:val="0"/>
        <w:pageBreakBefore w:val="0"/>
        <w:numPr>
          <w:ilvl w:val="0"/>
          <w:numId w:val="0"/>
        </w:numPr>
        <w:kinsoku/>
        <w:wordWrap/>
        <w:overflowPunct/>
        <w:topLinePunct w:val="0"/>
        <w:autoSpaceDE/>
        <w:autoSpaceDN/>
        <w:bidi w:val="0"/>
        <w:spacing w:line="460" w:lineRule="exact"/>
        <w:ind w:leftChars="245"/>
        <w:textAlignment w:val="auto"/>
        <w:rPr>
          <w:rFonts w:hint="eastAsia"/>
          <w:color w:val="auto"/>
          <w:highlight w:val="none"/>
        </w:rPr>
      </w:pPr>
    </w:p>
    <w:p>
      <w:pPr>
        <w:spacing w:line="400" w:lineRule="exact"/>
        <w:jc w:val="both"/>
        <w:outlineLvl w:val="3"/>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b/>
          <w:bCs/>
          <w:color w:val="auto"/>
          <w:sz w:val="24"/>
          <w:szCs w:val="24"/>
          <w:highlight w:val="none"/>
        </w:rPr>
        <w:t>投标人信用查询</w:t>
      </w:r>
      <w:r>
        <w:rPr>
          <w:rFonts w:hint="eastAsia" w:ascii="新宋体" w:hAnsi="新宋体" w:eastAsia="新宋体" w:cs="新宋体"/>
          <w:b/>
          <w:bCs/>
          <w:color w:val="auto"/>
          <w:sz w:val="24"/>
          <w:szCs w:val="24"/>
          <w:highlight w:val="none"/>
          <w:lang w:eastAsia="zh-CN"/>
        </w:rPr>
        <w:t>：</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1、投标人信用信息查询的查询渠道：“信用中国”(www.creditchina.gov.cn)；“中国政府采购网”（http://www.ccgp.gov.cn/）；</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2、投标人信用信息查询截止时点：招标公告发布之日至投标截止时间前。</w:t>
      </w:r>
    </w:p>
    <w:p>
      <w:pPr>
        <w:keepNext w:val="0"/>
        <w:keepLines w:val="0"/>
        <w:pageBreakBefore w:val="0"/>
        <w:tabs>
          <w:tab w:val="left" w:pos="360"/>
        </w:tabs>
        <w:kinsoku/>
        <w:wordWrap/>
        <w:overflowPunct/>
        <w:topLinePunct w:val="0"/>
        <w:autoSpaceDE/>
        <w:autoSpaceDN/>
        <w:bidi w:val="0"/>
        <w:spacing w:line="460" w:lineRule="exact"/>
        <w:ind w:firstLine="550" w:firstLineChars="25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3、投标人信用信息查询记录和证据留存的具体方式：网页截图；</w:t>
      </w:r>
    </w:p>
    <w:p>
      <w:pPr>
        <w:keepNext w:val="0"/>
        <w:keepLines w:val="0"/>
        <w:pageBreakBefore w:val="0"/>
        <w:tabs>
          <w:tab w:val="left" w:pos="360"/>
        </w:tabs>
        <w:kinsoku/>
        <w:wordWrap/>
        <w:overflowPunct/>
        <w:topLinePunct w:val="0"/>
        <w:autoSpaceDE/>
        <w:autoSpaceDN/>
        <w:bidi w:val="0"/>
        <w:spacing w:line="460" w:lineRule="exact"/>
        <w:ind w:firstLine="552" w:firstLineChars="250"/>
        <w:textAlignment w:val="auto"/>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jc w:val="center"/>
        <w:textAlignment w:val="auto"/>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t>9、政府采购活动现场确认声明书</w:t>
      </w:r>
    </w:p>
    <w:p>
      <w:pPr>
        <w:keepNext w:val="0"/>
        <w:keepLines w:val="0"/>
        <w:pageBreakBefore w:val="0"/>
        <w:kinsoku/>
        <w:wordWrap/>
        <w:overflowPunct/>
        <w:topLinePunct w:val="0"/>
        <w:autoSpaceDE/>
        <w:autoSpaceDN/>
        <w:bidi w:val="0"/>
        <w:spacing w:line="460" w:lineRule="exact"/>
        <w:textAlignment w:val="auto"/>
        <w:rPr>
          <w:rFonts w:ascii="新宋体" w:hAnsi="新宋体" w:eastAsia="新宋体" w:cs="新宋体"/>
          <w:b/>
          <w:bCs/>
          <w:color w:val="auto"/>
          <w:sz w:val="22"/>
          <w:szCs w:val="22"/>
          <w:highlight w:val="none"/>
        </w:rPr>
      </w:pPr>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i w:val="0"/>
          <w:color w:val="auto"/>
          <w:kern w:val="0"/>
          <w:sz w:val="22"/>
          <w:szCs w:val="22"/>
          <w:highlight w:val="none"/>
          <w:u w:val="none"/>
          <w:lang w:val="en-US" w:eastAsia="zh-CN" w:bidi="ar"/>
        </w:rPr>
        <w:t>温州历程招标有限公司：</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eastAsia"/>
          <w:color w:val="auto"/>
          <w:highlight w:val="none"/>
          <w:lang w:val="en-US" w:eastAsia="zh-CN"/>
        </w:rPr>
      </w:pPr>
      <w:r>
        <w:rPr>
          <w:rFonts w:hint="eastAsia" w:ascii="新宋体" w:hAnsi="新宋体" w:eastAsia="新宋体" w:cs="新宋体"/>
          <w:i w:val="0"/>
          <w:color w:val="auto"/>
          <w:kern w:val="0"/>
          <w:sz w:val="22"/>
          <w:szCs w:val="22"/>
          <w:highlight w:val="none"/>
          <w:u w:val="none"/>
          <w:lang w:val="en-US" w:eastAsia="zh-CN" w:bidi="ar"/>
        </w:rPr>
        <w:t>本人经由</w:t>
      </w:r>
      <w:r>
        <w:rPr>
          <w:rFonts w:hint="eastAsia" w:ascii="新宋体" w:hAnsi="新宋体" w:eastAsia="新宋体" w:cs="新宋体"/>
          <w:i w:val="0"/>
          <w:color w:val="auto"/>
          <w:kern w:val="0"/>
          <w:sz w:val="22"/>
          <w:szCs w:val="22"/>
          <w:highlight w:val="none"/>
          <w:u w:val="single"/>
          <w:lang w:val="en-US" w:eastAsia="zh-CN" w:bidi="ar"/>
        </w:rPr>
        <w:t xml:space="preserve">            </w:t>
      </w:r>
      <w:r>
        <w:rPr>
          <w:rFonts w:hint="eastAsia" w:ascii="新宋体" w:hAnsi="新宋体" w:eastAsia="新宋体" w:cs="新宋体"/>
          <w:i w:val="0"/>
          <w:color w:val="auto"/>
          <w:kern w:val="0"/>
          <w:sz w:val="22"/>
          <w:szCs w:val="22"/>
          <w:highlight w:val="none"/>
          <w:u w:val="none"/>
          <w:lang w:val="en-US" w:eastAsia="zh-CN" w:bidi="ar"/>
        </w:rPr>
        <w:t>（供应商名称）负责人</w:t>
      </w:r>
      <w:r>
        <w:rPr>
          <w:rFonts w:hint="eastAsia" w:ascii="新宋体" w:hAnsi="新宋体" w:eastAsia="新宋体" w:cs="新宋体"/>
          <w:i w:val="0"/>
          <w:color w:val="auto"/>
          <w:kern w:val="0"/>
          <w:sz w:val="22"/>
          <w:szCs w:val="22"/>
          <w:highlight w:val="none"/>
          <w:u w:val="single"/>
          <w:lang w:val="en-US" w:eastAsia="zh-CN" w:bidi="ar"/>
        </w:rPr>
        <w:t xml:space="preserve">        </w:t>
      </w:r>
      <w:r>
        <w:rPr>
          <w:rFonts w:hint="eastAsia" w:ascii="新宋体" w:hAnsi="新宋体" w:eastAsia="新宋体" w:cs="新宋体"/>
          <w:i w:val="0"/>
          <w:color w:val="auto"/>
          <w:kern w:val="0"/>
          <w:sz w:val="22"/>
          <w:szCs w:val="22"/>
          <w:highlight w:val="none"/>
          <w:u w:val="none"/>
          <w:lang w:val="en-US" w:eastAsia="zh-CN" w:bidi="ar"/>
        </w:rPr>
        <w:t>（姓名）合法授权参加</w:t>
      </w:r>
      <w:r>
        <w:rPr>
          <w:rFonts w:hint="eastAsia" w:ascii="新宋体" w:hAnsi="新宋体" w:eastAsia="新宋体" w:cs="新宋体"/>
          <w:i w:val="0"/>
          <w:color w:val="auto"/>
          <w:kern w:val="0"/>
          <w:sz w:val="22"/>
          <w:szCs w:val="22"/>
          <w:highlight w:val="none"/>
          <w:u w:val="single"/>
          <w:lang w:val="en-US" w:eastAsia="zh-CN" w:bidi="ar"/>
        </w:rPr>
        <w:t xml:space="preserve">             </w:t>
      </w:r>
      <w:r>
        <w:rPr>
          <w:rFonts w:hint="eastAsia" w:ascii="新宋体" w:hAnsi="新宋体" w:eastAsia="新宋体" w:cs="新宋体"/>
          <w:i w:val="0"/>
          <w:color w:val="auto"/>
          <w:kern w:val="0"/>
          <w:sz w:val="22"/>
          <w:szCs w:val="22"/>
          <w:highlight w:val="none"/>
          <w:u w:val="none"/>
          <w:lang w:val="en-US" w:eastAsia="zh-CN" w:bidi="ar"/>
        </w:rPr>
        <w:t>项目（编号：</w:t>
      </w:r>
      <w:r>
        <w:rPr>
          <w:rFonts w:hint="eastAsia" w:ascii="新宋体" w:hAnsi="新宋体" w:eastAsia="新宋体" w:cs="新宋体"/>
          <w:i w:val="0"/>
          <w:color w:val="auto"/>
          <w:kern w:val="0"/>
          <w:sz w:val="22"/>
          <w:szCs w:val="22"/>
          <w:highlight w:val="none"/>
          <w:u w:val="single"/>
          <w:lang w:val="en-US" w:eastAsia="zh-CN" w:bidi="ar"/>
        </w:rPr>
        <w:t xml:space="preserve">                </w:t>
      </w:r>
      <w:r>
        <w:rPr>
          <w:rFonts w:hint="eastAsia" w:ascii="新宋体" w:hAnsi="新宋体" w:eastAsia="新宋体" w:cs="新宋体"/>
          <w:i w:val="0"/>
          <w:color w:val="auto"/>
          <w:kern w:val="0"/>
          <w:sz w:val="22"/>
          <w:szCs w:val="22"/>
          <w:highlight w:val="none"/>
          <w:u w:val="none"/>
          <w:lang w:val="en-US" w:eastAsia="zh-CN" w:bidi="ar"/>
        </w:rPr>
        <w:t>）采购活动，经与本单位法人代表（负责人）联系确认，现就有关公平竞争事项郑重声明如下：</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i w:val="0"/>
          <w:color w:val="auto"/>
          <w:kern w:val="0"/>
          <w:sz w:val="22"/>
          <w:szCs w:val="22"/>
          <w:highlight w:val="none"/>
          <w:u w:val="none"/>
          <w:lang w:val="en-US" w:eastAsia="zh-CN" w:bidi="ar"/>
        </w:rPr>
      </w:pPr>
      <w:r>
        <w:rPr>
          <w:rFonts w:hint="eastAsia" w:ascii="新宋体" w:hAnsi="新宋体" w:eastAsia="新宋体" w:cs="新宋体"/>
          <w:i w:val="0"/>
          <w:color w:val="auto"/>
          <w:kern w:val="0"/>
          <w:sz w:val="22"/>
          <w:szCs w:val="22"/>
          <w:highlight w:val="none"/>
          <w:u w:val="none"/>
          <w:lang w:val="en-US" w:eastAsia="zh-CN" w:bidi="ar"/>
        </w:rPr>
        <w:t>本单位与采购人之间 □不存在利害关系 □存在下列利害关系：</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A.投资关系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60" w:firstLineChars="300"/>
        <w:textAlignment w:val="auto"/>
        <w:outlineLvl w:val="9"/>
        <w:rPr>
          <w:rFonts w:hint="eastAsia" w:ascii="新宋体" w:hAnsi="新宋体" w:eastAsia="新宋体" w:cs="新宋体"/>
          <w:i w:val="0"/>
          <w:color w:val="auto"/>
          <w:kern w:val="0"/>
          <w:sz w:val="22"/>
          <w:szCs w:val="22"/>
          <w:highlight w:val="none"/>
          <w:u w:val="none"/>
          <w:lang w:val="en-US" w:eastAsia="zh-CN" w:bidi="ar"/>
        </w:rPr>
      </w:pPr>
      <w:r>
        <w:rPr>
          <w:rFonts w:hint="eastAsia" w:ascii="新宋体" w:hAnsi="新宋体" w:eastAsia="新宋体" w:cs="新宋体"/>
          <w:i w:val="0"/>
          <w:color w:val="auto"/>
          <w:kern w:val="0"/>
          <w:sz w:val="22"/>
          <w:szCs w:val="22"/>
          <w:highlight w:val="none"/>
          <w:u w:val="none"/>
          <w:lang w:val="en-US" w:eastAsia="zh-CN" w:bidi="ar"/>
        </w:rPr>
        <w:t xml:space="preserve">B.行政隶属关系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60" w:firstLineChars="300"/>
        <w:textAlignment w:val="auto"/>
        <w:outlineLvl w:val="9"/>
        <w:rPr>
          <w:rFonts w:hint="eastAsia" w:ascii="新宋体" w:hAnsi="新宋体" w:eastAsia="新宋体" w:cs="新宋体"/>
          <w:i w:val="0"/>
          <w:color w:val="auto"/>
          <w:kern w:val="0"/>
          <w:sz w:val="22"/>
          <w:szCs w:val="22"/>
          <w:highlight w:val="none"/>
          <w:u w:val="none"/>
          <w:lang w:val="en-US" w:eastAsia="zh-CN" w:bidi="ar"/>
        </w:rPr>
      </w:pPr>
      <w:r>
        <w:rPr>
          <w:rFonts w:hint="eastAsia" w:ascii="新宋体" w:hAnsi="新宋体" w:eastAsia="新宋体" w:cs="新宋体"/>
          <w:i w:val="0"/>
          <w:color w:val="auto"/>
          <w:kern w:val="0"/>
          <w:sz w:val="22"/>
          <w:szCs w:val="22"/>
          <w:highlight w:val="none"/>
          <w:u w:val="none"/>
          <w:lang w:val="en-US" w:eastAsia="zh-CN" w:bidi="ar"/>
        </w:rPr>
        <w:t xml:space="preserve">C.业务指导关系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60" w:firstLineChars="300"/>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i w:val="0"/>
          <w:color w:val="auto"/>
          <w:kern w:val="0"/>
          <w:sz w:val="22"/>
          <w:szCs w:val="22"/>
          <w:highlight w:val="none"/>
          <w:u w:val="none"/>
          <w:lang w:val="en-US" w:eastAsia="zh-CN" w:bidi="ar"/>
        </w:rPr>
        <w:t>D.其他可能影响采购公正的利害关系</w:t>
      </w:r>
      <w:r>
        <w:rPr>
          <w:rStyle w:val="162"/>
          <w:rFonts w:hint="eastAsia" w:ascii="新宋体" w:hAnsi="新宋体" w:eastAsia="新宋体" w:cs="新宋体"/>
          <w:color w:val="auto"/>
          <w:sz w:val="22"/>
          <w:szCs w:val="22"/>
          <w:highlight w:val="none"/>
          <w:lang w:val="en-US" w:eastAsia="zh-CN" w:bidi="ar"/>
        </w:rPr>
        <w:t xml:space="preserve">（如有，请如实说明）                 </w:t>
      </w:r>
      <w:r>
        <w:rPr>
          <w:rFonts w:hint="eastAsia" w:ascii="新宋体" w:hAnsi="新宋体" w:eastAsia="新宋体" w:cs="新宋体"/>
          <w:i w:val="0"/>
          <w:color w:val="auto"/>
          <w:kern w:val="0"/>
          <w:sz w:val="22"/>
          <w:szCs w:val="22"/>
          <w:highlight w:val="none"/>
          <w:u w:val="none"/>
          <w:lang w:val="en-US" w:eastAsia="zh-CN" w:bidi="ar"/>
        </w:rPr>
        <w:t>。</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jc w:val="both"/>
        <w:textAlignment w:val="auto"/>
        <w:outlineLvl w:val="9"/>
        <w:rPr>
          <w:rFonts w:hint="eastAsia" w:ascii="新宋体" w:hAnsi="新宋体" w:eastAsia="新宋体" w:cs="新宋体"/>
          <w:i w:val="0"/>
          <w:color w:val="auto"/>
          <w:kern w:val="0"/>
          <w:sz w:val="22"/>
          <w:szCs w:val="22"/>
          <w:highlight w:val="none"/>
          <w:u w:val="none"/>
          <w:lang w:val="en-US" w:eastAsia="zh-CN" w:bidi="ar"/>
        </w:rPr>
      </w:pPr>
      <w:r>
        <w:rPr>
          <w:rFonts w:hint="eastAsia" w:ascii="新宋体" w:hAnsi="新宋体" w:eastAsia="新宋体" w:cs="新宋体"/>
          <w:i w:val="0"/>
          <w:color w:val="auto"/>
          <w:kern w:val="0"/>
          <w:sz w:val="22"/>
          <w:szCs w:val="22"/>
          <w:highlight w:val="none"/>
          <w:u w:val="none"/>
          <w:lang w:val="en-US" w:eastAsia="zh-CN" w:bidi="ar"/>
        </w:rPr>
        <w:t xml:space="preserve">现已清楚知道参加本项目采购活动的其他所有供应商名称，本单位 </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□与其他所有供应商之间均不存在利害关系 </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□与</w:t>
      </w:r>
      <w:r>
        <w:rPr>
          <w:rFonts w:hint="eastAsia" w:ascii="新宋体" w:hAnsi="新宋体" w:eastAsia="新宋体" w:cs="新宋体"/>
          <w:i w:val="0"/>
          <w:color w:val="auto"/>
          <w:kern w:val="0"/>
          <w:sz w:val="22"/>
          <w:szCs w:val="22"/>
          <w:highlight w:val="none"/>
          <w:u w:val="single"/>
          <w:lang w:val="en-US" w:eastAsia="zh-CN" w:bidi="ar"/>
        </w:rPr>
        <w:t xml:space="preserve">           （</w:t>
      </w:r>
      <w:r>
        <w:rPr>
          <w:rFonts w:hint="eastAsia" w:ascii="新宋体" w:hAnsi="新宋体" w:eastAsia="新宋体" w:cs="新宋体"/>
          <w:i w:val="0"/>
          <w:color w:val="auto"/>
          <w:kern w:val="0"/>
          <w:sz w:val="22"/>
          <w:szCs w:val="22"/>
          <w:highlight w:val="none"/>
          <w:u w:val="none"/>
          <w:lang w:val="en-US" w:eastAsia="zh-CN" w:bidi="ar"/>
        </w:rPr>
        <w:t>供应商名称）之间存在下列利害关系</w:t>
      </w:r>
      <w:r>
        <w:rPr>
          <w:rFonts w:hint="eastAsia" w:ascii="新宋体" w:hAnsi="新宋体" w:eastAsia="新宋体" w:cs="新宋体"/>
          <w:i w:val="0"/>
          <w:color w:val="auto"/>
          <w:kern w:val="0"/>
          <w:sz w:val="22"/>
          <w:szCs w:val="22"/>
          <w:highlight w:val="none"/>
          <w:u w:val="single"/>
          <w:lang w:val="en-US" w:eastAsia="zh-CN" w:bidi="ar"/>
        </w:rPr>
        <w:t xml:space="preserve">          </w:t>
      </w:r>
      <w:r>
        <w:rPr>
          <w:rFonts w:hint="eastAsia" w:ascii="新宋体" w:hAnsi="新宋体" w:eastAsia="新宋体" w:cs="新宋体"/>
          <w:i w:val="0"/>
          <w:color w:val="auto"/>
          <w:kern w:val="0"/>
          <w:sz w:val="22"/>
          <w:szCs w:val="22"/>
          <w:highlight w:val="none"/>
          <w:u w:val="none"/>
          <w:lang w:val="en-US" w:eastAsia="zh-CN" w:bidi="ar"/>
        </w:rPr>
        <w:t>：</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A.法定代表人或负责人或实际控制人是同一人</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B.法定代表人或负责人或实际控制人是夫妻关系</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C.法定代表人或负责人或实际控制人是直系血亲关系</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D.法定代表人或负责人或实际控制人存在三代以内旁系血亲关系</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E.法定代表人或负责人或实际控制人存在近姻亲关系</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F.法定代表人或负责人或实际控制人存在股份控制或实际控制关系</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G.存在共同直接或间接投资设立子公司、联营企业和合营企业情况</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H.存在分级代理或代销关系、同一生产制造商关系、管理关系、重要业务（占主营业务收入50%以上）或重要财务往来关系（如融资）等其他实质性控制关系</w:t>
      </w:r>
      <w:r>
        <w:rPr>
          <w:rFonts w:hint="eastAsia" w:ascii="新宋体" w:hAnsi="新宋体" w:eastAsia="新宋体" w:cs="新宋体"/>
          <w:i w:val="0"/>
          <w:color w:val="auto"/>
          <w:kern w:val="0"/>
          <w:sz w:val="22"/>
          <w:szCs w:val="22"/>
          <w:highlight w:val="none"/>
          <w:u w:val="none"/>
          <w:lang w:val="en-US" w:eastAsia="zh-CN" w:bidi="ar"/>
        </w:rPr>
        <w:br w:type="textWrapping"/>
      </w:r>
      <w:r>
        <w:rPr>
          <w:rFonts w:hint="eastAsia" w:ascii="新宋体" w:hAnsi="新宋体" w:eastAsia="新宋体" w:cs="新宋体"/>
          <w:i w:val="0"/>
          <w:color w:val="auto"/>
          <w:kern w:val="0"/>
          <w:sz w:val="22"/>
          <w:szCs w:val="22"/>
          <w:highlight w:val="none"/>
          <w:u w:val="none"/>
          <w:lang w:val="en-US" w:eastAsia="zh-CN" w:bidi="ar"/>
        </w:rPr>
        <w:t xml:space="preserve">      I.其他利害关系情况</w:t>
      </w:r>
      <w:r>
        <w:rPr>
          <w:rFonts w:hint="eastAsia" w:ascii="新宋体" w:hAnsi="新宋体" w:eastAsia="新宋体" w:cs="新宋体"/>
          <w:i w:val="0"/>
          <w:color w:val="auto"/>
          <w:kern w:val="0"/>
          <w:sz w:val="22"/>
          <w:szCs w:val="22"/>
          <w:highlight w:val="none"/>
          <w:u w:val="single"/>
          <w:lang w:val="en-US" w:eastAsia="zh-CN" w:bidi="ar"/>
        </w:rPr>
        <w:t xml:space="preserve">                              。</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eastAsia" w:ascii="新宋体" w:hAnsi="新宋体" w:eastAsia="新宋体" w:cs="新宋体"/>
          <w:i w:val="0"/>
          <w:color w:val="auto"/>
          <w:kern w:val="0"/>
          <w:sz w:val="22"/>
          <w:szCs w:val="22"/>
          <w:highlight w:val="none"/>
          <w:u w:val="none"/>
          <w:lang w:val="en-US" w:eastAsia="zh-CN" w:bidi="ar"/>
        </w:rPr>
      </w:pPr>
      <w:r>
        <w:rPr>
          <w:rFonts w:hint="eastAsia" w:ascii="新宋体" w:hAnsi="新宋体" w:eastAsia="新宋体" w:cs="新宋体"/>
          <w:i w:val="0"/>
          <w:color w:val="auto"/>
          <w:kern w:val="0"/>
          <w:sz w:val="22"/>
          <w:szCs w:val="22"/>
          <w:highlight w:val="none"/>
          <w:u w:val="none"/>
          <w:lang w:val="en-US" w:eastAsia="zh-CN" w:bidi="ar"/>
        </w:rPr>
        <w:t>（三）现已清楚知道并严格遵守政府采购法律法规和现场纪律</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eastAsia" w:ascii="新宋体" w:hAnsi="新宋体" w:eastAsia="新宋体" w:cs="新宋体"/>
          <w:i w:val="0"/>
          <w:color w:val="auto"/>
          <w:kern w:val="0"/>
          <w:sz w:val="22"/>
          <w:szCs w:val="22"/>
          <w:highlight w:val="none"/>
          <w:u w:val="none"/>
          <w:lang w:val="en-US" w:eastAsia="zh-CN" w:bidi="ar"/>
        </w:rPr>
      </w:pPr>
      <w:r>
        <w:rPr>
          <w:rFonts w:hint="eastAsia" w:ascii="新宋体" w:hAnsi="新宋体" w:eastAsia="新宋体" w:cs="新宋体"/>
          <w:i w:val="0"/>
          <w:color w:val="auto"/>
          <w:kern w:val="0"/>
          <w:sz w:val="22"/>
          <w:szCs w:val="22"/>
          <w:highlight w:val="none"/>
          <w:u w:val="none"/>
          <w:lang w:val="en-US" w:eastAsia="zh-CN" w:bidi="ar"/>
        </w:rPr>
        <w:t>（四）我发现</w:t>
      </w:r>
      <w:r>
        <w:rPr>
          <w:rStyle w:val="162"/>
          <w:rFonts w:hint="eastAsia" w:ascii="新宋体" w:hAnsi="新宋体" w:eastAsia="新宋体" w:cs="新宋体"/>
          <w:color w:val="auto"/>
          <w:sz w:val="22"/>
          <w:szCs w:val="22"/>
          <w:highlight w:val="none"/>
          <w:lang w:val="en-US" w:eastAsia="zh-CN" w:bidi="ar"/>
        </w:rPr>
        <w:t xml:space="preserve">                  与                  （供应商名称）</w:t>
      </w:r>
      <w:r>
        <w:rPr>
          <w:rFonts w:hint="eastAsia" w:ascii="新宋体" w:hAnsi="新宋体" w:eastAsia="新宋体" w:cs="新宋体"/>
          <w:i w:val="0"/>
          <w:color w:val="auto"/>
          <w:kern w:val="0"/>
          <w:sz w:val="22"/>
          <w:szCs w:val="22"/>
          <w:highlight w:val="none"/>
          <w:u w:val="none"/>
          <w:lang w:val="en-US" w:eastAsia="zh-CN" w:bidi="ar"/>
        </w:rPr>
        <w:t>之间存在或可能存在上述第二条第</w:t>
      </w:r>
      <w:r>
        <w:rPr>
          <w:rStyle w:val="162"/>
          <w:rFonts w:hint="eastAsia" w:ascii="新宋体" w:hAnsi="新宋体" w:eastAsia="新宋体" w:cs="新宋体"/>
          <w:color w:val="auto"/>
          <w:sz w:val="22"/>
          <w:szCs w:val="22"/>
          <w:highlight w:val="none"/>
          <w:lang w:val="en-US" w:eastAsia="zh-CN" w:bidi="ar"/>
        </w:rPr>
        <w:t xml:space="preserve">        </w:t>
      </w:r>
      <w:r>
        <w:rPr>
          <w:rFonts w:hint="eastAsia" w:ascii="新宋体" w:hAnsi="新宋体" w:eastAsia="新宋体" w:cs="新宋体"/>
          <w:i w:val="0"/>
          <w:color w:val="auto"/>
          <w:kern w:val="0"/>
          <w:sz w:val="22"/>
          <w:szCs w:val="22"/>
          <w:highlight w:val="none"/>
          <w:u w:val="none"/>
          <w:lang w:val="en-US" w:eastAsia="zh-CN" w:bidi="ar"/>
        </w:rPr>
        <w:t>项利害关系。</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both"/>
        <w:textAlignment w:val="auto"/>
        <w:rPr>
          <w:rFonts w:hint="default" w:ascii="新宋体" w:hAnsi="新宋体" w:eastAsia="新宋体" w:cs="新宋体"/>
          <w:b/>
          <w:i w:val="0"/>
          <w:color w:val="auto"/>
          <w:kern w:val="0"/>
          <w:sz w:val="22"/>
          <w:szCs w:val="22"/>
          <w:highlight w:val="none"/>
          <w:u w:val="none"/>
          <w:lang w:val="en-US" w:eastAsia="zh-CN" w:bidi="ar"/>
        </w:rPr>
      </w:pPr>
      <w:r>
        <w:rPr>
          <w:rFonts w:hint="eastAsia" w:ascii="新宋体" w:hAnsi="新宋体" w:eastAsia="新宋体" w:cs="新宋体"/>
          <w:b/>
          <w:i w:val="0"/>
          <w:color w:val="auto"/>
          <w:kern w:val="0"/>
          <w:sz w:val="22"/>
          <w:szCs w:val="22"/>
          <w:highlight w:val="none"/>
          <w:u w:val="none"/>
          <w:lang w:val="en-US" w:eastAsia="zh-CN" w:bidi="ar"/>
        </w:rPr>
        <w:t>供应商代表签名:</w:t>
      </w: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hint="eastAsia" w:ascii="新宋体" w:hAnsi="新宋体" w:eastAsia="新宋体" w:cs="新宋体"/>
          <w:b/>
          <w:i w:val="0"/>
          <w:color w:val="auto"/>
          <w:kern w:val="0"/>
          <w:sz w:val="22"/>
          <w:szCs w:val="22"/>
          <w:highlight w:val="none"/>
          <w:u w:val="none"/>
          <w:lang w:val="en-US" w:eastAsia="zh-CN" w:bidi="ar"/>
        </w:rPr>
      </w:pPr>
    </w:p>
    <w:p>
      <w:pPr>
        <w:pStyle w:val="22"/>
        <w:keepNext w:val="0"/>
        <w:keepLines w:val="0"/>
        <w:pageBreakBefore w:val="0"/>
        <w:widowControl w:val="0"/>
        <w:numPr>
          <w:ilvl w:val="0"/>
          <w:numId w:val="0"/>
        </w:numPr>
        <w:kinsoku/>
        <w:wordWrap/>
        <w:overflowPunct/>
        <w:topLinePunct w:val="0"/>
        <w:autoSpaceDE/>
        <w:autoSpaceDN/>
        <w:bidi w:val="0"/>
        <w:spacing w:line="460" w:lineRule="exact"/>
        <w:jc w:val="right"/>
        <w:textAlignment w:val="auto"/>
        <w:rPr>
          <w:rFonts w:hint="eastAsia" w:ascii="新宋体" w:hAnsi="新宋体" w:eastAsia="新宋体" w:cs="新宋体"/>
          <w:b/>
          <w:i w:val="0"/>
          <w:color w:val="auto"/>
          <w:kern w:val="0"/>
          <w:sz w:val="22"/>
          <w:szCs w:val="22"/>
          <w:highlight w:val="none"/>
          <w:u w:val="none"/>
          <w:lang w:val="en-US" w:eastAsia="zh-CN" w:bidi="ar"/>
        </w:rPr>
      </w:pPr>
    </w:p>
    <w:p>
      <w:pPr>
        <w:spacing w:line="380" w:lineRule="exact"/>
        <w:jc w:val="right"/>
        <w:outlineLvl w:val="9"/>
        <w:rPr>
          <w:rFonts w:hint="eastAsia" w:ascii="新宋体" w:hAnsi="新宋体" w:eastAsia="新宋体" w:cs="新宋体"/>
          <w:b/>
          <w:i w:val="0"/>
          <w:color w:val="auto"/>
          <w:kern w:val="0"/>
          <w:sz w:val="22"/>
          <w:szCs w:val="22"/>
          <w:highlight w:val="none"/>
          <w:u w:val="none"/>
          <w:lang w:val="en-US" w:eastAsia="zh-CN" w:bidi="ar"/>
        </w:rPr>
      </w:pPr>
      <w:r>
        <w:rPr>
          <w:rFonts w:hint="eastAsia" w:ascii="新宋体" w:hAnsi="新宋体" w:eastAsia="新宋体" w:cs="新宋体"/>
          <w:b/>
          <w:i w:val="0"/>
          <w:color w:val="auto"/>
          <w:kern w:val="0"/>
          <w:sz w:val="22"/>
          <w:szCs w:val="22"/>
          <w:highlight w:val="none"/>
          <w:u w:val="none"/>
          <w:lang w:val="en-US" w:eastAsia="zh-CN" w:bidi="ar"/>
        </w:rPr>
        <w:t>日期:2020年    月    日</w:t>
      </w:r>
    </w:p>
    <w:p>
      <w:pPr>
        <w:pStyle w:val="10"/>
        <w:rPr>
          <w:rFonts w:hint="eastAsia"/>
          <w:color w:val="auto"/>
          <w:highlight w:val="none"/>
        </w:rPr>
      </w:pPr>
    </w:p>
    <w:p>
      <w:pPr>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rPr>
        <w:t>附件</w:t>
      </w:r>
      <w:r>
        <w:rPr>
          <w:rFonts w:hint="eastAsia" w:ascii="新宋体" w:hAnsi="新宋体" w:eastAsia="新宋体" w:cs="新宋体"/>
          <w:b/>
          <w:bCs/>
          <w:color w:val="auto"/>
          <w:sz w:val="22"/>
          <w:szCs w:val="22"/>
          <w:highlight w:val="none"/>
          <w:lang w:val="en-US" w:eastAsia="zh-CN"/>
        </w:rPr>
        <w:t>三</w:t>
      </w:r>
    </w:p>
    <w:p>
      <w:pPr>
        <w:spacing w:line="380" w:lineRule="exact"/>
        <w:jc w:val="center"/>
        <w:outlineLvl w:val="2"/>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
          <w:bCs/>
          <w:color w:val="auto"/>
          <w:sz w:val="28"/>
          <w:szCs w:val="28"/>
          <w:highlight w:val="none"/>
          <w:lang w:val="en-US" w:eastAsia="zh-CN"/>
        </w:rPr>
        <w:t>商务技术文件</w:t>
      </w:r>
    </w:p>
    <w:p>
      <w:pPr>
        <w:spacing w:line="380" w:lineRule="exact"/>
        <w:jc w:val="center"/>
        <w:outlineLvl w:val="3"/>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rPr>
        <w:t>法定代表人授权书</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b w:val="0"/>
          <w:bCs w:val="0"/>
          <w:color w:val="auto"/>
          <w:sz w:val="22"/>
          <w:szCs w:val="22"/>
          <w:highlight w:val="none"/>
          <w:lang w:eastAsia="zh-CN"/>
        </w:rPr>
        <w:t>温州市人民政府金融工作办公室</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pPr>
        <w:spacing w:line="380" w:lineRule="exact"/>
        <w:rPr>
          <w:rFonts w:hint="eastAsia" w:ascii="新宋体" w:hAnsi="新宋体" w:eastAsia="新宋体" w:cs="新宋体"/>
          <w:color w:val="auto"/>
          <w:sz w:val="22"/>
          <w:szCs w:val="22"/>
          <w:highlight w:val="none"/>
        </w:rPr>
      </w:pP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22"/>
        <w:rPr>
          <w:rFonts w:hint="eastAsia" w:ascii="新宋体" w:hAnsi="新宋体" w:eastAsia="新宋体" w:cs="新宋体"/>
          <w:color w:val="auto"/>
          <w:sz w:val="22"/>
          <w:szCs w:val="22"/>
          <w:highlight w:val="none"/>
        </w:rPr>
      </w:pPr>
    </w:p>
    <w:p>
      <w:pPr>
        <w:pStyle w:val="22"/>
        <w:rPr>
          <w:rFonts w:hint="eastAsia" w:ascii="新宋体" w:hAnsi="新宋体" w:eastAsia="新宋体" w:cs="新宋体"/>
          <w:color w:val="auto"/>
          <w:sz w:val="22"/>
          <w:szCs w:val="22"/>
          <w:highlight w:val="none"/>
        </w:rPr>
      </w:pPr>
    </w:p>
    <w:p>
      <w:pPr>
        <w:pStyle w:val="22"/>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10"/>
        <w:ind w:left="0" w:leftChars="0" w:firstLine="0" w:firstLineChars="0"/>
        <w:rPr>
          <w:rFonts w:hint="eastAsia" w:ascii="新宋体" w:hAnsi="新宋体" w:eastAsia="新宋体" w:cs="新宋体"/>
          <w:color w:val="auto"/>
          <w:highlight w:val="none"/>
        </w:rPr>
      </w:pP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1"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法定代表人身份证（正反面）：</w:t>
                            </w:r>
                          </w:p>
                        </w:txbxContent>
                      </wps:txbx>
                      <wps:bodyPr wrap="square"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 AQAADwAAAGRycy9kb3ducmV2LnhtbE2PwU7DMBBE70j8g7VIXBC1m9K0DXF6QALBrRQEVzfeJhH2 OsRuWv6e7QmOszOafVOuT96JEYfYBdIwnSgQSHWwHTUa3t8eb5cgYjJkjQuEGn4wwrq6vChNYcOR XnHcpkZwCcXCaGhT6gspY92iN3ESeiT29mHwJrEcGmkHc+Ry72SmVC696Yg/tKbHhxbrr+3Ba1je PY+f8WW2+ajzvVulm8X49D1ofX01VfcgEp7SXxjO+IwOFTPtwoFsFI71YsVJDXM1B3H2lcp4y44v 2SwHWZXy/4TqF1BLAwQUAAAACACHTuJAvu7ACQQCAABEBAAADgAAAGRycy9lMm9Eb2MueG1srVNN j9MwEL0j8R8s32nSsF0tUdOVoJQLAqRdfsDUcRJL/sLjNum/Z+yU7gcceiAHZzx+fjPzZry+n4xm RxlQOdvw5aLkTFrhWmX7hv983L274wwj2Ba0s7LhJ4n8fvP2zXr0tazc4HQrAyMSi/XoGz7E6Oui QDFIA7hwXlo67FwwEGkb+qINMBK70UVVlrfF6ELrgxMSkbzb+ZCfGcM1hK7rlJBbJw5G2jizBqkh Ukk4KI98k7PtOini965DGZluOFUa80pByN6ntdisoe4D+EGJcwpwTQqvajKgLAW9UG0hAjsE9ReV USI4dF1cCGeKuZCsCFWxLF9p8zCAl7kWkhr9RXT8f7Ti2/FHYKqlSeDMgqGGP8opso9uYlVSZ/RY E+jBEyxO5E7Isx/JmYqeumDSn8phdE7ani7aJjJBzttqdbNcrjgTdPa+LG+Wd6vEUzxd9wHjF+kM S0bDAzUvawrHrxhn6B9IioZOq3antM6b0O8/6cCOQI3e5e/M/gKmLRsb/mFVpUSAprejqSHTeFIA bZ/jvbiBz4nL/P2LOCW2BRzmBDJDgkFtVJQhW4OE9rNtWTx5UtnS4+IpGSNbzrSkt5isjIyg9DVI 0k5bkjD1aO5FsuK0n4gmmXvXnqhvI803lffrAIFiHnxQ/UAC5z7myzRcuRPnh5Cm9/k+h3h6/Jv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l9wjaNgAAAAKAQAADwAAAAAAAAABACAAAAAiAAAAZHJz L2Rvd25yZXYueG1sUEsBAhQAFAAAAAgAh07iQL7uwAkEAgAARAQAAA4AAAAAAAAAAQAgAAAAJwEA AGRycy9lMm9Eb2MueG1sUEsFBgAAAAAGAAYAWQEAAJ0FAAAAAA== ">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2" name="文本框 25"/>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25"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 AQAADwAAAGRycy9kb3ducmV2LnhtbE2PwU7DMBBE70j8g7VIXFBrh0JIQ5wekEBwKwXB1Y23SYS9 DrGblr9ne4LjaEYzb6rV0Tsx4Rj7QBqyuQKB1ATbU6vh/e1xVoCIyZA1LhBq+MEIq/r8rDKlDQd6 xWmTWsElFEujoUtpKKWMTYfexHkYkNjbhdGbxHJspR3Ngcu9k9dK5dKbnnihMwM+dNh8bfZeQ3Hz PH3Gl8X6o8l3bpmu7qan71Hry4tM3YNIeEx/YTjhMzrUzLQNe7JRONaLJSc1zIpbECef13IQWw25 ygqQdSX/X6h/AVBLAwQUAAAACACHTuJA+HsyPBgCAABGBAAADgAAAGRycy9lMm9Eb2MueG1srVNL jhMxEN0jcQfLe9I9ySQMrXRGghA2CJAGDuDY7m5L/uFy0p0LwA1YsWHPuXIOyk4m811kQS/cZbv8 qt6rqvn1YDTZygDK2ZpejEpKpOVOKNvW9NvX1asrSiAyK5h2VtZ0J4FeL16+mPe+kmPXOS1kIAhi oep9TbsYfVUUwDtpGIyclxYvGxcMi7gNbSEC6xHd6GJclrOid0H44LgEwNPl4ZIeEcM5gK5pFJdL xzdG2nhADVKziJSgUx7oImfbNJLHz00DMhJdU2Qa84pB0F6ntVjMWdUG5jvFjymwc1J4xMkwZTHo CWrJIiOboJ5AGcWDA9fEEXemOBDJiiCLi/KRNjcd8zJzQanBn0SH/wfLP22/BKJETceUWGaw4Ptf P/e//+7//CDjadKn91Ch241Hxzi8dQN2ze054GGiPTTBpD8SIniP6u5O6sohEo6Hs0k5mV1OKeF4 N7l6Pb0sM35x99wHiB+kMyQZNQ1Yvqwq236EiKmg661LigZOK7FSWudNaNfvdCBbhqVe5S9liU8e uGlL+pq+mSI3whn2b4N9g6bxqAHYNsd78ALuA5f5ew44JbZk0B0SyAjJjVVGRRmy1Ukm3ltB4s6j zhbHi6ZkjBSUaInTmKzsGZnS53giO22RZKrRoRbJisN6QJhkrp3YYd167HCk933DAsbc+KDaDgXO dcyPsb2yVsdRSP17f59D3I3/4h9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CJBAAAW0NvbnRlbnRfVHlwZXNdLnhtbFBLAQIUAAoAAAAAAIdO4kAA AAAAAAAAAAAAAAAGAAAAAAAAAAAAEAAAAGsDAABfcmVscy9QSwECFAAUAAAACACHTuJAihRmPNEA AACUAQAACwAAAAAAAAABACAAAACPAwAAX3JlbHMvLnJlbHNQSwECFAAKAAAAAACHTuJAAAAAAAAA AAAAAAAABAAAAAAAAAAAABAAAAAAAAAAZHJzL1BLAQIUABQAAAAIAIdO4kCYaotd2AAAAAoBAAAP AAAAAAAAAAEAIAAAACIAAABkcnMvZG93bnJldi54bWxQSwECFAAUAAAACACHTuJA+HsyPBgCAABG BAAADgAAAAAAAAABACAAAAAnAQAAZHJzL2Uyb0RvYy54bWxQSwUGAAAAAAYABgBZAQAAsQUAAAAA ">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sectPr>
          <w:headerReference r:id="rId3" w:type="default"/>
          <w:footerReference r:id="rId4" w:type="default"/>
          <w:pgSz w:w="11907" w:h="16840"/>
          <w:pgMar w:top="1134" w:right="1134" w:bottom="1134" w:left="1134" w:header="851" w:footer="992" w:gutter="0"/>
          <w:cols w:space="720" w:num="1"/>
          <w:titlePg/>
          <w:docGrid w:linePitch="312" w:charSpace="0"/>
        </w:sectPr>
      </w:pPr>
    </w:p>
    <w:p>
      <w:pPr>
        <w:pStyle w:val="22"/>
        <w:rPr>
          <w:rFonts w:hint="eastAsia"/>
          <w:color w:val="auto"/>
          <w:highlight w:val="none"/>
        </w:rPr>
      </w:pPr>
    </w:p>
    <w:p>
      <w:pPr>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rPr>
        <w:t>投标人情况表</w:t>
      </w:r>
    </w:p>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noWrap w:val="0"/>
            <w:vAlign w:val="top"/>
          </w:tcPr>
          <w:p>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noWrap w:val="0"/>
            <w:vAlign w:val="top"/>
          </w:tcPr>
          <w:p>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noWrap w:val="0"/>
            <w:vAlign w:val="center"/>
          </w:tcPr>
          <w:p>
            <w:pPr>
              <w:spacing w:line="480" w:lineRule="exact"/>
              <w:jc w:val="center"/>
              <w:rPr>
                <w:rFonts w:hint="eastAsia" w:ascii="新宋体" w:hAnsi="新宋体" w:eastAsia="新宋体" w:cs="新宋体"/>
                <w:color w:val="auto"/>
                <w:sz w:val="22"/>
                <w:szCs w:val="22"/>
                <w:highlight w:val="none"/>
              </w:rPr>
            </w:pPr>
          </w:p>
        </w:tc>
        <w:tc>
          <w:tcPr>
            <w:tcW w:w="1488"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noWrap w:val="0"/>
            <w:vAlign w:val="top"/>
          </w:tcPr>
          <w:p>
            <w:pPr>
              <w:spacing w:line="48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noWrap w:val="0"/>
            <w:vAlign w:val="top"/>
          </w:tcPr>
          <w:p>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3703"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noWrap w:val="0"/>
            <w:vAlign w:val="center"/>
          </w:tcPr>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noWrap w:val="0"/>
            <w:vAlign w:val="top"/>
          </w:tcPr>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noWrap w:val="0"/>
            <w:vAlign w:val="center"/>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noWrap w:val="0"/>
            <w:vAlign w:val="center"/>
          </w:tcPr>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noWrap w:val="0"/>
            <w:vAlign w:val="top"/>
          </w:tcPr>
          <w:p>
            <w:pPr>
              <w:spacing w:line="48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noWrap w:val="0"/>
            <w:vAlign w:val="top"/>
          </w:tcPr>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noWrap w:val="0"/>
            <w:vAlign w:val="top"/>
          </w:tcPr>
          <w:p>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72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487"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noWrap w:val="0"/>
            <w:vAlign w:val="top"/>
          </w:tcPr>
          <w:p>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r>
    </w:tbl>
    <w:p>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pPr>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t>3、</w:t>
      </w:r>
      <w:r>
        <w:rPr>
          <w:rFonts w:hint="eastAsia" w:ascii="新宋体" w:hAnsi="新宋体" w:eastAsia="新宋体" w:cs="新宋体"/>
          <w:b/>
          <w:bCs/>
          <w:color w:val="auto"/>
          <w:sz w:val="28"/>
          <w:szCs w:val="28"/>
          <w:highlight w:val="none"/>
        </w:rPr>
        <w:t>偏离表</w:t>
      </w:r>
    </w:p>
    <w:p>
      <w:pPr>
        <w:autoSpaceDE w:val="0"/>
        <w:autoSpaceDN w:val="0"/>
        <w:ind w:right="893" w:firstLine="418"/>
        <w:jc w:val="center"/>
        <w:textAlignment w:val="bottom"/>
        <w:rPr>
          <w:rFonts w:hint="eastAsia" w:ascii="新宋体" w:hAnsi="新宋体" w:eastAsia="新宋体" w:cs="新宋体"/>
          <w:b/>
          <w:color w:val="auto"/>
          <w:sz w:val="22"/>
          <w:szCs w:val="22"/>
          <w:highlight w:val="none"/>
        </w:rPr>
      </w:pPr>
    </w:p>
    <w:p>
      <w:pPr>
        <w:spacing w:line="560" w:lineRule="exact"/>
        <w:ind w:firstLine="433" w:firstLineChars="196"/>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52"/>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trPr>
        <w:tc>
          <w:tcPr>
            <w:tcW w:w="1754"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754"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条目</w:t>
            </w:r>
          </w:p>
        </w:tc>
        <w:tc>
          <w:tcPr>
            <w:tcW w:w="1754"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1755"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755"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0" w:hRule="atLeast"/>
        </w:trPr>
        <w:tc>
          <w:tcPr>
            <w:tcW w:w="1754" w:type="dxa"/>
            <w:noWrap w:val="0"/>
            <w:vAlign w:val="center"/>
          </w:tcPr>
          <w:p>
            <w:pPr>
              <w:ind w:firstLine="220" w:firstLineChars="100"/>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ind w:firstLine="220" w:firstLineChars="100"/>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4"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c>
          <w:tcPr>
            <w:tcW w:w="1755" w:type="dxa"/>
            <w:noWrap w:val="0"/>
            <w:vAlign w:val="center"/>
          </w:tcPr>
          <w:p>
            <w:pPr>
              <w:jc w:val="center"/>
              <w:rPr>
                <w:rFonts w:hint="eastAsia" w:ascii="新宋体" w:hAnsi="新宋体" w:eastAsia="新宋体" w:cs="新宋体"/>
                <w:color w:val="auto"/>
                <w:sz w:val="22"/>
                <w:szCs w:val="22"/>
                <w:highlight w:val="none"/>
              </w:rPr>
            </w:pPr>
          </w:p>
        </w:tc>
      </w:tr>
    </w:tbl>
    <w:p>
      <w:pPr>
        <w:pStyle w:val="28"/>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 如有偏离，必须在偏离表中进行详细对比说明并注明正偏离（负偏离），如不说明偏离情况，视为完全响应招标文件要求无偏离。</w:t>
      </w:r>
    </w:p>
    <w:p>
      <w:pPr>
        <w:rPr>
          <w:rFonts w:hint="eastAsia" w:ascii="新宋体" w:hAnsi="新宋体" w:eastAsia="新宋体" w:cs="新宋体"/>
          <w:color w:val="auto"/>
          <w:sz w:val="22"/>
          <w:szCs w:val="22"/>
          <w:highlight w:val="none"/>
        </w:rPr>
      </w:pPr>
    </w:p>
    <w:p>
      <w:pPr>
        <w:pStyle w:val="28"/>
        <w:spacing w:line="400" w:lineRule="atLeast"/>
        <w:ind w:left="5355" w:leftChars="2500" w:hanging="105" w:hangingChars="50"/>
        <w:rPr>
          <w:rFonts w:hint="eastAsia"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日    期：</w:t>
      </w:r>
    </w:p>
    <w:p>
      <w:pPr>
        <w:numPr>
          <w:ilvl w:val="0"/>
          <w:numId w:val="5"/>
        </w:num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投标人资质及相关情况</w:t>
      </w:r>
    </w:p>
    <w:p>
      <w:pPr>
        <w:autoSpaceDE w:val="0"/>
        <w:autoSpaceDN w:val="0"/>
        <w:ind w:right="893" w:firstLine="418"/>
        <w:textAlignment w:val="bottom"/>
        <w:rPr>
          <w:rFonts w:hint="eastAsia" w:ascii="新宋体" w:hAnsi="新宋体" w:eastAsia="新宋体" w:cs="新宋体"/>
          <w:b/>
          <w:color w:val="auto"/>
          <w:sz w:val="22"/>
          <w:highlight w:val="none"/>
        </w:rPr>
      </w:pPr>
    </w:p>
    <w:p>
      <w:pPr>
        <w:autoSpaceDE w:val="0"/>
        <w:autoSpaceDN w:val="0"/>
        <w:ind w:right="893" w:firstLine="418"/>
        <w:textAlignment w:val="bottom"/>
        <w:rPr>
          <w:rFonts w:hint="eastAsia" w:ascii="新宋体" w:hAnsi="新宋体" w:eastAsia="新宋体" w:cs="新宋体"/>
          <w:color w:val="auto"/>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center"/>
          </w:tcPr>
          <w:p>
            <w:pPr>
              <w:pStyle w:val="280"/>
              <w:spacing w:after="0" w:line="460" w:lineRule="exact"/>
              <w:rPr>
                <w:rFonts w:hint="eastAsia" w:ascii="新宋体" w:hAnsi="新宋体" w:eastAsia="新宋体" w:cs="新宋体"/>
                <w:color w:val="auto"/>
                <w:highlight w:val="none"/>
              </w:rPr>
            </w:pPr>
          </w:p>
        </w:tc>
      </w:tr>
    </w:tbl>
    <w:p>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pPr>
        <w:pStyle w:val="28"/>
        <w:spacing w:line="460" w:lineRule="exact"/>
        <w:ind w:left="5355" w:leftChars="2500" w:hanging="105" w:hangingChars="50"/>
        <w:rPr>
          <w:rFonts w:hint="eastAsia"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spacing w:line="46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 xml:space="preserve">                  </w:t>
      </w:r>
      <w:r>
        <w:rPr>
          <w:rFonts w:hint="eastAsia" w:ascii="新宋体" w:hAnsi="新宋体" w:eastAsia="新宋体" w:cs="新宋体"/>
          <w:bCs/>
          <w:color w:val="auto"/>
          <w:sz w:val="22"/>
          <w:szCs w:val="22"/>
          <w:highlight w:val="none"/>
        </w:rPr>
        <w:t>日   期：</w:t>
      </w:r>
    </w:p>
    <w:p>
      <w:pPr>
        <w:spacing w:line="460" w:lineRule="exact"/>
        <w:rPr>
          <w:rFonts w:hint="eastAsia" w:ascii="新宋体" w:hAnsi="新宋体" w:eastAsia="新宋体" w:cs="新宋体"/>
          <w:bCs/>
          <w:color w:val="auto"/>
          <w:sz w:val="22"/>
          <w:szCs w:val="22"/>
          <w:highlight w:val="none"/>
        </w:rPr>
      </w:pPr>
    </w:p>
    <w:p>
      <w:pPr>
        <w:spacing w:line="460" w:lineRule="exact"/>
        <w:outlineLvl w:val="9"/>
        <w:rPr>
          <w:rFonts w:hint="eastAsia" w:ascii="新宋体" w:hAnsi="新宋体" w:eastAsia="新宋体" w:cs="新宋体"/>
          <w:b/>
          <w:color w:val="auto"/>
          <w:kern w:val="0"/>
          <w:sz w:val="22"/>
          <w:szCs w:val="21"/>
          <w:highlight w:val="none"/>
          <w:lang w:val="en-US" w:eastAsia="zh-CN"/>
        </w:rPr>
      </w:pPr>
    </w:p>
    <w:p>
      <w:pPr>
        <w:pStyle w:val="2"/>
        <w:rPr>
          <w:rFonts w:hint="eastAsia"/>
          <w:highlight w:val="none"/>
          <w:lang w:val="en-US" w:eastAsia="zh-CN"/>
        </w:rPr>
      </w:pPr>
    </w:p>
    <w:p>
      <w:pPr>
        <w:numPr>
          <w:ilvl w:val="0"/>
          <w:numId w:val="0"/>
        </w:num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5、技术方案</w:t>
      </w:r>
    </w:p>
    <w:p>
      <w:pPr>
        <w:autoSpaceDE w:val="0"/>
        <w:autoSpaceDN w:val="0"/>
        <w:ind w:right="893" w:firstLine="418"/>
        <w:textAlignment w:val="bottom"/>
        <w:rPr>
          <w:rFonts w:hint="eastAsia" w:ascii="新宋体" w:hAnsi="新宋体" w:eastAsia="新宋体" w:cs="新宋体"/>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center"/>
          </w:tcPr>
          <w:p>
            <w:pPr>
              <w:pStyle w:val="280"/>
              <w:spacing w:after="0" w:line="460" w:lineRule="exact"/>
              <w:rPr>
                <w:rFonts w:hint="eastAsia" w:ascii="新宋体" w:hAnsi="新宋体" w:eastAsia="新宋体" w:cs="新宋体"/>
                <w:highlight w:val="none"/>
              </w:rPr>
            </w:pPr>
          </w:p>
        </w:tc>
      </w:tr>
    </w:tbl>
    <w:p>
      <w:pPr>
        <w:rPr>
          <w:rFonts w:hint="eastAsia" w:ascii="新宋体" w:hAnsi="新宋体" w:eastAsia="新宋体" w:cs="新宋体"/>
          <w:b/>
          <w:sz w:val="22"/>
          <w:highlight w:val="none"/>
        </w:rPr>
      </w:pPr>
      <w:r>
        <w:rPr>
          <w:rFonts w:hint="eastAsia" w:ascii="新宋体" w:hAnsi="新宋体" w:eastAsia="新宋体" w:cs="新宋体"/>
          <w:b/>
          <w:sz w:val="22"/>
          <w:highlight w:val="none"/>
        </w:rPr>
        <w:t xml:space="preserve">   </w:t>
      </w:r>
    </w:p>
    <w:p>
      <w:pPr>
        <w:pStyle w:val="28"/>
        <w:spacing w:line="460" w:lineRule="exact"/>
        <w:ind w:left="5355" w:leftChars="2500" w:hanging="105" w:hangingChars="50"/>
        <w:rPr>
          <w:rFonts w:hint="eastAsia"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pStyle w:val="10"/>
        <w:rPr>
          <w:rFonts w:hint="eastAsia" w:ascii="新宋体" w:hAnsi="新宋体" w:eastAsia="新宋体" w:cs="新宋体"/>
          <w:bCs/>
          <w:color w:val="auto"/>
          <w:sz w:val="22"/>
          <w:szCs w:val="22"/>
          <w:highlight w:val="none"/>
        </w:rPr>
      </w:pPr>
    </w:p>
    <w:p>
      <w:pPr>
        <w:rPr>
          <w:rFonts w:hint="eastAsia" w:ascii="新宋体" w:hAnsi="新宋体" w:eastAsia="新宋体" w:cs="新宋体"/>
          <w:bCs/>
          <w:color w:val="auto"/>
          <w:sz w:val="22"/>
          <w:szCs w:val="22"/>
          <w:highlight w:val="none"/>
        </w:rPr>
      </w:pPr>
    </w:p>
    <w:p>
      <w:pPr>
        <w:pStyle w:val="10"/>
        <w:rPr>
          <w:rFonts w:hint="eastAsia" w:ascii="新宋体" w:hAnsi="新宋体" w:eastAsia="新宋体" w:cs="新宋体"/>
          <w:bCs/>
          <w:color w:val="auto"/>
          <w:sz w:val="22"/>
          <w:szCs w:val="22"/>
          <w:highlight w:val="none"/>
        </w:rPr>
      </w:pPr>
    </w:p>
    <w:p>
      <w:pPr>
        <w:rPr>
          <w:rFonts w:hint="eastAsia" w:ascii="新宋体" w:hAnsi="新宋体" w:eastAsia="新宋体" w:cs="新宋体"/>
          <w:bCs/>
          <w:color w:val="auto"/>
          <w:sz w:val="22"/>
          <w:szCs w:val="22"/>
          <w:highlight w:val="none"/>
        </w:rPr>
      </w:pPr>
    </w:p>
    <w:p>
      <w:pPr>
        <w:pStyle w:val="10"/>
        <w:rPr>
          <w:rFonts w:hint="eastAsia" w:ascii="新宋体" w:hAnsi="新宋体" w:eastAsia="新宋体" w:cs="新宋体"/>
          <w:bCs/>
          <w:color w:val="auto"/>
          <w:sz w:val="22"/>
          <w:szCs w:val="22"/>
          <w:highlight w:val="none"/>
        </w:rPr>
      </w:pPr>
    </w:p>
    <w:p>
      <w:pPr>
        <w:rPr>
          <w:rFonts w:hint="eastAsia"/>
          <w:color w:val="auto"/>
          <w:highlight w:val="none"/>
        </w:rPr>
        <w:sectPr>
          <w:pgSz w:w="11907" w:h="16840"/>
          <w:pgMar w:top="1134" w:right="1134" w:bottom="1134" w:left="1134" w:header="851" w:footer="992" w:gutter="0"/>
          <w:cols w:space="720" w:num="1"/>
          <w:docGrid w:linePitch="312" w:charSpace="0"/>
        </w:sectPr>
      </w:pPr>
    </w:p>
    <w:p>
      <w:pPr>
        <w:spacing w:line="400" w:lineRule="exact"/>
        <w:jc w:val="center"/>
        <w:outlineLvl w:val="3"/>
        <w:rPr>
          <w:rFonts w:hint="eastAsia" w:ascii="新宋体" w:hAnsi="新宋体" w:eastAsia="新宋体" w:cs="新宋体"/>
          <w:b/>
          <w:color w:val="auto"/>
          <w:sz w:val="22"/>
          <w:highlight w:val="none"/>
          <w:lang w:eastAsia="zh-CN"/>
        </w:rPr>
      </w:pPr>
      <w:r>
        <w:rPr>
          <w:rFonts w:hint="eastAsia" w:ascii="新宋体" w:hAnsi="新宋体" w:eastAsia="新宋体" w:cs="新宋体"/>
          <w:b/>
          <w:bCs/>
          <w:color w:val="auto"/>
          <w:sz w:val="28"/>
          <w:szCs w:val="28"/>
          <w:highlight w:val="none"/>
          <w:lang w:val="en-US" w:eastAsia="zh-CN"/>
        </w:rPr>
        <w:t>6、项目管理方案</w:t>
      </w:r>
    </w:p>
    <w:p>
      <w:pPr>
        <w:autoSpaceDE w:val="0"/>
        <w:autoSpaceDN w:val="0"/>
        <w:ind w:right="893" w:firstLine="418"/>
        <w:jc w:val="center"/>
        <w:textAlignment w:val="bottom"/>
        <w:rPr>
          <w:rFonts w:hint="eastAsia" w:ascii="新宋体" w:hAnsi="新宋体" w:eastAsia="新宋体" w:cs="新宋体"/>
          <w:b/>
          <w:color w:val="auto"/>
          <w:sz w:val="22"/>
          <w:highlight w:val="none"/>
          <w:lang w:eastAsia="zh-CN"/>
        </w:rPr>
      </w:pPr>
    </w:p>
    <w:p>
      <w:pPr>
        <w:autoSpaceDE w:val="0"/>
        <w:autoSpaceDN w:val="0"/>
        <w:ind w:right="893" w:firstLine="418"/>
        <w:textAlignment w:val="bottom"/>
        <w:rPr>
          <w:rFonts w:hint="eastAsia" w:ascii="新宋体" w:hAnsi="新宋体" w:eastAsia="新宋体" w:cs="新宋体"/>
          <w:color w:val="auto"/>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09" w:hRule="atLeast"/>
          <w:jc w:val="center"/>
        </w:trPr>
        <w:tc>
          <w:tcPr>
            <w:tcW w:w="9685" w:type="dxa"/>
            <w:tcBorders>
              <w:bottom w:val="single" w:color="auto" w:sz="4" w:space="0"/>
            </w:tcBorders>
            <w:noWrap w:val="0"/>
            <w:vAlign w:val="center"/>
          </w:tcPr>
          <w:p>
            <w:pPr>
              <w:pStyle w:val="280"/>
              <w:spacing w:after="0" w:line="460" w:lineRule="exact"/>
              <w:rPr>
                <w:rFonts w:hint="eastAsia" w:ascii="新宋体" w:hAnsi="新宋体" w:eastAsia="新宋体" w:cs="新宋体"/>
                <w:color w:val="auto"/>
                <w:highlight w:val="none"/>
              </w:rPr>
            </w:pPr>
          </w:p>
        </w:tc>
      </w:tr>
    </w:tbl>
    <w:p>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pPr>
        <w:pStyle w:val="28"/>
        <w:spacing w:line="460" w:lineRule="exact"/>
        <w:ind w:left="5355" w:leftChars="2500" w:hanging="105" w:hangingChars="50"/>
        <w:rPr>
          <w:rFonts w:hint="eastAsia"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spacing w:line="400" w:lineRule="exact"/>
        <w:ind w:firstLine="5280" w:firstLineChars="2400"/>
        <w:rPr>
          <w:rFonts w:hint="eastAsia" w:ascii="新宋体" w:hAnsi="新宋体" w:eastAsia="新宋体" w:cs="新宋体"/>
          <w:color w:val="auto"/>
          <w:sz w:val="22"/>
          <w:szCs w:val="22"/>
          <w:highlight w:val="none"/>
        </w:rPr>
      </w:pPr>
    </w:p>
    <w:p>
      <w:pPr>
        <w:pStyle w:val="24"/>
        <w:ind w:left="0" w:leftChars="0" w:firstLine="0" w:firstLineChars="0"/>
        <w:outlineLvl w:val="9"/>
        <w:rPr>
          <w:rFonts w:hint="eastAsia" w:ascii="新宋体" w:hAnsi="新宋体" w:eastAsia="新宋体" w:cs="新宋体"/>
          <w:color w:val="auto"/>
          <w:sz w:val="22"/>
          <w:szCs w:val="22"/>
          <w:highlight w:val="none"/>
        </w:rPr>
      </w:pPr>
    </w:p>
    <w:p>
      <w:pPr>
        <w:spacing w:line="400" w:lineRule="exact"/>
        <w:jc w:val="center"/>
        <w:outlineLvl w:val="9"/>
        <w:rPr>
          <w:rFonts w:hint="eastAsia" w:ascii="新宋体" w:hAnsi="新宋体" w:eastAsia="新宋体" w:cs="新宋体"/>
          <w:b/>
          <w:bCs/>
          <w:color w:val="auto"/>
          <w:sz w:val="28"/>
          <w:szCs w:val="28"/>
          <w:highlight w:val="none"/>
          <w:lang w:val="en-US" w:eastAsia="zh-CN"/>
        </w:rPr>
      </w:pPr>
    </w:p>
    <w:p>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7、投标人的培训及售后服务</w:t>
      </w:r>
    </w:p>
    <w:p>
      <w:pPr>
        <w:autoSpaceDE w:val="0"/>
        <w:autoSpaceDN w:val="0"/>
        <w:ind w:right="893" w:firstLine="418"/>
        <w:textAlignment w:val="bottom"/>
        <w:rPr>
          <w:rFonts w:hint="eastAsia" w:ascii="新宋体" w:hAnsi="新宋体" w:eastAsia="新宋体" w:cs="新宋体"/>
          <w:color w:val="auto"/>
          <w:highlight w:val="none"/>
        </w:rPr>
      </w:pPr>
      <w:r>
        <w:rPr>
          <w:rFonts w:hint="eastAsia" w:ascii="新宋体" w:hAnsi="新宋体" w:eastAsia="新宋体" w:cs="新宋体"/>
          <w:b/>
          <w:color w:val="auto"/>
          <w:sz w:val="22"/>
          <w:highlight w:val="none"/>
        </w:rPr>
        <w:t>项目名称：                                   项目编号：</w:t>
      </w:r>
      <w:r>
        <w:rPr>
          <w:rFonts w:hint="eastAsia" w:ascii="新宋体" w:hAnsi="新宋体" w:eastAsia="新宋体" w:cs="新宋体"/>
          <w:color w:val="auto"/>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center"/>
          </w:tcPr>
          <w:p>
            <w:pPr>
              <w:pStyle w:val="280"/>
              <w:spacing w:after="0" w:line="460" w:lineRule="exact"/>
              <w:rPr>
                <w:rFonts w:hint="eastAsia" w:ascii="新宋体" w:hAnsi="新宋体" w:eastAsia="新宋体" w:cs="新宋体"/>
                <w:color w:val="auto"/>
                <w:highlight w:val="none"/>
              </w:rPr>
            </w:pPr>
          </w:p>
        </w:tc>
      </w:tr>
    </w:tbl>
    <w:p>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pPr>
        <w:pStyle w:val="28"/>
        <w:spacing w:line="460" w:lineRule="exact"/>
        <w:ind w:left="5355" w:leftChars="2500" w:hanging="105" w:hangingChars="50"/>
        <w:rPr>
          <w:rFonts w:hint="eastAsia"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pStyle w:val="24"/>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 xml:space="preserve">        </w:t>
      </w:r>
      <w:r>
        <w:rPr>
          <w:rFonts w:hint="eastAsia" w:ascii="新宋体" w:hAnsi="新宋体" w:eastAsia="新宋体" w:cs="新宋体"/>
          <w:bCs/>
          <w:color w:val="auto"/>
          <w:sz w:val="22"/>
          <w:szCs w:val="22"/>
          <w:highlight w:val="none"/>
        </w:rPr>
        <w:t>日   期：</w:t>
      </w:r>
    </w:p>
    <w:p>
      <w:pPr>
        <w:spacing w:line="400" w:lineRule="exact"/>
        <w:jc w:val="both"/>
        <w:outlineLvl w:val="9"/>
        <w:rPr>
          <w:rFonts w:hint="eastAsia" w:ascii="新宋体" w:hAnsi="新宋体" w:eastAsia="新宋体" w:cs="新宋体"/>
          <w:bCs/>
          <w:color w:val="auto"/>
          <w:sz w:val="22"/>
          <w:szCs w:val="22"/>
          <w:highlight w:val="none"/>
        </w:rPr>
      </w:pPr>
    </w:p>
    <w:p>
      <w:pPr>
        <w:pStyle w:val="2"/>
        <w:rPr>
          <w:rFonts w:hint="eastAsia" w:ascii="新宋体" w:hAnsi="新宋体" w:eastAsia="新宋体" w:cs="新宋体"/>
          <w:bCs/>
          <w:color w:val="auto"/>
          <w:sz w:val="22"/>
          <w:szCs w:val="22"/>
          <w:highlight w:val="none"/>
        </w:rPr>
      </w:pPr>
    </w:p>
    <w:p>
      <w:pPr>
        <w:rPr>
          <w:rFonts w:hint="eastAsia" w:ascii="新宋体" w:hAnsi="新宋体" w:eastAsia="新宋体" w:cs="新宋体"/>
          <w:bCs/>
          <w:color w:val="auto"/>
          <w:sz w:val="22"/>
          <w:szCs w:val="22"/>
          <w:highlight w:val="none"/>
        </w:rPr>
      </w:pPr>
    </w:p>
    <w:p>
      <w:pPr>
        <w:pStyle w:val="2"/>
        <w:rPr>
          <w:rFonts w:hint="eastAsia"/>
          <w:highlight w:val="none"/>
        </w:rPr>
      </w:pPr>
    </w:p>
    <w:p>
      <w:pPr>
        <w:pStyle w:val="24"/>
        <w:ind w:left="0" w:leftChars="0" w:firstLine="0" w:firstLineChars="0"/>
        <w:jc w:val="center"/>
        <w:outlineLvl w:val="3"/>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
          <w:color w:val="auto"/>
          <w:kern w:val="0"/>
          <w:sz w:val="28"/>
          <w:szCs w:val="21"/>
          <w:highlight w:val="none"/>
          <w:lang w:val="en-US" w:eastAsia="zh-CN" w:bidi="ar-SA"/>
        </w:rPr>
        <w:t>8、项目投入技术力量</w:t>
      </w:r>
    </w:p>
    <w:p>
      <w:pPr>
        <w:autoSpaceDE w:val="0"/>
        <w:autoSpaceDN w:val="0"/>
        <w:ind w:right="893" w:firstLine="418"/>
        <w:jc w:val="center"/>
        <w:textAlignment w:val="bottom"/>
        <w:rPr>
          <w:rFonts w:hint="eastAsia" w:ascii="新宋体" w:hAnsi="新宋体" w:eastAsia="新宋体" w:cs="新宋体"/>
          <w:color w:val="auto"/>
          <w:sz w:val="22"/>
          <w:highlight w:val="none"/>
        </w:rPr>
      </w:pPr>
    </w:p>
    <w:p>
      <w:pPr>
        <w:pStyle w:val="28"/>
        <w:spacing w:line="400" w:lineRule="atLeast"/>
        <w:jc w:val="center"/>
        <w:outlineLvl w:val="3"/>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cs="新宋体"/>
          <w:bCs/>
          <w:color w:val="auto"/>
          <w:sz w:val="22"/>
          <w:szCs w:val="22"/>
          <w:highlight w:val="none"/>
        </w:rPr>
        <w:t>项目负责人</w:t>
      </w:r>
    </w:p>
    <w:p>
      <w:pPr>
        <w:pStyle w:val="28"/>
        <w:spacing w:line="400" w:lineRule="atLeast"/>
        <w:ind w:left="2629"/>
        <w:rPr>
          <w:rFonts w:hint="eastAsia" w:ascii="新宋体" w:hAnsi="新宋体" w:eastAsia="新宋体"/>
          <w:color w:val="auto"/>
          <w:highlight w:val="none"/>
        </w:rPr>
      </w:pPr>
    </w:p>
    <w:p>
      <w:pPr>
        <w:pStyle w:val="28"/>
        <w:spacing w:line="400" w:lineRule="atLeast"/>
        <w:ind w:left="663" w:hanging="663" w:hangingChars="300"/>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项目名称：                                            项目编号：</w:t>
      </w:r>
    </w:p>
    <w:tbl>
      <w:tblPr>
        <w:tblStyle w:val="5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12" w:space="0"/>
              <w:left w:val="single" w:color="auto" w:sz="12"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姓 名</w:t>
            </w:r>
          </w:p>
        </w:tc>
        <w:tc>
          <w:tcPr>
            <w:tcW w:w="1652"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性 别</w:t>
            </w:r>
          </w:p>
        </w:tc>
        <w:tc>
          <w:tcPr>
            <w:tcW w:w="1761"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576" w:type="dxa"/>
            <w:tcBorders>
              <w:top w:val="single" w:color="auto" w:sz="12"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年 龄</w:t>
            </w:r>
          </w:p>
        </w:tc>
        <w:tc>
          <w:tcPr>
            <w:tcW w:w="1693" w:type="dxa"/>
            <w:tcBorders>
              <w:top w:val="single" w:color="auto" w:sz="12" w:space="0"/>
              <w:left w:val="single" w:color="auto" w:sz="6" w:space="0"/>
              <w:bottom w:val="single" w:color="auto" w:sz="6" w:space="0"/>
              <w:right w:val="single" w:color="auto" w:sz="12"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学 历</w:t>
            </w:r>
          </w:p>
        </w:tc>
        <w:tc>
          <w:tcPr>
            <w:tcW w:w="1652"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职 称</w:t>
            </w:r>
          </w:p>
        </w:tc>
        <w:tc>
          <w:tcPr>
            <w:tcW w:w="1761"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职 务</w:t>
            </w:r>
          </w:p>
        </w:tc>
        <w:tc>
          <w:tcPr>
            <w:tcW w:w="1693" w:type="dxa"/>
            <w:tcBorders>
              <w:top w:val="single" w:color="auto" w:sz="6" w:space="0"/>
              <w:left w:val="single" w:color="auto" w:sz="6" w:space="0"/>
              <w:bottom w:val="single" w:color="auto" w:sz="6" w:space="0"/>
              <w:right w:val="single" w:color="auto" w:sz="12"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19" w:type="dxa"/>
            <w:tcBorders>
              <w:top w:val="single" w:color="auto" w:sz="6" w:space="0"/>
              <w:left w:val="single" w:color="auto" w:sz="12"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761" w:type="dxa"/>
            <w:tcBorders>
              <w:top w:val="single" w:color="auto" w:sz="6" w:space="0"/>
              <w:left w:val="single" w:color="auto" w:sz="6" w:space="0"/>
              <w:bottom w:val="single" w:color="auto" w:sz="6" w:space="0"/>
              <w:right w:val="single" w:color="auto" w:sz="6"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noWrap w:val="0"/>
            <w:vAlign w:val="center"/>
          </w:tcPr>
          <w:p>
            <w:pPr>
              <w:pStyle w:val="28"/>
              <w:spacing w:line="400" w:lineRule="atLeast"/>
              <w:ind w:left="660" w:hanging="660" w:hangingChars="300"/>
              <w:jc w:val="center"/>
              <w:rPr>
                <w:rFonts w:hint="eastAsia" w:ascii="新宋体" w:hAnsi="新宋体" w:eastAsia="新宋体"/>
                <w:b w:val="0"/>
                <w:color w:val="auto"/>
                <w:kern w:val="2"/>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9949" w:type="dxa"/>
            <w:gridSpan w:val="6"/>
            <w:tcBorders>
              <w:top w:val="single" w:color="auto" w:sz="6" w:space="0"/>
              <w:left w:val="single" w:color="auto" w:sz="12" w:space="0"/>
              <w:bottom w:val="single" w:color="auto" w:sz="12" w:space="0"/>
              <w:right w:val="single" w:color="auto" w:sz="12" w:space="0"/>
            </w:tcBorders>
            <w:noWrap w:val="0"/>
            <w:vAlign w:val="top"/>
          </w:tcPr>
          <w:p>
            <w:pPr>
              <w:pStyle w:val="28"/>
              <w:spacing w:line="400" w:lineRule="atLeast"/>
              <w:ind w:left="660" w:hanging="660" w:hangingChars="300"/>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近五年从事相关工作经历及经验：</w:t>
            </w:r>
          </w:p>
        </w:tc>
      </w:tr>
    </w:tbl>
    <w:p>
      <w:pPr>
        <w:pStyle w:val="28"/>
        <w:spacing w:line="340" w:lineRule="exact"/>
        <w:ind w:left="663" w:hanging="663" w:hangingChars="300"/>
        <w:rPr>
          <w:rFonts w:hint="eastAsia" w:ascii="新宋体" w:hAnsi="新宋体" w:eastAsia="新宋体"/>
          <w:bCs/>
          <w:color w:val="auto"/>
          <w:sz w:val="22"/>
          <w:highlight w:val="none"/>
        </w:rPr>
      </w:pPr>
      <w:r>
        <w:rPr>
          <w:rFonts w:hint="eastAsia" w:ascii="新宋体" w:hAnsi="新宋体" w:eastAsia="新宋体"/>
          <w:color w:val="auto"/>
          <w:sz w:val="22"/>
          <w:highlight w:val="none"/>
        </w:rPr>
        <w:t xml:space="preserve"> </w:t>
      </w:r>
      <w:r>
        <w:rPr>
          <w:rFonts w:hint="eastAsia" w:ascii="新宋体" w:hAnsi="新宋体" w:eastAsia="新宋体"/>
          <w:bCs/>
          <w:color w:val="auto"/>
          <w:sz w:val="22"/>
          <w:highlight w:val="none"/>
        </w:rPr>
        <w:t xml:space="preserve"> 注:1、</w:t>
      </w:r>
      <w:r>
        <w:rPr>
          <w:rFonts w:hint="eastAsia" w:ascii="新宋体" w:hAnsi="新宋体" w:eastAsia="新宋体"/>
          <w:color w:val="auto"/>
          <w:sz w:val="22"/>
          <w:szCs w:val="22"/>
          <w:highlight w:val="none"/>
        </w:rPr>
        <w:t>本表应附学历证书、职称证书、经验证明等复印件；</w:t>
      </w:r>
    </w:p>
    <w:p>
      <w:pPr>
        <w:pStyle w:val="28"/>
        <w:spacing w:line="340" w:lineRule="exact"/>
        <w:ind w:left="663" w:hanging="663" w:hangingChars="300"/>
        <w:rPr>
          <w:rFonts w:hint="eastAsia" w:ascii="新宋体" w:hAnsi="新宋体" w:eastAsia="新宋体"/>
          <w:color w:val="auto"/>
          <w:sz w:val="22"/>
          <w:highlight w:val="none"/>
        </w:rPr>
      </w:pPr>
      <w:r>
        <w:rPr>
          <w:rFonts w:hint="eastAsia" w:ascii="新宋体" w:hAnsi="新宋体" w:eastAsia="新宋体" w:cs="新宋体"/>
          <w:bCs/>
          <w:snapToGrid w:val="0"/>
          <w:color w:val="auto"/>
          <w:sz w:val="22"/>
          <w:szCs w:val="22"/>
          <w:highlight w:val="none"/>
        </w:rPr>
        <w:t xml:space="preserve">  </w:t>
      </w:r>
      <w:r>
        <w:rPr>
          <w:rFonts w:hint="eastAsia" w:ascii="新宋体" w:hAnsi="新宋体" w:eastAsia="新宋体" w:cs="新宋体"/>
          <w:snapToGrid w:val="0"/>
          <w:color w:val="auto"/>
          <w:sz w:val="22"/>
          <w:szCs w:val="22"/>
          <w:highlight w:val="none"/>
        </w:rPr>
        <w:t xml:space="preserve">   2、不得随意更换项目负责人，如不经招标人同意擅自更换，则招标人有权解除合同。</w:t>
      </w:r>
      <w:r>
        <w:rPr>
          <w:rFonts w:hint="eastAsia" w:ascii="新宋体" w:hAnsi="新宋体" w:eastAsia="新宋体" w:cs="新宋体"/>
          <w:color w:val="auto"/>
          <w:sz w:val="22"/>
          <w:highlight w:val="none"/>
        </w:rPr>
        <w:t xml:space="preserve"> </w:t>
      </w:r>
      <w:r>
        <w:rPr>
          <w:rFonts w:hint="eastAsia" w:ascii="新宋体" w:hAnsi="新宋体" w:eastAsia="新宋体"/>
          <w:color w:val="auto"/>
          <w:sz w:val="22"/>
          <w:highlight w:val="none"/>
        </w:rPr>
        <w:t xml:space="preserve">       </w:t>
      </w:r>
    </w:p>
    <w:p>
      <w:pPr>
        <w:pStyle w:val="28"/>
        <w:spacing w:line="340" w:lineRule="exact"/>
        <w:ind w:left="663" w:hanging="663" w:hangingChars="300"/>
        <w:rPr>
          <w:rFonts w:hint="eastAsia" w:ascii="新宋体" w:hAnsi="新宋体" w:eastAsia="新宋体"/>
          <w:color w:val="auto"/>
          <w:sz w:val="22"/>
          <w:highlight w:val="none"/>
        </w:rPr>
      </w:pPr>
    </w:p>
    <w:p>
      <w:pPr>
        <w:pStyle w:val="28"/>
        <w:spacing w:line="340" w:lineRule="exact"/>
        <w:ind w:left="663" w:hanging="663" w:hangingChars="300"/>
        <w:rPr>
          <w:rFonts w:hint="eastAsia" w:ascii="新宋体" w:hAnsi="新宋体" w:eastAsia="新宋体"/>
          <w:color w:val="auto"/>
          <w:sz w:val="22"/>
          <w:highlight w:val="none"/>
        </w:rPr>
      </w:pPr>
    </w:p>
    <w:p>
      <w:pPr>
        <w:pStyle w:val="28"/>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pStyle w:val="28"/>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pStyle w:val="28"/>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tabs>
          <w:tab w:val="left" w:pos="0"/>
          <w:tab w:val="left" w:pos="540"/>
        </w:tabs>
        <w:spacing w:line="340" w:lineRule="exact"/>
        <w:rPr>
          <w:rFonts w:hint="eastAsia" w:ascii="新宋体" w:hAnsi="新宋体" w:eastAsia="新宋体"/>
          <w:color w:val="auto"/>
          <w:sz w:val="22"/>
          <w:highlight w:val="none"/>
        </w:rPr>
      </w:pPr>
    </w:p>
    <w:p>
      <w:pPr>
        <w:pStyle w:val="28"/>
        <w:spacing w:line="400" w:lineRule="atLeast"/>
        <w:jc w:val="center"/>
        <w:outlineLvl w:val="3"/>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（2）项目实施人员</w:t>
      </w:r>
    </w:p>
    <w:p>
      <w:pPr>
        <w:rPr>
          <w:rFonts w:hint="eastAsia" w:ascii="新宋体" w:hAnsi="新宋体" w:eastAsia="新宋体"/>
          <w:color w:val="auto"/>
          <w:sz w:val="22"/>
          <w:highlight w:val="none"/>
        </w:rPr>
      </w:pPr>
      <w:r>
        <w:rPr>
          <w:rFonts w:hint="eastAsia" w:ascii="新宋体" w:hAnsi="新宋体" w:eastAsia="新宋体"/>
          <w:b/>
          <w:color w:val="auto"/>
          <w:sz w:val="24"/>
          <w:highlight w:val="none"/>
        </w:rPr>
        <w:t>项目名称：</w:t>
      </w:r>
      <w:r>
        <w:rPr>
          <w:rFonts w:hint="eastAsia" w:ascii="新宋体" w:hAnsi="新宋体" w:eastAsia="新宋体"/>
          <w:b/>
          <w:color w:val="auto"/>
          <w:sz w:val="22"/>
          <w:highlight w:val="none"/>
        </w:rPr>
        <w:t xml:space="preserve">                                         项目编号：</w:t>
      </w:r>
      <w:r>
        <w:rPr>
          <w:rFonts w:hint="eastAsia" w:ascii="新宋体" w:hAnsi="新宋体" w:eastAsia="新宋体"/>
          <w:color w:val="auto"/>
          <w:sz w:val="22"/>
          <w:highlight w:val="none"/>
        </w:rPr>
        <w:t xml:space="preserve"> </w:t>
      </w:r>
    </w:p>
    <w:tbl>
      <w:tblPr>
        <w:tblStyle w:val="52"/>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姓名</w:t>
            </w: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性别</w:t>
            </w: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年龄</w:t>
            </w: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学历</w:t>
            </w:r>
          </w:p>
        </w:tc>
        <w:tc>
          <w:tcPr>
            <w:tcW w:w="1297" w:type="dxa"/>
            <w:noWrap w:val="0"/>
            <w:vAlign w:val="center"/>
          </w:tcPr>
          <w:p>
            <w:pPr>
              <w:spacing w:line="2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职称/职务</w:t>
            </w:r>
          </w:p>
        </w:tc>
        <w:tc>
          <w:tcPr>
            <w:tcW w:w="1284" w:type="dxa"/>
            <w:noWrap w:val="0"/>
            <w:vAlign w:val="center"/>
          </w:tcPr>
          <w:p>
            <w:pPr>
              <w:spacing w:line="2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本工程中的岗位</w:t>
            </w:r>
          </w:p>
        </w:tc>
        <w:tc>
          <w:tcPr>
            <w:tcW w:w="1766"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从事专业年限</w:t>
            </w: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9539" w:type="dxa"/>
            <w:gridSpan w:val="9"/>
            <w:noWrap w:val="0"/>
            <w:vAlign w:val="center"/>
          </w:tcPr>
          <w:p>
            <w:pPr>
              <w:spacing w:line="360" w:lineRule="auto"/>
              <w:jc w:val="center"/>
              <w:rPr>
                <w:rFonts w:hint="default" w:ascii="新宋体" w:hAnsi="新宋体" w:eastAsia="新宋体"/>
                <w:color w:val="auto"/>
                <w:sz w:val="22"/>
                <w:szCs w:val="22"/>
                <w:highlight w:val="none"/>
                <w:lang w:val="en-US" w:eastAsia="zh-CN"/>
              </w:rPr>
            </w:pPr>
            <w:r>
              <w:rPr>
                <w:rFonts w:hint="eastAsia" w:ascii="新宋体" w:hAnsi="新宋体" w:eastAsia="新宋体"/>
                <w:b/>
                <w:bCs/>
                <w:color w:val="auto"/>
                <w:sz w:val="22"/>
                <w:szCs w:val="22"/>
                <w:highlight w:val="none"/>
                <w:lang w:val="en-US" w:eastAsia="zh-CN"/>
              </w:rPr>
              <w:t>驻点人员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bl>
    <w:p>
      <w:pPr>
        <w:pStyle w:val="28"/>
        <w:spacing w:line="400" w:lineRule="atLeast"/>
        <w:ind w:left="663" w:hanging="663" w:hangingChars="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注：</w:t>
      </w:r>
      <w:r>
        <w:rPr>
          <w:rFonts w:hint="eastAsia" w:ascii="新宋体" w:hAnsi="新宋体" w:eastAsia="新宋体"/>
          <w:bCs/>
          <w:color w:val="auto"/>
          <w:sz w:val="22"/>
          <w:highlight w:val="none"/>
        </w:rPr>
        <w:t>1、</w:t>
      </w:r>
      <w:r>
        <w:rPr>
          <w:rFonts w:hint="eastAsia" w:ascii="新宋体" w:hAnsi="新宋体" w:eastAsia="新宋体"/>
          <w:color w:val="auto"/>
          <w:sz w:val="22"/>
          <w:szCs w:val="22"/>
          <w:highlight w:val="none"/>
        </w:rPr>
        <w:t>本表应附学历证书、职称证书、经验证明等复印件；</w:t>
      </w:r>
    </w:p>
    <w:p>
      <w:pPr>
        <w:pStyle w:val="28"/>
        <w:spacing w:line="400" w:lineRule="atLeast"/>
        <w:ind w:left="663" w:hanging="663" w:hangingChars="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2、此表仅提供了表格形式，投标人可按此表格复制。</w:t>
      </w:r>
    </w:p>
    <w:p>
      <w:pPr>
        <w:pStyle w:val="28"/>
        <w:spacing w:line="400" w:lineRule="atLeast"/>
        <w:ind w:left="663" w:hanging="663" w:hangingChars="300"/>
        <w:rPr>
          <w:rFonts w:hint="eastAsia" w:ascii="新宋体" w:hAnsi="新宋体" w:eastAsia="新宋体"/>
          <w:bCs/>
          <w:color w:val="auto"/>
          <w:sz w:val="22"/>
          <w:szCs w:val="22"/>
          <w:highlight w:val="none"/>
        </w:rPr>
      </w:pPr>
      <w:r>
        <w:rPr>
          <w:rFonts w:hint="eastAsia" w:ascii="新宋体" w:hAnsi="新宋体" w:eastAsia="新宋体"/>
          <w:color w:val="auto"/>
          <w:sz w:val="22"/>
          <w:szCs w:val="22"/>
          <w:highlight w:val="none"/>
        </w:rPr>
        <w:t xml:space="preserve">    3、</w:t>
      </w:r>
      <w:r>
        <w:rPr>
          <w:rFonts w:hint="eastAsia" w:ascii="新宋体" w:hAnsi="新宋体" w:eastAsia="新宋体" w:cs="新宋体"/>
          <w:snapToGrid w:val="0"/>
          <w:color w:val="auto"/>
          <w:sz w:val="22"/>
          <w:szCs w:val="22"/>
          <w:highlight w:val="none"/>
        </w:rPr>
        <w:t>不得随意更换项目实施人员，如不经招标人同意擅自更换，则招标人有权解除合同。</w:t>
      </w:r>
      <w:r>
        <w:rPr>
          <w:rFonts w:hint="eastAsia" w:ascii="新宋体" w:hAnsi="新宋体" w:eastAsia="新宋体" w:cs="新宋体"/>
          <w:bCs/>
          <w:color w:val="auto"/>
          <w:sz w:val="22"/>
          <w:highlight w:val="none"/>
        </w:rPr>
        <w:t xml:space="preserve"> </w:t>
      </w:r>
    </w:p>
    <w:p>
      <w:pPr>
        <w:pStyle w:val="28"/>
        <w:spacing w:line="400" w:lineRule="atLeast"/>
        <w:ind w:left="663" w:hanging="663" w:hangingChars="300"/>
        <w:rPr>
          <w:rFonts w:hint="eastAsia" w:ascii="新宋体" w:hAnsi="新宋体" w:eastAsia="新宋体"/>
          <w:color w:val="auto"/>
          <w:sz w:val="22"/>
          <w:szCs w:val="22"/>
          <w:highlight w:val="none"/>
        </w:rPr>
      </w:pPr>
    </w:p>
    <w:p>
      <w:pPr>
        <w:pStyle w:val="28"/>
        <w:spacing w:line="400" w:lineRule="atLeast"/>
        <w:ind w:left="630" w:leftChars="300" w:firstLine="4730" w:firstLineChars="2150"/>
        <w:rPr>
          <w:rFonts w:hint="eastAsia" w:ascii="新宋体" w:hAnsi="新宋体" w:eastAsia="新宋体"/>
          <w:b w:val="0"/>
          <w:bCs/>
          <w:color w:val="auto"/>
          <w:sz w:val="22"/>
          <w:szCs w:val="22"/>
          <w:highlight w:val="none"/>
        </w:rPr>
      </w:pPr>
      <w:r>
        <w:rPr>
          <w:rFonts w:hint="eastAsia" w:ascii="新宋体" w:hAnsi="新宋体" w:eastAsia="新宋体"/>
          <w:b w:val="0"/>
          <w:bCs/>
          <w:color w:val="auto"/>
          <w:sz w:val="22"/>
          <w:szCs w:val="22"/>
          <w:highlight w:val="none"/>
        </w:rPr>
        <w:t>投标人全称（盖章）：</w:t>
      </w:r>
    </w:p>
    <w:p>
      <w:pPr>
        <w:pStyle w:val="28"/>
        <w:spacing w:line="400" w:lineRule="atLeast"/>
        <w:ind w:left="630" w:leftChars="300" w:firstLine="4730" w:firstLineChars="2150"/>
        <w:rPr>
          <w:rFonts w:hint="eastAsia" w:ascii="新宋体" w:hAnsi="新宋体" w:eastAsia="新宋体"/>
          <w:b w:val="0"/>
          <w:bCs/>
          <w:color w:val="auto"/>
          <w:sz w:val="22"/>
          <w:szCs w:val="22"/>
          <w:highlight w:val="none"/>
        </w:rPr>
      </w:pPr>
      <w:r>
        <w:rPr>
          <w:rFonts w:hint="eastAsia" w:ascii="新宋体" w:hAnsi="新宋体" w:eastAsia="新宋体"/>
          <w:b w:val="0"/>
          <w:bCs/>
          <w:color w:val="auto"/>
          <w:sz w:val="22"/>
          <w:szCs w:val="22"/>
          <w:highlight w:val="none"/>
        </w:rPr>
        <w:t>投标人代表（签字）：</w:t>
      </w:r>
    </w:p>
    <w:p>
      <w:pPr>
        <w:pStyle w:val="28"/>
        <w:spacing w:line="400" w:lineRule="atLeast"/>
        <w:ind w:left="630" w:leftChars="300" w:firstLine="4730" w:firstLineChars="2150"/>
        <w:rPr>
          <w:rFonts w:hint="eastAsia" w:ascii="新宋体" w:hAnsi="新宋体" w:eastAsia="新宋体"/>
          <w:b w:val="0"/>
          <w:bCs/>
          <w:color w:val="auto"/>
          <w:sz w:val="22"/>
          <w:szCs w:val="22"/>
          <w:highlight w:val="none"/>
        </w:rPr>
      </w:pPr>
      <w:r>
        <w:rPr>
          <w:rFonts w:hint="eastAsia" w:ascii="新宋体" w:hAnsi="新宋体" w:eastAsia="新宋体"/>
          <w:b w:val="0"/>
          <w:bCs/>
          <w:color w:val="auto"/>
          <w:sz w:val="22"/>
          <w:szCs w:val="22"/>
          <w:highlight w:val="none"/>
        </w:rPr>
        <w:t>日   期：</w:t>
      </w:r>
    </w:p>
    <w:p>
      <w:pPr>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 xml:space="preserve">   </w:t>
      </w:r>
    </w:p>
    <w:p>
      <w:pPr>
        <w:pStyle w:val="2"/>
        <w:outlineLvl w:val="9"/>
        <w:rPr>
          <w:rFonts w:hint="eastAsia" w:ascii="新宋体" w:hAnsi="新宋体" w:eastAsia="新宋体" w:cs="新宋体"/>
          <w:b/>
          <w:color w:val="auto"/>
          <w:sz w:val="22"/>
          <w:highlight w:val="none"/>
        </w:rPr>
      </w:pPr>
    </w:p>
    <w:p>
      <w:pPr>
        <w:rPr>
          <w:rFonts w:hint="eastAsia"/>
          <w:highlight w:val="none"/>
        </w:rPr>
      </w:pPr>
    </w:p>
    <w:p>
      <w:pPr>
        <w:outlineLvl w:val="9"/>
        <w:rPr>
          <w:rFonts w:hint="eastAsia"/>
          <w:highlight w:val="none"/>
        </w:rPr>
      </w:pPr>
    </w:p>
    <w:p>
      <w:pPr>
        <w:outlineLvl w:val="9"/>
        <w:rPr>
          <w:rFonts w:hint="eastAsia"/>
          <w:highlight w:val="none"/>
        </w:rPr>
      </w:pPr>
    </w:p>
    <w:p>
      <w:pPr>
        <w:outlineLvl w:val="9"/>
        <w:rPr>
          <w:rFonts w:hint="eastAsia"/>
          <w:highlight w:val="none"/>
        </w:rPr>
      </w:pPr>
    </w:p>
    <w:p>
      <w:pPr>
        <w:outlineLvl w:val="9"/>
        <w:rPr>
          <w:rFonts w:hint="eastAsia"/>
          <w:highlight w:val="none"/>
        </w:rPr>
      </w:pPr>
    </w:p>
    <w:p>
      <w:pPr>
        <w:rPr>
          <w:rFonts w:hint="eastAsia"/>
          <w:highlight w:val="none"/>
        </w:rPr>
      </w:pPr>
    </w:p>
    <w:p>
      <w:pPr>
        <w:spacing w:line="46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9、业绩</w:t>
      </w:r>
    </w:p>
    <w:p>
      <w:pPr>
        <w:autoSpaceDE w:val="0"/>
        <w:autoSpaceDN w:val="0"/>
        <w:ind w:right="893" w:firstLine="418"/>
        <w:jc w:val="center"/>
        <w:textAlignment w:val="bottom"/>
        <w:rPr>
          <w:rFonts w:hint="eastAsia" w:ascii="新宋体" w:hAnsi="新宋体" w:eastAsia="新宋体" w:cs="新宋体"/>
          <w:color w:val="auto"/>
          <w:sz w:val="22"/>
          <w:highlight w:val="none"/>
        </w:rPr>
      </w:pPr>
    </w:p>
    <w:p>
      <w:pPr>
        <w:pStyle w:val="10"/>
        <w:ind w:firstLine="0"/>
        <w:rPr>
          <w:rFonts w:hint="eastAsia" w:ascii="新宋体" w:hAnsi="新宋体" w:eastAsia="新宋体" w:cs="新宋体"/>
          <w:color w:val="auto"/>
          <w:highlight w:val="none"/>
          <w:lang w:val="zh-CN"/>
        </w:rPr>
      </w:pPr>
      <w:r>
        <w:rPr>
          <w:rFonts w:hint="eastAsia" w:ascii="新宋体" w:hAnsi="新宋体" w:eastAsia="新宋体" w:cs="新宋体"/>
          <w:color w:val="auto"/>
          <w:sz w:val="22"/>
          <w:highlight w:val="none"/>
        </w:rPr>
        <w:t>项目名称：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59"/>
        <w:gridCol w:w="2026"/>
        <w:gridCol w:w="1271"/>
        <w:gridCol w:w="1282"/>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3259" w:type="dxa"/>
            <w:noWrap w:val="0"/>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2026" w:type="dxa"/>
            <w:noWrap w:val="0"/>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用户单位</w:t>
            </w:r>
          </w:p>
        </w:tc>
        <w:tc>
          <w:tcPr>
            <w:tcW w:w="1271" w:type="dxa"/>
            <w:noWrap w:val="0"/>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282" w:type="dxa"/>
            <w:noWrap w:val="0"/>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合同日期</w:t>
            </w:r>
          </w:p>
        </w:tc>
        <w:tc>
          <w:tcPr>
            <w:tcW w:w="1128" w:type="dxa"/>
            <w:noWrap w:val="0"/>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3259"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2026"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282"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noWrap w:val="0"/>
            <w:vAlign w:val="center"/>
          </w:tcPr>
          <w:p>
            <w:pPr>
              <w:spacing w:line="380" w:lineRule="exact"/>
              <w:ind w:left="442" w:hanging="442"/>
              <w:jc w:val="center"/>
              <w:rPr>
                <w:rFonts w:hint="eastAsia" w:ascii="新宋体" w:hAnsi="新宋体" w:eastAsia="新宋体" w:cs="新宋体"/>
                <w:b/>
                <w:bCs/>
                <w:color w:val="auto"/>
                <w:sz w:val="22"/>
                <w:szCs w:val="22"/>
                <w:highlight w:val="none"/>
              </w:rPr>
            </w:pPr>
          </w:p>
        </w:tc>
      </w:tr>
    </w:tbl>
    <w:p>
      <w:pPr>
        <w:spacing w:line="380" w:lineRule="exact"/>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pPr>
        <w:spacing w:line="460" w:lineRule="exact"/>
        <w:ind w:firstLine="5280" w:firstLineChars="2400"/>
        <w:rPr>
          <w:rFonts w:hint="eastAsia"/>
          <w:color w:val="auto"/>
          <w:highlight w:val="none"/>
        </w:rPr>
      </w:pPr>
      <w:r>
        <w:rPr>
          <w:rFonts w:hint="eastAsia" w:ascii="新宋体" w:hAnsi="新宋体" w:eastAsia="新宋体" w:cs="新宋体"/>
          <w:color w:val="auto"/>
          <w:sz w:val="22"/>
          <w:szCs w:val="22"/>
          <w:highlight w:val="none"/>
        </w:rPr>
        <w:t>日 期：</w:t>
      </w:r>
    </w:p>
    <w:p>
      <w:pPr>
        <w:pStyle w:val="28"/>
        <w:spacing w:line="460" w:lineRule="exact"/>
        <w:outlineLvl w:val="9"/>
        <w:rPr>
          <w:rFonts w:hint="eastAsia" w:ascii="新宋体" w:hAnsi="新宋体" w:eastAsia="新宋体" w:cs="新宋体"/>
          <w:b w:val="0"/>
          <w:bCs/>
          <w:color w:val="auto"/>
          <w:szCs w:val="22"/>
          <w:highlight w:val="none"/>
        </w:rPr>
      </w:pPr>
    </w:p>
    <w:p>
      <w:pPr>
        <w:pStyle w:val="28"/>
        <w:spacing w:line="460" w:lineRule="exact"/>
        <w:outlineLvl w:val="9"/>
        <w:rPr>
          <w:rFonts w:hint="eastAsia" w:ascii="新宋体" w:hAnsi="新宋体" w:eastAsia="新宋体" w:cs="新宋体"/>
          <w:b w:val="0"/>
          <w:bCs/>
          <w:color w:val="auto"/>
          <w:szCs w:val="22"/>
          <w:highlight w:val="none"/>
        </w:rPr>
      </w:pPr>
    </w:p>
    <w:p>
      <w:pPr>
        <w:pStyle w:val="28"/>
        <w:spacing w:line="460" w:lineRule="exact"/>
        <w:outlineLvl w:val="9"/>
        <w:rPr>
          <w:rFonts w:hint="eastAsia" w:ascii="新宋体" w:hAnsi="新宋体" w:eastAsia="新宋体" w:cs="新宋体"/>
          <w:b w:val="0"/>
          <w:bCs/>
          <w:color w:val="auto"/>
          <w:szCs w:val="22"/>
          <w:highlight w:val="none"/>
        </w:rPr>
      </w:pPr>
    </w:p>
    <w:p>
      <w:pPr>
        <w:outlineLvl w:val="9"/>
        <w:rPr>
          <w:rFonts w:hint="eastAsia" w:ascii="新宋体" w:hAnsi="新宋体" w:eastAsia="新宋体"/>
          <w:b/>
          <w:bCs/>
          <w:sz w:val="22"/>
          <w:szCs w:val="22"/>
          <w:highlight w:val="none"/>
        </w:rPr>
      </w:pPr>
    </w:p>
    <w:p>
      <w:pPr>
        <w:outlineLvl w:val="1"/>
        <w:rPr>
          <w:rFonts w:hint="eastAsia" w:ascii="新宋体" w:hAnsi="新宋体" w:eastAsia="新宋体"/>
          <w:b/>
          <w:bCs/>
          <w:sz w:val="22"/>
          <w:szCs w:val="22"/>
          <w:highlight w:val="none"/>
          <w:lang w:val="en-US" w:eastAsia="zh-CN"/>
        </w:rPr>
      </w:pPr>
      <w:r>
        <w:rPr>
          <w:rFonts w:hint="eastAsia" w:ascii="新宋体" w:hAnsi="新宋体" w:eastAsia="新宋体"/>
          <w:b/>
          <w:bCs/>
          <w:sz w:val="22"/>
          <w:szCs w:val="22"/>
          <w:highlight w:val="none"/>
        </w:rPr>
        <w:t>附件</w:t>
      </w:r>
      <w:r>
        <w:rPr>
          <w:rFonts w:hint="eastAsia" w:ascii="新宋体" w:hAnsi="新宋体" w:eastAsia="新宋体"/>
          <w:b/>
          <w:bCs/>
          <w:sz w:val="22"/>
          <w:szCs w:val="22"/>
          <w:highlight w:val="none"/>
          <w:lang w:val="en-US" w:eastAsia="zh-CN"/>
        </w:rPr>
        <w:t>四</w:t>
      </w:r>
    </w:p>
    <w:p>
      <w:pPr>
        <w:jc w:val="center"/>
        <w:outlineLvl w:val="2"/>
        <w:rPr>
          <w:rFonts w:hint="eastAsia" w:ascii="新宋体" w:hAnsi="新宋体" w:eastAsia="新宋体" w:cs="新宋体"/>
          <w:sz w:val="32"/>
          <w:szCs w:val="32"/>
          <w:highlight w:val="none"/>
        </w:rPr>
      </w:pPr>
      <w:r>
        <w:rPr>
          <w:rFonts w:hint="eastAsia" w:ascii="新宋体" w:hAnsi="新宋体" w:eastAsia="新宋体" w:cs="新宋体"/>
          <w:b/>
          <w:bCs/>
          <w:sz w:val="32"/>
          <w:szCs w:val="32"/>
          <w:highlight w:val="none"/>
        </w:rPr>
        <w:t>温州市政府采购信用融资意向银行选择表</w:t>
      </w:r>
    </w:p>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（温州市供应商填写）</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304"/>
        <w:gridCol w:w="1439"/>
        <w:gridCol w:w="865"/>
        <w:gridCol w:w="158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0" w:type="pct"/>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企业名称</w:t>
            </w:r>
          </w:p>
        </w:tc>
        <w:tc>
          <w:tcPr>
            <w:tcW w:w="4139" w:type="pct"/>
            <w:gridSpan w:val="5"/>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0" w:type="pct"/>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企业注册地</w:t>
            </w:r>
          </w:p>
        </w:tc>
        <w:tc>
          <w:tcPr>
            <w:tcW w:w="1899"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c>
          <w:tcPr>
            <w:tcW w:w="1242"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是否有融资意向</w:t>
            </w:r>
          </w:p>
        </w:tc>
        <w:tc>
          <w:tcPr>
            <w:tcW w:w="997" w:type="pct"/>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0" w:type="pct"/>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融资联系人</w:t>
            </w:r>
          </w:p>
        </w:tc>
        <w:tc>
          <w:tcPr>
            <w:tcW w:w="1169" w:type="pct"/>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c>
          <w:tcPr>
            <w:tcW w:w="1169"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联系方式</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温州市政府采购信用融资合作银行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温州银行股份有限公司温州分行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温州银行股份有限公司鹿城分行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中国工商银行股份有限公司温州分行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中国建设银行股份有限公司温州分行</w:t>
            </w:r>
          </w:p>
        </w:tc>
        <w:tc>
          <w:tcPr>
            <w:tcW w:w="180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中国邮政储蓄银行股份有限公司温州市分行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中国民生银行股份有限公司温州分行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宁波银行股份有限公司温州分行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杭州银行股份有限公司温州分行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招商银行股份有限公司温州分行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兴业银行股份有限公司温州分行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交通银行股份有限公司温州分行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198" w:type="pct"/>
            <w:gridSpan w:val="4"/>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上海浦东发展银行股份有限公司温州分行</w:t>
            </w:r>
          </w:p>
        </w:tc>
        <w:tc>
          <w:tcPr>
            <w:tcW w:w="1801" w:type="pct"/>
            <w:gridSpan w:val="2"/>
            <w:noWrap w:val="0"/>
            <w:vAlign w:val="center"/>
          </w:tcPr>
          <w:p>
            <w:pPr>
              <w:pStyle w:val="28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新宋体" w:hAnsi="新宋体" w:eastAsia="新宋体" w:cs="新宋体"/>
                <w:color w:val="000000"/>
                <w:kern w:val="0"/>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注：1、本表填写对象为注册地在温州市域内的供应商。</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sz w:val="24"/>
          <w:szCs w:val="24"/>
          <w:highlight w:val="none"/>
        </w:rPr>
      </w:pPr>
      <w:r>
        <w:rPr>
          <w:rFonts w:hint="eastAsia" w:ascii="新宋体" w:hAnsi="新宋体" w:eastAsia="新宋体" w:cs="新宋体"/>
          <w:sz w:val="22"/>
          <w:szCs w:val="22"/>
          <w:highlight w:val="none"/>
        </w:rPr>
        <w:t>2、财政部</w:t>
      </w:r>
      <w:r>
        <w:rPr>
          <w:rFonts w:hint="eastAsia" w:ascii="新宋体" w:hAnsi="新宋体" w:eastAsia="新宋体" w:cs="新宋体"/>
          <w:sz w:val="22"/>
          <w:szCs w:val="22"/>
          <w:highlight w:val="none"/>
          <w:lang w:val="en-US" w:eastAsia="zh-CN"/>
        </w:rPr>
        <w:t>门</w:t>
      </w:r>
      <w:r>
        <w:rPr>
          <w:rFonts w:hint="eastAsia" w:ascii="新宋体" w:hAnsi="新宋体" w:eastAsia="新宋体" w:cs="新宋体"/>
          <w:sz w:val="22"/>
          <w:szCs w:val="22"/>
          <w:highlight w:val="none"/>
        </w:rPr>
        <w:t>根据企业自行选择，将本表及企业相关信息推送至相对应的融资意向银行经办人。</w:t>
      </w:r>
    </w:p>
    <w:p>
      <w:pPr>
        <w:spacing w:line="460" w:lineRule="exact"/>
        <w:rPr>
          <w:rFonts w:ascii="新宋体" w:hAnsi="新宋体" w:eastAsia="新宋体"/>
          <w:sz w:val="22"/>
          <w:szCs w:val="22"/>
          <w:highlight w:val="none"/>
        </w:rPr>
        <w:sectPr>
          <w:headerReference r:id="rId5" w:type="default"/>
          <w:footerReference r:id="rId6" w:type="default"/>
          <w:pgSz w:w="11906" w:h="16838"/>
          <w:pgMar w:top="1134" w:right="1134" w:bottom="1134" w:left="1134" w:header="850" w:footer="992" w:gutter="0"/>
          <w:pgBorders>
            <w:top w:val="none" w:sz="0" w:space="0"/>
            <w:left w:val="none" w:sz="0" w:space="0"/>
            <w:bottom w:val="none" w:sz="0" w:space="0"/>
            <w:right w:val="none" w:sz="0" w:space="0"/>
          </w:pgBorders>
          <w:cols w:space="720" w:num="1"/>
          <w:docGrid w:type="lines" w:linePitch="321" w:charSpace="0"/>
        </w:sect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7"/>
        <w:gridCol w:w="5497"/>
        <w:gridCol w:w="155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noWrap w:val="0"/>
            <w:vAlign w:val="top"/>
          </w:tcPr>
          <w:p>
            <w:pPr>
              <w:jc w:val="center"/>
              <w:rPr>
                <w:rFonts w:hint="eastAsia" w:ascii="新宋体" w:hAnsi="新宋体" w:eastAsia="新宋体" w:cs="新宋体"/>
                <w:sz w:val="22"/>
                <w:szCs w:val="22"/>
                <w:highlight w:val="none"/>
              </w:rPr>
            </w:pPr>
            <w:r>
              <w:rPr>
                <w:rFonts w:hint="eastAsia" w:ascii="新宋体" w:hAnsi="新宋体" w:eastAsia="新宋体" w:cs="新宋体"/>
                <w:b/>
                <w:bCs/>
                <w:color w:val="333333"/>
                <w:sz w:val="36"/>
                <w:szCs w:val="36"/>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77" w:type="dxa"/>
            <w:noWrap w:val="0"/>
            <w:vAlign w:val="top"/>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银行名称</w:t>
            </w:r>
          </w:p>
        </w:tc>
        <w:tc>
          <w:tcPr>
            <w:tcW w:w="5497" w:type="dxa"/>
            <w:noWrap w:val="0"/>
            <w:vAlign w:val="top"/>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产品特点（不超过120字）</w:t>
            </w:r>
          </w:p>
        </w:tc>
        <w:tc>
          <w:tcPr>
            <w:tcW w:w="1559" w:type="dxa"/>
            <w:noWrap w:val="0"/>
            <w:vAlign w:val="top"/>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经办人</w:t>
            </w:r>
          </w:p>
        </w:tc>
        <w:tc>
          <w:tcPr>
            <w:tcW w:w="2841" w:type="dxa"/>
            <w:noWrap w:val="0"/>
            <w:vAlign w:val="top"/>
          </w:tcPr>
          <w:p>
            <w:pPr>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中国工商银行股份有限公司温州分行</w:t>
            </w:r>
          </w:p>
        </w:tc>
        <w:tc>
          <w:tcPr>
            <w:tcW w:w="5497" w:type="dxa"/>
            <w:noWrap w:val="0"/>
            <w:vAlign w:val="top"/>
          </w:tcPr>
          <w:p>
            <w:pP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559"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王经理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0577-88186626</w:t>
            </w:r>
          </w:p>
          <w:p>
            <w:pPr>
              <w:jc w:val="center"/>
              <w:rPr>
                <w:rFonts w:hint="eastAsia" w:ascii="新宋体" w:hAnsi="新宋体" w:eastAsia="新宋体" w:cs="新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7" w:type="dxa"/>
            <w:noWrap w:val="0"/>
            <w:vAlign w:val="center"/>
          </w:tcPr>
          <w:p>
            <w:pPr>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中国建设银行股份有限公司温州分行</w:t>
            </w:r>
          </w:p>
        </w:tc>
        <w:tc>
          <w:tcPr>
            <w:tcW w:w="5497" w:type="dxa"/>
            <w:noWrap w:val="0"/>
            <w:vAlign w:val="top"/>
          </w:tcPr>
          <w:p>
            <w:pP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559" w:type="dxa"/>
            <w:noWrap w:val="0"/>
            <w:vAlign w:val="center"/>
          </w:tcPr>
          <w:p>
            <w:pPr>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张经理</w:t>
            </w:r>
          </w:p>
        </w:tc>
        <w:tc>
          <w:tcPr>
            <w:tcW w:w="2841" w:type="dxa"/>
            <w:noWrap w:val="0"/>
            <w:vAlign w:val="center"/>
          </w:tcPr>
          <w:p>
            <w:pPr>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中国邮政储蓄银行股份有限公司温州市分行</w:t>
            </w:r>
          </w:p>
        </w:tc>
        <w:tc>
          <w:tcPr>
            <w:tcW w:w="5497" w:type="dxa"/>
            <w:noWrap w:val="0"/>
            <w:vAlign w:val="center"/>
          </w:tcPr>
          <w:p>
            <w:pP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559"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郑经理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0577-88193910</w:t>
            </w:r>
          </w:p>
          <w:p>
            <w:pPr>
              <w:jc w:val="center"/>
              <w:rPr>
                <w:rFonts w:hint="eastAsia" w:ascii="新宋体" w:hAnsi="新宋体" w:eastAsia="新宋体" w:cs="新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中国民生银行股份有限公司温州分行</w:t>
            </w:r>
          </w:p>
        </w:tc>
        <w:tc>
          <w:tcPr>
            <w:tcW w:w="5497" w:type="dxa"/>
            <w:noWrap w:val="0"/>
            <w:vAlign w:val="top"/>
          </w:tcPr>
          <w:p>
            <w:pPr>
              <w:jc w:val="left"/>
              <w:rPr>
                <w:rFonts w:hint="eastAsia" w:ascii="新宋体" w:hAnsi="新宋体" w:eastAsia="新宋体" w:cs="新宋体"/>
                <w:sz w:val="22"/>
                <w:szCs w:val="22"/>
                <w:highlight w:val="none"/>
              </w:rPr>
            </w:pPr>
            <w:r>
              <w:rPr>
                <w:rFonts w:hint="eastAsia" w:ascii="新宋体" w:hAnsi="新宋体" w:eastAsia="新宋体" w:cs="新宋体"/>
                <w:color w:val="000000"/>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项经理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宁波银行股份有限公司温州分行</w:t>
            </w:r>
          </w:p>
        </w:tc>
        <w:tc>
          <w:tcPr>
            <w:tcW w:w="5497" w:type="dxa"/>
            <w:noWrap w:val="0"/>
            <w:vAlign w:val="top"/>
          </w:tcPr>
          <w:p>
            <w:pPr>
              <w:rPr>
                <w:rFonts w:hint="eastAsia" w:ascii="新宋体" w:hAnsi="新宋体" w:eastAsia="新宋体" w:cs="新宋体"/>
                <w:sz w:val="22"/>
                <w:szCs w:val="22"/>
                <w:highlight w:val="none"/>
              </w:rPr>
            </w:pPr>
            <w:r>
              <w:rPr>
                <w:rFonts w:hint="eastAsia" w:ascii="新宋体" w:hAnsi="新宋体" w:eastAsia="新宋体" w:cs="新宋体"/>
                <w:color w:val="000000"/>
                <w:kern w:val="0"/>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559"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陈经理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0577－88007377</w:t>
            </w:r>
          </w:p>
          <w:p>
            <w:pPr>
              <w:jc w:val="center"/>
              <w:rPr>
                <w:rFonts w:hint="eastAsia" w:ascii="新宋体" w:hAnsi="新宋体" w:eastAsia="新宋体" w:cs="新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杭州银行股份有限公司温州分行</w:t>
            </w:r>
          </w:p>
        </w:tc>
        <w:tc>
          <w:tcPr>
            <w:tcW w:w="5497" w:type="dxa"/>
            <w:noWrap w:val="0"/>
            <w:vAlign w:val="top"/>
          </w:tcPr>
          <w:p>
            <w:pP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门槛低：纯信用，平台注册入库并取得采购合同即可申请</w:t>
            </w:r>
          </w:p>
          <w:p>
            <w:pP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手续简：线上申请+线上签约，足不出户</w:t>
            </w:r>
          </w:p>
          <w:p>
            <w:pP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利率优：按优于一般中小企业贷款利率执行</w:t>
            </w:r>
          </w:p>
          <w:p>
            <w:pPr>
              <w:rPr>
                <w:rFonts w:hint="eastAsia" w:ascii="新宋体" w:hAnsi="新宋体" w:eastAsia="新宋体" w:cs="新宋体"/>
                <w:sz w:val="22"/>
                <w:szCs w:val="22"/>
                <w:highlight w:val="none"/>
              </w:rPr>
            </w:pPr>
            <w:r>
              <w:rPr>
                <w:rFonts w:hint="eastAsia" w:ascii="新宋体" w:hAnsi="新宋体" w:eastAsia="新宋体" w:cs="新宋体"/>
                <w:bCs/>
                <w:sz w:val="22"/>
                <w:szCs w:val="22"/>
                <w:highlight w:val="none"/>
              </w:rPr>
              <w:t>额度高：最高为合同金额的80%</w:t>
            </w:r>
          </w:p>
        </w:tc>
        <w:tc>
          <w:tcPr>
            <w:tcW w:w="1559"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叶经理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招商银行股份有限公司温州分行</w:t>
            </w:r>
          </w:p>
        </w:tc>
        <w:tc>
          <w:tcPr>
            <w:tcW w:w="5497" w:type="dxa"/>
            <w:noWrap w:val="0"/>
            <w:vAlign w:val="top"/>
          </w:tcPr>
          <w:p>
            <w:pP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559"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陈经理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0577-88056876</w:t>
            </w:r>
          </w:p>
          <w:p>
            <w:pPr>
              <w:jc w:val="center"/>
              <w:rPr>
                <w:rFonts w:hint="eastAsia" w:ascii="新宋体" w:hAnsi="新宋体" w:eastAsia="新宋体" w:cs="新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兴业银行股份有限公司温州分行</w:t>
            </w:r>
          </w:p>
        </w:tc>
        <w:tc>
          <w:tcPr>
            <w:tcW w:w="5497" w:type="dxa"/>
            <w:noWrap w:val="0"/>
            <w:vAlign w:val="center"/>
          </w:tcPr>
          <w:p>
            <w:pPr>
              <w:pStyle w:val="286"/>
              <w:spacing w:line="240" w:lineRule="auto"/>
              <w:ind w:firstLine="0" w:firstLineChars="0"/>
              <w:jc w:val="both"/>
              <w:rPr>
                <w:rFonts w:hint="eastAsia" w:ascii="新宋体" w:hAnsi="新宋体" w:eastAsia="新宋体" w:cs="新宋体"/>
                <w:bCs/>
                <w:color w:val="000000"/>
                <w:kern w:val="0"/>
                <w:sz w:val="22"/>
                <w:szCs w:val="22"/>
                <w:highlight w:val="none"/>
              </w:rPr>
            </w:pPr>
            <w:r>
              <w:rPr>
                <w:rFonts w:hint="eastAsia" w:ascii="新宋体" w:hAnsi="新宋体" w:eastAsia="新宋体" w:cs="新宋体"/>
                <w:bCs/>
                <w:color w:val="000000"/>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张经理</w:t>
            </w:r>
          </w:p>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陈经理</w:t>
            </w:r>
          </w:p>
        </w:tc>
        <w:tc>
          <w:tcPr>
            <w:tcW w:w="2841" w:type="dxa"/>
            <w:noWrap w:val="0"/>
            <w:vAlign w:val="center"/>
          </w:tcPr>
          <w:p>
            <w:pPr>
              <w:pStyle w:val="286"/>
              <w:spacing w:line="360" w:lineRule="auto"/>
              <w:ind w:firstLine="0" w:firstLineChars="0"/>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0577-88369368/13857713118</w:t>
            </w:r>
          </w:p>
          <w:p>
            <w:pPr>
              <w:pStyle w:val="286"/>
              <w:spacing w:line="360" w:lineRule="auto"/>
              <w:ind w:firstLine="0" w:firstLineChars="0"/>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温州银行股份有限公司温州分行</w:t>
            </w:r>
          </w:p>
        </w:tc>
        <w:tc>
          <w:tcPr>
            <w:tcW w:w="5497" w:type="dxa"/>
            <w:noWrap w:val="0"/>
            <w:vAlign w:val="top"/>
          </w:tcPr>
          <w:p>
            <w:pPr>
              <w:rPr>
                <w:rFonts w:hint="eastAsia" w:ascii="新宋体" w:hAnsi="新宋体" w:eastAsia="新宋体" w:cs="新宋体"/>
                <w:bCs/>
                <w:color w:val="000000"/>
                <w:kern w:val="0"/>
                <w:sz w:val="22"/>
                <w:szCs w:val="22"/>
                <w:highlight w:val="none"/>
              </w:rPr>
            </w:pPr>
            <w:r>
              <w:rPr>
                <w:rFonts w:hint="eastAsia" w:ascii="新宋体" w:hAnsi="新宋体" w:eastAsia="新宋体" w:cs="新宋体"/>
                <w:bCs/>
                <w:color w:val="000000"/>
                <w:kern w:val="0"/>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noWrap w:val="0"/>
            <w:vAlign w:val="center"/>
          </w:tcPr>
          <w:p>
            <w:pPr>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陈经理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温州银行股份有限公司鹿城分行</w:t>
            </w:r>
          </w:p>
        </w:tc>
        <w:tc>
          <w:tcPr>
            <w:tcW w:w="5497" w:type="dxa"/>
            <w:noWrap w:val="0"/>
            <w:vAlign w:val="top"/>
          </w:tcPr>
          <w:p>
            <w:pP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政采订单贷：1、面向政府采购项目供应商，满足供应商资金周转需求，凭中标通知书即可申请，2、秒知额高，最高可贷500万元，单笔业务金额可贷中标金额的80%，</w:t>
            </w:r>
          </w:p>
          <w:p>
            <w:pPr>
              <w:pStyle w:val="320"/>
              <w:ind w:left="5" w:firstLine="0" w:firstLineChars="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最长期限可贷1年。信保贷：1、额度最高可达500万元</w:t>
            </w:r>
          </w:p>
          <w:p>
            <w:pP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2、担保灵活，信用贷款3、贷款年利率至少可享受本单位一般性中小企业信用贷款利率基础上下浮10 %</w:t>
            </w:r>
          </w:p>
        </w:tc>
        <w:tc>
          <w:tcPr>
            <w:tcW w:w="1559"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戴经理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交通银行股份有限公司温州分行</w:t>
            </w:r>
          </w:p>
        </w:tc>
        <w:tc>
          <w:tcPr>
            <w:tcW w:w="5497" w:type="dxa"/>
            <w:noWrap w:val="0"/>
            <w:vAlign w:val="top"/>
          </w:tcPr>
          <w:p>
            <w:pPr>
              <w:autoSpaceDE w:val="0"/>
              <w:autoSpaceDN w:val="0"/>
              <w:adjustRightInd w:val="0"/>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缪经理</w:t>
            </w:r>
          </w:p>
        </w:tc>
        <w:tc>
          <w:tcPr>
            <w:tcW w:w="2841" w:type="dxa"/>
            <w:noWrap w:val="0"/>
            <w:vAlign w:val="center"/>
          </w:tcPr>
          <w:p>
            <w:pPr>
              <w:jc w:val="center"/>
              <w:rPr>
                <w:rFonts w:hint="eastAsia" w:ascii="新宋体" w:hAnsi="新宋体" w:eastAsia="新宋体" w:cs="新宋体"/>
                <w:sz w:val="22"/>
                <w:szCs w:val="22"/>
                <w:highlight w:val="none"/>
              </w:rPr>
            </w:pPr>
            <w:r>
              <w:rPr>
                <w:rFonts w:hint="eastAsia" w:ascii="新宋体" w:hAnsi="新宋体" w:eastAsia="新宋体" w:cs="新宋体"/>
                <w:kern w:val="0"/>
                <w:sz w:val="22"/>
                <w:szCs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noWrap w:val="0"/>
            <w:vAlign w:val="center"/>
          </w:tcPr>
          <w:p>
            <w:pPr>
              <w:pStyle w:val="286"/>
              <w:spacing w:line="360" w:lineRule="auto"/>
              <w:ind w:firstLine="0" w:firstLineChars="0"/>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上海浦东发展银行股份有限公司温州分行</w:t>
            </w:r>
          </w:p>
        </w:tc>
        <w:tc>
          <w:tcPr>
            <w:tcW w:w="5497" w:type="dxa"/>
            <w:noWrap w:val="0"/>
            <w:vAlign w:val="top"/>
          </w:tcPr>
          <w:p>
            <w:pPr>
              <w:jc w:val="left"/>
              <w:rPr>
                <w:rFonts w:hint="eastAsia" w:ascii="新宋体" w:hAnsi="新宋体" w:eastAsia="新宋体" w:cs="新宋体"/>
                <w:bCs/>
                <w:color w:val="000000"/>
                <w:kern w:val="0"/>
                <w:sz w:val="22"/>
                <w:szCs w:val="22"/>
                <w:highlight w:val="none"/>
              </w:rPr>
            </w:pPr>
            <w:r>
              <w:rPr>
                <w:rFonts w:hint="eastAsia" w:ascii="新宋体" w:hAnsi="新宋体" w:eastAsia="新宋体" w:cs="新宋体"/>
                <w:bCs/>
                <w:color w:val="000000"/>
                <w:kern w:val="0"/>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新宋体" w:hAnsi="新宋体" w:eastAsia="新宋体" w:cs="新宋体"/>
                <w:sz w:val="22"/>
                <w:szCs w:val="22"/>
                <w:highlight w:val="none"/>
              </w:rPr>
            </w:pPr>
            <w:r>
              <w:rPr>
                <w:rFonts w:hint="eastAsia" w:ascii="新宋体" w:hAnsi="新宋体" w:eastAsia="新宋体" w:cs="新宋体"/>
                <w:bCs/>
                <w:color w:val="000000"/>
                <w:kern w:val="0"/>
                <w:sz w:val="22"/>
                <w:szCs w:val="22"/>
                <w:highlight w:val="none"/>
              </w:rPr>
              <w:t>所需材料：企业基础证件、相关中标文件（中标通知书 、采购合同等）、其他必要文件</w:t>
            </w:r>
          </w:p>
        </w:tc>
        <w:tc>
          <w:tcPr>
            <w:tcW w:w="1559" w:type="dxa"/>
            <w:noWrap w:val="0"/>
            <w:vAlign w:val="center"/>
          </w:tcPr>
          <w:p>
            <w:pPr>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叶经理</w:t>
            </w:r>
          </w:p>
        </w:tc>
        <w:tc>
          <w:tcPr>
            <w:tcW w:w="2841" w:type="dxa"/>
            <w:noWrap w:val="0"/>
            <w:vAlign w:val="center"/>
          </w:tcPr>
          <w:p>
            <w:pPr>
              <w:jc w:val="center"/>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0577-55570829</w:t>
            </w:r>
          </w:p>
          <w:p>
            <w:pPr>
              <w:jc w:val="center"/>
              <w:rPr>
                <w:rFonts w:hint="eastAsia" w:ascii="新宋体" w:hAnsi="新宋体" w:eastAsia="新宋体" w:cs="新宋体"/>
                <w:kern w:val="0"/>
                <w:sz w:val="22"/>
                <w:szCs w:val="22"/>
                <w:highlight w:val="none"/>
              </w:rPr>
            </w:pPr>
          </w:p>
        </w:tc>
      </w:tr>
    </w:tbl>
    <w:p>
      <w:pPr>
        <w:outlineLvl w:val="9"/>
        <w:rPr>
          <w:highlight w:val="none"/>
        </w:rPr>
        <w:sectPr>
          <w:footerReference r:id="rId7" w:type="default"/>
          <w:pgSz w:w="16840" w:h="11907" w:orient="landscape"/>
          <w:pgMar w:top="1134" w:right="1134" w:bottom="1134" w:left="1134" w:header="851" w:footer="992" w:gutter="0"/>
          <w:cols w:space="720" w:num="1"/>
          <w:docGrid w:linePitch="312" w:charSpace="0"/>
        </w:sectPr>
      </w:pPr>
    </w:p>
    <w:p>
      <w:pPr>
        <w:outlineLvl w:val="9"/>
        <w:rPr>
          <w:highlight w:val="none"/>
        </w:rPr>
      </w:pPr>
    </w:p>
    <w:p>
      <w:pPr>
        <w:outlineLvl w:val="9"/>
        <w:rPr>
          <w:highlight w:val="none"/>
        </w:rPr>
      </w:pPr>
    </w:p>
    <w:p>
      <w:pPr>
        <w:spacing w:line="460" w:lineRule="exact"/>
        <w:jc w:val="both"/>
        <w:outlineLvl w:val="9"/>
        <w:rPr>
          <w:rFonts w:hint="eastAsia" w:ascii="新宋体" w:hAnsi="新宋体" w:eastAsia="新宋体" w:cs="新宋体"/>
          <w:bCs/>
          <w:color w:val="auto"/>
          <w:kern w:val="2"/>
          <w:sz w:val="28"/>
          <w:szCs w:val="28"/>
          <w:highlight w:val="none"/>
          <w:lang w:val="zh-CN"/>
        </w:rPr>
      </w:pPr>
    </w:p>
    <w:p>
      <w:pPr>
        <w:spacing w:line="380" w:lineRule="exact"/>
        <w:ind w:firstLine="5622" w:firstLineChars="2000"/>
        <w:rPr>
          <w:rFonts w:hint="eastAsia" w:ascii="新宋体" w:hAnsi="新宋体" w:eastAsia="新宋体" w:cs="新宋体"/>
          <w:b/>
          <w:color w:val="auto"/>
          <w:sz w:val="28"/>
          <w:szCs w:val="28"/>
          <w:highlight w:val="none"/>
        </w:rPr>
      </w:pPr>
    </w:p>
    <w:p>
      <w:pPr>
        <w:pStyle w:val="22"/>
        <w:rPr>
          <w:rFonts w:hint="eastAsia" w:ascii="新宋体" w:hAnsi="新宋体" w:eastAsia="新宋体" w:cs="新宋体"/>
          <w:b/>
          <w:color w:val="auto"/>
          <w:sz w:val="28"/>
          <w:szCs w:val="28"/>
          <w:highlight w:val="none"/>
        </w:rPr>
      </w:pPr>
    </w:p>
    <w:p>
      <w:pPr>
        <w:pStyle w:val="22"/>
        <w:rPr>
          <w:rFonts w:hint="eastAsia" w:ascii="新宋体" w:hAnsi="新宋体" w:eastAsia="新宋体" w:cs="新宋体"/>
          <w:b/>
          <w:color w:val="auto"/>
          <w:sz w:val="28"/>
          <w:szCs w:val="28"/>
          <w:highlight w:val="none"/>
        </w:rPr>
      </w:pPr>
    </w:p>
    <w:p>
      <w:pPr>
        <w:pStyle w:val="22"/>
        <w:rPr>
          <w:rFonts w:hint="eastAsia" w:ascii="新宋体" w:hAnsi="新宋体" w:eastAsia="新宋体" w:cs="新宋体"/>
          <w:b/>
          <w:color w:val="auto"/>
          <w:sz w:val="28"/>
          <w:szCs w:val="28"/>
          <w:highlight w:val="none"/>
        </w:rPr>
      </w:pPr>
    </w:p>
    <w:p>
      <w:pPr>
        <w:pStyle w:val="22"/>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spacing w:line="380" w:lineRule="exact"/>
        <w:ind w:firstLine="5622" w:firstLineChars="2000"/>
        <w:rPr>
          <w:rFonts w:hint="eastAsia" w:ascii="新宋体" w:hAnsi="新宋体" w:eastAsia="新宋体" w:cs="新宋体"/>
          <w:b/>
          <w:color w:val="auto"/>
          <w:sz w:val="28"/>
          <w:szCs w:val="28"/>
          <w:highlight w:val="none"/>
        </w:rPr>
      </w:pPr>
    </w:p>
    <w:p>
      <w:pPr>
        <w:jc w:val="center"/>
        <w:outlineLvl w:val="0"/>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第二册</w:t>
      </w:r>
    </w:p>
    <w:p>
      <w:pPr>
        <w:jc w:val="center"/>
        <w:rPr>
          <w:rFonts w:hint="eastAsia" w:ascii="新宋体" w:hAnsi="新宋体" w:eastAsia="新宋体" w:cs="新宋体"/>
          <w:b/>
          <w:bCs/>
          <w:color w:val="auto"/>
          <w:sz w:val="48"/>
          <w:highlight w:val="none"/>
        </w:rPr>
      </w:pPr>
    </w:p>
    <w:p>
      <w:pPr>
        <w:jc w:val="center"/>
        <w:outlineLvl w:val="1"/>
        <w:rPr>
          <w:rFonts w:hint="eastAsia" w:ascii="新宋体" w:hAnsi="新宋体" w:eastAsia="新宋体" w:cs="新宋体"/>
          <w:b/>
          <w:bCs/>
          <w:color w:val="auto"/>
          <w:sz w:val="48"/>
          <w:highlight w:val="none"/>
        </w:rPr>
      </w:pPr>
      <w:r>
        <w:rPr>
          <w:rFonts w:hint="eastAsia" w:ascii="新宋体" w:hAnsi="新宋体" w:eastAsia="新宋体" w:cs="新宋体"/>
          <w:b/>
          <w:bCs/>
          <w:color w:val="auto"/>
          <w:sz w:val="48"/>
          <w:highlight w:val="none"/>
        </w:rPr>
        <w:t>专 用 文 本</w:t>
      </w:r>
    </w:p>
    <w:p>
      <w:pPr>
        <w:jc w:val="center"/>
        <w:outlineLvl w:val="9"/>
        <w:rPr>
          <w:rFonts w:hint="eastAsia" w:ascii="新宋体" w:hAnsi="新宋体" w:eastAsia="新宋体" w:cs="新宋体"/>
          <w:b/>
          <w:bCs/>
          <w:color w:val="auto"/>
          <w:sz w:val="48"/>
          <w:highlight w:val="none"/>
        </w:rPr>
      </w:pPr>
    </w:p>
    <w:p>
      <w:pPr>
        <w:spacing w:line="460" w:lineRule="exact"/>
        <w:jc w:val="center"/>
        <w:outlineLvl w:val="9"/>
        <w:rPr>
          <w:rFonts w:hint="eastAsia" w:ascii="新宋体" w:hAnsi="新宋体" w:eastAsia="新宋体" w:cs="新宋体"/>
          <w:b/>
          <w:color w:val="auto"/>
          <w:sz w:val="32"/>
          <w:szCs w:val="32"/>
          <w:highlight w:val="none"/>
        </w:rPr>
      </w:pPr>
    </w:p>
    <w:p>
      <w:pPr>
        <w:spacing w:line="460" w:lineRule="exact"/>
        <w:jc w:val="center"/>
        <w:outlineLvl w:val="9"/>
        <w:rPr>
          <w:rFonts w:hint="eastAsia" w:ascii="新宋体" w:hAnsi="新宋体" w:eastAsia="新宋体" w:cs="新宋体"/>
          <w:b/>
          <w:color w:val="auto"/>
          <w:sz w:val="32"/>
          <w:szCs w:val="32"/>
          <w:highlight w:val="none"/>
        </w:rPr>
      </w:pPr>
    </w:p>
    <w:p>
      <w:pPr>
        <w:outlineLvl w:val="9"/>
        <w:rPr>
          <w:rFonts w:hint="eastAsia"/>
          <w:highlight w:val="none"/>
        </w:rPr>
      </w:pPr>
    </w:p>
    <w:p>
      <w:pPr>
        <w:spacing w:line="460" w:lineRule="exact"/>
        <w:jc w:val="center"/>
        <w:outlineLvl w:val="9"/>
        <w:rPr>
          <w:rFonts w:hint="eastAsia" w:ascii="新宋体" w:hAnsi="新宋体" w:eastAsia="新宋体" w:cs="新宋体"/>
          <w:b/>
          <w:color w:val="auto"/>
          <w:sz w:val="32"/>
          <w:szCs w:val="32"/>
          <w:highlight w:val="none"/>
        </w:rPr>
      </w:pPr>
    </w:p>
    <w:p>
      <w:pPr>
        <w:spacing w:line="460" w:lineRule="exact"/>
        <w:jc w:val="center"/>
        <w:outlineLvl w:val="9"/>
        <w:rPr>
          <w:rFonts w:hint="eastAsia" w:ascii="新宋体" w:hAnsi="新宋体" w:eastAsia="新宋体" w:cs="新宋体"/>
          <w:b/>
          <w:color w:val="auto"/>
          <w:sz w:val="32"/>
          <w:szCs w:val="32"/>
          <w:highlight w:val="none"/>
        </w:rPr>
      </w:pPr>
    </w:p>
    <w:p>
      <w:pPr>
        <w:outlineLvl w:val="9"/>
        <w:rPr>
          <w:rFonts w:hint="eastAsia"/>
          <w:highlight w:val="none"/>
        </w:rPr>
      </w:pPr>
    </w:p>
    <w:p>
      <w:pPr>
        <w:outlineLvl w:val="9"/>
        <w:rPr>
          <w:rFonts w:hint="eastAsia" w:ascii="新宋体" w:hAnsi="新宋体" w:eastAsia="新宋体" w:cs="新宋体"/>
          <w:b/>
          <w:color w:val="auto"/>
          <w:sz w:val="32"/>
          <w:szCs w:val="32"/>
          <w:highlight w:val="none"/>
        </w:rPr>
      </w:pPr>
    </w:p>
    <w:p>
      <w:pPr>
        <w:outlineLvl w:val="9"/>
        <w:rPr>
          <w:rFonts w:hint="eastAsia" w:ascii="新宋体" w:hAnsi="新宋体" w:eastAsia="新宋体" w:cs="新宋体"/>
          <w:b/>
          <w:color w:val="auto"/>
          <w:sz w:val="32"/>
          <w:szCs w:val="32"/>
          <w:highlight w:val="none"/>
        </w:rPr>
      </w:pPr>
    </w:p>
    <w:p>
      <w:pPr>
        <w:outlineLvl w:val="9"/>
        <w:rPr>
          <w:rFonts w:hint="eastAsia" w:ascii="新宋体" w:hAnsi="新宋体" w:eastAsia="新宋体" w:cs="新宋体"/>
          <w:b/>
          <w:color w:val="auto"/>
          <w:sz w:val="32"/>
          <w:szCs w:val="32"/>
          <w:highlight w:val="none"/>
        </w:rPr>
      </w:pPr>
    </w:p>
    <w:p>
      <w:pPr>
        <w:outlineLvl w:val="9"/>
        <w:rPr>
          <w:rFonts w:hint="eastAsia" w:ascii="新宋体" w:hAnsi="新宋体" w:eastAsia="新宋体" w:cs="新宋体"/>
          <w:b/>
          <w:color w:val="auto"/>
          <w:sz w:val="32"/>
          <w:szCs w:val="32"/>
          <w:highlight w:val="none"/>
        </w:rPr>
      </w:pPr>
    </w:p>
    <w:p>
      <w:pPr>
        <w:outlineLvl w:val="9"/>
        <w:rPr>
          <w:rFonts w:hint="eastAsia" w:ascii="新宋体" w:hAnsi="新宋体" w:eastAsia="新宋体" w:cs="新宋体"/>
          <w:b/>
          <w:color w:val="auto"/>
          <w:sz w:val="32"/>
          <w:szCs w:val="32"/>
          <w:highlight w:val="none"/>
        </w:rPr>
      </w:pPr>
    </w:p>
    <w:p>
      <w:pPr>
        <w:outlineLvl w:val="9"/>
        <w:rPr>
          <w:rFonts w:hint="eastAsia"/>
          <w:highlight w:val="none"/>
        </w:rPr>
      </w:pPr>
    </w:p>
    <w:p>
      <w:pPr>
        <w:outlineLvl w:val="9"/>
        <w:rPr>
          <w:rFonts w:hint="eastAsia"/>
          <w:highlight w:val="none"/>
        </w:rPr>
      </w:pPr>
    </w:p>
    <w:p>
      <w:pPr>
        <w:spacing w:line="460" w:lineRule="exact"/>
        <w:jc w:val="both"/>
        <w:outlineLvl w:val="9"/>
        <w:rPr>
          <w:rFonts w:hint="eastAsia" w:ascii="新宋体" w:hAnsi="新宋体" w:eastAsia="新宋体" w:cs="新宋体"/>
          <w:b/>
          <w:color w:val="auto"/>
          <w:sz w:val="32"/>
          <w:szCs w:val="32"/>
          <w:highlight w:val="none"/>
        </w:rPr>
      </w:pPr>
    </w:p>
    <w:p>
      <w:pPr>
        <w:pStyle w:val="22"/>
        <w:spacing w:line="460" w:lineRule="exact"/>
        <w:ind w:left="433" w:leftChars="206" w:firstLine="0" w:firstLineChars="0"/>
        <w:jc w:val="center"/>
        <w:outlineLvl w:val="0"/>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30"/>
          <w:highlight w:val="none"/>
        </w:rPr>
        <w:t xml:space="preserve">第四部分   </w:t>
      </w:r>
      <w:r>
        <w:rPr>
          <w:rFonts w:hint="eastAsia" w:ascii="新宋体" w:hAnsi="新宋体" w:eastAsia="新宋体"/>
          <w:b/>
          <w:bCs/>
          <w:color w:val="auto"/>
          <w:sz w:val="32"/>
          <w:szCs w:val="32"/>
          <w:highlight w:val="none"/>
        </w:rPr>
        <w:t>项目技术规范和服务要求</w:t>
      </w:r>
    </w:p>
    <w:p>
      <w:pPr>
        <w:pStyle w:val="2"/>
        <w:pageBreakBefore w:val="0"/>
        <w:tabs>
          <w:tab w:val="right" w:leader="dot" w:pos="8301"/>
        </w:tabs>
        <w:kinsoku/>
        <w:wordWrap/>
        <w:overflowPunct/>
        <w:topLinePunct w:val="0"/>
        <w:bidi w:val="0"/>
        <w:adjustRightInd/>
        <w:snapToGrid/>
        <w:spacing w:line="460" w:lineRule="exact"/>
        <w:ind w:firstLine="482" w:firstLineChars="200"/>
        <w:textAlignment w:val="auto"/>
        <w:outlineLvl w:val="1"/>
        <w:rPr>
          <w:rFonts w:hint="default" w:ascii="新宋体" w:hAnsi="新宋体" w:eastAsia="新宋体" w:cs="新宋体"/>
          <w:kern w:val="0"/>
          <w:sz w:val="24"/>
          <w:szCs w:val="24"/>
          <w:highlight w:val="none"/>
          <w:lang w:val="en-US" w:eastAsia="zh-CN"/>
        </w:rPr>
      </w:pPr>
      <w:r>
        <w:rPr>
          <w:rFonts w:hint="eastAsia" w:ascii="新宋体" w:hAnsi="新宋体" w:eastAsia="新宋体" w:cs="新宋体"/>
          <w:kern w:val="0"/>
          <w:sz w:val="24"/>
          <w:szCs w:val="24"/>
          <w:highlight w:val="none"/>
          <w:lang w:val="en-US" w:eastAsia="zh-CN"/>
        </w:rPr>
        <w:t>一、项目概况</w:t>
      </w:r>
    </w:p>
    <w:p>
      <w:pPr>
        <w:pStyle w:val="2"/>
        <w:pageBreakBefore w:val="0"/>
        <w:tabs>
          <w:tab w:val="right" w:leader="dot" w:pos="8301"/>
        </w:tabs>
        <w:kinsoku/>
        <w:wordWrap/>
        <w:overflowPunct/>
        <w:topLinePunct w:val="0"/>
        <w:bidi w:val="0"/>
        <w:adjustRightInd/>
        <w:snapToGrid/>
        <w:spacing w:line="460" w:lineRule="exact"/>
        <w:ind w:firstLine="482" w:firstLineChars="200"/>
        <w:textAlignment w:val="auto"/>
        <w:outlineLvl w:val="2"/>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lang w:val="en-US" w:eastAsia="zh-CN"/>
        </w:rPr>
        <w:t>1、建设目标</w:t>
      </w:r>
    </w:p>
    <w:p>
      <w:pPr>
        <w:pStyle w:val="2"/>
        <w:pageBreakBefore w:val="0"/>
        <w:tabs>
          <w:tab w:val="right" w:leader="dot" w:pos="8301"/>
        </w:tabs>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rPr>
        <w:t>温州金融综合服务平台旨在充分运用大数据、互联网等先进理念和技术，按照“集约高效、共享开放、安全可靠、按需服务”的原则，搭建起完善的政府产业政策、金融机构信贷投向、企业融资需求等多方信息快速传递、即时交流互动的平台。</w:t>
      </w:r>
    </w:p>
    <w:p>
      <w:pPr>
        <w:pStyle w:val="2"/>
        <w:pageBreakBefore w:val="0"/>
        <w:tabs>
          <w:tab w:val="right" w:leader="dot" w:pos="8301"/>
        </w:tabs>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rPr>
        <w:t>本平台坚持以企业为中心，构建与经济社会发展相匹配的多元化金融体系，打造数据丰富、相互贯通、信用评价突出、银企供需双向评价验证的全流程线上金融综合服务平台，切实提升温州金融产业对实体经济的综合服务能力，力争达到全国一流水平。</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2"/>
        <w:rPr>
          <w:rFonts w:hint="eastAsia" w:ascii="新宋体" w:hAnsi="新宋体" w:eastAsia="新宋体" w:cs="新宋体"/>
          <w:sz w:val="22"/>
          <w:szCs w:val="22"/>
          <w:highlight w:val="none"/>
        </w:rPr>
      </w:pPr>
      <w:bookmarkStart w:id="7" w:name="_Toc3786"/>
      <w:bookmarkStart w:id="8" w:name="_Toc37322512"/>
      <w:bookmarkStart w:id="9" w:name="_Toc485899207"/>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建设内容</w:t>
      </w:r>
      <w:bookmarkEnd w:id="7"/>
      <w:bookmarkEnd w:id="8"/>
    </w:p>
    <w:p>
      <w:pPr>
        <w:pStyle w:val="2"/>
        <w:pageBreakBefore w:val="0"/>
        <w:tabs>
          <w:tab w:val="right" w:leader="dot" w:pos="8301"/>
        </w:tabs>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b w:val="0"/>
          <w:bCs/>
          <w:sz w:val="22"/>
          <w:szCs w:val="22"/>
          <w:highlight w:val="none"/>
        </w:rPr>
      </w:pPr>
      <w:r>
        <w:rPr>
          <w:rFonts w:hint="eastAsia" w:ascii="新宋体" w:hAnsi="新宋体" w:eastAsia="新宋体" w:cs="新宋体"/>
          <w:b w:val="0"/>
          <w:bCs/>
          <w:kern w:val="0"/>
          <w:sz w:val="22"/>
          <w:szCs w:val="22"/>
          <w:highlight w:val="none"/>
        </w:rPr>
        <w:t>本项目建设内容包括：金融综合服务平台数据库、企业信用评分体系、融资需求交互信息平台、银行审批和风险防范等系统及功能。</w:t>
      </w:r>
    </w:p>
    <w:bookmarkEnd w:id="9"/>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2"/>
        <w:rPr>
          <w:rFonts w:hint="default" w:ascii="新宋体" w:hAnsi="新宋体" w:eastAsia="新宋体" w:cs="新宋体"/>
          <w:sz w:val="22"/>
          <w:szCs w:val="22"/>
          <w:highlight w:val="none"/>
          <w:lang w:val="en-US" w:eastAsia="zh-CN"/>
        </w:rPr>
      </w:pPr>
      <w:bookmarkStart w:id="10" w:name="_Toc37322513"/>
      <w:bookmarkStart w:id="11" w:name="_Toc13700"/>
      <w:bookmarkStart w:id="12" w:name="_Toc485899208"/>
      <w:r>
        <w:rPr>
          <w:rFonts w:hint="eastAsia" w:ascii="新宋体" w:hAnsi="新宋体" w:eastAsia="新宋体" w:cs="新宋体"/>
          <w:sz w:val="22"/>
          <w:szCs w:val="22"/>
          <w:highlight w:val="none"/>
          <w:lang w:val="en-US" w:eastAsia="zh-CN"/>
        </w:rPr>
        <w:t>3、</w:t>
      </w:r>
      <w:bookmarkEnd w:id="10"/>
      <w:bookmarkEnd w:id="11"/>
      <w:bookmarkEnd w:id="12"/>
      <w:r>
        <w:rPr>
          <w:rFonts w:hint="eastAsia" w:ascii="新宋体" w:hAnsi="新宋体" w:eastAsia="新宋体" w:cs="新宋体"/>
          <w:sz w:val="22"/>
          <w:szCs w:val="22"/>
          <w:highlight w:val="none"/>
          <w:lang w:val="en-US" w:eastAsia="zh-CN"/>
        </w:rPr>
        <w:t>系统要求</w:t>
      </w:r>
    </w:p>
    <w:p>
      <w:pPr>
        <w:pageBreakBefore w:val="0"/>
        <w:kinsoku/>
        <w:wordWrap/>
        <w:overflowPunct/>
        <w:topLinePunct w:val="0"/>
        <w:autoSpaceDN w:val="0"/>
        <w:bidi w:val="0"/>
        <w:adjustRightInd/>
        <w:snapToGrid/>
        <w:spacing w:line="460" w:lineRule="exact"/>
        <w:ind w:firstLine="720" w:firstLineChars="300"/>
        <w:textAlignment w:val="auto"/>
        <w:outlineLvl w:val="9"/>
        <w:rPr>
          <w:rFonts w:hint="eastAsia" w:ascii="新宋体" w:hAnsi="新宋体" w:eastAsia="新宋体" w:cs="新宋体"/>
          <w:kern w:val="0"/>
          <w:sz w:val="22"/>
          <w:szCs w:val="22"/>
          <w:highlight w:val="none"/>
          <w:lang w:val="zh-CN"/>
        </w:rPr>
      </w:pPr>
      <w:r>
        <w:rPr>
          <w:rFonts w:hint="eastAsia" w:ascii="新宋体" w:hAnsi="新宋体" w:eastAsia="新宋体" w:cs="新宋体"/>
          <w:kern w:val="0"/>
          <w:sz w:val="24"/>
          <w:szCs w:val="24"/>
          <w:highlight w:val="none"/>
          <w:lang w:val="en-US" w:eastAsia="zh-CN"/>
        </w:rPr>
        <w:t>系统 应具备可扩展性，使系统能够与市发改委、 市经信局、市大数据局、市金融办、温州银保监分局等部门相关系统功能相对接。</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2"/>
        <w:rPr>
          <w:rFonts w:hint="eastAsia" w:ascii="新宋体" w:hAnsi="新宋体" w:eastAsia="新宋体" w:cs="新宋体"/>
          <w:sz w:val="22"/>
          <w:szCs w:val="22"/>
          <w:highlight w:val="none"/>
        </w:rPr>
      </w:pPr>
      <w:bookmarkStart w:id="13" w:name="_Toc37322521"/>
      <w:bookmarkStart w:id="14" w:name="_Toc19318"/>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项目背景</w:t>
      </w:r>
      <w:bookmarkEnd w:id="13"/>
      <w:bookmarkEnd w:id="14"/>
    </w:p>
    <w:p>
      <w:pPr>
        <w:pStyle w:val="201"/>
        <w:pageBreakBefore w:val="0"/>
        <w:kinsoku/>
        <w:wordWrap/>
        <w:overflowPunct/>
        <w:topLinePunct w:val="0"/>
        <w:bidi w:val="0"/>
        <w:adjustRightInd/>
        <w:snapToGrid/>
        <w:spacing w:line="460" w:lineRule="exact"/>
        <w:ind w:firstLine="660"/>
        <w:jc w:val="both"/>
        <w:textAlignment w:val="auto"/>
        <w:outlineLvl w:val="9"/>
        <w:rPr>
          <w:rFonts w:hint="eastAsia" w:ascii="新宋体" w:hAnsi="新宋体" w:eastAsia="新宋体" w:cs="新宋体"/>
          <w:sz w:val="22"/>
          <w:szCs w:val="22"/>
          <w:highlight w:val="none"/>
          <w:lang w:val="en-US" w:eastAsia="zh-CN" w:bidi="ar-SA"/>
        </w:rPr>
      </w:pPr>
      <w:r>
        <w:rPr>
          <w:rFonts w:hint="eastAsia" w:ascii="新宋体" w:hAnsi="新宋体" w:eastAsia="新宋体" w:cs="新宋体"/>
          <w:sz w:val="22"/>
          <w:szCs w:val="22"/>
          <w:highlight w:val="none"/>
          <w:lang w:val="en-US" w:eastAsia="zh-CN" w:bidi="ar-SA"/>
        </w:rPr>
        <w:t>2013年11月，党的十八届三中全会通过《关于全面深化改革若干重大问题的决议》中，明确提出“发展普惠金融2015年《政府工作报告》提出，要大力发展普惠金融，让所有市场主体都能分享金融服务的雨露甘霖。为推进普惠金融发展，提高金融服务的覆盖率、可得性和满意度，增强所有市场主体和广大人民群众对金融服务的获得感。</w:t>
      </w:r>
    </w:p>
    <w:p>
      <w:pPr>
        <w:pStyle w:val="201"/>
        <w:pageBreakBefore w:val="0"/>
        <w:kinsoku/>
        <w:wordWrap/>
        <w:overflowPunct/>
        <w:topLinePunct w:val="0"/>
        <w:bidi w:val="0"/>
        <w:adjustRightInd/>
        <w:snapToGrid/>
        <w:spacing w:line="460" w:lineRule="exact"/>
        <w:ind w:firstLine="660"/>
        <w:jc w:val="both"/>
        <w:textAlignment w:val="auto"/>
        <w:outlineLvl w:val="9"/>
        <w:rPr>
          <w:rFonts w:hint="eastAsia" w:ascii="新宋体" w:hAnsi="新宋体" w:eastAsia="新宋体" w:cs="新宋体"/>
          <w:sz w:val="22"/>
          <w:szCs w:val="22"/>
          <w:highlight w:val="none"/>
          <w:lang w:val="en-US" w:eastAsia="zh-CN" w:bidi="ar-SA"/>
        </w:rPr>
      </w:pPr>
      <w:r>
        <w:rPr>
          <w:rFonts w:hint="eastAsia" w:ascii="新宋体" w:hAnsi="新宋体" w:eastAsia="新宋体" w:cs="新宋体"/>
          <w:sz w:val="22"/>
          <w:szCs w:val="22"/>
          <w:highlight w:val="none"/>
          <w:lang w:val="en-US" w:eastAsia="zh-CN" w:bidi="ar-SA"/>
        </w:rPr>
        <w:t>2018年11月1日，习近平总书记在民营企业座谈会上，做出重要指示： 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2019年2月22日，习近平总书记在中共中央政治局第十三次集体学习时再次强调，深化金融供给侧结构性改 革，增强金融服务实体经济能力。</w:t>
      </w:r>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bidi="ar-SA"/>
        </w:rPr>
        <w:t>近日，国务院金融稳定发展委员会召开第十四次会议，专门研究缓解中小企业融资难、融资贵问题。在此之前，为缓解中小微企业融资困境，监管部门已连续出台多项政策。在一系列措施的推动下，中小微企业金融服务的便利性和获得感不断提升。</w:t>
      </w:r>
      <w:r>
        <w:rPr>
          <w:rFonts w:hint="eastAsia" w:ascii="新宋体" w:hAnsi="新宋体" w:eastAsia="新宋体" w:cs="新宋体"/>
          <w:sz w:val="22"/>
          <w:szCs w:val="22"/>
          <w:highlight w:val="none"/>
        </w:rPr>
        <w:t>数据显示，2019年末普惠型小微企业贷款余额11.6万亿元，同比增长25%，有贷款余额户数2100多万户，较年初增加380万户，新发放普惠型小微企业贷款平均利率较2018年平均水平下降0.64个百分点。</w:t>
      </w:r>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温州是中国民营经济的拓荒者、市场经济的探路者、“走出去”发展的引领者、企业家精神的践行者和“温州模式”的创立者，温州的民营经济对GDP的贡献超过80%，税收占比超过80%，民营经济是温州国民经济的重要支柱。温州旗帜鲜明大胆有力地支持民营经济发展，化解企业融资难、融资贵的问题是支持和鼓励民营经济的重要举措，使“温州模式”始终走前全国改革的前列具有重要的意义。</w:t>
      </w:r>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温州作为金融综合改革试验区、全省“重要示范区”，近年来在党和政府的正确领导下，金融改革与创新工作得以不断深化，显著推动温州经济恢复和发展转型。在中央及省委提出的“乡村振兴”、“互联网+普惠金融”的政策号召下，从本土金融业的实际发展看，各类金融机构仍受信息不对称、线上风控难、技术开发难等问题，难以满足社会各阶层群体的金融服务需求，对服务实体经济的力度需进一步提升。如何系统性、规范性、可操作性地解决社会融资难问题成为当前本土金融机构面临的重要课题。</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15" w:name="_Toc37322526"/>
      <w:r>
        <w:rPr>
          <w:rFonts w:hint="eastAsia" w:ascii="新宋体" w:hAnsi="新宋体" w:eastAsia="新宋体" w:cs="新宋体"/>
          <w:sz w:val="22"/>
          <w:szCs w:val="22"/>
          <w:highlight w:val="none"/>
          <w:lang w:val="en-US" w:eastAsia="zh-CN"/>
        </w:rPr>
        <w:t>二、</w:t>
      </w:r>
      <w:r>
        <w:rPr>
          <w:rFonts w:hint="eastAsia" w:ascii="新宋体" w:hAnsi="新宋体" w:eastAsia="新宋体" w:cs="新宋体"/>
          <w:sz w:val="22"/>
          <w:szCs w:val="22"/>
          <w:highlight w:val="none"/>
        </w:rPr>
        <w:t>总体技术要求</w:t>
      </w:r>
      <w:bookmarkEnd w:id="15"/>
    </w:p>
    <w:p>
      <w:pPr>
        <w:pStyle w:val="201"/>
        <w:pageBreakBefore w:val="0"/>
        <w:kinsoku/>
        <w:wordWrap/>
        <w:overflowPunct/>
        <w:topLinePunct w:val="0"/>
        <w:bidi w:val="0"/>
        <w:adjustRightInd/>
        <w:snapToGrid/>
        <w:spacing w:line="460" w:lineRule="exact"/>
        <w:ind w:left="480" w:firstLine="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要求充分运用成熟技术进行开发。</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1、要求平台软件釆用B/S体系架构，基于业界成熟、稳定的JavaEE框架, 遵守J2EE规范。</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2、要求具备科学、合理、先进的软件系统架构，并具有高度的灵活性和扩展性，充分考虑整个平台的性能，并能满足未来五年的信用业务发展和信息技术发展的需要。</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3、本项目实施必须按照国家和省市相关政策要求和数据规范，实现市级数据与省级相关信用平台以的互联互通。</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4、要求确保软件系统的稳定性和安全性，所有系统实施统一的严密的权限管理。实现有限操作，保存痕迹；应用层与基础数据层有访问限制，保密信息与公开信息有严密区隔等安全管理体系。</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5、系统具有高度的可用性、可靠性和稳定性，满足系统24小时不间断运行要求。</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6、系统操作简单方便，界面友好，易于维护和设置管理。</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7、系统应具有平台无关性，支持Windows、Linux、Aix、Unix等主流操作系统。</w:t>
      </w:r>
    </w:p>
    <w:p>
      <w:pPr>
        <w:pStyle w:val="201"/>
        <w:pageBreakBefore w:val="0"/>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8、系统应能支持主流目标数据库MYSQL, RDS。</w:t>
      </w:r>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9、系统各阶段文档资料齐全，要提供完备的软件文档。</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16" w:name="_Toc37322527"/>
      <w:r>
        <w:rPr>
          <w:rFonts w:hint="eastAsia" w:ascii="新宋体" w:hAnsi="新宋体" w:eastAsia="新宋体" w:cs="新宋体"/>
          <w:sz w:val="22"/>
          <w:szCs w:val="22"/>
          <w:highlight w:val="none"/>
          <w:lang w:val="en-US" w:eastAsia="zh-CN"/>
        </w:rPr>
        <w:t>三、</w:t>
      </w:r>
      <w:r>
        <w:rPr>
          <w:rFonts w:hint="eastAsia" w:ascii="新宋体" w:hAnsi="新宋体" w:eastAsia="新宋体" w:cs="新宋体"/>
          <w:sz w:val="22"/>
          <w:szCs w:val="22"/>
          <w:highlight w:val="none"/>
        </w:rPr>
        <w:t>功能需求分析</w:t>
      </w:r>
      <w:bookmarkEnd w:id="16"/>
    </w:p>
    <w:p>
      <w:pPr>
        <w:pStyle w:val="6"/>
        <w:pageBreakBefore w:val="0"/>
        <w:tabs>
          <w:tab w:val="left" w:pos="0"/>
          <w:tab w:val="left" w:pos="600"/>
        </w:tabs>
        <w:kinsoku/>
        <w:wordWrap/>
        <w:overflowPunct/>
        <w:topLinePunct w:val="0"/>
        <w:bidi w:val="0"/>
        <w:adjustRightInd/>
        <w:snapToGrid/>
        <w:spacing w:line="460" w:lineRule="exact"/>
        <w:ind w:left="687"/>
        <w:textAlignment w:val="auto"/>
        <w:outlineLvl w:val="2"/>
        <w:rPr>
          <w:rFonts w:hint="eastAsia" w:ascii="新宋体" w:hAnsi="新宋体" w:eastAsia="新宋体" w:cs="新宋体"/>
          <w:b/>
          <w:bCs/>
          <w:sz w:val="22"/>
          <w:szCs w:val="22"/>
          <w:highlight w:val="none"/>
        </w:rPr>
      </w:pPr>
      <w:bookmarkStart w:id="17" w:name="_Toc37322528"/>
      <w:r>
        <w:rPr>
          <w:rFonts w:hint="eastAsia" w:ascii="新宋体" w:hAnsi="新宋体" w:eastAsia="新宋体" w:cs="新宋体"/>
          <w:b/>
          <w:bCs/>
          <w:sz w:val="22"/>
          <w:szCs w:val="22"/>
          <w:highlight w:val="none"/>
          <w:lang w:val="en-US" w:eastAsia="zh-CN"/>
        </w:rPr>
        <w:t>1、</w:t>
      </w:r>
      <w:r>
        <w:rPr>
          <w:rFonts w:hint="eastAsia" w:ascii="新宋体" w:hAnsi="新宋体" w:eastAsia="新宋体" w:cs="新宋体"/>
          <w:b/>
          <w:bCs/>
          <w:sz w:val="22"/>
          <w:szCs w:val="22"/>
          <w:highlight w:val="none"/>
        </w:rPr>
        <w:t>数据归集</w:t>
      </w:r>
      <w:bookmarkEnd w:id="17"/>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收集全市各部门企业（含企业法人）相关数据、以及温州企业在省大数据局的相关数据，提供给市人行做相关功能开发。联合市资规局做好数据接口对接，确保市县两级不动产抵押登记系统数据接口相互连通。构建温州金融综合服务平台数据库，为温州金融综合服务平台数据落地运行提供保障。联合市经信局做好“帮企云”平台数据对接工作，确保企业需求数据连通至金融综合服务平台。</w:t>
      </w:r>
    </w:p>
    <w:p>
      <w:pPr>
        <w:pStyle w:val="6"/>
        <w:pageBreakBefore w:val="0"/>
        <w:tabs>
          <w:tab w:val="left" w:pos="0"/>
          <w:tab w:val="left" w:pos="600"/>
        </w:tabs>
        <w:kinsoku/>
        <w:wordWrap/>
        <w:overflowPunct/>
        <w:topLinePunct w:val="0"/>
        <w:bidi w:val="0"/>
        <w:adjustRightInd/>
        <w:snapToGrid/>
        <w:spacing w:line="460" w:lineRule="exact"/>
        <w:ind w:left="687"/>
        <w:textAlignment w:val="auto"/>
        <w:outlineLvl w:val="2"/>
        <w:rPr>
          <w:rFonts w:hint="eastAsia" w:ascii="新宋体" w:hAnsi="新宋体" w:eastAsia="新宋体" w:cs="新宋体"/>
          <w:b/>
          <w:bCs/>
          <w:sz w:val="22"/>
          <w:szCs w:val="22"/>
          <w:highlight w:val="none"/>
          <w:lang w:val="en-US" w:eastAsia="zh-CN"/>
        </w:rPr>
      </w:pPr>
      <w:bookmarkStart w:id="18" w:name="_Toc37322529"/>
      <w:r>
        <w:rPr>
          <w:rFonts w:hint="eastAsia" w:ascii="新宋体" w:hAnsi="新宋体" w:eastAsia="新宋体" w:cs="新宋体"/>
          <w:b/>
          <w:bCs/>
          <w:sz w:val="22"/>
          <w:szCs w:val="22"/>
          <w:highlight w:val="none"/>
          <w:lang w:val="en-US" w:eastAsia="zh-CN"/>
        </w:rPr>
        <w:t>2、信用评价</w:t>
      </w:r>
      <w:bookmarkEnd w:id="18"/>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归集的部门信用信息，深入挖掘信息价值，充分利用现有的数据基础，研发和实施适合温州地区的的小微企业信用评分体系。金融机构可以根据系统提供的评级和评分情况为小微企业融资提供差别信用服务；对于评分较高的小微企业，在授信额度、利率和期限上提供优惠，真正体现信用价值；对于系统评分较低的企业，实行信贷适当性管理，要求金融机构审慎放贷，做好风险防范工作。逐步建立平台数据统计分析功能，通过运用数据挖掘技术、精准掌握底层数据，分区域、分行业分析经济走势，为更好地贯彻落实货币政策，服务温州经济发展提供数据支撑。</w:t>
      </w:r>
    </w:p>
    <w:p>
      <w:pPr>
        <w:pStyle w:val="6"/>
        <w:pageBreakBefore w:val="0"/>
        <w:tabs>
          <w:tab w:val="left" w:pos="0"/>
          <w:tab w:val="left" w:pos="600"/>
        </w:tabs>
        <w:kinsoku/>
        <w:wordWrap/>
        <w:overflowPunct/>
        <w:topLinePunct w:val="0"/>
        <w:bidi w:val="0"/>
        <w:adjustRightInd/>
        <w:snapToGrid/>
        <w:spacing w:line="460" w:lineRule="exact"/>
        <w:ind w:left="687"/>
        <w:textAlignment w:val="auto"/>
        <w:outlineLvl w:val="2"/>
        <w:rPr>
          <w:rFonts w:hint="eastAsia" w:ascii="新宋体" w:hAnsi="新宋体" w:eastAsia="新宋体" w:cs="新宋体"/>
          <w:b/>
          <w:bCs/>
          <w:sz w:val="22"/>
          <w:szCs w:val="22"/>
          <w:highlight w:val="none"/>
          <w:lang w:val="en-US" w:eastAsia="zh-CN"/>
        </w:rPr>
      </w:pPr>
      <w:bookmarkStart w:id="19" w:name="_Toc37322530"/>
      <w:r>
        <w:rPr>
          <w:rFonts w:hint="eastAsia" w:ascii="新宋体" w:hAnsi="新宋体" w:eastAsia="新宋体" w:cs="新宋体"/>
          <w:b/>
          <w:bCs/>
          <w:sz w:val="22"/>
          <w:szCs w:val="22"/>
          <w:highlight w:val="none"/>
          <w:lang w:val="en-US" w:eastAsia="zh-CN"/>
        </w:rPr>
        <w:t>3、供需对接</w:t>
      </w:r>
      <w:bookmarkEnd w:id="19"/>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为金融机构和小微企业建立一个高效、快捷的融资需求信息交互平台（包括</w:t>
      </w:r>
      <w:r>
        <w:rPr>
          <w:rFonts w:hint="eastAsia" w:ascii="新宋体" w:hAnsi="新宋体" w:eastAsia="新宋体" w:cs="新宋体"/>
          <w:sz w:val="22"/>
          <w:szCs w:val="22"/>
          <w:highlight w:val="none"/>
          <w:lang w:val="en-US" w:eastAsia="zh-CN"/>
        </w:rPr>
        <w:t>PC</w:t>
      </w:r>
      <w:r>
        <w:rPr>
          <w:rFonts w:hint="eastAsia" w:ascii="新宋体" w:hAnsi="新宋体" w:eastAsia="新宋体" w:cs="新宋体"/>
          <w:sz w:val="22"/>
          <w:szCs w:val="22"/>
          <w:highlight w:val="none"/>
        </w:rPr>
        <w:t>端和手机端）。通过对平台归集数据进行深度加工，转换及整合，实现金融机构和小微企业间高效、快捷的融资需求信息交互和撮合。金融机构和企业可以在平台上分别发布自身金融产品和资金需求，实现企业和金融机构间的互联互通，双向交流。构建网上“信贷超市”，支持各类金融机构在平台展示各自的金融服务与金融产品，为企业提供扁平化的“浏览货架”，实现金融产品的一站式布局和开放式选择，提升企业的获得感和体验感。小微企业也可以将自身的融资需求发布到平台中，采取两种方式实现供需对接：一是金融机构竞价；二是系统智能匹配筛选，按照匹配程度展示金融产品供用户选择，选定确认后可将融资信息一键推送至相应商业银行。</w:t>
      </w:r>
    </w:p>
    <w:p>
      <w:pPr>
        <w:pStyle w:val="6"/>
        <w:pageBreakBefore w:val="0"/>
        <w:tabs>
          <w:tab w:val="left" w:pos="0"/>
          <w:tab w:val="left" w:pos="600"/>
        </w:tabs>
        <w:kinsoku/>
        <w:wordWrap/>
        <w:overflowPunct/>
        <w:topLinePunct w:val="0"/>
        <w:bidi w:val="0"/>
        <w:adjustRightInd/>
        <w:snapToGrid/>
        <w:spacing w:line="460" w:lineRule="exact"/>
        <w:ind w:left="687"/>
        <w:textAlignment w:val="auto"/>
        <w:outlineLvl w:val="2"/>
        <w:rPr>
          <w:rFonts w:hint="eastAsia" w:ascii="新宋体" w:hAnsi="新宋体" w:eastAsia="新宋体" w:cs="新宋体"/>
          <w:b/>
          <w:bCs/>
          <w:sz w:val="22"/>
          <w:szCs w:val="22"/>
          <w:highlight w:val="none"/>
          <w:lang w:val="en-US" w:eastAsia="zh-CN"/>
        </w:rPr>
      </w:pPr>
      <w:bookmarkStart w:id="20" w:name="_Toc37322531"/>
      <w:r>
        <w:rPr>
          <w:rFonts w:hint="eastAsia" w:ascii="新宋体" w:hAnsi="新宋体" w:eastAsia="新宋体" w:cs="新宋体"/>
          <w:b/>
          <w:bCs/>
          <w:sz w:val="22"/>
          <w:szCs w:val="22"/>
          <w:highlight w:val="none"/>
          <w:lang w:val="en-US" w:eastAsia="zh-CN"/>
        </w:rPr>
        <w:t>4、银行审批</w:t>
      </w:r>
      <w:bookmarkEnd w:id="20"/>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融资需求初步对接成功后，平台支持两种订单分发模式。一是银行可通过平台PC端或者微信端分发至相对应的客户经理。二是可接入银行业务分发系统，更加快捷地分发订单。客户经理收到企业融资需求订单后，平台可支持两种模式进行数据使用。一是页面查询。客户经理可在金融综合服务平台一键查询企业相关数据。二是接口调用。银行可通过接口调用的形式，打通银行业务系统，可建立风控模型等方式灵活平台数据，应用于信贷全流程管理。</w:t>
      </w:r>
    </w:p>
    <w:p>
      <w:pPr>
        <w:pStyle w:val="6"/>
        <w:pageBreakBefore w:val="0"/>
        <w:tabs>
          <w:tab w:val="left" w:pos="0"/>
          <w:tab w:val="left" w:pos="600"/>
        </w:tabs>
        <w:kinsoku/>
        <w:wordWrap/>
        <w:overflowPunct/>
        <w:topLinePunct w:val="0"/>
        <w:bidi w:val="0"/>
        <w:adjustRightInd/>
        <w:snapToGrid/>
        <w:spacing w:line="460" w:lineRule="exact"/>
        <w:ind w:left="687"/>
        <w:textAlignment w:val="auto"/>
        <w:outlineLvl w:val="2"/>
        <w:rPr>
          <w:rFonts w:hint="eastAsia" w:ascii="新宋体" w:hAnsi="新宋体" w:eastAsia="新宋体" w:cs="新宋体"/>
          <w:b/>
          <w:bCs/>
          <w:sz w:val="22"/>
          <w:szCs w:val="22"/>
          <w:highlight w:val="none"/>
          <w:lang w:val="en-US" w:eastAsia="zh-CN"/>
        </w:rPr>
      </w:pPr>
      <w:bookmarkStart w:id="21" w:name="_Toc37322532"/>
      <w:r>
        <w:rPr>
          <w:rFonts w:hint="eastAsia" w:ascii="新宋体" w:hAnsi="新宋体" w:eastAsia="新宋体" w:cs="新宋体"/>
          <w:b/>
          <w:bCs/>
          <w:sz w:val="22"/>
          <w:szCs w:val="22"/>
          <w:highlight w:val="none"/>
          <w:lang w:val="en-US" w:eastAsia="zh-CN"/>
        </w:rPr>
        <w:t>5、风险防范</w:t>
      </w:r>
      <w:bookmarkEnd w:id="21"/>
    </w:p>
    <w:p>
      <w:pPr>
        <w:pStyle w:val="201"/>
        <w:pageBreakBefore w:val="0"/>
        <w:kinsoku/>
        <w:wordWrap/>
        <w:overflowPunct/>
        <w:topLinePunct w:val="0"/>
        <w:bidi w:val="0"/>
        <w:adjustRightInd/>
        <w:snapToGrid/>
        <w:spacing w:line="460" w:lineRule="exact"/>
        <w:ind w:firstLine="440" w:firstLineChars="200"/>
        <w:jc w:val="both"/>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开发平台风险预警模块。充分利用温州“金融大脑”平台，对接温州银保监分局的相关数据，加快开发风险预警产品，用于监测企业金融风险。联合市司法局开发金融风险线上快速处置模块，对一般信贷等事实清楚、争议不大的纠纷适用简易程序，加快不良贷款风险处置速度。联合市财政局研究风险补偿机制，根据财政支持深化民营和小微企业金融服务综合改革政策，对我市金融机构和政府性融资担保机构因贷款、担保等业务发生的实际损失风险补偿。</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b/>
          <w:sz w:val="22"/>
          <w:szCs w:val="22"/>
          <w:highlight w:val="none"/>
          <w:lang w:val="en-US" w:eastAsia="zh-CN"/>
        </w:rPr>
      </w:pPr>
      <w:bookmarkStart w:id="22" w:name="_Toc37322533"/>
      <w:r>
        <w:rPr>
          <w:rFonts w:hint="eastAsia" w:ascii="新宋体" w:hAnsi="新宋体" w:eastAsia="新宋体" w:cs="新宋体"/>
          <w:b/>
          <w:sz w:val="22"/>
          <w:szCs w:val="22"/>
          <w:highlight w:val="none"/>
          <w:lang w:val="en-US" w:eastAsia="zh-CN"/>
        </w:rPr>
        <w:t>四、性能需求分析</w:t>
      </w:r>
      <w:bookmarkEnd w:id="22"/>
    </w:p>
    <w:p>
      <w:pPr>
        <w:pStyle w:val="201"/>
        <w:pageBreakBefore w:val="0"/>
        <w:numPr>
          <w:ilvl w:val="0"/>
          <w:numId w:val="6"/>
        </w:numPr>
        <w:kinsoku/>
        <w:wordWrap/>
        <w:overflowPunct/>
        <w:topLinePunct w:val="0"/>
        <w:bidi w:val="0"/>
        <w:adjustRightInd/>
        <w:snapToGrid/>
        <w:spacing w:line="460" w:lineRule="exact"/>
        <w:ind w:left="0" w:firstLine="48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用户并发量：满足100以上并发用户，1000以上在线活动用户。</w:t>
      </w:r>
    </w:p>
    <w:p>
      <w:pPr>
        <w:pStyle w:val="201"/>
        <w:pageBreakBefore w:val="0"/>
        <w:numPr>
          <w:ilvl w:val="0"/>
          <w:numId w:val="6"/>
        </w:numPr>
        <w:kinsoku/>
        <w:wordWrap/>
        <w:overflowPunct/>
        <w:topLinePunct w:val="0"/>
        <w:bidi w:val="0"/>
        <w:adjustRightInd/>
        <w:snapToGrid/>
        <w:spacing w:line="460" w:lineRule="exact"/>
        <w:ind w:left="0" w:firstLine="48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项目响应速度：复杂查询响应时间不超过5秒，简单查询响应时间不超过2秒。</w:t>
      </w:r>
    </w:p>
    <w:p>
      <w:pPr>
        <w:pStyle w:val="201"/>
        <w:pageBreakBefore w:val="0"/>
        <w:numPr>
          <w:ilvl w:val="0"/>
          <w:numId w:val="6"/>
        </w:numPr>
        <w:kinsoku/>
        <w:wordWrap/>
        <w:overflowPunct/>
        <w:topLinePunct w:val="0"/>
        <w:bidi w:val="0"/>
        <w:adjustRightInd/>
        <w:snapToGrid/>
        <w:spacing w:line="460" w:lineRule="exact"/>
        <w:ind w:left="0" w:firstLine="48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项目的稳定性：项目在运行、数据传输、数据转换、数据备份和恢复上保持高度的稳定。</w:t>
      </w:r>
    </w:p>
    <w:p>
      <w:pPr>
        <w:pStyle w:val="201"/>
        <w:pageBreakBefore w:val="0"/>
        <w:numPr>
          <w:ilvl w:val="0"/>
          <w:numId w:val="6"/>
        </w:numPr>
        <w:kinsoku/>
        <w:wordWrap/>
        <w:overflowPunct/>
        <w:topLinePunct w:val="0"/>
        <w:bidi w:val="0"/>
        <w:adjustRightInd/>
        <w:snapToGrid/>
        <w:spacing w:line="460" w:lineRule="exact"/>
        <w:ind w:left="0" w:firstLine="48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项目的容错性：项目具备良好的异常处理机制，能够提供对异常状况进行正确处理的交互功能。</w:t>
      </w:r>
    </w:p>
    <w:p>
      <w:pPr>
        <w:pStyle w:val="201"/>
        <w:pageBreakBefore w:val="0"/>
        <w:numPr>
          <w:ilvl w:val="0"/>
          <w:numId w:val="6"/>
        </w:numPr>
        <w:kinsoku/>
        <w:wordWrap/>
        <w:overflowPunct/>
        <w:topLinePunct w:val="0"/>
        <w:bidi w:val="0"/>
        <w:adjustRightInd/>
        <w:snapToGrid/>
        <w:spacing w:line="460" w:lineRule="exact"/>
        <w:ind w:left="0" w:firstLine="48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项目的安全性：健全数据保护机制和快速恢复机制，项目故障恢复不超过6小时。</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23" w:name="_Toc37322540"/>
      <w:bookmarkStart w:id="24" w:name="_Toc437530531"/>
      <w:bookmarkStart w:id="25" w:name="_Toc16606"/>
      <w:bookmarkStart w:id="26" w:name="_Toc524360180"/>
      <w:bookmarkStart w:id="27" w:name="_Toc8102"/>
      <w:r>
        <w:rPr>
          <w:rFonts w:hint="eastAsia" w:ascii="新宋体" w:hAnsi="新宋体" w:eastAsia="新宋体" w:cs="新宋体"/>
          <w:sz w:val="22"/>
          <w:szCs w:val="22"/>
          <w:highlight w:val="none"/>
          <w:lang w:val="en-US" w:eastAsia="zh-CN"/>
        </w:rPr>
        <w:t>五、</w:t>
      </w:r>
      <w:r>
        <w:rPr>
          <w:rFonts w:hint="eastAsia" w:ascii="新宋体" w:hAnsi="新宋体" w:eastAsia="新宋体" w:cs="新宋体"/>
          <w:sz w:val="22"/>
          <w:szCs w:val="22"/>
          <w:highlight w:val="none"/>
        </w:rPr>
        <w:t>系统总体架构</w:t>
      </w:r>
      <w:bookmarkEnd w:id="23"/>
    </w:p>
    <w:p>
      <w:pPr>
        <w:pStyle w:val="202"/>
        <w:pageBreakBefore w:val="0"/>
        <w:tabs>
          <w:tab w:val="center" w:pos="4201"/>
          <w:tab w:val="right" w:leader="dot" w:pos="9298"/>
        </w:tabs>
        <w:kinsoku/>
        <w:wordWrap/>
        <w:overflowPunct/>
        <w:topLinePunct w:val="0"/>
        <w:bidi w:val="0"/>
        <w:adjustRightInd/>
        <w:snapToGrid/>
        <w:spacing w:line="460" w:lineRule="exact"/>
        <w:ind w:left="0" w:leftChars="0" w:firstLine="0" w:firstLineChars="0"/>
        <w:jc w:val="center"/>
        <w:textAlignment w:val="auto"/>
        <w:rPr>
          <w:rFonts w:hint="eastAsia" w:ascii="新宋体" w:hAnsi="新宋体" w:eastAsia="新宋体" w:cs="新宋体"/>
          <w:kern w:val="0"/>
          <w:sz w:val="22"/>
          <w:szCs w:val="22"/>
          <w:highlight w:val="none"/>
        </w:rPr>
      </w:pPr>
      <w:r>
        <w:rPr>
          <w:rFonts w:hint="eastAsia" w:ascii="新宋体" w:hAnsi="新宋体" w:eastAsia="新宋体" w:cs="新宋体"/>
          <w:sz w:val="22"/>
          <w:szCs w:val="22"/>
          <w:highlight w:val="none"/>
        </w:rPr>
        <w:drawing>
          <wp:anchor distT="0" distB="0" distL="0" distR="0" simplePos="0" relativeHeight="251661312" behindDoc="0" locked="0" layoutInCell="1" allowOverlap="1">
            <wp:simplePos x="0" y="0"/>
            <wp:positionH relativeFrom="column">
              <wp:posOffset>311785</wp:posOffset>
            </wp:positionH>
            <wp:positionV relativeFrom="paragraph">
              <wp:posOffset>184150</wp:posOffset>
            </wp:positionV>
            <wp:extent cx="5339715" cy="3469640"/>
            <wp:effectExtent l="0" t="0" r="13335" b="1651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339715" cy="3469640"/>
                    </a:xfrm>
                    <a:prstGeom prst="rect">
                      <a:avLst/>
                    </a:prstGeom>
                    <a:noFill/>
                    <a:ln>
                      <a:noFill/>
                    </a:ln>
                  </pic:spPr>
                </pic:pic>
              </a:graphicData>
            </a:graphic>
          </wp:anchor>
        </w:drawing>
      </w:r>
      <w:r>
        <w:rPr>
          <w:rFonts w:hint="eastAsia" w:ascii="新宋体" w:hAnsi="新宋体" w:eastAsia="新宋体" w:cs="新宋体"/>
          <w:kern w:val="0"/>
          <w:sz w:val="22"/>
          <w:szCs w:val="22"/>
          <w:highlight w:val="none"/>
        </w:rPr>
        <w:t>图1 系统总体架构图</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9"/>
        <w:rPr>
          <w:rFonts w:hint="eastAsia" w:ascii="新宋体" w:hAnsi="新宋体" w:eastAsia="新宋体" w:cs="新宋体"/>
          <w:sz w:val="22"/>
          <w:szCs w:val="22"/>
          <w:highlight w:val="none"/>
          <w:lang w:val="en-US" w:eastAsia="zh-CN"/>
        </w:rPr>
      </w:pPr>
      <w:bookmarkStart w:id="28" w:name="_Toc37322541"/>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9"/>
        <w:rPr>
          <w:rFonts w:hint="eastAsia" w:ascii="新宋体" w:hAnsi="新宋体" w:eastAsia="新宋体" w:cs="新宋体"/>
          <w:sz w:val="22"/>
          <w:szCs w:val="22"/>
          <w:highlight w:val="none"/>
          <w:lang w:val="en-US" w:eastAsia="zh-CN"/>
        </w:rPr>
      </w:pP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9"/>
        <w:rPr>
          <w:rFonts w:hint="eastAsia" w:ascii="新宋体" w:hAnsi="新宋体" w:eastAsia="新宋体" w:cs="新宋体"/>
          <w:sz w:val="22"/>
          <w:szCs w:val="22"/>
          <w:highlight w:val="none"/>
          <w:lang w:val="en-US" w:eastAsia="zh-CN"/>
        </w:rPr>
      </w:pP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9"/>
        <w:rPr>
          <w:rFonts w:hint="eastAsia" w:ascii="新宋体" w:hAnsi="新宋体" w:eastAsia="新宋体" w:cs="新宋体"/>
          <w:sz w:val="22"/>
          <w:szCs w:val="22"/>
          <w:highlight w:val="none"/>
          <w:lang w:val="en-US" w:eastAsia="zh-CN"/>
        </w:rPr>
      </w:pP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9"/>
        <w:rPr>
          <w:rFonts w:hint="eastAsia" w:ascii="新宋体" w:hAnsi="新宋体" w:eastAsia="新宋体" w:cs="新宋体"/>
          <w:sz w:val="22"/>
          <w:szCs w:val="22"/>
          <w:highlight w:val="none"/>
          <w:lang w:val="en-US" w:eastAsia="zh-CN"/>
        </w:rPr>
      </w:pP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9"/>
        <w:rPr>
          <w:rFonts w:hint="eastAsia" w:ascii="新宋体" w:hAnsi="新宋体" w:eastAsia="新宋体" w:cs="新宋体"/>
          <w:sz w:val="22"/>
          <w:szCs w:val="22"/>
          <w:highlight w:val="none"/>
          <w:lang w:val="en-US" w:eastAsia="zh-CN"/>
        </w:rPr>
      </w:pPr>
    </w:p>
    <w:p>
      <w:pPr>
        <w:pStyle w:val="2"/>
        <w:pageBreakBefore w:val="0"/>
        <w:tabs>
          <w:tab w:val="right" w:leader="dot" w:pos="8301"/>
        </w:tabs>
        <w:kinsoku/>
        <w:wordWrap/>
        <w:overflowPunct/>
        <w:topLinePunct w:val="0"/>
        <w:bidi w:val="0"/>
        <w:adjustRightInd/>
        <w:snapToGrid/>
        <w:spacing w:line="460" w:lineRule="exact"/>
        <w:textAlignment w:val="auto"/>
        <w:outlineLvl w:val="9"/>
        <w:rPr>
          <w:rFonts w:hint="eastAsia" w:ascii="新宋体" w:hAnsi="新宋体" w:eastAsia="新宋体" w:cs="新宋体"/>
          <w:sz w:val="22"/>
          <w:szCs w:val="22"/>
          <w:highlight w:val="none"/>
          <w:lang w:val="en-US" w:eastAsia="zh-CN"/>
        </w:rPr>
      </w:pP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六、</w:t>
      </w:r>
      <w:r>
        <w:rPr>
          <w:rFonts w:hint="eastAsia" w:ascii="新宋体" w:hAnsi="新宋体" w:eastAsia="新宋体" w:cs="新宋体"/>
          <w:sz w:val="22"/>
          <w:szCs w:val="22"/>
          <w:highlight w:val="none"/>
        </w:rPr>
        <w:t>系统网络架构设计</w:t>
      </w:r>
      <w:bookmarkEnd w:id="28"/>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本期项目平台建设将会以温州市政务云平台为基础进行系统的开发设计，本 项目涉及到计算资源、存储资源、网络资源和网络安全保障资源等都将依托市政 务云。为了保证平台的应用安全，金融机构将会通过网络专线和互联网等方式接 入温州市政务外网，享受本平台提供的相关信息服务。</w:t>
      </w:r>
    </w:p>
    <w:p>
      <w:pPr>
        <w:pStyle w:val="202"/>
        <w:pageBreakBefore w:val="0"/>
        <w:tabs>
          <w:tab w:val="center" w:pos="4201"/>
          <w:tab w:val="right" w:leader="dot" w:pos="9298"/>
        </w:tabs>
        <w:kinsoku/>
        <w:wordWrap/>
        <w:overflowPunct/>
        <w:topLinePunct w:val="0"/>
        <w:bidi w:val="0"/>
        <w:adjustRightInd/>
        <w:snapToGrid/>
        <w:spacing w:line="460" w:lineRule="exact"/>
        <w:ind w:firstLine="0" w:firstLineChars="0"/>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sz w:val="22"/>
          <w:szCs w:val="22"/>
          <w:highlight w:val="none"/>
        </w:rPr>
        <w:drawing>
          <wp:anchor distT="0" distB="0" distL="0" distR="0" simplePos="0" relativeHeight="251662336" behindDoc="0" locked="0" layoutInCell="1" allowOverlap="1">
            <wp:simplePos x="0" y="0"/>
            <wp:positionH relativeFrom="column">
              <wp:posOffset>167640</wp:posOffset>
            </wp:positionH>
            <wp:positionV relativeFrom="paragraph">
              <wp:posOffset>280035</wp:posOffset>
            </wp:positionV>
            <wp:extent cx="5716270" cy="2609215"/>
            <wp:effectExtent l="0" t="0" r="17780" b="635"/>
            <wp:wrapTopAndBottom/>
            <wp:docPr id="4"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9"/>
                    <pic:cNvPicPr>
                      <a:picLocks noChangeAspect="1"/>
                    </pic:cNvPicPr>
                  </pic:nvPicPr>
                  <pic:blipFill>
                    <a:blip r:embed="rId10"/>
                    <a:stretch>
                      <a:fillRect/>
                    </a:stretch>
                  </pic:blipFill>
                  <pic:spPr>
                    <a:xfrm>
                      <a:off x="0" y="0"/>
                      <a:ext cx="5716270" cy="2609215"/>
                    </a:xfrm>
                    <a:prstGeom prst="rect">
                      <a:avLst/>
                    </a:prstGeom>
                    <a:noFill/>
                    <a:ln>
                      <a:noFill/>
                    </a:ln>
                  </pic:spPr>
                </pic:pic>
              </a:graphicData>
            </a:graphic>
          </wp:anchor>
        </w:drawing>
      </w:r>
    </w:p>
    <w:p>
      <w:pPr>
        <w:pStyle w:val="202"/>
        <w:pageBreakBefore w:val="0"/>
        <w:tabs>
          <w:tab w:val="center" w:pos="4201"/>
          <w:tab w:val="right" w:leader="dot" w:pos="9298"/>
        </w:tabs>
        <w:kinsoku/>
        <w:wordWrap/>
        <w:overflowPunct/>
        <w:topLinePunct w:val="0"/>
        <w:bidi w:val="0"/>
        <w:adjustRightInd/>
        <w:snapToGrid/>
        <w:spacing w:line="460" w:lineRule="exact"/>
        <w:ind w:firstLine="0" w:firstLineChars="0"/>
        <w:jc w:val="center"/>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图2 系统网络架构图</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29" w:name="_Toc37322542"/>
      <w:r>
        <w:rPr>
          <w:rFonts w:hint="eastAsia" w:ascii="新宋体" w:hAnsi="新宋体" w:eastAsia="新宋体" w:cs="新宋体"/>
          <w:sz w:val="22"/>
          <w:szCs w:val="22"/>
          <w:highlight w:val="none"/>
          <w:lang w:val="en-US" w:eastAsia="zh-CN"/>
        </w:rPr>
        <w:t>七、</w:t>
      </w:r>
      <w:r>
        <w:rPr>
          <w:rFonts w:hint="eastAsia" w:ascii="新宋体" w:hAnsi="新宋体" w:eastAsia="新宋体" w:cs="新宋体"/>
          <w:sz w:val="22"/>
          <w:szCs w:val="22"/>
          <w:highlight w:val="none"/>
        </w:rPr>
        <w:t>系统部署方式设计</w:t>
      </w:r>
      <w:bookmarkEnd w:id="29"/>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平台及各个子管理系统将部署在温州市政务云虚拟化主机上，面向金融机构和企业的应用平台分别部署在政务专有云和政务公有云，公有云与专有云之间通 过防火墙或网闸等方式进行安全隔离，确保数据的安全。</w:t>
      </w:r>
    </w:p>
    <w:p>
      <w:pPr>
        <w:pStyle w:val="201"/>
        <w:pageBreakBefore w:val="0"/>
        <w:tabs>
          <w:tab w:val="left" w:pos="898"/>
        </w:tabs>
        <w:kinsoku/>
        <w:wordWrap/>
        <w:overflowPunct/>
        <w:topLinePunct w:val="0"/>
        <w:bidi w:val="0"/>
        <w:adjustRightInd/>
        <w:snapToGrid/>
        <w:spacing w:line="460" w:lineRule="exact"/>
        <w:ind w:firstLine="520"/>
        <w:jc w:val="both"/>
        <w:textAlignment w:val="auto"/>
        <w:rPr>
          <w:rFonts w:hint="eastAsia" w:ascii="新宋体" w:hAnsi="新宋体" w:eastAsia="新宋体" w:cs="新宋体"/>
          <w:sz w:val="22"/>
          <w:szCs w:val="22"/>
          <w:highlight w:val="none"/>
        </w:rPr>
      </w:pPr>
      <w:bookmarkStart w:id="30" w:name="bookmark467"/>
      <w:r>
        <w:rPr>
          <w:rFonts w:hint="eastAsia" w:ascii="新宋体" w:hAnsi="新宋体" w:eastAsia="新宋体" w:cs="新宋体"/>
          <w:color w:val="000000"/>
          <w:sz w:val="22"/>
          <w:szCs w:val="22"/>
          <w:highlight w:val="none"/>
        </w:rPr>
        <w:t>1</w:t>
      </w:r>
      <w:bookmarkEnd w:id="30"/>
      <w:r>
        <w:rPr>
          <w:rFonts w:hint="eastAsia" w:ascii="新宋体" w:hAnsi="新宋体" w:eastAsia="新宋体" w:cs="新宋体"/>
          <w:color w:val="000000"/>
          <w:sz w:val="22"/>
          <w:szCs w:val="22"/>
          <w:highlight w:val="none"/>
          <w:lang w:val="en-US" w:eastAsia="zh-CN"/>
        </w:rPr>
        <w:t>.</w:t>
      </w:r>
      <w:r>
        <w:rPr>
          <w:rFonts w:hint="eastAsia" w:ascii="新宋体" w:hAnsi="新宋体" w:eastAsia="新宋体" w:cs="新宋体"/>
          <w:color w:val="000000"/>
          <w:sz w:val="22"/>
          <w:szCs w:val="22"/>
          <w:highlight w:val="none"/>
        </w:rPr>
        <w:t>数据库</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数据库拟釆用MySQL数据库或者政务云平台RDS数据库，作为全市各个部门 的业务系统采集数据库，数据清洗数据库釆用MySQL数据库进行存储和加工处理，平台的核心数据库用RDS数据库作为数据存储介质，ODPS作为平台的分析和处理服务器进行数据分析和处理。</w:t>
      </w:r>
    </w:p>
    <w:p>
      <w:pPr>
        <w:pStyle w:val="201"/>
        <w:pageBreakBefore w:val="0"/>
        <w:tabs>
          <w:tab w:val="left" w:pos="912"/>
        </w:tabs>
        <w:kinsoku/>
        <w:wordWrap/>
        <w:overflowPunct/>
        <w:topLinePunct w:val="0"/>
        <w:bidi w:val="0"/>
        <w:adjustRightInd/>
        <w:snapToGrid/>
        <w:spacing w:line="460" w:lineRule="exact"/>
        <w:ind w:firstLine="520"/>
        <w:jc w:val="both"/>
        <w:textAlignment w:val="auto"/>
        <w:rPr>
          <w:rFonts w:hint="eastAsia" w:ascii="新宋体" w:hAnsi="新宋体" w:eastAsia="新宋体" w:cs="新宋体"/>
          <w:sz w:val="22"/>
          <w:szCs w:val="22"/>
          <w:highlight w:val="none"/>
        </w:rPr>
      </w:pPr>
      <w:bookmarkStart w:id="31" w:name="bookmark468"/>
      <w:r>
        <w:rPr>
          <w:rFonts w:hint="eastAsia" w:ascii="新宋体" w:hAnsi="新宋体" w:eastAsia="新宋体" w:cs="新宋体"/>
          <w:color w:val="000000"/>
          <w:sz w:val="22"/>
          <w:szCs w:val="22"/>
          <w:highlight w:val="none"/>
        </w:rPr>
        <w:t>2</w:t>
      </w:r>
      <w:bookmarkEnd w:id="31"/>
      <w:r>
        <w:rPr>
          <w:rFonts w:hint="eastAsia" w:ascii="新宋体" w:hAnsi="新宋体" w:eastAsia="新宋体" w:cs="新宋体"/>
          <w:color w:val="000000"/>
          <w:sz w:val="22"/>
          <w:szCs w:val="22"/>
          <w:highlight w:val="none"/>
          <w:lang w:val="en-US" w:eastAsia="zh-CN"/>
        </w:rPr>
        <w:t>.</w:t>
      </w:r>
      <w:r>
        <w:rPr>
          <w:rFonts w:hint="eastAsia" w:ascii="新宋体" w:hAnsi="新宋体" w:eastAsia="新宋体" w:cs="新宋体"/>
          <w:color w:val="000000"/>
          <w:sz w:val="22"/>
          <w:szCs w:val="22"/>
          <w:highlight w:val="none"/>
        </w:rPr>
        <w:t>虚拟机软件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釆用政务云平台的虚拟系统环境。其中操作系统采用Lunix系统，由服务提供商安装，各应用系统提供商负责维护；数据库和中间件由政务云提供，各应用系统提供商负责安装及维护。</w:t>
      </w:r>
    </w:p>
    <w:p>
      <w:pPr>
        <w:pStyle w:val="201"/>
        <w:pageBreakBefore w:val="0"/>
        <w:tabs>
          <w:tab w:val="left" w:pos="823"/>
        </w:tabs>
        <w:kinsoku/>
        <w:wordWrap/>
        <w:overflowPunct/>
        <w:topLinePunct w:val="0"/>
        <w:bidi w:val="0"/>
        <w:adjustRightInd/>
        <w:snapToGrid/>
        <w:spacing w:line="460" w:lineRule="exact"/>
        <w:ind w:firstLine="460"/>
        <w:textAlignment w:val="auto"/>
        <w:rPr>
          <w:rFonts w:hint="eastAsia" w:ascii="新宋体" w:hAnsi="新宋体" w:eastAsia="新宋体" w:cs="新宋体"/>
          <w:sz w:val="22"/>
          <w:szCs w:val="22"/>
          <w:highlight w:val="none"/>
        </w:rPr>
      </w:pPr>
      <w:bookmarkStart w:id="32" w:name="bookmark469"/>
      <w:r>
        <w:rPr>
          <w:rFonts w:hint="eastAsia" w:ascii="新宋体" w:hAnsi="新宋体" w:eastAsia="新宋体" w:cs="新宋体"/>
          <w:color w:val="000000"/>
          <w:sz w:val="22"/>
          <w:szCs w:val="22"/>
          <w:highlight w:val="none"/>
        </w:rPr>
        <w:t>3</w:t>
      </w:r>
      <w:bookmarkEnd w:id="32"/>
      <w:r>
        <w:rPr>
          <w:rFonts w:hint="eastAsia" w:ascii="新宋体" w:hAnsi="新宋体" w:eastAsia="新宋体" w:cs="新宋体"/>
          <w:color w:val="000000"/>
          <w:sz w:val="22"/>
          <w:szCs w:val="22"/>
          <w:highlight w:val="none"/>
          <w:lang w:val="en-US" w:eastAsia="zh-CN"/>
        </w:rPr>
        <w:t>.</w:t>
      </w:r>
      <w:r>
        <w:rPr>
          <w:rFonts w:hint="eastAsia" w:ascii="新宋体" w:hAnsi="新宋体" w:eastAsia="新宋体" w:cs="新宋体"/>
          <w:color w:val="000000"/>
          <w:sz w:val="22"/>
          <w:szCs w:val="22"/>
          <w:highlight w:val="none"/>
        </w:rPr>
        <w:t>应用系统</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应用系统应具有足够的系统处理能力，在突发大流量访问的情况下，能保证服务质量不受影响。应用系统支持政务云提供的认证接口，完成对接、调试等配合工作，实现应用系统登录的实名认证。应用系统须具备完善的冗余设计，可支持冗余部署，确保系统服务不间断。应用系统支持集群部署架构，即应用软件系统可部署在多台服务器或虚拟机上，形成多个服务节点，每个服务节点都可单独对外提供完整的业务服务，其中一个服务节点故障，不影响其他节点。应用系统提供商对系统的安全性（包含代码安全）负责，做好上线前及上线后应用系统漏洞扫描、安全评估、检查、加固等工作，确保系统安全运行。</w:t>
      </w:r>
    </w:p>
    <w:p>
      <w:pPr>
        <w:pStyle w:val="201"/>
        <w:pageBreakBefore w:val="0"/>
        <w:tabs>
          <w:tab w:val="left" w:pos="823"/>
        </w:tabs>
        <w:kinsoku/>
        <w:wordWrap/>
        <w:overflowPunct/>
        <w:topLinePunct w:val="0"/>
        <w:bidi w:val="0"/>
        <w:adjustRightInd/>
        <w:snapToGrid/>
        <w:spacing w:line="460" w:lineRule="exact"/>
        <w:ind w:firstLine="460"/>
        <w:textAlignment w:val="auto"/>
        <w:rPr>
          <w:rFonts w:hint="eastAsia" w:ascii="新宋体" w:hAnsi="新宋体" w:eastAsia="新宋体" w:cs="新宋体"/>
          <w:sz w:val="22"/>
          <w:szCs w:val="22"/>
          <w:highlight w:val="none"/>
        </w:rPr>
      </w:pPr>
      <w:r>
        <w:rPr>
          <w:rFonts w:hint="eastAsia" w:ascii="新宋体" w:hAnsi="新宋体" w:eastAsia="新宋体" w:cs="新宋体"/>
          <w:color w:val="000000"/>
          <w:sz w:val="22"/>
          <w:szCs w:val="22"/>
          <w:highlight w:val="none"/>
          <w:lang w:val="en-US" w:eastAsia="zh-CN"/>
        </w:rPr>
        <w:t>4.</w:t>
      </w:r>
      <w:r>
        <w:rPr>
          <w:rFonts w:hint="eastAsia" w:ascii="新宋体" w:hAnsi="新宋体" w:eastAsia="新宋体" w:cs="新宋体"/>
          <w:color w:val="000000"/>
          <w:sz w:val="22"/>
          <w:szCs w:val="22"/>
          <w:highlight w:val="none"/>
        </w:rPr>
        <w:t>所需云平台基础资源列表如下</w:t>
      </w:r>
    </w:p>
    <w:p>
      <w:pPr>
        <w:pStyle w:val="256"/>
        <w:pageBreakBefore w:val="0"/>
        <w:kinsoku/>
        <w:wordWrap/>
        <w:overflowPunct/>
        <w:topLinePunct w:val="0"/>
        <w:bidi w:val="0"/>
        <w:adjustRightInd/>
        <w:snapToGrid/>
        <w:spacing w:line="460" w:lineRule="exact"/>
        <w:ind w:firstLine="285"/>
        <w:jc w:val="center"/>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云平台基础资源表</w:t>
      </w:r>
    </w:p>
    <w:tbl>
      <w:tblPr>
        <w:tblStyle w:val="52"/>
        <w:tblW w:w="7852" w:type="dxa"/>
        <w:jc w:val="center"/>
        <w:tblLayout w:type="autofit"/>
        <w:tblCellMar>
          <w:top w:w="0" w:type="dxa"/>
          <w:left w:w="108" w:type="dxa"/>
          <w:bottom w:w="0" w:type="dxa"/>
          <w:right w:w="108" w:type="dxa"/>
        </w:tblCellMar>
      </w:tblPr>
      <w:tblGrid>
        <w:gridCol w:w="732"/>
        <w:gridCol w:w="1140"/>
        <w:gridCol w:w="2920"/>
        <w:gridCol w:w="1020"/>
        <w:gridCol w:w="1020"/>
        <w:gridCol w:w="1020"/>
      </w:tblGrid>
      <w:tr>
        <w:tblPrEx>
          <w:tblCellMar>
            <w:top w:w="0" w:type="dxa"/>
            <w:left w:w="108" w:type="dxa"/>
            <w:bottom w:w="0" w:type="dxa"/>
            <w:right w:w="108" w:type="dxa"/>
          </w:tblCellMar>
        </w:tblPrEx>
        <w:trPr>
          <w:trHeight w:val="567" w:hRule="atLeast"/>
          <w:tblHeader/>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序号</w:t>
            </w:r>
          </w:p>
        </w:tc>
        <w:tc>
          <w:tcPr>
            <w:tcW w:w="114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网络</w:t>
            </w:r>
          </w:p>
        </w:tc>
        <w:tc>
          <w:tcPr>
            <w:tcW w:w="2920" w:type="dxa"/>
            <w:tcBorders>
              <w:top w:val="single" w:color="auto" w:sz="8" w:space="0"/>
              <w:left w:val="single" w:color="auto" w:sz="8" w:space="0"/>
              <w:bottom w:val="nil"/>
              <w:right w:val="nil"/>
            </w:tcBorders>
            <w:shd w:val="clear" w:color="000000" w:fill="FFFFFF"/>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服务卷用途</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内存</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存储</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w:t>
            </w:r>
          </w:p>
        </w:tc>
        <w:tc>
          <w:tcPr>
            <w:tcW w:w="1140" w:type="dxa"/>
            <w:vMerge w:val="restart"/>
            <w:tcBorders>
              <w:top w:val="single" w:color="auto" w:sz="8" w:space="0"/>
              <w:left w:val="single" w:color="auto" w:sz="8" w:space="0"/>
              <w:bottom w:val="single" w:color="000000"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政务网</w:t>
            </w:r>
          </w:p>
        </w:tc>
        <w:tc>
          <w:tcPr>
            <w:tcW w:w="2920" w:type="dxa"/>
            <w:tcBorders>
              <w:top w:val="single" w:color="auto" w:sz="8" w:space="0"/>
              <w:left w:val="nil"/>
              <w:bottom w:val="nil"/>
              <w:right w:val="nil"/>
            </w:tcBorders>
            <w:shd w:val="clear" w:color="000000" w:fill="FFFFFF"/>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数据库服务器（主）</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1T</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2</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数据库服务器（备）</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1T</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3</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云存储</w:t>
            </w:r>
          </w:p>
        </w:tc>
        <w:tc>
          <w:tcPr>
            <w:tcW w:w="3060" w:type="dxa"/>
            <w:gridSpan w:val="3"/>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　2T</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4</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service部署服务器1</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5</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service部署服务器2</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6</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WEB部署服务器1</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7</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WEB部署服务器2</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支撑应用服务器1</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9</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支撑应用服务器2</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10</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支撑应用服务器3</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11</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数据抽取服务器</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1T</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12</w:t>
            </w:r>
          </w:p>
        </w:tc>
        <w:tc>
          <w:tcPr>
            <w:tcW w:w="114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负载均衡服务器（或者SLB）</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13</w:t>
            </w:r>
          </w:p>
        </w:tc>
        <w:tc>
          <w:tcPr>
            <w:tcW w:w="114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互联网</w:t>
            </w:r>
          </w:p>
        </w:tc>
        <w:tc>
          <w:tcPr>
            <w:tcW w:w="2920" w:type="dxa"/>
            <w:tcBorders>
              <w:top w:val="single" w:color="auto" w:sz="8" w:space="0"/>
              <w:left w:val="nil"/>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WEB部署服务器1</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nil"/>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CellMar>
            <w:top w:w="0" w:type="dxa"/>
            <w:left w:w="108" w:type="dxa"/>
            <w:bottom w:w="0" w:type="dxa"/>
            <w:right w:w="108" w:type="dxa"/>
          </w:tblCellMar>
        </w:tblPrEx>
        <w:trPr>
          <w:trHeight w:val="567" w:hRule="atLeast"/>
          <w:jc w:val="center"/>
        </w:trPr>
        <w:tc>
          <w:tcPr>
            <w:tcW w:w="732" w:type="dxa"/>
            <w:tcBorders>
              <w:top w:val="single" w:color="auto" w:sz="8" w:space="0"/>
              <w:left w:val="single" w:color="auto" w:sz="8" w:space="0"/>
              <w:bottom w:val="single" w:color="auto" w:sz="8" w:space="0"/>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14</w:t>
            </w:r>
          </w:p>
        </w:tc>
        <w:tc>
          <w:tcPr>
            <w:tcW w:w="1140" w:type="dxa"/>
            <w:vMerge w:val="continue"/>
            <w:tcBorders>
              <w:top w:val="nil"/>
              <w:left w:val="single" w:color="auto" w:sz="8" w:space="0"/>
              <w:bottom w:val="single" w:color="000000" w:sz="8" w:space="0"/>
              <w:right w:val="single" w:color="auto" w:sz="8"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tcBorders>
              <w:top w:val="single" w:color="auto" w:sz="8" w:space="0"/>
              <w:left w:val="nil"/>
              <w:bottom w:val="single" w:color="auto" w:sz="8" w:space="0"/>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WEB部署服务器2</w:t>
            </w:r>
          </w:p>
        </w:tc>
        <w:tc>
          <w:tcPr>
            <w:tcW w:w="1020" w:type="dxa"/>
            <w:tcBorders>
              <w:top w:val="single" w:color="auto" w:sz="8" w:space="0"/>
              <w:left w:val="single" w:color="auto" w:sz="8" w:space="0"/>
              <w:bottom w:val="single" w:color="auto" w:sz="8" w:space="0"/>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tcBorders>
              <w:top w:val="single" w:color="auto" w:sz="8" w:space="0"/>
              <w:left w:val="single" w:color="auto" w:sz="8" w:space="0"/>
              <w:bottom w:val="single" w:color="auto" w:sz="8" w:space="0"/>
              <w:right w:val="nil"/>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bl>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33" w:name="_Toc37322543"/>
      <w:r>
        <w:rPr>
          <w:rFonts w:hint="eastAsia" w:ascii="新宋体" w:hAnsi="新宋体" w:eastAsia="新宋体" w:cs="新宋体"/>
          <w:b/>
          <w:sz w:val="22"/>
          <w:szCs w:val="22"/>
          <w:highlight w:val="none"/>
          <w:lang w:val="en-US" w:eastAsia="zh-CN"/>
        </w:rPr>
        <w:t>八、信息</w:t>
      </w:r>
      <w:r>
        <w:rPr>
          <w:rFonts w:hint="eastAsia" w:ascii="新宋体" w:hAnsi="新宋体" w:eastAsia="新宋体" w:cs="新宋体"/>
          <w:sz w:val="22"/>
          <w:szCs w:val="22"/>
          <w:highlight w:val="none"/>
        </w:rPr>
        <w:t>安全防护体系</w:t>
      </w:r>
      <w:bookmarkEnd w:id="24"/>
      <w:bookmarkEnd w:id="25"/>
      <w:bookmarkEnd w:id="26"/>
      <w:bookmarkEnd w:id="27"/>
      <w:bookmarkEnd w:id="33"/>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安全体系建设的目标是支撑和保障金融综合服务平台的信息系统和业务的安全稳定运行，防止信息网络瘫痪、防止应用系统破坏、防止业务数据丢失、防止卫生信息泄密、防止终端病毒感染、防止有害信息传播、防止恶意渗透攻击，以确保信息系统安全稳定运行，确保业务数据安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本系统按照《信息安全技术网络安全等级保护基本要求》2.0版本三级相关要求进行建设。</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34" w:name="_Toc37322551"/>
      <w:r>
        <w:rPr>
          <w:rFonts w:hint="eastAsia" w:ascii="新宋体" w:hAnsi="新宋体" w:eastAsia="新宋体" w:cs="新宋体"/>
          <w:sz w:val="22"/>
          <w:szCs w:val="22"/>
          <w:highlight w:val="none"/>
          <w:lang w:val="en-US" w:eastAsia="zh-CN"/>
        </w:rPr>
        <w:t>九、</w:t>
      </w:r>
      <w:r>
        <w:rPr>
          <w:rFonts w:hint="eastAsia" w:ascii="新宋体" w:hAnsi="新宋体" w:eastAsia="新宋体" w:cs="新宋体"/>
          <w:sz w:val="22"/>
          <w:szCs w:val="22"/>
          <w:highlight w:val="none"/>
        </w:rPr>
        <w:t>平台建设方案</w:t>
      </w:r>
      <w:bookmarkEnd w:id="34"/>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35" w:name="_Toc37322552"/>
      <w:r>
        <w:rPr>
          <w:rFonts w:hint="eastAsia" w:ascii="新宋体" w:hAnsi="新宋体" w:eastAsia="新宋体" w:cs="新宋体"/>
          <w:b/>
          <w:bCs/>
          <w:sz w:val="22"/>
          <w:szCs w:val="22"/>
          <w:highlight w:val="none"/>
          <w:lang w:val="en-US" w:eastAsia="zh-CN"/>
        </w:rPr>
        <w:t>1、</w:t>
      </w:r>
      <w:r>
        <w:rPr>
          <w:rFonts w:hint="eastAsia" w:ascii="新宋体" w:hAnsi="新宋体" w:eastAsia="新宋体" w:cs="新宋体"/>
          <w:b/>
          <w:bCs/>
          <w:sz w:val="22"/>
          <w:szCs w:val="22"/>
          <w:highlight w:val="none"/>
        </w:rPr>
        <w:t>金融综合服务平台数据库</w:t>
      </w:r>
      <w:bookmarkEnd w:id="35"/>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根据平台建设的需要，收集全市各部门企业（含企业法人）相关数据、温州企业在省市大数据局的相关数据、市资规局市县两级不动产抵押登记系统数据、市经信局“帮企云”平台企业需求数据等进行统一归集、 统一治理、统一入库等操作，实现对数据的分布和动态变更情况的追踪，提升数据质量。对数据进行业务化、规范化、标准化处理，形成统一的数据视图，并保障数据在各个使用环节的安全可控，构建温州金融综合服务平台数据库，为温州金融综合服务平台数据落地运行提供保障。</w:t>
      </w:r>
    </w:p>
    <w:p>
      <w:pPr>
        <w:pageBreakBefore w:val="0"/>
        <w:kinsoku/>
        <w:wordWrap/>
        <w:overflowPunct/>
        <w:topLinePunct w:val="0"/>
        <w:bidi w:val="0"/>
        <w:adjustRightInd/>
        <w:snapToGrid/>
        <w:spacing w:line="460" w:lineRule="exact"/>
        <w:textAlignment w:val="auto"/>
        <w:rPr>
          <w:rFonts w:hint="eastAsia" w:ascii="新宋体" w:hAnsi="新宋体" w:eastAsia="新宋体" w:cs="新宋体"/>
          <w:sz w:val="22"/>
          <w:szCs w:val="22"/>
          <w:highlight w:val="none"/>
        </w:rPr>
      </w:pPr>
    </w:p>
    <w:p>
      <w:pPr>
        <w:pStyle w:val="2"/>
        <w:pageBreakBefore w:val="0"/>
        <w:tabs>
          <w:tab w:val="right" w:leader="dot" w:pos="8301"/>
        </w:tabs>
        <w:kinsoku/>
        <w:wordWrap/>
        <w:overflowPunct/>
        <w:topLinePunct w:val="0"/>
        <w:bidi w:val="0"/>
        <w:adjustRightInd/>
        <w:snapToGrid/>
        <w:spacing w:after="0"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drawing>
          <wp:anchor distT="0" distB="0" distL="114300" distR="114300" simplePos="0" relativeHeight="251663360" behindDoc="0" locked="0" layoutInCell="1" allowOverlap="1">
            <wp:simplePos x="0" y="0"/>
            <wp:positionH relativeFrom="column">
              <wp:posOffset>403860</wp:posOffset>
            </wp:positionH>
            <wp:positionV relativeFrom="paragraph">
              <wp:posOffset>35560</wp:posOffset>
            </wp:positionV>
            <wp:extent cx="5336540" cy="2390140"/>
            <wp:effectExtent l="0" t="0" r="16510" b="10160"/>
            <wp:wrapTopAndBottom/>
            <wp:docPr id="5" name="图片 29"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descr="未命名文件(1)"/>
                    <pic:cNvPicPr>
                      <a:picLocks noChangeAspect="1"/>
                    </pic:cNvPicPr>
                  </pic:nvPicPr>
                  <pic:blipFill>
                    <a:blip r:embed="rId11"/>
                    <a:stretch>
                      <a:fillRect/>
                    </a:stretch>
                  </pic:blipFill>
                  <pic:spPr>
                    <a:xfrm>
                      <a:off x="0" y="0"/>
                      <a:ext cx="5336540" cy="2390140"/>
                    </a:xfrm>
                    <a:prstGeom prst="rect">
                      <a:avLst/>
                    </a:prstGeom>
                    <a:noFill/>
                    <a:ln>
                      <a:noFill/>
                    </a:ln>
                  </pic:spPr>
                </pic:pic>
              </a:graphicData>
            </a:graphic>
          </wp:anchor>
        </w:drawing>
      </w:r>
      <w:r>
        <w:rPr>
          <w:rFonts w:hint="eastAsia" w:ascii="新宋体" w:hAnsi="新宋体" w:eastAsia="新宋体" w:cs="新宋体"/>
          <w:sz w:val="22"/>
          <w:szCs w:val="22"/>
          <w:highlight w:val="none"/>
        </w:rPr>
        <w:t>图3 数据归集示意图</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数据归集是建设本期项目中至关重要的部分，通过将数据汇聚、转化，为金融综合服务平台数据库应用、“互联网+政务服务”提供准确的、高价值的数据。</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数据归集流程包括先将分散、多样化的数据进行登记、汇集、标准化、清洗 转换、整合等操作处理，实现对数据的分布和动态变更情况的追踪，提升数据质 量，接着对数据进行全面的业务化，规范化，形成统一的业务视图，并保障数据 在各个使用环节的安全可控。在整个流程中设置数据治理规则，持续监控数据处 理情况，及时发现数据质量问题，通过告警的方式通知相关人员及时处理问题。</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基于数据归集形成数据库的数据管理和控制机制，实现一站式数据治理体系，帮助客户持续不断的提升和挖掘数据的应用价值，功能特性体现：</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数据资产业务化管理：通过统一的术语表管理实现从业务的视角对平台 各类型数据实体进行分类管理，并支持各类元数据的全文搜索，给用户提供平台 活动和业务数据的全景视图，形成数据的业务上下文，让数据的业务关系脉络变 得更加清晰和容易理解；并且支持将数据在权限范围内以API、原始数据导出等 不同方式交付。</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数据分布和动态变化的实时跟踪:通过丰富直观的图形展示数据的数量、 分布、构成、来源、去向等关键信息，帮助用户从总体角度把握数据分布情况和 动态变化的趋势，了解数据的流向以及数据之间的相互关系，供用户进行业务问 题的溯源分析和影响分析。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按模型驱动进行数据整合:按主题类目对统一模型进行管理和变化跟踪， 实现流程化的模型驱动的多源数据的整合，保障按照统一的模型来生成核心业务 数据，并帮助用户从业务角度来管理、使用数据，促进用户对数据业务含义的理解。</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保障数据治理的标准规范性：通过对数据对象、代码、术语、指标等定义和使用的标准化管理，保障数据在处理环节的互通性，加速实现数据的整合， 促进数据质量的改进；并形成规范统一的业务口径，提升业务规范性，消除歧义，使业务沟通更顺畅，并提升信息共享度。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5</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流程化的数据质量体系：从组织管理、流程、技术、日常运维等角度，提供图形化的数据质量监控和清洗工具，帮助用户进行全流程的数据质量监控和提升，建立全面的质量评分体系，实现流程化的质量评估和绩效考核机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6</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实现髙效的数据集中：通过形成对大量数据源系统的集中视图、开放灵活的源接口管理、高性能和高可靠的集成任务，安全保障和来源可溯的目标数据 的综合管理，帮助用户进行快速高效的数据大集中。</w:t>
      </w:r>
    </w:p>
    <w:p>
      <w:pPr>
        <w:pStyle w:val="7"/>
        <w:pageBreakBefore w:val="0"/>
        <w:tabs>
          <w:tab w:val="left" w:pos="0"/>
          <w:tab w:val="left" w:pos="600"/>
        </w:tabs>
        <w:kinsoku/>
        <w:wordWrap/>
        <w:overflowPunct/>
        <w:topLinePunct w:val="0"/>
        <w:bidi w:val="0"/>
        <w:adjustRightInd/>
        <w:snapToGrid/>
        <w:spacing w:line="460" w:lineRule="exact"/>
        <w:ind w:firstLine="442" w:firstLineChars="200"/>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1.1</w:t>
      </w:r>
      <w:r>
        <w:rPr>
          <w:rFonts w:hint="eastAsia" w:ascii="新宋体" w:hAnsi="新宋体" w:eastAsia="新宋体" w:cs="新宋体"/>
          <w:b/>
          <w:bCs/>
          <w:sz w:val="22"/>
          <w:szCs w:val="22"/>
          <w:highlight w:val="none"/>
        </w:rPr>
        <w:t>采集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数据采集主要从各数据源按采集数据目录的要求，定时从各数据源采集各业 务系统的业务数据，并导入中间库供后续的加工、清洗、整合使用。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本项目的数据釆集方式提供前置机、数据接口、在线填报、文件导入四种方式。</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bookmarkStart w:id="36" w:name="bookmark560"/>
      <w:bookmarkEnd w:id="36"/>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前置机</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对于信息化程度比较高，条件比较好的部门，采用前置机数据交换方式，通过为各数据源单位配置前置服务器及数据釆集软件，实时或定时从各单位业务数 据库中提取信息，实现信用数据地釆集与更新。</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bookmarkStart w:id="37" w:name="bookmark561"/>
      <w:bookmarkEnd w:id="37"/>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数据接口</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系统支持基于XML文件的数据接口方式实现数据交换，相关部门可以与该接 口进行对接，以标准的XML文件格式的形式进行信用数据的归集提供。</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bookmarkStart w:id="38" w:name="bookmark562"/>
      <w:bookmarkEnd w:id="38"/>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在线填报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系统提供易操作的图形化釆集规则设计器，进行数据采集流程设计。系统根 据信用信息的梳理情况展现给终端用户，引导用户按照温州金融综合服务平台 的数据归集需要进行填报。</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bookmarkStart w:id="39" w:name="bookmark563"/>
      <w:bookmarkEnd w:id="39"/>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文件导入</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•网上传送</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为相关政府部门提供文件导入功能。制定标准的数据导入导出模板，相关部 门登录系统后，先下载标准的Excel标准模板，向模板导入信用信息，形成数据 文件然后手动将数据文件批量导入系统中。系统对导入文件格式、数据内容进行 校验，通过校验的数据将导入信用信息数据库中。</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 数据报盘</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rPr>
        <w:t>在网络隔离或其他原因导致不能从其他业务系统中获取数据的情况下，系统 提供数据导入的方式，可借助移动存储设备转储后来实现数据的釆集工作</w:t>
      </w:r>
      <w:r>
        <w:rPr>
          <w:rFonts w:hint="eastAsia" w:ascii="新宋体" w:hAnsi="新宋体" w:eastAsia="新宋体" w:cs="新宋体"/>
          <w:sz w:val="22"/>
          <w:szCs w:val="22"/>
          <w:highlight w:val="none"/>
          <w:lang w:eastAsia="zh-CN"/>
        </w:rPr>
        <w:t>。</w:t>
      </w:r>
    </w:p>
    <w:p>
      <w:pPr>
        <w:pStyle w:val="7"/>
        <w:pageBreakBefore w:val="0"/>
        <w:tabs>
          <w:tab w:val="left" w:pos="0"/>
          <w:tab w:val="left" w:pos="600"/>
        </w:tabs>
        <w:kinsoku/>
        <w:wordWrap/>
        <w:overflowPunct/>
        <w:topLinePunct w:val="0"/>
        <w:bidi w:val="0"/>
        <w:adjustRightInd/>
        <w:snapToGrid/>
        <w:spacing w:line="460" w:lineRule="exact"/>
        <w:ind w:firstLine="442" w:firstLineChars="200"/>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1.2</w:t>
      </w:r>
      <w:r>
        <w:rPr>
          <w:rFonts w:hint="eastAsia" w:ascii="新宋体" w:hAnsi="新宋体" w:eastAsia="新宋体" w:cs="新宋体"/>
          <w:b/>
          <w:bCs/>
          <w:sz w:val="22"/>
          <w:szCs w:val="22"/>
          <w:highlight w:val="none"/>
        </w:rPr>
        <w:t>清洗比对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通过对来自不同业务部门的信用数据进行清洗、转换，整理为符合数 据标准规范的信用基础数据，重点针对数据来源部门和不同平台的数据进行规则 性检查和数据一致性核查，并输出比对结果，形成干净、权威的数据统一视图以 及数据仓库的建设。数据清洗比对质量的评价指标如下表所示。</w:t>
      </w:r>
    </w:p>
    <w:p>
      <w:pPr>
        <w:pStyle w:val="2"/>
        <w:pageBreakBefore w:val="0"/>
        <w:tabs>
          <w:tab w:val="right" w:leader="dot" w:pos="8301"/>
        </w:tabs>
        <w:kinsoku/>
        <w:wordWrap/>
        <w:overflowPunct/>
        <w:topLinePunct w:val="0"/>
        <w:bidi w:val="0"/>
        <w:adjustRightInd/>
        <w:snapToGrid/>
        <w:spacing w:after="0" w:line="460" w:lineRule="exact"/>
        <w:ind w:firstLine="442" w:firstLineChars="200"/>
        <w:jc w:val="center"/>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数据清洗比对指标</w:t>
      </w:r>
    </w:p>
    <w:tbl>
      <w:tblPr>
        <w:tblStyle w:val="52"/>
        <w:tblW w:w="9700" w:type="dxa"/>
        <w:jc w:val="center"/>
        <w:tblLayout w:type="autofit"/>
        <w:tblCellMar>
          <w:top w:w="0" w:type="dxa"/>
          <w:left w:w="108" w:type="dxa"/>
          <w:bottom w:w="0" w:type="dxa"/>
          <w:right w:w="108" w:type="dxa"/>
        </w:tblCellMar>
      </w:tblPr>
      <w:tblGrid>
        <w:gridCol w:w="1500"/>
        <w:gridCol w:w="2320"/>
        <w:gridCol w:w="5880"/>
      </w:tblGrid>
      <w:tr>
        <w:tblPrEx>
          <w:tblCellMar>
            <w:top w:w="0" w:type="dxa"/>
            <w:left w:w="108" w:type="dxa"/>
            <w:bottom w:w="0" w:type="dxa"/>
            <w:right w:w="108" w:type="dxa"/>
          </w:tblCellMar>
        </w:tblPrEx>
        <w:trPr>
          <w:trHeight w:val="323" w:hRule="atLeast"/>
          <w:tblHeader/>
          <w:jc w:val="center"/>
        </w:trPr>
        <w:tc>
          <w:tcPr>
            <w:tcW w:w="1500" w:type="dxa"/>
            <w:tcBorders>
              <w:top w:val="single" w:color="auto" w:sz="8" w:space="0"/>
              <w:left w:val="single" w:color="auto" w:sz="8" w:space="0"/>
              <w:bottom w:val="nil"/>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指标类型</w:t>
            </w:r>
          </w:p>
        </w:tc>
        <w:tc>
          <w:tcPr>
            <w:tcW w:w="2320" w:type="dxa"/>
            <w:tcBorders>
              <w:top w:val="single" w:color="auto" w:sz="8" w:space="0"/>
              <w:left w:val="nil"/>
              <w:bottom w:val="nil"/>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指标说明</w:t>
            </w:r>
          </w:p>
        </w:tc>
        <w:tc>
          <w:tcPr>
            <w:tcW w:w="5880" w:type="dxa"/>
            <w:tcBorders>
              <w:top w:val="single" w:color="auto" w:sz="8" w:space="0"/>
              <w:left w:val="nil"/>
              <w:bottom w:val="nil"/>
              <w:right w:val="single" w:color="auto" w:sz="8"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指标评价标准</w:t>
            </w:r>
          </w:p>
        </w:tc>
      </w:tr>
      <w:tr>
        <w:tblPrEx>
          <w:tblCellMar>
            <w:top w:w="0" w:type="dxa"/>
            <w:left w:w="108" w:type="dxa"/>
            <w:bottom w:w="0" w:type="dxa"/>
            <w:right w:w="108" w:type="dxa"/>
          </w:tblCellMar>
        </w:tblPrEx>
        <w:trPr>
          <w:trHeight w:val="278" w:hRule="atLeast"/>
          <w:jc w:val="center"/>
        </w:trPr>
        <w:tc>
          <w:tcPr>
            <w:tcW w:w="1500" w:type="dxa"/>
            <w:vMerge w:val="restart"/>
            <w:tcBorders>
              <w:top w:val="single" w:color="auto" w:sz="8" w:space="0"/>
              <w:left w:val="single" w:color="auto" w:sz="8" w:space="0"/>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完整性</w:t>
            </w:r>
          </w:p>
        </w:tc>
        <w:tc>
          <w:tcPr>
            <w:tcW w:w="2320" w:type="dxa"/>
            <w:vMerge w:val="restart"/>
            <w:tcBorders>
              <w:top w:val="single" w:color="auto" w:sz="8"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信用数据的内容完整， 满足业务部门需求。</w:t>
            </w:r>
          </w:p>
        </w:tc>
        <w:tc>
          <w:tcPr>
            <w:tcW w:w="5880" w:type="dxa"/>
            <w:tcBorders>
              <w:top w:val="single" w:color="auto" w:sz="8" w:space="0"/>
              <w:left w:val="nil"/>
              <w:bottom w:val="single" w:color="auto" w:sz="4" w:space="0"/>
              <w:right w:val="single" w:color="auto" w:sz="8" w:space="0"/>
            </w:tcBorders>
            <w:noWrap/>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关键数据项值不能为空</w:t>
            </w:r>
          </w:p>
        </w:tc>
      </w:tr>
      <w:tr>
        <w:tblPrEx>
          <w:tblCellMar>
            <w:top w:w="0" w:type="dxa"/>
            <w:left w:w="108" w:type="dxa"/>
            <w:bottom w:w="0" w:type="dxa"/>
            <w:right w:w="108" w:type="dxa"/>
          </w:tblCellMar>
        </w:tblPrEx>
        <w:trPr>
          <w:trHeight w:val="278" w:hRule="atLeast"/>
          <w:jc w:val="center"/>
        </w:trPr>
        <w:tc>
          <w:tcPr>
            <w:tcW w:w="1500" w:type="dxa"/>
            <w:vMerge w:val="continue"/>
            <w:tcBorders>
              <w:top w:val="single" w:color="auto" w:sz="8" w:space="0"/>
              <w:left w:val="single" w:color="auto" w:sz="8"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single" w:color="auto" w:sz="8"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4" w:space="0"/>
              <w:right w:val="single" w:color="auto" w:sz="8" w:space="0"/>
            </w:tcBorders>
            <w:noWrap/>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存在应当采集而未采集的内容</w:t>
            </w:r>
          </w:p>
        </w:tc>
      </w:tr>
      <w:tr>
        <w:tblPrEx>
          <w:tblCellMar>
            <w:top w:w="0" w:type="dxa"/>
            <w:left w:w="108" w:type="dxa"/>
            <w:bottom w:w="0" w:type="dxa"/>
            <w:right w:w="108" w:type="dxa"/>
          </w:tblCellMar>
        </w:tblPrEx>
        <w:trPr>
          <w:trHeight w:val="278" w:hRule="atLeast"/>
          <w:jc w:val="center"/>
        </w:trPr>
        <w:tc>
          <w:tcPr>
            <w:tcW w:w="1500" w:type="dxa"/>
            <w:vMerge w:val="continue"/>
            <w:tcBorders>
              <w:top w:val="single" w:color="auto" w:sz="8" w:space="0"/>
              <w:left w:val="single" w:color="auto" w:sz="8"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single" w:color="auto" w:sz="8"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4" w:space="0"/>
              <w:right w:val="single" w:color="auto" w:sz="8" w:space="0"/>
            </w:tcBorders>
            <w:noWrap/>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不存在应当采集而未釆集的字段</w:t>
            </w:r>
          </w:p>
        </w:tc>
      </w:tr>
      <w:tr>
        <w:tblPrEx>
          <w:tblCellMar>
            <w:top w:w="0" w:type="dxa"/>
            <w:left w:w="108" w:type="dxa"/>
            <w:bottom w:w="0" w:type="dxa"/>
            <w:right w:w="108" w:type="dxa"/>
          </w:tblCellMar>
        </w:tblPrEx>
        <w:trPr>
          <w:trHeight w:val="278" w:hRule="atLeast"/>
          <w:jc w:val="center"/>
        </w:trPr>
        <w:tc>
          <w:tcPr>
            <w:tcW w:w="1500" w:type="dxa"/>
            <w:vMerge w:val="restart"/>
            <w:tcBorders>
              <w:top w:val="nil"/>
              <w:left w:val="single" w:color="auto" w:sz="8" w:space="0"/>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正确性</w:t>
            </w:r>
          </w:p>
        </w:tc>
        <w:tc>
          <w:tcPr>
            <w:tcW w:w="232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信用数据正确性是指 数据的精确性和可靠 性，为信用应用、互联 网+政务服务提供高价 值的数据。</w:t>
            </w:r>
          </w:p>
        </w:tc>
        <w:tc>
          <w:tcPr>
            <w:tcW w:w="5880" w:type="dxa"/>
            <w:tcBorders>
              <w:top w:val="nil"/>
              <w:left w:val="nil"/>
              <w:bottom w:val="single" w:color="auto" w:sz="4" w:space="0"/>
              <w:right w:val="single" w:color="auto" w:sz="8" w:space="0"/>
            </w:tcBorders>
            <w:noWrap/>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关键数据项值不能包含不规范的文字或数字</w:t>
            </w:r>
          </w:p>
        </w:tc>
      </w:tr>
      <w:tr>
        <w:tblPrEx>
          <w:tblCellMar>
            <w:top w:w="0" w:type="dxa"/>
            <w:left w:w="108" w:type="dxa"/>
            <w:bottom w:w="0" w:type="dxa"/>
            <w:right w:w="108" w:type="dxa"/>
          </w:tblCellMar>
        </w:tblPrEx>
        <w:trPr>
          <w:trHeight w:val="278" w:hRule="atLeast"/>
          <w:jc w:val="center"/>
        </w:trPr>
        <w:tc>
          <w:tcPr>
            <w:tcW w:w="150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4" w:space="0"/>
              <w:right w:val="single" w:color="auto" w:sz="8" w:space="0"/>
            </w:tcBorders>
            <w:noWrap/>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关键数据项值的校验符合校验规则（例如组织 机构代码）</w:t>
            </w:r>
          </w:p>
        </w:tc>
      </w:tr>
      <w:tr>
        <w:tblPrEx>
          <w:tblCellMar>
            <w:top w:w="0" w:type="dxa"/>
            <w:left w:w="108" w:type="dxa"/>
            <w:bottom w:w="0" w:type="dxa"/>
            <w:right w:w="108" w:type="dxa"/>
          </w:tblCellMar>
        </w:tblPrEx>
        <w:trPr>
          <w:trHeight w:val="540" w:hRule="atLeast"/>
          <w:jc w:val="center"/>
        </w:trPr>
        <w:tc>
          <w:tcPr>
            <w:tcW w:w="1500" w:type="dxa"/>
            <w:vMerge w:val="continue"/>
            <w:tcBorders>
              <w:top w:val="nil"/>
              <w:left w:val="single" w:color="auto" w:sz="8"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nil"/>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釆用字典的关键数据项值，其代码值应当在数 据字典中能找到对应的含义。</w:t>
            </w:r>
          </w:p>
        </w:tc>
      </w:tr>
      <w:tr>
        <w:tblPrEx>
          <w:tblCellMar>
            <w:top w:w="0" w:type="dxa"/>
            <w:left w:w="108" w:type="dxa"/>
            <w:bottom w:w="0" w:type="dxa"/>
            <w:right w:w="108" w:type="dxa"/>
          </w:tblCellMar>
        </w:tblPrEx>
        <w:trPr>
          <w:trHeight w:val="278" w:hRule="atLeast"/>
          <w:jc w:val="center"/>
        </w:trPr>
        <w:tc>
          <w:tcPr>
            <w:tcW w:w="1500" w:type="dxa"/>
            <w:vMerge w:val="continue"/>
            <w:tcBorders>
              <w:top w:val="nil"/>
              <w:left w:val="single" w:color="auto" w:sz="8"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nil"/>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数据项的长度满足制定标准</w:t>
            </w:r>
          </w:p>
        </w:tc>
      </w:tr>
      <w:tr>
        <w:tblPrEx>
          <w:tblCellMar>
            <w:top w:w="0" w:type="dxa"/>
            <w:left w:w="108" w:type="dxa"/>
            <w:bottom w:w="0" w:type="dxa"/>
            <w:right w:w="108" w:type="dxa"/>
          </w:tblCellMar>
        </w:tblPrEx>
        <w:trPr>
          <w:trHeight w:val="278" w:hRule="atLeast"/>
          <w:jc w:val="center"/>
        </w:trPr>
        <w:tc>
          <w:tcPr>
            <w:tcW w:w="1500" w:type="dxa"/>
            <w:vMerge w:val="continue"/>
            <w:tcBorders>
              <w:top w:val="nil"/>
              <w:left w:val="single" w:color="auto" w:sz="8"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nil"/>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数据项的精度满足制定的标准</w:t>
            </w:r>
          </w:p>
        </w:tc>
      </w:tr>
      <w:tr>
        <w:tblPrEx>
          <w:tblCellMar>
            <w:top w:w="0" w:type="dxa"/>
            <w:left w:w="108" w:type="dxa"/>
            <w:bottom w:w="0" w:type="dxa"/>
            <w:right w:w="108" w:type="dxa"/>
          </w:tblCellMar>
        </w:tblPrEx>
        <w:trPr>
          <w:trHeight w:val="278" w:hRule="atLeast"/>
          <w:jc w:val="center"/>
        </w:trPr>
        <w:tc>
          <w:tcPr>
            <w:tcW w:w="1500" w:type="dxa"/>
            <w:vMerge w:val="restart"/>
            <w:tcBorders>
              <w:top w:val="nil"/>
              <w:left w:val="single" w:color="auto" w:sz="8"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一致性</w:t>
            </w:r>
          </w:p>
        </w:tc>
        <w:tc>
          <w:tcPr>
            <w:tcW w:w="2320" w:type="dxa"/>
            <w:vMerge w:val="restart"/>
            <w:tcBorders>
              <w:top w:val="nil"/>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数据的一致性指的是 信用数据之间的逻辑 关系保持一致，包括表 和表，字段和字段之间 的关系。</w:t>
            </w:r>
          </w:p>
        </w:tc>
        <w:tc>
          <w:tcPr>
            <w:tcW w:w="5880"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数据的所有副本内容一致</w:t>
            </w:r>
          </w:p>
        </w:tc>
      </w:tr>
      <w:tr>
        <w:tblPrEx>
          <w:tblCellMar>
            <w:top w:w="0" w:type="dxa"/>
            <w:left w:w="108" w:type="dxa"/>
            <w:bottom w:w="0" w:type="dxa"/>
            <w:right w:w="108" w:type="dxa"/>
          </w:tblCellMar>
        </w:tblPrEx>
        <w:trPr>
          <w:trHeight w:val="540" w:hRule="atLeast"/>
          <w:jc w:val="center"/>
        </w:trPr>
        <w:tc>
          <w:tcPr>
            <w:tcW w:w="1500" w:type="dxa"/>
            <w:vMerge w:val="continue"/>
            <w:tcBorders>
              <w:top w:val="nil"/>
              <w:left w:val="single" w:color="auto" w:sz="8"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nil"/>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数据项与其他数据之间存在的逻辑关联关系 数据和其他表之间的约束关系一致。</w:t>
            </w:r>
          </w:p>
        </w:tc>
      </w:tr>
      <w:tr>
        <w:tblPrEx>
          <w:tblCellMar>
            <w:top w:w="0" w:type="dxa"/>
            <w:left w:w="108" w:type="dxa"/>
            <w:bottom w:w="0" w:type="dxa"/>
            <w:right w:w="108" w:type="dxa"/>
          </w:tblCellMar>
        </w:tblPrEx>
        <w:trPr>
          <w:trHeight w:val="278" w:hRule="atLeast"/>
          <w:jc w:val="center"/>
        </w:trPr>
        <w:tc>
          <w:tcPr>
            <w:tcW w:w="1500" w:type="dxa"/>
            <w:vMerge w:val="restart"/>
            <w:tcBorders>
              <w:top w:val="nil"/>
              <w:left w:val="single" w:color="auto" w:sz="8" w:space="0"/>
              <w:bottom w:val="single" w:color="000000"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及时性</w:t>
            </w:r>
          </w:p>
        </w:tc>
        <w:tc>
          <w:tcPr>
            <w:tcW w:w="2320" w:type="dxa"/>
            <w:vMerge w:val="restart"/>
            <w:tcBorders>
              <w:top w:val="nil"/>
              <w:left w:val="single" w:color="auto" w:sz="4" w:space="0"/>
              <w:bottom w:val="single" w:color="000000" w:sz="8"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信用数据的及时录入 和更新</w:t>
            </w:r>
          </w:p>
        </w:tc>
        <w:tc>
          <w:tcPr>
            <w:tcW w:w="5880"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数据的录入时间，修改时间应当在规定的时间 之前</w:t>
            </w:r>
          </w:p>
        </w:tc>
      </w:tr>
      <w:tr>
        <w:tblPrEx>
          <w:tblCellMar>
            <w:top w:w="0" w:type="dxa"/>
            <w:left w:w="108" w:type="dxa"/>
            <w:bottom w:w="0" w:type="dxa"/>
            <w:right w:w="108" w:type="dxa"/>
          </w:tblCellMar>
        </w:tblPrEx>
        <w:trPr>
          <w:trHeight w:val="285" w:hRule="atLeast"/>
          <w:jc w:val="center"/>
        </w:trPr>
        <w:tc>
          <w:tcPr>
            <w:tcW w:w="1500" w:type="dxa"/>
            <w:vMerge w:val="continue"/>
            <w:tcBorders>
              <w:top w:val="nil"/>
              <w:left w:val="single" w:color="auto" w:sz="8" w:space="0"/>
              <w:bottom w:val="single" w:color="000000" w:sz="8"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320" w:type="dxa"/>
            <w:vMerge w:val="continue"/>
            <w:tcBorders>
              <w:top w:val="nil"/>
              <w:left w:val="single" w:color="auto" w:sz="4" w:space="0"/>
              <w:bottom w:val="single" w:color="000000" w:sz="8" w:space="0"/>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5880" w:type="dxa"/>
            <w:tcBorders>
              <w:top w:val="nil"/>
              <w:left w:val="nil"/>
              <w:bottom w:val="single" w:color="auto"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实际状态变化的数据得到及时的更新</w:t>
            </w:r>
          </w:p>
        </w:tc>
      </w:tr>
    </w:tbl>
    <w:p>
      <w:pPr>
        <w:pStyle w:val="2"/>
        <w:pageBreakBefore w:val="0"/>
        <w:numPr>
          <w:ilvl w:val="0"/>
          <w:numId w:val="0"/>
        </w:numPr>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数据清洗</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对新增数据源数据的抽取，并按照规则过滤不符合要求的数据，如不完整的数据、错误的数据和重复的数据、系统的各个环节可能出现的数据二义性、重复、不完整、违反业务规则等问题，将有问题的数据剔除出来，保证数据的质量。数据清洗包括清洗模型和规则设计，模型和规则包括：一致性检查、无效值 和缺失值的处理。</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 一致性检查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根据每个变量的合理取值范围和相互关系，检查数据是否合乎要求，发现超 出正常范围、逻辑上不合理或者相互矛盾的数据。例如，SPSS、SAS和Excel等 计算机软件都能够根据定义的取值范围，自动识别每个超出范围的变量值。具有 逻辑上不一致性的答案可能以多种形式出现：例如，本地人口，户籍是外地。发 现不一致时，要列出问卷序号、记录序号、变量名称、错误类别等，便于进一步 核对和纠正。</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•无效值和缺失值的处理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对全市实有信用信息交换数据进行无效值和缺失值进行清洗处理，保证数据的完整性和准确性。常用的处理方法有：估算，整例删除，变量删除和成对删除。</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•估算</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最简单的办法就是用某个变量的样本均值、中位数或众数代替无效值和缺失 值。这种办法简单，但没有充分考虑数据中已有的信息，误差可能较大。另一种 办法就是根据调查对象对其他问题的答案，通过变量之间的相关分析或逻辑推论 进行估计。</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•整例删除</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剔除含有缺失值的样本。由于很多问卷都可能存在缺失值，这种做法的结果 可能导致有效样本量大大减少，无法充分利用已经收集到的数据。因此，只适合 关键变量缺失，或者含有无效值或缺失值的样本比重很小的情况。</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•变量删除</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如果某一变量的无效值和缺失值很多，而且该变量对于所研究的问题不是特 别重要，则可以考虑将该变量删除。这种做法减少了供分析用的变量数目，但没 有改变样本量。</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•成对删除</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用一个特殊码代表无效值和缺失值，同时保留数据集中的全部变量和样本。 在具体计算时只釆用有完整答案的样本，因而不同的分析因涉及的变量不同，其 有效样本量也会有所不同，从而最大限度地保留了数据集中的可用信息。</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釆用不同的处理方法可能对分析结果产生影响，尤其是当缺失值的出现并非 随机且变量之间明显相关时。因此，在调查中应当尽量避免出现无效值和缺失值， 保证数据的完整性。</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bookmarkStart w:id="40" w:name="bookmark567"/>
      <w:bookmarkEnd w:id="40"/>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数据比对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数据比对目的是从已有数据中挖掘可用信息，将本来不够准确，无法确定的 信息通过一定的方式匹配起来，做到信息的完善与准确。包括数据汇集、数据比 对和比对结果处理三个过程。因此，数据比对也相应地分为三个过程处理功能： 比对数据汇集、数据比对和比对结果处理。这三个功能将分别负责数据比对的三 个阶段。数据比对系统将针对采集的数据进行比对处理，主要包括批量数据比对 以及日常数据比对两种模式。</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比对数据汇集，主要负责把釆集到的数据进行预处理。在数据预处理时检查 比对数据的必要约束，这些约束将构成数据比对策略与流程的前提条件，不具有 比对数据必要条件的数据不能进行比对。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数据比对在一定的比对策略下进行批量比对，并对比对结果进行输出，并提 供对比对结果进行统计分析等功能。</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比对结果处理，根据实际情况提交到各个相关的共建部门，各共建部门在接 收到需要处理的数据后通过法定的程序对不匹配的数据进行修改，需要按照制度 标准规范，进行确认修改。修改后的数据通过比对数据汇集又自动同步到数据中 心的信息资源库中，最终解决所有不匹配或不完整的数据。</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对不匹配和不完整的数据，特别是核心的业务基础数据，将由各个相关共建 业务部门通过指定的法定程序办理，综合数据交换管理将无权自行修改或调整业 务部门提供的业务数据。对于已匹配的数据也可以返回给各业务部门使用。</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bookmarkStart w:id="41" w:name="bookmark568"/>
      <w:bookmarkEnd w:id="41"/>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清洗规则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数据清洗预知与信用业务相关的多种清洗规则，通过可视化的方式实现规则 配置，同时支持自定义脚本，提供清洗规则扩展性。</w:t>
      </w:r>
    </w:p>
    <w:p>
      <w:pPr>
        <w:pStyle w:val="2"/>
        <w:pageBreakBefore w:val="0"/>
        <w:tabs>
          <w:tab w:val="right" w:leader="dot" w:pos="8301"/>
        </w:tabs>
        <w:kinsoku/>
        <w:wordWrap/>
        <w:overflowPunct/>
        <w:topLinePunct w:val="0"/>
        <w:bidi w:val="0"/>
        <w:adjustRightInd/>
        <w:snapToGrid/>
        <w:spacing w:line="460" w:lineRule="exact"/>
        <w:ind w:firstLine="442" w:firstLineChars="200"/>
        <w:jc w:val="center"/>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数据清洗规则描述</w:t>
      </w:r>
    </w:p>
    <w:tbl>
      <w:tblPr>
        <w:tblStyle w:val="52"/>
        <w:tblW w:w="9789" w:type="dxa"/>
        <w:tblInd w:w="0" w:type="dxa"/>
        <w:tblLayout w:type="autofit"/>
        <w:tblCellMar>
          <w:top w:w="0" w:type="dxa"/>
          <w:left w:w="108" w:type="dxa"/>
          <w:bottom w:w="0" w:type="dxa"/>
          <w:right w:w="108" w:type="dxa"/>
        </w:tblCellMar>
      </w:tblPr>
      <w:tblGrid>
        <w:gridCol w:w="914"/>
        <w:gridCol w:w="2667"/>
        <w:gridCol w:w="6208"/>
      </w:tblGrid>
      <w:tr>
        <w:tblPrEx>
          <w:tblCellMar>
            <w:top w:w="0" w:type="dxa"/>
            <w:left w:w="108" w:type="dxa"/>
            <w:bottom w:w="0" w:type="dxa"/>
            <w:right w:w="108" w:type="dxa"/>
          </w:tblCellMar>
        </w:tblPrEx>
        <w:trPr>
          <w:trHeight w:val="567" w:hRule="atLeast"/>
          <w:tblHeader/>
        </w:trPr>
        <w:tc>
          <w:tcPr>
            <w:tcW w:w="914" w:type="dxa"/>
            <w:tcBorders>
              <w:top w:val="single" w:color="auto" w:sz="8" w:space="0"/>
              <w:left w:val="single" w:color="auto" w:sz="8" w:space="0"/>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序号</w:t>
            </w:r>
          </w:p>
        </w:tc>
        <w:tc>
          <w:tcPr>
            <w:tcW w:w="2667" w:type="dxa"/>
            <w:tcBorders>
              <w:top w:val="single" w:color="auto" w:sz="8" w:space="0"/>
              <w:left w:val="nil"/>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清洗规则</w:t>
            </w:r>
          </w:p>
        </w:tc>
        <w:tc>
          <w:tcPr>
            <w:tcW w:w="6208" w:type="dxa"/>
            <w:tcBorders>
              <w:top w:val="single" w:color="auto" w:sz="8" w:space="0"/>
              <w:left w:val="nil"/>
              <w:bottom w:val="single" w:color="auto"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功能措述</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去除空白字符</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去除数据中的空白字符，包括左边的、右边的、 或者全部空白等。</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去除特定字符</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去除数据中的除空白之外的字符，如字母、数 字、中文或其他字符等。</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大小写转换</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字母的大小写转换</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字符串截取</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按照指定的起始和结束位置截取字符串，可以一 次截取多个字符串。</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转换为字符串</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其他类型转换为字符串</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6</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全角半角转换</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对数据进行全角和半角间的转换</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7</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转为Unix时间戳</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将数据转为Unix时间戳</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8</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拆分歹</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—个列拆分为多个列，可以指定分隔符</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9</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多列合并</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多个字段合并为一个字段，可以指定分隔符</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10</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多表合并</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多个表进行union, union all</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11</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数据分组合并</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将数据按照主键进行分组合并</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12</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多表联合</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多表关联，支持inner&gt; right、left等。</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13</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空值填充</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以用户自定义值、或者等于某字段值</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14</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新增列</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新增一个虚拟列用于输出到目的表某字段，该虚 拟列可以是用户指定固定值，也可以与该行其他 某列值相同</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15</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日期拆分</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拆分成年、月、日等</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日期标准化</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将日期数据转换为指定的标准日期格式</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17</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数据脱敏</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支持将输入数据的全部、部分或者正则匹配的数 据替换为指定的数据，替换后的数据支持常量（支持正则替换）、随机值或者哈希值等</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18</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字典标准化</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将业务原始字典名称、代码转换成标准字典名 称、或者标准字典代码</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19</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长度过滤</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通过长度过滤数据</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20</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正则过滤</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通过正则表达式过滤数据</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21</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标准值域过滤</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通过数据对应的标准数据元的值域过滤数据</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22</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空值过滤</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通过是否为空值过滤数据</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23</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相等过滤</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通过比较两列是否相等或是否存在于给定数据中 过滤数据</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24</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比较过滤</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比较过滤不满足指定值或指定条件的数据</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25</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javascript</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支持自定义javascript脚本</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26</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条件路由</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根据条件判断语句执行不同转换流程</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27</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电话号码清洗</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从数据中提取电话号码信息</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28</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身份证信息提取</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从身份证中提取籍贯（省、市、县等的行政区划 代码）、出生年月曰和性别等信息</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29</w:t>
            </w:r>
          </w:p>
        </w:tc>
        <w:tc>
          <w:tcPr>
            <w:tcW w:w="266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身份证校验转换</w:t>
            </w:r>
          </w:p>
        </w:tc>
        <w:tc>
          <w:tcPr>
            <w:tcW w:w="6208"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完成15位和18位身份证的合法性校验，并将 15位身份证转为18位身份证。如果身份证的结 尾是字母X,会转为大写</w:t>
            </w:r>
          </w:p>
        </w:tc>
      </w:tr>
      <w:tr>
        <w:tblPrEx>
          <w:tblCellMar>
            <w:top w:w="0" w:type="dxa"/>
            <w:left w:w="108" w:type="dxa"/>
            <w:bottom w:w="0" w:type="dxa"/>
            <w:right w:w="108" w:type="dxa"/>
          </w:tblCellMar>
        </w:tblPrEx>
        <w:trPr>
          <w:trHeight w:val="567" w:hRule="atLeast"/>
        </w:trPr>
        <w:tc>
          <w:tcPr>
            <w:tcW w:w="914" w:type="dxa"/>
            <w:tcBorders>
              <w:top w:val="nil"/>
              <w:left w:val="single" w:color="auto" w:sz="8" w:space="0"/>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30</w:t>
            </w:r>
          </w:p>
        </w:tc>
        <w:tc>
          <w:tcPr>
            <w:tcW w:w="2667" w:type="dxa"/>
            <w:tcBorders>
              <w:top w:val="nil"/>
              <w:left w:val="nil"/>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字段值域模板化清 洗</w:t>
            </w:r>
          </w:p>
        </w:tc>
        <w:tc>
          <w:tcPr>
            <w:tcW w:w="6208" w:type="dxa"/>
            <w:tcBorders>
              <w:top w:val="nil"/>
              <w:left w:val="nil"/>
              <w:bottom w:val="single" w:color="auto"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根据字段关联数据元值域的配置生成表的清洗作 业</w:t>
            </w:r>
          </w:p>
        </w:tc>
      </w:tr>
    </w:tbl>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1.3</w:t>
      </w:r>
      <w:r>
        <w:rPr>
          <w:rFonts w:hint="eastAsia" w:ascii="新宋体" w:hAnsi="新宋体" w:eastAsia="新宋体" w:cs="新宋体"/>
          <w:b/>
          <w:bCs/>
          <w:sz w:val="22"/>
          <w:szCs w:val="22"/>
          <w:highlight w:val="none"/>
        </w:rPr>
        <w:t>数据转换</w:t>
      </w:r>
    </w:p>
    <w:p>
      <w:pPr>
        <w:pageBreakBefore w:val="0"/>
        <w:tabs>
          <w:tab w:val="left" w:pos="0"/>
          <w:tab w:val="left" w:pos="600"/>
        </w:tabs>
        <w:kinsoku/>
        <w:wordWrap/>
        <w:overflowPunct/>
        <w:topLinePunct w:val="0"/>
        <w:bidi w:val="0"/>
        <w:adjustRightInd/>
        <w:snapToGrid/>
        <w:spacing w:line="460" w:lineRule="exact"/>
        <w:ind w:firstLine="440" w:firstLineChars="200"/>
        <w:textAlignment w:val="auto"/>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针对数据归集过程可能存在的数据一致性等问题，提供消除同名异义和异名同义现象、数字型数据处理、字符串处理、编码转换及空值处理等数据转换服务：</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1</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消除同名异义和异名同义现象：例如：在业务系统中，性别有的用男/女 来表示，有的用1/2来表示，意义是一样的，但入库前必须调整成为一致。</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2</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 xml:space="preserve">编码转换：不同的系统中可能由于编码方式不一致，造成两边信息无法对应，对于此类数据交互，需要额外提供相应的编码对照表,系统通过查询编码对照表来进行信用数据的编码转换。 </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3</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数字型数据处理：不同的业务对于数值的管理要求不同，通常需要对数字类型的字段进行处理。</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4</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ab/>
      </w:r>
      <w:r>
        <w:rPr>
          <w:rFonts w:hint="eastAsia" w:ascii="新宋体" w:hAnsi="新宋体" w:eastAsia="新宋体" w:cs="新宋体"/>
          <w:b w:val="0"/>
          <w:bCs/>
          <w:kern w:val="0"/>
          <w:sz w:val="22"/>
          <w:szCs w:val="22"/>
          <w:highlight w:val="none"/>
        </w:rPr>
        <w:t>字符串处理：从数据源某个字符串字段中经常可以获取特定信息，对字符串的操作通常有类型转换、字符串截取等。</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5</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ab/>
      </w:r>
      <w:r>
        <w:rPr>
          <w:rFonts w:hint="eastAsia" w:ascii="新宋体" w:hAnsi="新宋体" w:eastAsia="新宋体" w:cs="新宋体"/>
          <w:b w:val="0"/>
          <w:bCs/>
          <w:kern w:val="0"/>
          <w:sz w:val="22"/>
          <w:szCs w:val="22"/>
          <w:highlight w:val="none"/>
        </w:rPr>
        <w:t>空值处理：对于空值的处理是一个通用问题，对于特定字段的空值是将该记录作为脏数据还是设置成某个具体的值，要视具体情况而定，数据转换支持将空值设置成某个定值。</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1.4</w:t>
      </w:r>
      <w:r>
        <w:rPr>
          <w:rFonts w:hint="eastAsia" w:ascii="新宋体" w:hAnsi="新宋体" w:eastAsia="新宋体" w:cs="新宋体"/>
          <w:b/>
          <w:bCs/>
          <w:sz w:val="22"/>
          <w:szCs w:val="22"/>
          <w:highlight w:val="none"/>
        </w:rPr>
        <w:t>数据整合</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数据整合在本项目中主要指通过统一的标准和规范，根据数据资源规划的要 求，建设并整合成数据库，形成统一数据库。同时横向打通市级基础库或业务库，向上打通省级基础库或业务库，预留各部门数据端口以及面向特定机构的数据端口。</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数据整合通常包括物理整合（将不同来源的数据揉进一张表）和化学整合（对 数据内容进行转码、衍生计算等）。</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以下是一些特别需要注意的事项：</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1</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合并不同来源的数据，目标表必须有办法能区分这些数据的来源（分区或者 打标签）。</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2</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转码尽量做到可逆转。最低的要求是可追溯回原始的信息（哪怕追溯成本高 一些也没关系）。例如，源系统有10种交易类型，你将它重新编码合并成6种， 那么这种转码就是不可逆转的，因为你做了合并。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3</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必须统一编码。例如性别，源系统可能存放的是“男” / “女”或者“M” / “F"或者“0" / "1”,进了数仓之后必须只能有一种表达方式。这些编码可以 做成统一的一张1 ookup表（用type来区分不同的编码），也可以每一种编码做 成独立的代码表。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4</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数据更新原则：同一张表不能被多个任务（job）更新，否则就很难确定一 张表什么时候被更新，下游依赖就会有问题。另外，同一个任务尽量不要更新多 张目标表，我们还是秉持“一个任务一张表”的好习惯。</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5</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性能上的考虑。“数据整合"会消耗大量的计算资源，有些场景性能会成为 一个很大的制约因素，不得不牺牲架构灵活性或使用便捷性。遇到这样的场景， 首先要想到“拆"，拆表，拆字段，拆分区</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1.5</w:t>
      </w:r>
      <w:r>
        <w:rPr>
          <w:rFonts w:hint="eastAsia" w:ascii="新宋体" w:hAnsi="新宋体" w:eastAsia="新宋体" w:cs="新宋体"/>
          <w:b/>
          <w:bCs/>
          <w:sz w:val="22"/>
          <w:szCs w:val="22"/>
          <w:highlight w:val="none"/>
        </w:rPr>
        <w:t>数据入库</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在完成金融综合服务平台数据库相应的库表搭建之后，编写相应的脚本把源数据库 数据加载到金融综合服务平台数据库相对应的表结构中。</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数据入库处理对于原始数据的批量入库外，还要对于新产生数据的增量入库, 对于入库成功以及入库失败的数据要有各自流程进行处理。并且要保留所有数据 入库过程的相应日志痕迹。</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1.6</w:t>
      </w:r>
      <w:r>
        <w:rPr>
          <w:rFonts w:hint="eastAsia" w:ascii="新宋体" w:hAnsi="新宋体" w:eastAsia="新宋体" w:cs="新宋体"/>
          <w:b/>
          <w:bCs/>
          <w:sz w:val="22"/>
          <w:szCs w:val="22"/>
          <w:highlight w:val="none"/>
        </w:rPr>
        <w:t>数据质量控制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数据清洗比对完成后，需要对结果进行质量验证，包括数据质量管理、数据 质量监控、数据质量评估、数据质量报告和数据质量改进。</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bookmarkStart w:id="42" w:name="bookmark586"/>
      <w:bookmarkEnd w:id="42"/>
      <w:r>
        <w:rPr>
          <w:rFonts w:hint="eastAsia" w:ascii="新宋体" w:hAnsi="新宋体" w:eastAsia="新宋体" w:cs="新宋体"/>
          <w:kern w:val="0"/>
          <w:sz w:val="22"/>
          <w:szCs w:val="22"/>
          <w:highlight w:val="none"/>
          <w:lang w:val="en-US" w:eastAsia="zh-CN"/>
        </w:rPr>
        <w:t>1.6.1</w:t>
      </w:r>
      <w:r>
        <w:rPr>
          <w:rFonts w:hint="eastAsia" w:ascii="新宋体" w:hAnsi="新宋体" w:eastAsia="新宋体" w:cs="新宋体"/>
          <w:kern w:val="0"/>
          <w:sz w:val="22"/>
          <w:szCs w:val="22"/>
          <w:highlight w:val="none"/>
        </w:rPr>
        <w:t>质量规则管理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按照数据质量管理流程进行数据管理，通过圈定质量稽查对象，在稽查对象 上设定质量规则，对已有数据进行监控分析，发现质量问题，并进行质量改进。</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bookmarkStart w:id="43" w:name="bookmark587"/>
      <w:bookmarkEnd w:id="43"/>
      <w:r>
        <w:rPr>
          <w:rFonts w:hint="eastAsia" w:ascii="新宋体" w:hAnsi="新宋体" w:eastAsia="新宋体" w:cs="新宋体"/>
          <w:kern w:val="0"/>
          <w:sz w:val="22"/>
          <w:szCs w:val="22"/>
          <w:highlight w:val="none"/>
          <w:lang w:val="en-US" w:eastAsia="zh-CN"/>
        </w:rPr>
        <w:t>1.6.2</w:t>
      </w:r>
      <w:r>
        <w:rPr>
          <w:rFonts w:hint="eastAsia" w:ascii="新宋体" w:hAnsi="新宋体" w:eastAsia="新宋体" w:cs="新宋体"/>
          <w:kern w:val="0"/>
          <w:sz w:val="22"/>
          <w:szCs w:val="22"/>
          <w:highlight w:val="none"/>
        </w:rPr>
        <w:t>质量稽查对象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数据质量的数据源展示了用户对数据质量管理的控制，也能显示每个项目空 间中配置了质量规则的数据表，通过作业数的数字链接可以跳转到质量作业页面。 同时还展示了汇总信息如数据源总数、配置作业的源/表数目、每个表配置的作 业数。如果配置了表波动分析，还能显示对应表的大小、行数的历史走向。</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数据质量规则是以被稽查对象为中心，展开的一系列质量管理活动的判断准 则。质量管理规则包括调度规则、稽查规则、告警规则和清洗规则等。</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bookmarkStart w:id="44" w:name="bookmark588"/>
      <w:r>
        <w:rPr>
          <w:rFonts w:hint="eastAsia" w:ascii="新宋体" w:hAnsi="新宋体" w:eastAsia="新宋体" w:cs="新宋体"/>
          <w:kern w:val="0"/>
          <w:sz w:val="22"/>
          <w:szCs w:val="22"/>
          <w:highlight w:val="none"/>
        </w:rPr>
        <w:t>（</w:t>
      </w:r>
      <w:bookmarkEnd w:id="44"/>
      <w:r>
        <w:rPr>
          <w:rFonts w:hint="eastAsia" w:ascii="新宋体" w:hAnsi="新宋体" w:eastAsia="新宋体" w:cs="新宋体"/>
          <w:kern w:val="0"/>
          <w:sz w:val="22"/>
          <w:szCs w:val="22"/>
          <w:highlight w:val="none"/>
        </w:rPr>
        <w:t>1）调度规则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数据质量调度功能是独立的常驻进程，通过配置执行质量规则的启停参数、 质量规则执行的时间和执行周期等。任务触发方式包括手动触发、定时触发、循 环触发和间隔触发等方式。</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手动触发：人工启停规则；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定时触发：即根据设定的时间：年、月、日、小时、分等进行规则调度；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循环触发：即指定时间段进行规则的循环调度；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间隔触发：即指定两个规则调度的间隔时间；</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bookmarkStart w:id="45" w:name="bookmark589"/>
      <w:r>
        <w:rPr>
          <w:rFonts w:hint="eastAsia" w:ascii="新宋体" w:hAnsi="新宋体" w:eastAsia="新宋体" w:cs="新宋体"/>
          <w:kern w:val="0"/>
          <w:sz w:val="22"/>
          <w:szCs w:val="22"/>
          <w:highlight w:val="none"/>
        </w:rPr>
        <w:t>（</w:t>
      </w:r>
      <w:bookmarkEnd w:id="45"/>
      <w:r>
        <w:rPr>
          <w:rFonts w:hint="eastAsia" w:ascii="新宋体" w:hAnsi="新宋体" w:eastAsia="新宋体" w:cs="新宋体"/>
          <w:kern w:val="0"/>
          <w:sz w:val="22"/>
          <w:szCs w:val="22"/>
          <w:highlight w:val="none"/>
        </w:rPr>
        <w:t>2）稽查规则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稽查规则是对监控对象数据进行质量校验的规则，根据监控的数据质量属性 的不同可以对规则进行划分。规则类型描述包括：</w:t>
      </w:r>
    </w:p>
    <w:p>
      <w:pPr>
        <w:pStyle w:val="201"/>
        <w:pageBreakBefore w:val="0"/>
        <w:numPr>
          <w:ilvl w:val="0"/>
          <w:numId w:val="7"/>
        </w:numPr>
        <w:kinsoku/>
        <w:wordWrap/>
        <w:overflowPunct/>
        <w:topLinePunct w:val="0"/>
        <w:bidi w:val="0"/>
        <w:adjustRightInd/>
        <w:snapToGrid/>
        <w:spacing w:line="460" w:lineRule="exact"/>
        <w:ind w:firstLine="6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完整性</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检查数据是否完整的记录了其所表示的真实实体或事件信息；</w:t>
      </w:r>
    </w:p>
    <w:p>
      <w:pPr>
        <w:pStyle w:val="201"/>
        <w:pageBreakBefore w:val="0"/>
        <w:numPr>
          <w:ilvl w:val="0"/>
          <w:numId w:val="7"/>
        </w:numPr>
        <w:kinsoku/>
        <w:wordWrap/>
        <w:overflowPunct/>
        <w:topLinePunct w:val="0"/>
        <w:bidi w:val="0"/>
        <w:adjustRightInd/>
        <w:snapToGrid/>
        <w:spacing w:line="460" w:lineRule="exact"/>
        <w:ind w:firstLine="6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准确性</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检查数据与真实对象的一致程度；</w:t>
      </w:r>
    </w:p>
    <w:p>
      <w:pPr>
        <w:pStyle w:val="201"/>
        <w:pageBreakBefore w:val="0"/>
        <w:numPr>
          <w:ilvl w:val="0"/>
          <w:numId w:val="7"/>
        </w:numPr>
        <w:kinsoku/>
        <w:wordWrap/>
        <w:overflowPunct/>
        <w:topLinePunct w:val="0"/>
        <w:bidi w:val="0"/>
        <w:adjustRightInd/>
        <w:snapToGrid/>
        <w:spacing w:line="460" w:lineRule="exact"/>
        <w:ind w:firstLine="6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有效性</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检查数据符合其值域或业务规则定义的程度；</w:t>
      </w:r>
    </w:p>
    <w:p>
      <w:pPr>
        <w:pStyle w:val="201"/>
        <w:pageBreakBefore w:val="0"/>
        <w:numPr>
          <w:ilvl w:val="0"/>
          <w:numId w:val="7"/>
        </w:numPr>
        <w:kinsoku/>
        <w:wordWrap/>
        <w:overflowPunct/>
        <w:topLinePunct w:val="0"/>
        <w:bidi w:val="0"/>
        <w:adjustRightInd/>
        <w:snapToGrid/>
        <w:spacing w:line="460" w:lineRule="exact"/>
        <w:ind w:firstLine="6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重复性</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检查数据记录与其所表示的真实实体或事件是否一一对应；</w:t>
      </w:r>
    </w:p>
    <w:p>
      <w:pPr>
        <w:pStyle w:val="201"/>
        <w:pageBreakBefore w:val="0"/>
        <w:numPr>
          <w:ilvl w:val="0"/>
          <w:numId w:val="7"/>
        </w:numPr>
        <w:kinsoku/>
        <w:wordWrap/>
        <w:overflowPunct/>
        <w:topLinePunct w:val="0"/>
        <w:bidi w:val="0"/>
        <w:adjustRightInd/>
        <w:snapToGrid/>
        <w:spacing w:line="460" w:lineRule="exact"/>
        <w:ind w:firstLine="6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及时性</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检查数据是否满足所需的更新频率；</w:t>
      </w:r>
    </w:p>
    <w:p>
      <w:pPr>
        <w:pStyle w:val="201"/>
        <w:pageBreakBefore w:val="0"/>
        <w:numPr>
          <w:ilvl w:val="0"/>
          <w:numId w:val="7"/>
        </w:numPr>
        <w:kinsoku/>
        <w:wordWrap/>
        <w:overflowPunct/>
        <w:topLinePunct w:val="0"/>
        <w:bidi w:val="0"/>
        <w:adjustRightInd/>
        <w:snapToGrid/>
        <w:spacing w:line="460" w:lineRule="exact"/>
        <w:ind w:firstLine="6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分布性</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检查数据在值域上的分布状况；</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稽查规则算法是对具体监控对象进行质量校验的计算方法。每一个规则算法归属于一个规则类型中，规则算法示例如表所示：</w:t>
      </w:r>
    </w:p>
    <w:p>
      <w:pPr>
        <w:pStyle w:val="2"/>
        <w:pageBreakBefore w:val="0"/>
        <w:tabs>
          <w:tab w:val="right" w:leader="dot" w:pos="8301"/>
        </w:tabs>
        <w:kinsoku/>
        <w:wordWrap/>
        <w:overflowPunct/>
        <w:topLinePunct w:val="0"/>
        <w:bidi w:val="0"/>
        <w:adjustRightInd/>
        <w:snapToGrid/>
        <w:spacing w:after="0" w:line="460" w:lineRule="exact"/>
        <w:ind w:firstLine="442" w:firstLineChars="200"/>
        <w:jc w:val="center"/>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稽查规则算法示例表</w:t>
      </w:r>
    </w:p>
    <w:tbl>
      <w:tblPr>
        <w:tblStyle w:val="52"/>
        <w:tblW w:w="9861" w:type="dxa"/>
        <w:tblInd w:w="0" w:type="dxa"/>
        <w:tblLayout w:type="autofit"/>
        <w:tblCellMar>
          <w:top w:w="0" w:type="dxa"/>
          <w:left w:w="108" w:type="dxa"/>
          <w:bottom w:w="0" w:type="dxa"/>
          <w:right w:w="108" w:type="dxa"/>
        </w:tblCellMar>
      </w:tblPr>
      <w:tblGrid>
        <w:gridCol w:w="2060"/>
        <w:gridCol w:w="1280"/>
        <w:gridCol w:w="2420"/>
        <w:gridCol w:w="4101"/>
      </w:tblGrid>
      <w:tr>
        <w:tblPrEx>
          <w:tblCellMar>
            <w:top w:w="0" w:type="dxa"/>
            <w:left w:w="108" w:type="dxa"/>
            <w:bottom w:w="0" w:type="dxa"/>
            <w:right w:w="108" w:type="dxa"/>
          </w:tblCellMar>
        </w:tblPrEx>
        <w:trPr>
          <w:trHeight w:val="567" w:hRule="atLeast"/>
          <w:tblHeader/>
        </w:trPr>
        <w:tc>
          <w:tcPr>
            <w:tcW w:w="2060" w:type="dxa"/>
            <w:tcBorders>
              <w:top w:val="single" w:color="auto" w:sz="8" w:space="0"/>
              <w:left w:val="single" w:color="auto" w:sz="8" w:space="0"/>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规则算法名称</w:t>
            </w:r>
          </w:p>
        </w:tc>
        <w:tc>
          <w:tcPr>
            <w:tcW w:w="1280"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规则类型</w:t>
            </w:r>
          </w:p>
        </w:tc>
        <w:tc>
          <w:tcPr>
            <w:tcW w:w="2420"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算法描述</w:t>
            </w:r>
          </w:p>
        </w:tc>
        <w:tc>
          <w:tcPr>
            <w:tcW w:w="4101" w:type="dxa"/>
            <w:tcBorders>
              <w:top w:val="single" w:color="auto" w:sz="8" w:space="0"/>
              <w:left w:val="nil"/>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算法说明</w:t>
            </w:r>
          </w:p>
        </w:tc>
      </w:tr>
      <w:tr>
        <w:tblPrEx>
          <w:tblCellMar>
            <w:top w:w="0" w:type="dxa"/>
            <w:left w:w="108" w:type="dxa"/>
            <w:bottom w:w="0" w:type="dxa"/>
            <w:right w:w="108" w:type="dxa"/>
          </w:tblCellMar>
        </w:tblPrEx>
        <w:trPr>
          <w:trHeight w:val="567" w:hRule="atLeast"/>
        </w:trPr>
        <w:tc>
          <w:tcPr>
            <w:tcW w:w="2060"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及时性检查</w:t>
            </w:r>
          </w:p>
        </w:tc>
        <w:tc>
          <w:tcPr>
            <w:tcW w:w="1280" w:type="dxa"/>
            <w:tcBorders>
              <w:top w:val="single" w:color="auto" w:sz="8"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及时性</w:t>
            </w:r>
          </w:p>
        </w:tc>
        <w:tc>
          <w:tcPr>
            <w:tcW w:w="2420" w:type="dxa"/>
            <w:tcBorders>
              <w:top w:val="single" w:color="auto" w:sz="8"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例：（当前时间-基准时间）</w:t>
            </w:r>
          </w:p>
        </w:tc>
        <w:tc>
          <w:tcPr>
            <w:tcW w:w="4101" w:type="dxa"/>
            <w:tcBorders>
              <w:top w:val="single" w:color="auto" w:sz="8" w:space="0"/>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数据到达时间检查</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同比波动检查</w:t>
            </w:r>
          </w:p>
        </w:tc>
        <w:tc>
          <w:tcPr>
            <w:tcW w:w="12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准确性</w:t>
            </w:r>
          </w:p>
        </w:tc>
        <w:tc>
          <w:tcPr>
            <w:tcW w:w="242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例：丨（当日指标数值/上 月同日指标数值-1） X 100%</w:t>
            </w:r>
          </w:p>
        </w:tc>
        <w:tc>
          <w:tcPr>
            <w:tcW w:w="4101"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不同大周期、相同小周期的波动率检查</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环比波动检查</w:t>
            </w:r>
          </w:p>
        </w:tc>
        <w:tc>
          <w:tcPr>
            <w:tcW w:w="12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准确性</w:t>
            </w:r>
          </w:p>
        </w:tc>
        <w:tc>
          <w:tcPr>
            <w:tcW w:w="242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例：丨（当日指标数值/上 日指标数值-1） x 100% |</w:t>
            </w:r>
          </w:p>
        </w:tc>
        <w:tc>
          <w:tcPr>
            <w:tcW w:w="4101"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当前周期与上一周期的波动率检查</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数值检查</w:t>
            </w:r>
          </w:p>
        </w:tc>
        <w:tc>
          <w:tcPr>
            <w:tcW w:w="12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准确性</w:t>
            </w:r>
          </w:p>
        </w:tc>
        <w:tc>
          <w:tcPr>
            <w:tcW w:w="242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例：下限阈值〈指标值〈上 限阈值</w:t>
            </w:r>
          </w:p>
        </w:tc>
        <w:tc>
          <w:tcPr>
            <w:tcW w:w="4101"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指标数值与阈值上下限的比较</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值域检查</w:t>
            </w:r>
          </w:p>
        </w:tc>
        <w:tc>
          <w:tcPr>
            <w:tcW w:w="12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有效性</w:t>
            </w:r>
          </w:p>
        </w:tc>
        <w:tc>
          <w:tcPr>
            <w:tcW w:w="242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例：身份证ID、组织机构代码检测算法</w:t>
            </w:r>
          </w:p>
        </w:tc>
        <w:tc>
          <w:tcPr>
            <w:tcW w:w="4101"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检查特定字段的取值是否在预定的取值范围之内，可以结合数据标准 定义来自动生成</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业务主键唯一性检查</w:t>
            </w:r>
          </w:p>
        </w:tc>
        <w:tc>
          <w:tcPr>
            <w:tcW w:w="12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有效性</w:t>
            </w:r>
          </w:p>
        </w:tc>
        <w:tc>
          <w:tcPr>
            <w:tcW w:w="242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例：业务键是否唯一检查</w:t>
            </w:r>
          </w:p>
        </w:tc>
        <w:tc>
          <w:tcPr>
            <w:tcW w:w="4101"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对具有业务唯一意义的字段进行唯一性检查</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关键属性空值检查</w:t>
            </w:r>
          </w:p>
        </w:tc>
        <w:tc>
          <w:tcPr>
            <w:tcW w:w="12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完整性</w:t>
            </w:r>
          </w:p>
        </w:tc>
        <w:tc>
          <w:tcPr>
            <w:tcW w:w="242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例：关键值是否存在空值检查</w:t>
            </w:r>
          </w:p>
        </w:tc>
        <w:tc>
          <w:tcPr>
            <w:tcW w:w="4101"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实体关键属性需要填充信息，不可为空</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外键引用检查</w:t>
            </w:r>
          </w:p>
        </w:tc>
        <w:tc>
          <w:tcPr>
            <w:tcW w:w="12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完整性</w:t>
            </w:r>
          </w:p>
        </w:tc>
        <w:tc>
          <w:tcPr>
            <w:tcW w:w="242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例：外键关联是否匹配检查</w:t>
            </w:r>
          </w:p>
        </w:tc>
        <w:tc>
          <w:tcPr>
            <w:tcW w:w="4101"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检查是否满足引用完整性的规则</w:t>
            </w:r>
          </w:p>
        </w:tc>
      </w:tr>
      <w:tr>
        <w:tblPrEx>
          <w:tblCellMar>
            <w:top w:w="0" w:type="dxa"/>
            <w:left w:w="108" w:type="dxa"/>
            <w:bottom w:w="0" w:type="dxa"/>
            <w:right w:w="108" w:type="dxa"/>
          </w:tblCellMar>
        </w:tblPrEx>
        <w:trPr>
          <w:trHeight w:val="567" w:hRule="atLeast"/>
        </w:trPr>
        <w:tc>
          <w:tcPr>
            <w:tcW w:w="2060" w:type="dxa"/>
            <w:tcBorders>
              <w:top w:val="nil"/>
              <w:left w:val="single" w:color="auto" w:sz="8" w:space="0"/>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数值重复检查</w:t>
            </w:r>
          </w:p>
        </w:tc>
        <w:tc>
          <w:tcPr>
            <w:tcW w:w="1280" w:type="dxa"/>
            <w:tcBorders>
              <w:top w:val="nil"/>
              <w:left w:val="nil"/>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重复性</w:t>
            </w:r>
          </w:p>
        </w:tc>
        <w:tc>
          <w:tcPr>
            <w:tcW w:w="2420" w:type="dxa"/>
            <w:tcBorders>
              <w:top w:val="nil"/>
              <w:left w:val="nil"/>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例：数值是否存在违反业务定义的重复检查</w:t>
            </w:r>
          </w:p>
        </w:tc>
        <w:tc>
          <w:tcPr>
            <w:tcW w:w="4101" w:type="dxa"/>
            <w:tcBorders>
              <w:top w:val="nil"/>
              <w:left w:val="nil"/>
              <w:bottom w:val="single" w:color="auto"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检查数据记录与其所表示的真实实体或事件是否对应</w:t>
            </w:r>
          </w:p>
        </w:tc>
      </w:tr>
    </w:tbl>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(3)告警规则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稽查规则执行后，出现违反规则允许范围的异常时，会发送告警信息。包括 告警方式和告警订阅内容。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告警方式：主要包括规则名称、内容格式(内容生成模板)、最低吿警等级 和是否自动生成数据质量监控问题等，每种稽查规则对应的告警规则会有不同。</w:t>
      </w:r>
    </w:p>
    <w:p>
      <w:pPr>
        <w:pStyle w:val="2"/>
        <w:pageBreakBefore w:val="0"/>
        <w:tabs>
          <w:tab w:val="right" w:leader="dot" w:pos="8301"/>
        </w:tabs>
        <w:kinsoku/>
        <w:wordWrap/>
        <w:overflowPunct/>
        <w:topLinePunct w:val="0"/>
        <w:bidi w:val="0"/>
        <w:adjustRightInd/>
        <w:snapToGrid/>
        <w:spacing w:after="0"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(4)清洗规则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对稽查对象进行了数据稽查和分析质量告警后，可以根据需要配置清洗规则 进行数据清洗。</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bookmarkStart w:id="46" w:name="bookmark590"/>
      <w:bookmarkEnd w:id="46"/>
      <w:r>
        <w:rPr>
          <w:rFonts w:hint="eastAsia" w:ascii="新宋体" w:hAnsi="新宋体" w:eastAsia="新宋体" w:cs="新宋体"/>
          <w:kern w:val="0"/>
          <w:sz w:val="22"/>
          <w:szCs w:val="22"/>
          <w:highlight w:val="none"/>
          <w:lang w:val="en-US" w:eastAsia="zh-CN"/>
        </w:rPr>
        <w:t>1.6.3</w:t>
      </w:r>
      <w:r>
        <w:rPr>
          <w:rFonts w:hint="eastAsia" w:ascii="新宋体" w:hAnsi="新宋体" w:eastAsia="新宋体" w:cs="新宋体"/>
          <w:kern w:val="0"/>
          <w:sz w:val="22"/>
          <w:szCs w:val="22"/>
          <w:highlight w:val="none"/>
        </w:rPr>
        <w:t>数据质量监控</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数据质量监控是根据稽查规则进行数据稽查和规则校验，并依据稽核和检查 过程中发现的数据质量异常情况进行告警。数据质量监控的环节包括数据波动检 查、数据实体检查、处理过程检查、分层分级告警管理。</w:t>
      </w:r>
    </w:p>
    <w:p>
      <w:pPr>
        <w:pStyle w:val="201"/>
        <w:pageBreakBefore w:val="0"/>
        <w:kinsoku/>
        <w:wordWrap/>
        <w:overflowPunct/>
        <w:topLinePunct w:val="0"/>
        <w:bidi w:val="0"/>
        <w:adjustRightInd/>
        <w:snapToGrid/>
        <w:spacing w:line="460" w:lineRule="exact"/>
        <w:ind w:firstLine="442" w:firstLineChars="200"/>
        <w:jc w:val="both"/>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w:t>
      </w:r>
      <w:r>
        <w:rPr>
          <w:rFonts w:hint="eastAsia" w:ascii="新宋体" w:hAnsi="新宋体" w:eastAsia="新宋体" w:cs="新宋体"/>
          <w:b/>
          <w:bCs/>
          <w:sz w:val="22"/>
          <w:szCs w:val="22"/>
          <w:highlight w:val="none"/>
          <w:lang w:val="en-US" w:eastAsia="zh-CN"/>
        </w:rPr>
        <w:t>1</w:t>
      </w:r>
      <w:r>
        <w:rPr>
          <w:rFonts w:hint="eastAsia" w:ascii="新宋体" w:hAnsi="新宋体" w:eastAsia="新宋体" w:cs="新宋体"/>
          <w:b/>
          <w:bCs/>
          <w:sz w:val="22"/>
          <w:szCs w:val="22"/>
          <w:highlight w:val="none"/>
        </w:rPr>
        <w:t>）数据波动检查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对被监控对象进行相关维度的波动分析，可采用同比和环比等方式，校验数 据波动性，确认所传数据从记录数目和数据量两个维度的总量和增量是否正确。 如果在波动检查过程中，发现和配置的检查规则不一致的情况时，向告警管理模 块提交相应的告警信息。根据被监控对象的不同分为表波动检查和字段波动检查。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表波动稽核：对整个表进行波动分析，确认所传数据从记录数目和数据量两 个维度的总量和增量是否正确。字段波动稽核：对表中关键字段汇总值进行波动分析，确认所传数据是否正确。</w:t>
      </w:r>
    </w:p>
    <w:p>
      <w:pPr>
        <w:pStyle w:val="2"/>
        <w:pageBreakBefore w:val="0"/>
        <w:tabs>
          <w:tab w:val="right" w:leader="dot" w:pos="8301"/>
        </w:tabs>
        <w:kinsoku/>
        <w:wordWrap/>
        <w:overflowPunct/>
        <w:topLinePunct w:val="0"/>
        <w:bidi w:val="0"/>
        <w:adjustRightInd/>
        <w:snapToGrid/>
        <w:spacing w:line="460" w:lineRule="exact"/>
        <w:ind w:left="482"/>
        <w:textAlignment w:val="auto"/>
        <w:rPr>
          <w:rFonts w:hint="eastAsia" w:ascii="新宋体" w:hAnsi="新宋体" w:eastAsia="新宋体" w:cs="新宋体"/>
          <w:kern w:val="0"/>
          <w:sz w:val="22"/>
          <w:szCs w:val="22"/>
          <w:highlight w:val="none"/>
        </w:rPr>
      </w:pPr>
      <w:bookmarkStart w:id="47" w:name="bookmark591"/>
      <w:bookmarkEnd w:id="47"/>
      <w:r>
        <w:rPr>
          <w:rFonts w:hint="eastAsia" w:ascii="新宋体" w:hAnsi="新宋体" w:eastAsia="新宋体" w:cs="新宋体"/>
          <w:kern w:val="0"/>
          <w:sz w:val="22"/>
          <w:szCs w:val="22"/>
          <w:highlight w:val="none"/>
        </w:rPr>
        <w:t>（2）数据实体检查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实体检查是从数据仓库和数据集市等系统的模型约束、实体属性、实体关系 和实体业务特征等角度，根据预定义规则检查数据合理性并及早发现异常，从而 保证系统所提供数据的可用性与正确性。主要包括实体完整性分析、布尔值分析、 唯一性检查、标准值域检查、枚举值检查、外键完整性检查、数值分析、日期分 析、日期范围检查和数据分布分析等。对于值域检查，还可以根据关联的标准数 据元的定义自动生成稽查规则。</w:t>
      </w:r>
    </w:p>
    <w:p>
      <w:pPr>
        <w:pStyle w:val="2"/>
        <w:pageBreakBefore w:val="0"/>
        <w:tabs>
          <w:tab w:val="right" w:leader="dot" w:pos="8301"/>
        </w:tabs>
        <w:kinsoku/>
        <w:wordWrap/>
        <w:overflowPunct/>
        <w:topLinePunct w:val="0"/>
        <w:bidi w:val="0"/>
        <w:adjustRightInd/>
        <w:snapToGrid/>
        <w:spacing w:line="460" w:lineRule="exact"/>
        <w:ind w:left="482"/>
        <w:textAlignment w:val="auto"/>
        <w:rPr>
          <w:rFonts w:hint="eastAsia" w:ascii="新宋体" w:hAnsi="新宋体" w:eastAsia="新宋体" w:cs="新宋体"/>
          <w:kern w:val="0"/>
          <w:sz w:val="22"/>
          <w:szCs w:val="22"/>
          <w:highlight w:val="none"/>
        </w:rPr>
      </w:pPr>
      <w:bookmarkStart w:id="48" w:name="bookmark592"/>
      <w:bookmarkEnd w:id="48"/>
      <w:r>
        <w:rPr>
          <w:rFonts w:hint="eastAsia" w:ascii="新宋体" w:hAnsi="新宋体" w:eastAsia="新宋体" w:cs="新宋体"/>
          <w:kern w:val="0"/>
          <w:sz w:val="22"/>
          <w:szCs w:val="22"/>
          <w:highlight w:val="none"/>
        </w:rPr>
        <w:t>（3）处理过程检查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处理过程检查是指根据预先配置的规则和质量检查度量，对数据处理过程的 检查稽核。处理环节包括源数据处理过程(如抽取、传输、清洗、转换、加载等)、 仓库处理过程(如数据关联、汇总等)、数据集市处理过程及应用展现过程等， 主要是关注处理过程的及时性和准确性。</w:t>
      </w:r>
    </w:p>
    <w:p>
      <w:pPr>
        <w:pStyle w:val="2"/>
        <w:pageBreakBefore w:val="0"/>
        <w:tabs>
          <w:tab w:val="right" w:leader="dot" w:pos="8301"/>
        </w:tabs>
        <w:kinsoku/>
        <w:wordWrap/>
        <w:overflowPunct/>
        <w:topLinePunct w:val="0"/>
        <w:bidi w:val="0"/>
        <w:adjustRightInd/>
        <w:snapToGrid/>
        <w:spacing w:line="460" w:lineRule="exact"/>
        <w:ind w:left="482"/>
        <w:textAlignment w:val="auto"/>
        <w:rPr>
          <w:rFonts w:hint="eastAsia" w:ascii="新宋体" w:hAnsi="新宋体" w:eastAsia="新宋体" w:cs="新宋体"/>
          <w:kern w:val="0"/>
          <w:sz w:val="22"/>
          <w:szCs w:val="22"/>
          <w:highlight w:val="none"/>
        </w:rPr>
      </w:pPr>
      <w:bookmarkStart w:id="49" w:name="bookmark593"/>
      <w:bookmarkEnd w:id="49"/>
      <w:r>
        <w:rPr>
          <w:rFonts w:hint="eastAsia" w:ascii="新宋体" w:hAnsi="新宋体" w:eastAsia="新宋体" w:cs="新宋体"/>
          <w:kern w:val="0"/>
          <w:sz w:val="22"/>
          <w:szCs w:val="22"/>
          <w:highlight w:val="none"/>
        </w:rPr>
        <w:t>（4）分层级告警管理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依据数据处理环节、数据重要程度层次和数据问题严重程度对告警进行的分 层分级，包括对告警生成、告警显示、告警过滤、告警升级和告警恢复等告警处 理操作的管理。产生的告警信息由系统通过系统界面、电子邮件等配置方式即时 推送给数据质量管理人员，通过对告警信息的分层和分级，优化监控结果展示， 辅助数据质量管理人员对告警信息的接收及后续处理。</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•告警的分层分级</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告警可依据其发生的数据处理环节、数据重要程度层次或数据问题严重程度 级别进行分类。</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•告警形式</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告警形式根据告警分层分级情况进行设定，如：一般数据的提示或一般告警 釆用界面警示和Email方式，非常重要数据的重要告警和严重告警釆用界面警示 和 短消息方式。</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•通用告警处理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数据质量监控稽核和检查过程中产生的告警信息，需要通过系统自动或手工 方式进行后续处理。</w:t>
      </w:r>
    </w:p>
    <w:p>
      <w:pPr>
        <w:pStyle w:val="2"/>
        <w:pageBreakBefore w:val="0"/>
        <w:numPr>
          <w:ilvl w:val="0"/>
          <w:numId w:val="0"/>
        </w:numPr>
        <w:tabs>
          <w:tab w:val="right" w:leader="dot" w:pos="8301"/>
        </w:tabs>
        <w:kinsoku/>
        <w:wordWrap/>
        <w:overflowPunct/>
        <w:topLinePunct w:val="0"/>
        <w:bidi w:val="0"/>
        <w:adjustRightInd/>
        <w:snapToGrid/>
        <w:spacing w:line="460" w:lineRule="exact"/>
        <w:ind w:leftChars="200"/>
        <w:textAlignment w:val="auto"/>
        <w:rPr>
          <w:rFonts w:hint="eastAsia" w:ascii="新宋体" w:hAnsi="新宋体" w:eastAsia="新宋体" w:cs="新宋体"/>
          <w:kern w:val="0"/>
          <w:sz w:val="22"/>
          <w:szCs w:val="22"/>
          <w:highlight w:val="none"/>
        </w:rPr>
      </w:pPr>
      <w:bookmarkStart w:id="50" w:name="bookmark594"/>
      <w:bookmarkEnd w:id="50"/>
      <w:r>
        <w:rPr>
          <w:rFonts w:hint="eastAsia" w:ascii="新宋体" w:hAnsi="新宋体" w:eastAsia="新宋体" w:cs="新宋体"/>
          <w:kern w:val="0"/>
          <w:sz w:val="22"/>
          <w:szCs w:val="22"/>
          <w:highlight w:val="none"/>
          <w:lang w:val="en-US" w:eastAsia="zh-CN"/>
        </w:rPr>
        <w:t>1.6.4</w:t>
      </w:r>
      <w:r>
        <w:rPr>
          <w:rFonts w:hint="eastAsia" w:ascii="新宋体" w:hAnsi="新宋体" w:eastAsia="新宋体" w:cs="新宋体"/>
          <w:kern w:val="0"/>
          <w:sz w:val="22"/>
          <w:szCs w:val="22"/>
          <w:highlight w:val="none"/>
        </w:rPr>
        <w:t>数据质量评估</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数据质量评估是非实时性的定期或不定期对源或系统进行的数据质量评价， 由数据质量管理人员根据需要发起，根据评估指标和评估方法，对数据的数据质 量进行评价，得到评估结果以作为数据质量改进的参考和依据。</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根据各指标对数据质量影响程度的不同，设置指标权重及评分规则。根据基 础数据的特点，评估的指标主要从数据属性、模型关系和数据业务特征等方面进 行设置，从而实现对数据的数据质量状况评价。评估指标包括但不限于下表所示 的内容：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p>
    <w:p>
      <w:pPr>
        <w:pStyle w:val="2"/>
        <w:pageBreakBefore w:val="0"/>
        <w:tabs>
          <w:tab w:val="right" w:leader="dot" w:pos="8301"/>
        </w:tabs>
        <w:kinsoku/>
        <w:wordWrap/>
        <w:overflowPunct/>
        <w:topLinePunct w:val="0"/>
        <w:bidi w:val="0"/>
        <w:adjustRightInd/>
        <w:snapToGrid/>
        <w:spacing w:line="460" w:lineRule="exact"/>
        <w:ind w:firstLine="442" w:firstLineChars="200"/>
        <w:jc w:val="center"/>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数据质量评估指标</w:t>
      </w:r>
    </w:p>
    <w:tbl>
      <w:tblPr>
        <w:tblStyle w:val="52"/>
        <w:tblW w:w="9801" w:type="dxa"/>
        <w:tblInd w:w="0" w:type="dxa"/>
        <w:tblLayout w:type="autofit"/>
        <w:tblCellMar>
          <w:top w:w="0" w:type="dxa"/>
          <w:left w:w="108" w:type="dxa"/>
          <w:bottom w:w="0" w:type="dxa"/>
          <w:right w:w="108" w:type="dxa"/>
        </w:tblCellMar>
      </w:tblPr>
      <w:tblGrid>
        <w:gridCol w:w="1620"/>
        <w:gridCol w:w="1960"/>
        <w:gridCol w:w="1318"/>
        <w:gridCol w:w="1100"/>
        <w:gridCol w:w="3803"/>
      </w:tblGrid>
      <w:tr>
        <w:tblPrEx>
          <w:tblCellMar>
            <w:top w:w="0" w:type="dxa"/>
            <w:left w:w="108" w:type="dxa"/>
            <w:bottom w:w="0" w:type="dxa"/>
            <w:right w:w="108" w:type="dxa"/>
          </w:tblCellMar>
        </w:tblPrEx>
        <w:trPr>
          <w:trHeight w:val="567" w:hRule="atLeast"/>
        </w:trPr>
        <w:tc>
          <w:tcPr>
            <w:tcW w:w="1620" w:type="dxa"/>
            <w:tcBorders>
              <w:top w:val="single" w:color="auto" w:sz="8" w:space="0"/>
              <w:left w:val="single" w:color="auto" w:sz="8" w:space="0"/>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评估指标</w:t>
            </w:r>
          </w:p>
        </w:tc>
        <w:tc>
          <w:tcPr>
            <w:tcW w:w="1960"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计算方法</w:t>
            </w:r>
          </w:p>
        </w:tc>
        <w:tc>
          <w:tcPr>
            <w:tcW w:w="1318"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计算对象</w:t>
            </w:r>
          </w:p>
        </w:tc>
        <w:tc>
          <w:tcPr>
            <w:tcW w:w="1100"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维度归属</w:t>
            </w:r>
          </w:p>
        </w:tc>
        <w:tc>
          <w:tcPr>
            <w:tcW w:w="3803" w:type="dxa"/>
            <w:tcBorders>
              <w:top w:val="single" w:color="auto" w:sz="8" w:space="0"/>
              <w:left w:val="nil"/>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注释</w:t>
            </w:r>
          </w:p>
        </w:tc>
      </w:tr>
      <w:tr>
        <w:tblPrEx>
          <w:tblCellMar>
            <w:top w:w="0" w:type="dxa"/>
            <w:left w:w="108" w:type="dxa"/>
            <w:bottom w:w="0" w:type="dxa"/>
            <w:right w:w="108" w:type="dxa"/>
          </w:tblCellMar>
        </w:tblPrEx>
        <w:trPr>
          <w:trHeight w:val="567" w:hRule="atLeast"/>
        </w:trPr>
        <w:tc>
          <w:tcPr>
            <w:tcW w:w="1620"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空值率</w:t>
            </w:r>
          </w:p>
        </w:tc>
        <w:tc>
          <w:tcPr>
            <w:tcW w:w="1960" w:type="dxa"/>
            <w:tcBorders>
              <w:top w:val="single" w:color="auto" w:sz="8"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空值数/值总数</w:t>
            </w:r>
          </w:p>
        </w:tc>
        <w:tc>
          <w:tcPr>
            <w:tcW w:w="1318" w:type="dxa"/>
            <w:tcBorders>
              <w:top w:val="single" w:color="auto" w:sz="8"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单个字段</w:t>
            </w:r>
          </w:p>
        </w:tc>
        <w:tc>
          <w:tcPr>
            <w:tcW w:w="1100" w:type="dxa"/>
            <w:tcBorders>
              <w:top w:val="single" w:color="auto" w:sz="8"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完整性</w:t>
            </w:r>
          </w:p>
        </w:tc>
        <w:tc>
          <w:tcPr>
            <w:tcW w:w="3803" w:type="dxa"/>
            <w:tcBorders>
              <w:top w:val="single" w:color="auto" w:sz="8" w:space="0"/>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如：NULL值等，用于检查具有 业务含义字段的空值情况。</w:t>
            </w:r>
          </w:p>
        </w:tc>
      </w:tr>
      <w:tr>
        <w:tblPrEx>
          <w:tblCellMar>
            <w:top w:w="0" w:type="dxa"/>
            <w:left w:w="108" w:type="dxa"/>
            <w:bottom w:w="0" w:type="dxa"/>
            <w:right w:w="108" w:type="dxa"/>
          </w:tblCellMar>
        </w:tblPrEx>
        <w:trPr>
          <w:trHeight w:val="567" w:hRule="atLeast"/>
        </w:trPr>
        <w:tc>
          <w:tcPr>
            <w:tcW w:w="162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空字段率</w:t>
            </w:r>
          </w:p>
        </w:tc>
        <w:tc>
          <w:tcPr>
            <w:tcW w:w="196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空字段数/ 字段数</w:t>
            </w:r>
          </w:p>
        </w:tc>
        <w:tc>
          <w:tcPr>
            <w:tcW w:w="131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全表</w:t>
            </w:r>
          </w:p>
        </w:tc>
        <w:tc>
          <w:tcPr>
            <w:tcW w:w="110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有效性</w:t>
            </w:r>
          </w:p>
        </w:tc>
        <w:tc>
          <w:tcPr>
            <w:tcW w:w="3803"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如：无值的字段，用于检查数 据库表字段设计的利用率</w:t>
            </w:r>
          </w:p>
        </w:tc>
      </w:tr>
      <w:tr>
        <w:tblPrEx>
          <w:tblCellMar>
            <w:top w:w="0" w:type="dxa"/>
            <w:left w:w="108" w:type="dxa"/>
            <w:bottom w:w="0" w:type="dxa"/>
            <w:right w:w="108" w:type="dxa"/>
          </w:tblCellMar>
        </w:tblPrEx>
        <w:trPr>
          <w:trHeight w:val="567" w:hRule="atLeast"/>
        </w:trPr>
        <w:tc>
          <w:tcPr>
            <w:tcW w:w="162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数值重复率</w:t>
            </w:r>
          </w:p>
        </w:tc>
        <w:tc>
          <w:tcPr>
            <w:tcW w:w="196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重复数值数 /数值总数</w:t>
            </w:r>
          </w:p>
        </w:tc>
        <w:tc>
          <w:tcPr>
            <w:tcW w:w="131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单个字段</w:t>
            </w:r>
          </w:p>
        </w:tc>
        <w:tc>
          <w:tcPr>
            <w:tcW w:w="110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重复性</w:t>
            </w:r>
          </w:p>
        </w:tc>
        <w:tc>
          <w:tcPr>
            <w:tcW w:w="3803"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采用全匹配方式统计数据重复 比率，用于检查字段值的重复 情况，如业务上不允许重复的 字段</w:t>
            </w:r>
          </w:p>
        </w:tc>
      </w:tr>
      <w:tr>
        <w:tblPrEx>
          <w:tblCellMar>
            <w:top w:w="0" w:type="dxa"/>
            <w:left w:w="108" w:type="dxa"/>
            <w:bottom w:w="0" w:type="dxa"/>
            <w:right w:w="108" w:type="dxa"/>
          </w:tblCellMar>
        </w:tblPrEx>
        <w:trPr>
          <w:trHeight w:val="567" w:hRule="atLeast"/>
        </w:trPr>
        <w:tc>
          <w:tcPr>
            <w:tcW w:w="162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值域合法率</w:t>
            </w:r>
          </w:p>
        </w:tc>
        <w:tc>
          <w:tcPr>
            <w:tcW w:w="196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合法值数/ 有值总数</w:t>
            </w:r>
          </w:p>
        </w:tc>
        <w:tc>
          <w:tcPr>
            <w:tcW w:w="131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单个字段</w:t>
            </w:r>
          </w:p>
        </w:tc>
        <w:tc>
          <w:tcPr>
            <w:tcW w:w="110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合法性</w:t>
            </w:r>
          </w:p>
        </w:tc>
        <w:tc>
          <w:tcPr>
            <w:tcW w:w="3803"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如某字段的取值范围为枚举值 (a,b,c,e,f)或值域范围(1-100)或例外值(3、8除外)， 则可统计合法数值比率</w:t>
            </w:r>
          </w:p>
        </w:tc>
      </w:tr>
      <w:tr>
        <w:tblPrEx>
          <w:tblCellMar>
            <w:top w:w="0" w:type="dxa"/>
            <w:left w:w="108" w:type="dxa"/>
            <w:bottom w:w="0" w:type="dxa"/>
            <w:right w:w="108" w:type="dxa"/>
          </w:tblCellMar>
        </w:tblPrEx>
        <w:trPr>
          <w:trHeight w:val="567" w:hRule="atLeast"/>
        </w:trPr>
        <w:tc>
          <w:tcPr>
            <w:tcW w:w="1620" w:type="dxa"/>
            <w:tcBorders>
              <w:top w:val="nil"/>
              <w:left w:val="single" w:color="auto" w:sz="8" w:space="0"/>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业务主键唯一性</w:t>
            </w:r>
          </w:p>
        </w:tc>
        <w:tc>
          <w:tcPr>
            <w:tcW w:w="1960" w:type="dxa"/>
            <w:tcBorders>
              <w:top w:val="nil"/>
              <w:left w:val="nil"/>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业务主键唯一的数值数 /数值总数</w:t>
            </w:r>
          </w:p>
        </w:tc>
        <w:tc>
          <w:tcPr>
            <w:tcW w:w="1318" w:type="dxa"/>
            <w:tcBorders>
              <w:top w:val="nil"/>
              <w:left w:val="nil"/>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单个字段</w:t>
            </w:r>
          </w:p>
        </w:tc>
        <w:tc>
          <w:tcPr>
            <w:tcW w:w="1100" w:type="dxa"/>
            <w:tcBorders>
              <w:top w:val="nil"/>
              <w:left w:val="nil"/>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合法性</w:t>
            </w:r>
          </w:p>
        </w:tc>
        <w:tc>
          <w:tcPr>
            <w:tcW w:w="3803" w:type="dxa"/>
            <w:tcBorders>
              <w:top w:val="nil"/>
              <w:left w:val="nil"/>
              <w:bottom w:val="single" w:color="auto"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业务上要求唯一的字段数值比 率评估报告</w:t>
            </w:r>
          </w:p>
        </w:tc>
      </w:tr>
    </w:tbl>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1.6.5</w:t>
      </w:r>
      <w:r>
        <w:rPr>
          <w:rFonts w:hint="eastAsia" w:ascii="新宋体" w:hAnsi="新宋体" w:eastAsia="新宋体" w:cs="新宋体"/>
          <w:kern w:val="0"/>
          <w:sz w:val="22"/>
          <w:szCs w:val="22"/>
          <w:highlight w:val="none"/>
        </w:rPr>
        <w:t>数据质量报告</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数据质量管理子系统支持对数据稽核、日常监控以及数据质量评估等过程累 积的各种信息进行汇总、统计和分析，形成统计报告的过程，可以按特定时间周 期生成报告，提供一个集中展示分析系统数据质量状况的手段。关心数据质量的 管理人员可以基于该报告对数据质量进行分析讨论，以总结经验、沉淀知识和改进方法，不断提高系统的数据质量问题的处理能力。</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bookmarkStart w:id="51" w:name="bookmark596"/>
      <w:bookmarkEnd w:id="51"/>
      <w:r>
        <w:rPr>
          <w:rFonts w:hint="eastAsia" w:ascii="新宋体" w:hAnsi="新宋体" w:eastAsia="新宋体" w:cs="新宋体"/>
          <w:kern w:val="0"/>
          <w:sz w:val="22"/>
          <w:szCs w:val="22"/>
          <w:highlight w:val="none"/>
          <w:lang w:val="en-US" w:eastAsia="zh-CN"/>
        </w:rPr>
        <w:t>1.6.6</w:t>
      </w:r>
      <w:r>
        <w:rPr>
          <w:rFonts w:hint="eastAsia" w:ascii="新宋体" w:hAnsi="新宋体" w:eastAsia="新宋体" w:cs="新宋体"/>
          <w:kern w:val="0"/>
          <w:sz w:val="22"/>
          <w:szCs w:val="22"/>
          <w:highlight w:val="none"/>
        </w:rPr>
        <w:t>数据质量改进</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经过数据质量的监控和评估，可以发现哪些数据是缺失的，哪些数据是不准 确的，哪些数据是不符合标准的，从而制定数据质量的改进方案，制定数据清洗 的规则，然后实施数据质量改进。数据清洗正好满足此需求，支持配置丰富的清 洗规则等，大大减轻了质量改进的工作量。</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52" w:name="_Toc37322553"/>
      <w:r>
        <w:rPr>
          <w:rFonts w:hint="eastAsia" w:ascii="新宋体" w:hAnsi="新宋体" w:eastAsia="新宋体" w:cs="新宋体"/>
          <w:b/>
          <w:bCs/>
          <w:sz w:val="22"/>
          <w:szCs w:val="22"/>
          <w:highlight w:val="none"/>
          <w:lang w:val="en-US" w:eastAsia="zh-CN"/>
        </w:rPr>
        <w:t>2、</w:t>
      </w:r>
      <w:r>
        <w:rPr>
          <w:rFonts w:hint="eastAsia" w:ascii="新宋体" w:hAnsi="新宋体" w:eastAsia="新宋体" w:cs="新宋体"/>
          <w:b/>
          <w:bCs/>
          <w:sz w:val="22"/>
          <w:szCs w:val="22"/>
          <w:highlight w:val="none"/>
        </w:rPr>
        <w:t>企业信用评分体系</w:t>
      </w:r>
      <w:bookmarkEnd w:id="52"/>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金融综合服务平台数据库中相关信息数据（与企业相关的政府机构数据、非金融机构数据、发改委信用平台法人库、人行征信系统等），深入挖掘信息价值，充分利用现有的数据基础，研发和实施适合温州地区的的小微企业信用评分体系。该信用评分主要针对企业进行综合评分，为金融机构提供参考依据。金融机构可以根据系统提供的评级和评分情况为小微企业融资提供差别信用服务；对于评分较高的小微企业，在授信额度、利率和期限上提供优惠，真正体现信用价值；对于系统评分较低的企业，实行信贷适当性管理，要求金融机构审慎放贷，做好风险防范工作。逐步建立平台数据统计分析功能，通过运用数据挖掘技术、精准掌握底层数据，分区域、分行业分析经济走势，为更好地贯彻落实货币政策，服务温州经济发展提供数据支撑。</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利用云计算、人工智能等技术进一步开发企业评级模型，对企业进行评估。对企业一方面实现企业画像刻画，另一方面基于企业评级结果展现企业综合的评分结果及各评级维度的详细信息。同时实现基于企业名称或企业统一社会信用代码的企业查询功能。为金融机构判断企业风险提供有效依据，破解金融机构与企业之间的信息不对称。</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drawing>
          <wp:anchor distT="0" distB="0" distL="114300" distR="114300" simplePos="0" relativeHeight="251664384" behindDoc="0" locked="0" layoutInCell="1" allowOverlap="1">
            <wp:simplePos x="0" y="0"/>
            <wp:positionH relativeFrom="column">
              <wp:posOffset>457200</wp:posOffset>
            </wp:positionH>
            <wp:positionV relativeFrom="paragraph">
              <wp:posOffset>1882140</wp:posOffset>
            </wp:positionV>
            <wp:extent cx="5336540" cy="3718560"/>
            <wp:effectExtent l="0" t="0" r="16510" b="15240"/>
            <wp:wrapTopAndBottom/>
            <wp:docPr id="6" name="图片 5"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未命名文件(3)"/>
                    <pic:cNvPicPr>
                      <a:picLocks noChangeAspect="1"/>
                    </pic:cNvPicPr>
                  </pic:nvPicPr>
                  <pic:blipFill>
                    <a:blip r:embed="rId12"/>
                    <a:stretch>
                      <a:fillRect/>
                    </a:stretch>
                  </pic:blipFill>
                  <pic:spPr>
                    <a:xfrm>
                      <a:off x="0" y="0"/>
                      <a:ext cx="5336540" cy="3718560"/>
                    </a:xfrm>
                    <a:prstGeom prst="rect">
                      <a:avLst/>
                    </a:prstGeom>
                    <a:noFill/>
                    <a:ln>
                      <a:noFill/>
                    </a:ln>
                  </pic:spPr>
                </pic:pic>
              </a:graphicData>
            </a:graphic>
          </wp:anchor>
        </w:drawing>
      </w:r>
      <w:r>
        <w:rPr>
          <w:rFonts w:hint="eastAsia" w:ascii="新宋体" w:hAnsi="新宋体" w:eastAsia="新宋体" w:cs="新宋体"/>
          <w:sz w:val="22"/>
          <w:szCs w:val="22"/>
          <w:highlight w:val="none"/>
        </w:rPr>
        <w:t>信用标准的制定，涉及征信数据的采集、数据处理、设施建设、产品生产、服务方式等业务操作程序的设计和设置。标准也为政府管理部门提供了管理和规范征信市场的依据。政府部门通过信用标准，对信用服务机构，信用产品等进行有效的管理。信用标准为征信机构的设施建设提供了技术规范，对征信产品质量提出了明确的要求，保证了征信机构内部的业务衔接，提高了征信机构的市场适应能力，为机构间的合作和市场兼并创造了良好的条件，直接影响征信机构的运行成本，影响到市场化经营的征信机构的布局。</w:t>
      </w:r>
    </w:p>
    <w:p>
      <w:pPr>
        <w:pStyle w:val="2"/>
        <w:pageBreakBefore w:val="0"/>
        <w:tabs>
          <w:tab w:val="right" w:leader="dot" w:pos="8301"/>
        </w:tabs>
        <w:kinsoku/>
        <w:wordWrap/>
        <w:overflowPunct/>
        <w:topLinePunct w:val="0"/>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图4 信用评价示意图</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2.1</w:t>
      </w:r>
      <w:r>
        <w:rPr>
          <w:rFonts w:hint="eastAsia" w:ascii="新宋体" w:hAnsi="新宋体" w:eastAsia="新宋体" w:cs="新宋体"/>
          <w:b/>
          <w:bCs/>
          <w:sz w:val="22"/>
          <w:szCs w:val="22"/>
          <w:highlight w:val="none"/>
        </w:rPr>
        <w:t>企业信用画像模型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信用画像模型是信用查询的基础，它对信息主体基本信息进行信用画像，主要包括企业的基本信息、关联图谱、出资投资、经营状况、信贷融资和风险状况 等信用类别，帮助用户实现对企业在工商、税务、质监等部门注册信息以及企业 整体财务概况的了解。</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2.1.1</w:t>
      </w:r>
      <w:r>
        <w:rPr>
          <w:rFonts w:hint="eastAsia" w:ascii="新宋体" w:hAnsi="新宋体" w:eastAsia="新宋体" w:cs="新宋体"/>
          <w:kern w:val="0"/>
          <w:sz w:val="22"/>
          <w:szCs w:val="22"/>
          <w:highlight w:val="none"/>
        </w:rPr>
        <w:t>信息分类</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经过数据整合，系统提供多维度多角度的企业信用信息，可以按企业属性关 键字、信息种类、部门等进行查询。此外，提供关联查询功能，用户不用切换功 能菜单即可以方便查询到企业的其他信息。</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(1)基本信息。包括：企业名称、注册号、法定代表人、股东代表等信息,查询企业在市场监管、税务、质监等部门的基本注册信息。</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(2)部门信息。部门信息查询是对信息主体基本信息按部门进行查询，实现市场监管、税务、质监等部门企业注册信息以及企业整体财务概况的查询。</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(3)授信信息。企业在各金融机构的授信信息，集团综合授信信息等。</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(4)发展历史。根据企业查询结果，查看企业在市场监管、质监等各个部门的变更记录信息，如企业法人代表变更、企业章程变更等信息。</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企业关联图谱。企业关联分析是对企业综合信息的立体展示，通过动态的发散思维导图，一张图、多方位、直观形象地展示企业关联关系。一是企业关联功能。企业与企业之间、企业与上下游供应商之间、企业与股东之间、股东与股东之间的投资关联。二是银企关联功能。银行与企业之间、担保与被担保之间、集团内部之间的融资关联。三是区域关联功能。企业经营在同一所在地的关联。</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(6)奖惩信息。主要是来自征集并梳理好的正负面信息，展示企业在当前有效时间内，在发改、经信、市场监管、质监、科技、环保、商务、金融等部门的认证、奖励、荣誉、评级、处罚等信息。</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(7)异常名录库。异常名录库是企业有涉讼、企业关停、经营异常、资产查封、欠税、欠薪、欠息、绩效评价CD类等异常信息的企业清单。支持用户自定义选择显示不良企业名录库类型，并可根据企业名称、行业、区域、不良类型、金融机构等进行模糊查询。</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（8）预警信息。系统支持用户进行组合指标的风险预警设定来开展专项风险监测。根据几种特定的信用指标预警项目，如连续三年亏损、高贷款、高负债、 高利贷、信贷不良、欠薪、欠税、欠费等，对企业进行专项风险监测，及时发现 问题企业。系统可按照预警值对企业信用安全进行风险预警，对企业出现的信用 问题与倾向进行提前提醒，并生成名单供查询，对进入到预警列表中的企业，进 行查询及订阅管理</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2.1.2</w:t>
      </w:r>
      <w:r>
        <w:rPr>
          <w:rFonts w:hint="eastAsia" w:ascii="新宋体" w:hAnsi="新宋体" w:eastAsia="新宋体" w:cs="新宋体"/>
          <w:kern w:val="0"/>
          <w:sz w:val="22"/>
          <w:szCs w:val="22"/>
          <w:highlight w:val="none"/>
        </w:rPr>
        <w:t>信息管理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从实用角度出发，通过对信用信息数据库中的信用数据进行分类，并贴上各 种不同的“标签"，如名称、行业、地域、资产、行为等。建立企业立体信用画 像，通过运用大数据聚合分析，为信用业务管理的决策过程提供信息基础。</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w:t>
      </w:r>
      <w:r>
        <w:rPr>
          <w:rFonts w:hint="eastAsia" w:ascii="新宋体" w:hAnsi="新宋体" w:eastAsia="新宋体" w:cs="新宋体"/>
          <w:kern w:val="0"/>
          <w:sz w:val="22"/>
          <w:szCs w:val="22"/>
          <w:highlight w:val="none"/>
        </w:rPr>
        <w:t>3检索引擎</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大数据检索引擎主要是通过Hive的HQL解析，把HQL翻译成Spark上的RDD 操作，然后通过Hive的metadata获取数据库里的表信息，实际HDFS上的数据 和文件，会由Shark获取并放到Spark上运算，检索引擎将SQL查询转换为一个 或多个HBase scan,并编排执行以生成标准的JDBC结果集，极大的提高基于云平台的数据库的查询效率。</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2.2</w:t>
      </w:r>
      <w:r>
        <w:rPr>
          <w:rFonts w:hint="eastAsia" w:ascii="新宋体" w:hAnsi="新宋体" w:eastAsia="新宋体" w:cs="新宋体"/>
          <w:b/>
          <w:bCs/>
          <w:sz w:val="22"/>
          <w:szCs w:val="22"/>
          <w:highlight w:val="none"/>
        </w:rPr>
        <w:t>企业信用评分模型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信用评分模型是对主体的信用状况做的信用全貌的分析，最终以量化的数值 进行呈现，包括评价项目设定、指标类型设定、信用评价设定、指标大类设定、 指标小类设定、指标模板设定等部分。主要基于企业的运营能力、资本实力、偿 债能力、盈利能力、发展潜力等五大维度，构建“5力”模型。结合深度学习、实时处理、大数据分析、云计算等技术手段和算法，形成信用综合评分，并能够根据企业实际风险发生情况实现模型训练和修正。</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通过数据预处理后的值与层次分析法得到的权重乘积后得到各维度的评分及总评分。主要体现在运营能力、资本实力、偿债能力、盈利能力、发展潜力各分项评分及总指数值。</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2.3</w:t>
      </w:r>
      <w:r>
        <w:rPr>
          <w:rFonts w:hint="eastAsia" w:ascii="新宋体" w:hAnsi="新宋体" w:eastAsia="新宋体" w:cs="新宋体"/>
          <w:b/>
          <w:bCs/>
          <w:sz w:val="22"/>
          <w:szCs w:val="22"/>
          <w:highlight w:val="none"/>
        </w:rPr>
        <w:t>企业风险预警模型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为金融机构提供风险监测、预警、报告、统计等功能。建立覆盖整个授信业 务流程的融资风险诊断和预警功能，监测企业日常经营活动中的具体风险事件， 暴露企业潜在违约行为，并通过综合分析反映区域金融风险发展趋势。</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bookmarkStart w:id="53" w:name="bookmark702"/>
      <w:bookmarkEnd w:id="53"/>
      <w:r>
        <w:rPr>
          <w:rFonts w:hint="eastAsia" w:ascii="新宋体" w:hAnsi="新宋体" w:eastAsia="新宋体" w:cs="新宋体"/>
          <w:kern w:val="0"/>
          <w:sz w:val="22"/>
          <w:szCs w:val="22"/>
          <w:highlight w:val="none"/>
          <w:lang w:val="en-US" w:eastAsia="zh-CN"/>
        </w:rPr>
        <w:t>2.3.</w:t>
      </w:r>
      <w:r>
        <w:rPr>
          <w:rFonts w:hint="eastAsia" w:ascii="新宋体" w:hAnsi="新宋体" w:eastAsia="新宋体" w:cs="新宋体"/>
          <w:kern w:val="0"/>
          <w:sz w:val="22"/>
          <w:szCs w:val="22"/>
          <w:highlight w:val="none"/>
        </w:rPr>
        <w:t>1风险预警内容分类</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该功能包括企业集群风险预警、企业信用风险预警、企业经营风险预警、区域金融风险预警四类：</w:t>
      </w:r>
    </w:p>
    <w:p>
      <w:pPr>
        <w:pStyle w:val="201"/>
        <w:pageBreakBefore w:val="0"/>
        <w:numPr>
          <w:ilvl w:val="0"/>
          <w:numId w:val="8"/>
        </w:numPr>
        <w:kinsoku/>
        <w:wordWrap/>
        <w:overflowPunct/>
        <w:topLinePunct w:val="0"/>
        <w:bidi w:val="0"/>
        <w:adjustRightInd/>
        <w:snapToGrid/>
        <w:spacing w:line="460" w:lineRule="exact"/>
        <w:ind w:left="0" w:firstLine="426"/>
        <w:jc w:val="both"/>
        <w:textAlignment w:val="auto"/>
        <w:rPr>
          <w:rFonts w:hint="eastAsia" w:ascii="新宋体" w:hAnsi="新宋体" w:eastAsia="新宋体" w:cs="新宋体"/>
          <w:sz w:val="22"/>
          <w:szCs w:val="22"/>
          <w:highlight w:val="none"/>
        </w:rPr>
      </w:pPr>
      <w:bookmarkStart w:id="54" w:name="bookmark703"/>
      <w:bookmarkEnd w:id="54"/>
      <w:r>
        <w:rPr>
          <w:rFonts w:hint="eastAsia" w:ascii="新宋体" w:hAnsi="新宋体" w:eastAsia="新宋体" w:cs="新宋体"/>
          <w:sz w:val="22"/>
          <w:szCs w:val="22"/>
          <w:highlight w:val="none"/>
        </w:rPr>
        <w:t>企业集群风险预警。通过对企业客户所在的"关系圈”、“担保圈”等集群中各关联企业的风险要素进行跟踪监测，及时发现和识别影响关联企业经营和发展的风险事件，评价企业客户违约的可能性。监测内容包括集群行业发展趋势、经营管理情况、核心企业经营状况及集群内其他企业客户经营状况等。</w:t>
      </w:r>
    </w:p>
    <w:p>
      <w:pPr>
        <w:pStyle w:val="201"/>
        <w:pageBreakBefore w:val="0"/>
        <w:numPr>
          <w:ilvl w:val="0"/>
          <w:numId w:val="8"/>
        </w:numPr>
        <w:kinsoku/>
        <w:wordWrap/>
        <w:overflowPunct/>
        <w:topLinePunct w:val="0"/>
        <w:bidi w:val="0"/>
        <w:adjustRightInd/>
        <w:snapToGrid/>
        <w:spacing w:line="460" w:lineRule="exact"/>
        <w:ind w:left="0" w:firstLine="426"/>
        <w:jc w:val="both"/>
        <w:textAlignment w:val="auto"/>
        <w:rPr>
          <w:rFonts w:hint="eastAsia" w:ascii="新宋体" w:hAnsi="新宋体" w:eastAsia="新宋体" w:cs="新宋体"/>
          <w:sz w:val="22"/>
          <w:szCs w:val="22"/>
          <w:highlight w:val="none"/>
        </w:rPr>
      </w:pPr>
      <w:bookmarkStart w:id="55" w:name="bookmark704"/>
      <w:bookmarkEnd w:id="55"/>
      <w:r>
        <w:rPr>
          <w:rFonts w:hint="eastAsia" w:ascii="新宋体" w:hAnsi="新宋体" w:eastAsia="新宋体" w:cs="新宋体"/>
          <w:sz w:val="22"/>
          <w:szCs w:val="22"/>
          <w:highlight w:val="none"/>
        </w:rPr>
        <w:t>企业信用风险预警。通过对企业客户各项风险因素的跟踪监测，及时发现和识别影响客户还款能力的事件，评价客户违约的可能性。监测内容包括企业基本信息、经营管理状况、信贷情况、财务状况、诉讼情况、行政处罚情况等。</w:t>
      </w:r>
    </w:p>
    <w:p>
      <w:pPr>
        <w:pStyle w:val="201"/>
        <w:pageBreakBefore w:val="0"/>
        <w:numPr>
          <w:ilvl w:val="0"/>
          <w:numId w:val="8"/>
        </w:numPr>
        <w:kinsoku/>
        <w:wordWrap/>
        <w:overflowPunct/>
        <w:topLinePunct w:val="0"/>
        <w:bidi w:val="0"/>
        <w:adjustRightInd/>
        <w:snapToGrid/>
        <w:spacing w:line="460" w:lineRule="exact"/>
        <w:ind w:left="0" w:firstLine="426"/>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企业经营风险预警。通过对企业债项风险各项要素的跟踪监测，及时发现和识别影响债项风险的时间，评估企业客户违约情况下对金融机构损失的可能性。监测内容包括销售额增长、纳稅增长、企业高管变动、企业股权变更、水</w:t>
      </w:r>
      <w:bookmarkStart w:id="56" w:name="bookmark705"/>
      <w:bookmarkEnd w:id="56"/>
      <w:r>
        <w:rPr>
          <w:rFonts w:hint="eastAsia" w:ascii="新宋体" w:hAnsi="新宋体" w:eastAsia="新宋体" w:cs="新宋体"/>
          <w:sz w:val="22"/>
          <w:szCs w:val="22"/>
          <w:highlight w:val="none"/>
        </w:rPr>
        <w:t>电气使用状况的大幅变动等。</w:t>
      </w:r>
    </w:p>
    <w:p>
      <w:pPr>
        <w:pStyle w:val="201"/>
        <w:pageBreakBefore w:val="0"/>
        <w:numPr>
          <w:ilvl w:val="0"/>
          <w:numId w:val="8"/>
        </w:numPr>
        <w:kinsoku/>
        <w:wordWrap/>
        <w:overflowPunct/>
        <w:topLinePunct w:val="0"/>
        <w:bidi w:val="0"/>
        <w:adjustRightInd/>
        <w:snapToGrid/>
        <w:spacing w:line="460" w:lineRule="exact"/>
        <w:ind w:left="0" w:firstLine="426"/>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区域金融风险预警。通过对区域内企业的跟踪监测，及时发现和识别影响区域金融整体风险状况的因素和事件，综合、统计、分析行业与企业趋势性、 风险性相关信息，通过数据关联和模型训练作出趋势性判断和警示，实现对行业、 园区、地区的风险预判。</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bookmarkStart w:id="57" w:name="bookmark707"/>
      <w:bookmarkEnd w:id="57"/>
      <w:r>
        <w:rPr>
          <w:rFonts w:hint="eastAsia" w:ascii="新宋体" w:hAnsi="新宋体" w:eastAsia="新宋体" w:cs="新宋体"/>
          <w:kern w:val="0"/>
          <w:sz w:val="22"/>
          <w:szCs w:val="22"/>
          <w:highlight w:val="none"/>
          <w:lang w:val="en-US" w:eastAsia="zh-CN"/>
        </w:rPr>
        <w:t>2.3.</w:t>
      </w:r>
      <w:r>
        <w:rPr>
          <w:rFonts w:hint="eastAsia" w:ascii="新宋体" w:hAnsi="新宋体" w:eastAsia="新宋体" w:cs="新宋体"/>
          <w:kern w:val="0"/>
          <w:sz w:val="22"/>
          <w:szCs w:val="22"/>
          <w:highlight w:val="none"/>
        </w:rPr>
        <w:t>2风险预警级别分类</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预警信号分为三级，金融机构按照级别，采取对应的控制措施。</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bookmarkStart w:id="58" w:name="bookmark708"/>
      <w:r>
        <w:rPr>
          <w:rFonts w:hint="eastAsia" w:ascii="新宋体" w:hAnsi="新宋体" w:eastAsia="新宋体" w:cs="新宋体"/>
          <w:sz w:val="22"/>
          <w:szCs w:val="22"/>
          <w:highlight w:val="none"/>
        </w:rPr>
        <w:t>（</w:t>
      </w:r>
      <w:bookmarkEnd w:id="58"/>
      <w:r>
        <w:rPr>
          <w:rFonts w:hint="eastAsia" w:ascii="新宋体" w:hAnsi="新宋体" w:eastAsia="新宋体" w:cs="新宋体"/>
          <w:sz w:val="22"/>
          <w:szCs w:val="22"/>
          <w:highlight w:val="none"/>
        </w:rPr>
        <w:t>1）</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t>警示级别。对资产组合价值或企业客户还款能力影响较大，且基本确定，必须采取控制措施。如担保数量超五家、法定代表人任职资格受限、对外担保总额3净资产额50%、单笔对外担保余额3净资产30%、法定代表人最近5年内有偷税逃税罪、最近五年内法定代表人涉嫌**赌博、企业营业执照注吊销等。</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bookmarkStart w:id="59" w:name="bookmark709"/>
      <w:r>
        <w:rPr>
          <w:rFonts w:hint="eastAsia" w:ascii="新宋体" w:hAnsi="新宋体" w:eastAsia="新宋体" w:cs="新宋体"/>
          <w:sz w:val="22"/>
          <w:szCs w:val="22"/>
          <w:highlight w:val="none"/>
        </w:rPr>
        <w:t>（</w:t>
      </w:r>
      <w:bookmarkEnd w:id="59"/>
      <w:r>
        <w:rPr>
          <w:rFonts w:hint="eastAsia" w:ascii="新宋体" w:hAnsi="新宋体" w:eastAsia="新宋体" w:cs="新宋体"/>
          <w:sz w:val="22"/>
          <w:szCs w:val="22"/>
          <w:highlight w:val="none"/>
        </w:rPr>
        <w:t>2）</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t>关注级别。对资产组合价值或企业客户还款能力的影响基本确定，但影响程度尚不确定，需要立即开展风险评估并釆取相应措施。如法定代表人最1年内有离婚纠纷、抵押或质押金额N资产总额50%、高管最近五年内涉及刑事案件、最近1年涉及污染环境处罚、近6个月内有贷款逾期、欠息或表外业务垫款情况、长期股权投资比率N50%、用电量突降30%等。</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bookmarkStart w:id="60" w:name="bookmark710"/>
      <w:r>
        <w:rPr>
          <w:rFonts w:hint="eastAsia" w:ascii="新宋体" w:hAnsi="新宋体" w:eastAsia="新宋体" w:cs="新宋体"/>
          <w:sz w:val="22"/>
          <w:szCs w:val="22"/>
          <w:highlight w:val="none"/>
        </w:rPr>
        <w:t>（</w:t>
      </w:r>
      <w:bookmarkEnd w:id="60"/>
      <w:r>
        <w:rPr>
          <w:rFonts w:hint="eastAsia" w:ascii="新宋体" w:hAnsi="新宋体" w:eastAsia="新宋体" w:cs="新宋体"/>
          <w:sz w:val="22"/>
          <w:szCs w:val="22"/>
          <w:highlight w:val="none"/>
        </w:rPr>
        <w:t>3）</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t>提示级别。对资产组合价值或企业客户还款能力可能造成影响，需要进一步分析风险产生的原因，评估可能的影响。如法定代表人变更、最近1年涉及其他部门行政处罚、因未按时年报或未按时公示被列入经营异常名录、许可证过期、减资变更W30%、有对外担保、最近12个月内分支机构注销2家以下、无反担保措施等。</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2.4</w:t>
      </w:r>
      <w:r>
        <w:rPr>
          <w:rFonts w:hint="eastAsia" w:ascii="新宋体" w:hAnsi="新宋体" w:eastAsia="新宋体" w:cs="新宋体"/>
          <w:b/>
          <w:bCs/>
          <w:sz w:val="22"/>
          <w:szCs w:val="22"/>
          <w:highlight w:val="none"/>
        </w:rPr>
        <w:t>关联关系分析模型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系统将根据企业主体的股东关系、高管关系、法定代表人、担保关系等关系 构建动态企业信息立方，直观表现目标企业主体关联关系，最终形成企业的关联 图谱。</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数据经过实时的数据清洗和结构化后，再进行数据的关联关系和特征分析， 通过关联分析模型和算法模型，以可视化的方式，构建出企业关系连通图，形成企业与企业，企业与个人关联关系网络，建立数据三维图形，直观展示各市场主 体间的关系，方便各类用户查询。</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2.5</w:t>
      </w:r>
      <w:r>
        <w:rPr>
          <w:rFonts w:hint="eastAsia" w:ascii="新宋体" w:hAnsi="新宋体" w:eastAsia="新宋体" w:cs="新宋体"/>
          <w:b/>
          <w:bCs/>
          <w:sz w:val="22"/>
          <w:szCs w:val="22"/>
          <w:highlight w:val="none"/>
        </w:rPr>
        <w:t>辅助决策分析模型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主要针对金融管理和政府职能部门的需要，提供统计信息和经济分析功能。 主要包括常规统计、条件查询统计、数据可视化展示、区域经济状况分析等模块。</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2.5.1</w:t>
      </w:r>
      <w:r>
        <w:rPr>
          <w:rFonts w:hint="eastAsia" w:ascii="新宋体" w:hAnsi="新宋体" w:eastAsia="新宋体" w:cs="新宋体"/>
          <w:kern w:val="0"/>
          <w:sz w:val="22"/>
          <w:szCs w:val="22"/>
          <w:highlight w:val="none"/>
        </w:rPr>
        <w:t>统计分析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(1)数据统计。金融支持企业情况统计，实现金融专项统计制度的自动提取和汇总；系统相关情况统计，包括数据量、查询量等统计。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报表输出。平台系统提供基础性的固定报表、多维分析报表和各类时序统计图，主要包括以下几类：数据入库增减情况、平台使用情况、风险推送情况、融资成交情况、信贷发生额、余额和不良发生额、余额等。</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2.5.2</w:t>
      </w:r>
      <w:r>
        <w:rPr>
          <w:rFonts w:hint="eastAsia" w:ascii="新宋体" w:hAnsi="新宋体" w:eastAsia="新宋体" w:cs="新宋体"/>
          <w:kern w:val="0"/>
          <w:sz w:val="22"/>
          <w:szCs w:val="22"/>
          <w:highlight w:val="none"/>
        </w:rPr>
        <w:t>条件查询统计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支持用户按不同的查询条件实现组合查询和数据提取，并在此基础上实现数 据统计。提供在线报表设计工具，便于用户快速的编辑报表，采用图形化设计界 面，提供自动保存报表的编辑进度的功能，支持图形化建模功能，可以在可视化 建模界面中新建、编辑、删除主题表。</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2.5.3</w:t>
      </w:r>
      <w:r>
        <w:rPr>
          <w:rFonts w:hint="eastAsia" w:ascii="新宋体" w:hAnsi="新宋体" w:eastAsia="新宋体" w:cs="新宋体"/>
          <w:kern w:val="0"/>
          <w:sz w:val="22"/>
          <w:szCs w:val="22"/>
          <w:highlight w:val="none"/>
        </w:rPr>
        <w:t>数据挖掘模型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软件应提供结构分析、相关分析、弹性分析、TOPn、TOP%、聚类分析等统计 分析方法，支持回归分析、时间序列、季节变动等多种分析模型，除以上系统内 置的数理统计挖掘方法，软件还应支持用户自定义相关算法并固化使用。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同时系统也会提供常规的分析模型，可怏速引用模型进行数据的分析。分析 模型选择详见下表。</w:t>
      </w:r>
    </w:p>
    <w:p>
      <w:pPr>
        <w:pStyle w:val="2"/>
        <w:pageBreakBefore w:val="0"/>
        <w:tabs>
          <w:tab w:val="right" w:leader="dot" w:pos="8301"/>
        </w:tabs>
        <w:kinsoku/>
        <w:wordWrap/>
        <w:overflowPunct/>
        <w:topLinePunct w:val="0"/>
        <w:bidi w:val="0"/>
        <w:adjustRightInd/>
        <w:snapToGrid/>
        <w:spacing w:line="460" w:lineRule="exact"/>
        <w:ind w:firstLine="442" w:firstLineChars="200"/>
        <w:jc w:val="center"/>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分析模型选择</w:t>
      </w:r>
    </w:p>
    <w:tbl>
      <w:tblPr>
        <w:tblStyle w:val="52"/>
        <w:tblW w:w="7966" w:type="dxa"/>
        <w:jc w:val="center"/>
        <w:tblLayout w:type="autofit"/>
        <w:tblCellMar>
          <w:top w:w="0" w:type="dxa"/>
          <w:left w:w="108" w:type="dxa"/>
          <w:bottom w:w="0" w:type="dxa"/>
          <w:right w:w="108" w:type="dxa"/>
        </w:tblCellMar>
      </w:tblPr>
      <w:tblGrid>
        <w:gridCol w:w="1620"/>
        <w:gridCol w:w="6346"/>
      </w:tblGrid>
      <w:tr>
        <w:tblPrEx>
          <w:tblCellMar>
            <w:top w:w="0" w:type="dxa"/>
            <w:left w:w="108" w:type="dxa"/>
            <w:bottom w:w="0" w:type="dxa"/>
            <w:right w:w="108" w:type="dxa"/>
          </w:tblCellMar>
        </w:tblPrEx>
        <w:trPr>
          <w:trHeight w:val="567" w:hRule="atLeast"/>
          <w:jc w:val="center"/>
        </w:trPr>
        <w:tc>
          <w:tcPr>
            <w:tcW w:w="1620" w:type="dxa"/>
            <w:tcBorders>
              <w:top w:val="single" w:color="auto" w:sz="8" w:space="0"/>
              <w:left w:val="single" w:color="auto" w:sz="8" w:space="0"/>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大类</w:t>
            </w:r>
          </w:p>
        </w:tc>
        <w:tc>
          <w:tcPr>
            <w:tcW w:w="6346" w:type="dxa"/>
            <w:tcBorders>
              <w:top w:val="single" w:color="auto" w:sz="8" w:space="0"/>
              <w:left w:val="nil"/>
              <w:bottom w:val="nil"/>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分析模型</w:t>
            </w:r>
          </w:p>
        </w:tc>
      </w:tr>
      <w:tr>
        <w:tblPrEx>
          <w:tblCellMar>
            <w:top w:w="0" w:type="dxa"/>
            <w:left w:w="108" w:type="dxa"/>
            <w:bottom w:w="0" w:type="dxa"/>
            <w:right w:w="108" w:type="dxa"/>
          </w:tblCellMar>
        </w:tblPrEx>
        <w:trPr>
          <w:trHeight w:val="567" w:hRule="atLeast"/>
          <w:jc w:val="center"/>
        </w:trPr>
        <w:tc>
          <w:tcPr>
            <w:tcW w:w="1620"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时间序列</w:t>
            </w:r>
          </w:p>
        </w:tc>
        <w:tc>
          <w:tcPr>
            <w:tcW w:w="6346" w:type="dxa"/>
            <w:tcBorders>
              <w:top w:val="single" w:color="auto" w:sz="8" w:space="0"/>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ARIMA</w:t>
            </w:r>
          </w:p>
        </w:tc>
      </w:tr>
      <w:tr>
        <w:tblPrEx>
          <w:tblCellMar>
            <w:top w:w="0" w:type="dxa"/>
            <w:left w:w="108" w:type="dxa"/>
            <w:bottom w:w="0" w:type="dxa"/>
            <w:right w:w="108" w:type="dxa"/>
          </w:tblCellMar>
        </w:tblPrEx>
        <w:trPr>
          <w:trHeight w:val="567" w:hRule="atLeast"/>
          <w:jc w:val="center"/>
        </w:trPr>
        <w:tc>
          <w:tcPr>
            <w:tcW w:w="162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分类</w:t>
            </w:r>
          </w:p>
        </w:tc>
        <w:tc>
          <w:tcPr>
            <w:tcW w:w="6346"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特征选择、神经网络、贝叶斯网络、随机森林</w:t>
            </w:r>
          </w:p>
        </w:tc>
      </w:tr>
      <w:tr>
        <w:tblPrEx>
          <w:tblCellMar>
            <w:top w:w="0" w:type="dxa"/>
            <w:left w:w="108" w:type="dxa"/>
            <w:bottom w:w="0" w:type="dxa"/>
            <w:right w:w="108" w:type="dxa"/>
          </w:tblCellMar>
        </w:tblPrEx>
        <w:trPr>
          <w:trHeight w:val="567" w:hRule="atLeast"/>
          <w:jc w:val="center"/>
        </w:trPr>
        <w:tc>
          <w:tcPr>
            <w:tcW w:w="162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回归</w:t>
            </w:r>
          </w:p>
        </w:tc>
        <w:tc>
          <w:tcPr>
            <w:tcW w:w="6346"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线性回归、线性回归预测、逻辑回归、逻辑回归预测</w:t>
            </w:r>
          </w:p>
        </w:tc>
      </w:tr>
      <w:tr>
        <w:tblPrEx>
          <w:tblCellMar>
            <w:top w:w="0" w:type="dxa"/>
            <w:left w:w="108" w:type="dxa"/>
            <w:bottom w:w="0" w:type="dxa"/>
            <w:right w:w="108" w:type="dxa"/>
          </w:tblCellMar>
        </w:tblPrEx>
        <w:trPr>
          <w:trHeight w:val="567" w:hRule="atLeast"/>
          <w:jc w:val="center"/>
        </w:trPr>
        <w:tc>
          <w:tcPr>
            <w:tcW w:w="1620"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聚类</w:t>
            </w:r>
          </w:p>
        </w:tc>
        <w:tc>
          <w:tcPr>
            <w:tcW w:w="6346" w:type="dxa"/>
            <w:tcBorders>
              <w:top w:val="nil"/>
              <w:left w:val="nil"/>
              <w:bottom w:val="single" w:color="auto" w:sz="4"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K-means聚类分析、K~medoids聚类分析、层次聚类分析</w:t>
            </w:r>
          </w:p>
        </w:tc>
      </w:tr>
      <w:tr>
        <w:tblPrEx>
          <w:tblCellMar>
            <w:top w:w="0" w:type="dxa"/>
            <w:left w:w="108" w:type="dxa"/>
            <w:bottom w:w="0" w:type="dxa"/>
            <w:right w:w="108" w:type="dxa"/>
          </w:tblCellMar>
        </w:tblPrEx>
        <w:trPr>
          <w:trHeight w:val="567" w:hRule="atLeast"/>
          <w:jc w:val="center"/>
        </w:trPr>
        <w:tc>
          <w:tcPr>
            <w:tcW w:w="1620" w:type="dxa"/>
            <w:tcBorders>
              <w:top w:val="nil"/>
              <w:left w:val="single" w:color="auto" w:sz="8" w:space="0"/>
              <w:bottom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文本分析</w:t>
            </w:r>
          </w:p>
        </w:tc>
        <w:tc>
          <w:tcPr>
            <w:tcW w:w="6346" w:type="dxa"/>
            <w:tcBorders>
              <w:top w:val="nil"/>
              <w:left w:val="nil"/>
              <w:bottom w:val="single" w:color="auto" w:sz="8" w:space="0"/>
              <w:right w:val="single" w:color="auto" w:sz="8"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关键字提取、分词、噪声词过滤、词云</w:t>
            </w:r>
          </w:p>
        </w:tc>
      </w:tr>
    </w:tbl>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上述分析模型将会根据实际的使用场景不断增加，最终可为用户提供多行业、多种类的分析模型进行参考使用。数据可视化展示</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（1）报表数据信息的可视化展示。</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（2）支持基于企业地理位置信息的地图数据可视化展示。全貌展示温州市的中小微企业的分布情况；直观的展示基于以下几大类的地理位置分布情况：</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1）基于行业的企业分布情况；</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2）基于区域的企业分布情况；</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3）基于小微园区的企业信用分布情况；</w:t>
      </w:r>
    </w:p>
    <w:p>
      <w:pPr>
        <w:pStyle w:val="2"/>
        <w:pageBreakBefore w:val="0"/>
        <w:tabs>
          <w:tab w:val="right" w:leader="dot" w:pos="8301"/>
        </w:tabs>
        <w:kinsoku/>
        <w:wordWrap/>
        <w:overflowPunct/>
        <w:topLinePunct w:val="0"/>
        <w:bidi w:val="0"/>
        <w:adjustRightInd/>
        <w:snapToGrid/>
        <w:spacing w:before="156" w:beforeLines="5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2.5.4</w:t>
      </w:r>
      <w:r>
        <w:rPr>
          <w:rFonts w:hint="eastAsia" w:ascii="新宋体" w:hAnsi="新宋体" w:eastAsia="新宋体" w:cs="新宋体"/>
          <w:kern w:val="0"/>
          <w:sz w:val="22"/>
          <w:szCs w:val="22"/>
          <w:highlight w:val="none"/>
        </w:rPr>
        <w:t>行业区域融资投放分析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利用可视化图表展示行业或区域的融资投放情况的分析，主要包括对区域融 资趋势、行业融资趋势、区域企业动态情况的分析内容。</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61" w:name="_Toc37322554"/>
      <w:r>
        <w:rPr>
          <w:rFonts w:hint="eastAsia" w:ascii="新宋体" w:hAnsi="新宋体" w:eastAsia="新宋体" w:cs="新宋体"/>
          <w:b/>
          <w:bCs/>
          <w:sz w:val="22"/>
          <w:szCs w:val="22"/>
          <w:highlight w:val="none"/>
          <w:lang w:val="en-US" w:eastAsia="zh-CN"/>
        </w:rPr>
        <w:t>3、</w:t>
      </w:r>
      <w:r>
        <w:rPr>
          <w:rFonts w:hint="eastAsia" w:ascii="新宋体" w:hAnsi="新宋体" w:eastAsia="新宋体" w:cs="新宋体"/>
          <w:b/>
          <w:bCs/>
          <w:sz w:val="22"/>
          <w:szCs w:val="22"/>
          <w:highlight w:val="none"/>
        </w:rPr>
        <w:t>融资需求信息交互平台</w:t>
      </w:r>
      <w:bookmarkEnd w:id="61"/>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为金融机构和小微企业建立一个高效、快捷的融资需求信息交互平台（包括</w:t>
      </w:r>
      <w:r>
        <w:rPr>
          <w:rFonts w:hint="eastAsia" w:ascii="新宋体" w:hAnsi="新宋体" w:eastAsia="新宋体" w:cs="新宋体"/>
          <w:sz w:val="22"/>
          <w:szCs w:val="22"/>
          <w:highlight w:val="none"/>
          <w:lang w:val="en-US" w:eastAsia="zh-CN"/>
        </w:rPr>
        <w:t>PC</w:t>
      </w:r>
      <w:r>
        <w:rPr>
          <w:rFonts w:hint="eastAsia" w:ascii="新宋体" w:hAnsi="新宋体" w:eastAsia="新宋体" w:cs="新宋体"/>
          <w:sz w:val="22"/>
          <w:szCs w:val="22"/>
          <w:highlight w:val="none"/>
        </w:rPr>
        <w:t>端和移动端）。通过对金融综合服务平台数据进行深度加工，转换及整合，实现金融机构和小微企业间高效、快捷的融资需求信息交互和撮合。金融机构和企业可以在平台上分别发布自身金融产品和资金需求，实现企业和金融机构间的互联互通，双向交流。构建网上“信贷超市”，支持各类金融机构在平台展示各自的金融服务与金融产品，为企业提供扁平化的“浏览货架”，实现金融产品的一站式布局和开放式选择，提升企业的获得感和体验感。小微企业也可以将自身的融资需求发布到平台中，采取两种方式实现供需对接：一是金融机构竞价；二是系统智能匹配筛选，按照匹配程度展示金融产品供用户选择，选定确认后可将融资信息一键推送至相应商业银行。</w:t>
      </w:r>
    </w:p>
    <w:p>
      <w:pPr>
        <w:pageBreakBefore w:val="0"/>
        <w:kinsoku/>
        <w:wordWrap/>
        <w:overflowPunct/>
        <w:topLinePunct w:val="0"/>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drawing>
          <wp:anchor distT="0" distB="0" distL="114300" distR="114300" simplePos="0" relativeHeight="251665408" behindDoc="0" locked="0" layoutInCell="1" allowOverlap="1">
            <wp:simplePos x="0" y="0"/>
            <wp:positionH relativeFrom="column">
              <wp:posOffset>510540</wp:posOffset>
            </wp:positionH>
            <wp:positionV relativeFrom="paragraph">
              <wp:posOffset>194945</wp:posOffset>
            </wp:positionV>
            <wp:extent cx="5334635" cy="2400935"/>
            <wp:effectExtent l="0" t="0" r="18415" b="18415"/>
            <wp:wrapTopAndBottom/>
            <wp:docPr id="7" name="图片 4" descr="未命名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未命名文件(2)"/>
                    <pic:cNvPicPr>
                      <a:picLocks noChangeAspect="1"/>
                    </pic:cNvPicPr>
                  </pic:nvPicPr>
                  <pic:blipFill>
                    <a:blip r:embed="rId13"/>
                    <a:stretch>
                      <a:fillRect/>
                    </a:stretch>
                  </pic:blipFill>
                  <pic:spPr>
                    <a:xfrm>
                      <a:off x="0" y="0"/>
                      <a:ext cx="5334635" cy="2400935"/>
                    </a:xfrm>
                    <a:prstGeom prst="rect">
                      <a:avLst/>
                    </a:prstGeom>
                    <a:noFill/>
                    <a:ln>
                      <a:noFill/>
                    </a:ln>
                  </pic:spPr>
                </pic:pic>
              </a:graphicData>
            </a:graphic>
          </wp:anchor>
        </w:drawing>
      </w:r>
    </w:p>
    <w:p>
      <w:pPr>
        <w:pStyle w:val="2"/>
        <w:pageBreakBefore w:val="0"/>
        <w:tabs>
          <w:tab w:val="right" w:leader="dot" w:pos="8301"/>
        </w:tabs>
        <w:kinsoku/>
        <w:wordWrap/>
        <w:overflowPunct/>
        <w:topLinePunct w:val="0"/>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图5 供需对接示意图</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3.1</w:t>
      </w:r>
      <w:r>
        <w:rPr>
          <w:rFonts w:hint="eastAsia" w:ascii="新宋体" w:hAnsi="新宋体" w:eastAsia="新宋体" w:cs="新宋体"/>
          <w:b/>
          <w:bCs/>
          <w:sz w:val="22"/>
          <w:szCs w:val="22"/>
          <w:highlight w:val="none"/>
        </w:rPr>
        <w:t>金融服务超市</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在银企对接平台的企业端，将各个金融机构发布的服务产品，按照一定规则 和顺序展示出来，每一个产品包括其产品属性或特定及要求，点击申请按钮可以 向某一个金融机构定向提交。在金融服务超市中，设置条件选择，企业可以对金 融服务超市中的银行产品进行筛选，也可以在搜索框中进行搜索。其主要功能有 产品要素的展示、条件筛选和产品搜索等</w:t>
      </w:r>
      <w:r>
        <w:rPr>
          <w:rFonts w:hint="eastAsia" w:ascii="新宋体" w:hAnsi="新宋体" w:eastAsia="新宋体" w:cs="新宋体"/>
          <w:sz w:val="22"/>
          <w:szCs w:val="22"/>
          <w:highlight w:val="none"/>
          <w:lang w:eastAsia="zh-CN"/>
        </w:rPr>
        <w:t>。</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3.2</w:t>
      </w:r>
      <w:r>
        <w:rPr>
          <w:rFonts w:hint="eastAsia" w:ascii="新宋体" w:hAnsi="新宋体" w:eastAsia="新宋体" w:cs="新宋体"/>
          <w:b/>
          <w:bCs/>
          <w:sz w:val="22"/>
          <w:szCs w:val="22"/>
          <w:highlight w:val="none"/>
        </w:rPr>
        <w:t>融资需求发布</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企业实名认证登录成功以后，可根据自身需求和融资场景发布融资需求。一 是筛选平台发布的融资产品，自主选择一家或多家金融机构发起申请。二是企业 可非定向发布融资需求，供金融机构筛选并主动对接提供金融服务。三是可以直 接点击查看并申请平台上金融机构发布的某类金融服务产品。</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主要功能有：</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•我的需求(需求编辑、提交、预览等操作)；</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•我的消息(接受银行反馈的相关消息)；</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•融资需求提交。</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3.3</w:t>
      </w:r>
      <w:r>
        <w:rPr>
          <w:rFonts w:hint="eastAsia" w:ascii="新宋体" w:hAnsi="新宋体" w:eastAsia="新宋体" w:cs="新宋体"/>
          <w:b/>
          <w:bCs/>
          <w:sz w:val="22"/>
          <w:szCs w:val="22"/>
          <w:highlight w:val="none"/>
        </w:rPr>
        <w:t>产品发布管理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金融机构以实名认证方式登录，可以在平台上面向所有企业发布有自己的特 色金融服务产品，供企业进行查阅和申请。产品发布前，需经后台管理人员审核， 且发布的产品类型须符合支持民营经济、小微企业、科技企业、绿色信贷等政策 导向。为了尽可能实现企业融资需求多样化与银行金融服务个性化的精准匹配， 银行发布的产品需按照标准化的格式或模板(图文或视频)进行发布。</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主要功能有：</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b w:val="0"/>
          <w:bCs/>
          <w:kern w:val="0"/>
          <w:sz w:val="22"/>
          <w:szCs w:val="22"/>
          <w:highlight w:val="none"/>
        </w:rPr>
      </w:pPr>
      <w:bookmarkStart w:id="62" w:name="bookmark818"/>
      <w:bookmarkEnd w:id="62"/>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1</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产品发布管理</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rPr>
        <w:t>添加产品、产品编辑、产品冻结、产品下架；</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b w:val="0"/>
          <w:bCs/>
          <w:kern w:val="0"/>
          <w:sz w:val="22"/>
          <w:szCs w:val="22"/>
          <w:highlight w:val="none"/>
        </w:rPr>
      </w:pPr>
      <w:bookmarkStart w:id="63" w:name="bookmark819"/>
      <w:bookmarkEnd w:id="63"/>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2</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产品列表</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kern w:val="0"/>
          <w:sz w:val="22"/>
          <w:szCs w:val="22"/>
          <w:highlight w:val="none"/>
        </w:rPr>
      </w:pPr>
      <w:r>
        <w:rPr>
          <w:rFonts w:hint="eastAsia" w:ascii="新宋体" w:hAnsi="新宋体" w:eastAsia="新宋体" w:cs="新宋体"/>
          <w:b w:val="0"/>
          <w:bCs/>
          <w:kern w:val="0"/>
          <w:sz w:val="22"/>
          <w:szCs w:val="22"/>
          <w:highlight w:val="none"/>
        </w:rPr>
        <w:t>显示银行已发布的所有产品列表；</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b w:val="0"/>
          <w:bCs/>
          <w:kern w:val="0"/>
          <w:sz w:val="22"/>
          <w:szCs w:val="22"/>
          <w:highlight w:val="none"/>
        </w:rPr>
      </w:pPr>
      <w:bookmarkStart w:id="64" w:name="bookmark820"/>
      <w:bookmarkEnd w:id="64"/>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lang w:val="en-US" w:eastAsia="zh-CN"/>
        </w:rPr>
        <w:t>3</w:t>
      </w:r>
      <w:r>
        <w:rPr>
          <w:rFonts w:hint="eastAsia" w:ascii="新宋体" w:hAnsi="新宋体" w:eastAsia="新宋体" w:cs="新宋体"/>
          <w:b w:val="0"/>
          <w:bCs/>
          <w:kern w:val="0"/>
          <w:sz w:val="22"/>
          <w:szCs w:val="22"/>
          <w:highlight w:val="none"/>
          <w:lang w:eastAsia="zh-CN"/>
        </w:rPr>
        <w:t>）</w:t>
      </w:r>
      <w:r>
        <w:rPr>
          <w:rFonts w:hint="eastAsia" w:ascii="新宋体" w:hAnsi="新宋体" w:eastAsia="新宋体" w:cs="新宋体"/>
          <w:b w:val="0"/>
          <w:bCs/>
          <w:kern w:val="0"/>
          <w:sz w:val="22"/>
          <w:szCs w:val="22"/>
          <w:highlight w:val="none"/>
        </w:rPr>
        <w:t>产品智能匹配</w:t>
      </w:r>
    </w:p>
    <w:p>
      <w:pPr>
        <w:pStyle w:val="2"/>
        <w:pageBreakBefore w:val="0"/>
        <w:tabs>
          <w:tab w:val="right" w:leader="dot" w:pos="8301"/>
        </w:tabs>
        <w:kinsoku/>
        <w:wordWrap/>
        <w:overflowPunct/>
        <w:topLinePunct w:val="0"/>
        <w:bidi w:val="0"/>
        <w:adjustRightInd/>
        <w:snapToGrid/>
        <w:spacing w:after="0" w:line="460" w:lineRule="exact"/>
        <w:ind w:firstLine="440" w:firstLineChars="200"/>
        <w:textAlignment w:val="auto"/>
        <w:rPr>
          <w:rFonts w:hint="eastAsia" w:ascii="新宋体" w:hAnsi="新宋体" w:eastAsia="新宋体" w:cs="新宋体"/>
          <w:b w:val="0"/>
          <w:bCs/>
          <w:sz w:val="22"/>
          <w:szCs w:val="22"/>
          <w:highlight w:val="none"/>
          <w:lang w:eastAsia="zh-TW"/>
        </w:rPr>
      </w:pPr>
      <w:r>
        <w:rPr>
          <w:rFonts w:hint="eastAsia" w:ascii="新宋体" w:hAnsi="新宋体" w:eastAsia="新宋体" w:cs="新宋体"/>
          <w:b w:val="0"/>
          <w:bCs/>
          <w:kern w:val="0"/>
          <w:sz w:val="22"/>
          <w:szCs w:val="22"/>
          <w:highlight w:val="none"/>
        </w:rPr>
        <w:t>根据已发布的产品，系统产品智能匹配模型自动匹配与之相关的企业。</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3.4</w:t>
      </w:r>
      <w:r>
        <w:rPr>
          <w:rFonts w:hint="eastAsia" w:ascii="新宋体" w:hAnsi="新宋体" w:eastAsia="新宋体" w:cs="新宋体"/>
          <w:b/>
          <w:bCs/>
          <w:sz w:val="22"/>
          <w:szCs w:val="22"/>
          <w:highlight w:val="none"/>
        </w:rPr>
        <w:t>企业精准推送</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精准推送</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后台设计精准匹配功能，该功能以平台的数据资源和分析模型为基础，按照 企业的经营状况、资本实力、资产负债比和融资规模等相关参数，得出与企业需 求相匹配的银行金融服务产品，精准对接到该金融机构，由金融机构按照需求服 务企业。</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bookmarkStart w:id="65" w:name="bookmark753"/>
      <w:bookmarkEnd w:id="65"/>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历史推送</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平台详细记录每条企业融资需求的对接状态、对接银行和对接结果（对接不 成功需列名原因）。同时银行开展企业走访，提交走访日志。</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bookmarkStart w:id="66" w:name="bookmark754"/>
      <w:bookmarkEnd w:id="66"/>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推送跟踪</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实时掌握融资服务推送情况，确保实现“三个第一”，即第一时间在平台发 布企业融资需求、第一时间督导金融机构开展融资对接、第一时间反馈融资对接 推送结果</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3.5</w:t>
      </w:r>
      <w:r>
        <w:rPr>
          <w:rFonts w:hint="eastAsia" w:ascii="新宋体" w:hAnsi="新宋体" w:eastAsia="新宋体" w:cs="新宋体"/>
          <w:b/>
          <w:bCs/>
          <w:sz w:val="22"/>
          <w:szCs w:val="22"/>
          <w:highlight w:val="none"/>
        </w:rPr>
        <w:t>企业需求监测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针对发布有融资需求的企业，平台提供企业需求监测，和监测参数设置等相 关功能。</w:t>
      </w:r>
    </w:p>
    <w:p>
      <w:pPr>
        <w:pStyle w:val="2"/>
        <w:pageBreakBefore w:val="0"/>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bookmarkStart w:id="67" w:name="bookmark768"/>
      <w:bookmarkEnd w:id="67"/>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企业需求监测</w:t>
      </w:r>
    </w:p>
    <w:p>
      <w:pPr>
        <w:pStyle w:val="2"/>
        <w:pageBreakBefore w:val="0"/>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实现企业发布的融资需求与银行端的需求认领情况监测。</w:t>
      </w:r>
    </w:p>
    <w:p>
      <w:pPr>
        <w:pStyle w:val="2"/>
        <w:pageBreakBefore w:val="0"/>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bookmarkStart w:id="68" w:name="bookmark769"/>
      <w:bookmarkEnd w:id="68"/>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监测参数设置</w:t>
      </w:r>
    </w:p>
    <w:p>
      <w:pPr>
        <w:pStyle w:val="2"/>
        <w:pageBreakBefore w:val="0"/>
        <w:tabs>
          <w:tab w:val="right" w:leader="dot" w:pos="8301"/>
        </w:tabs>
        <w:kinsoku/>
        <w:wordWrap/>
        <w:overflowPunct/>
        <w:topLinePunct w:val="0"/>
        <w:bidi w:val="0"/>
        <w:adjustRightInd/>
        <w:snapToGrid/>
        <w:spacing w:after="0" w:line="460" w:lineRule="exact"/>
        <w:ind w:left="48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银行超时处理自动提醒期限参数设置</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3.6</w:t>
      </w:r>
      <w:r>
        <w:rPr>
          <w:rFonts w:hint="eastAsia" w:ascii="新宋体" w:hAnsi="新宋体" w:eastAsia="新宋体" w:cs="新宋体"/>
          <w:b/>
          <w:bCs/>
          <w:sz w:val="22"/>
          <w:szCs w:val="22"/>
          <w:highlight w:val="none"/>
        </w:rPr>
        <w:t>银行产品监测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通过银行产品监测，实现展示各个银行通过系统发布的金融产品情况，包括 已下架、已发布的各类产品。</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银企对接成效展示</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银企对接成效大屏展示，自动筛选最佳配对，及时自动生成统计整个系统运 行的报告和项目融资对接的结果，对其他查询者屏蔽已撮合成功信息，自动释放 屏蔽期满的撮合成功信息。将釆集到的信息进行统计分析展示，对融资对接运行 情况、特色金融产品创新情况、金融服务提供情况等进行分析、监控展示。</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本地特色行业分析展示</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本地特色行业分析大屏：</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•块状经济/行业的企业评分横向对比，了解企业环境好的（前五）块状经 济/行业和企业环境差的（后五）块状经济/行业。</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•从块状经济/行业维度，从企业评分分布情况对比，分析各块状经济/行 业的企业水平。</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•各块状经济/行业近几年的综合企业评分对比分析，分析各块状经济/行 业趋势状况，挖掘分析潜在风险行业。</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•各块状经济/行业分别从资本实力，运营能力，盈利能力，偿付能力和发 展潜力的分值对比及与近几期的分值对比，分析各块状经济/行业的弱势面和强 势面，进一步挖掘各个块状经济/行业的风险特点。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•各个重点产业在不同乡镇街道分布的企业评分对比分析不同区域的重点 产业的异同，并探索差距原因，挖掘出现企业风险的可能因素。</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3.7</w:t>
      </w:r>
      <w:r>
        <w:rPr>
          <w:rFonts w:hint="eastAsia" w:ascii="新宋体" w:hAnsi="新宋体" w:eastAsia="新宋体" w:cs="新宋体"/>
          <w:b/>
          <w:bCs/>
          <w:sz w:val="22"/>
          <w:szCs w:val="22"/>
          <w:highlight w:val="none"/>
        </w:rPr>
        <w:t>助贷服务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根据国家、省、市相关政策，提供相应的助贷服务，主要包括：</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400"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财政补贴</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根据相关财政补贴政策，可以通过本平台给予银行相应补贴。</w:t>
      </w:r>
    </w:p>
    <w:p>
      <w:pPr>
        <w:pStyle w:val="2"/>
        <w:pageBreakBefore w:val="0"/>
        <w:numPr>
          <w:ilvl w:val="0"/>
          <w:numId w:val="0"/>
        </w:numPr>
        <w:tabs>
          <w:tab w:val="right" w:leader="dot" w:pos="8301"/>
        </w:tabs>
        <w:kinsoku/>
        <w:wordWrap/>
        <w:overflowPunct/>
        <w:topLinePunct w:val="0"/>
        <w:bidi w:val="0"/>
        <w:adjustRightInd/>
        <w:snapToGrid/>
        <w:spacing w:after="0" w:line="460" w:lineRule="exact"/>
        <w:ind w:left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担保服务：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根据本平台的企业信用评分，为小微企业提供担保服务。</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3.8</w:t>
      </w:r>
      <w:r>
        <w:rPr>
          <w:rFonts w:hint="eastAsia" w:ascii="新宋体" w:hAnsi="新宋体" w:eastAsia="新宋体" w:cs="新宋体"/>
          <w:b/>
          <w:bCs/>
          <w:sz w:val="22"/>
          <w:szCs w:val="22"/>
          <w:highlight w:val="none"/>
        </w:rPr>
        <w:t>辅助分析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针对金融管理和政府职能部门的需要，提供统计信息和企业风险分析。主要 包括：</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•企业发展分析；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•信保基金分析；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•宏观金融风险分析；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•行业融资投放分析；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•区域融资投放分析；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•银行查询排名；</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•重点企业信用成长轨迹；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•融资结构分析。</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69" w:name="_Toc37322555"/>
      <w:r>
        <w:rPr>
          <w:rFonts w:hint="eastAsia" w:ascii="新宋体" w:hAnsi="新宋体" w:eastAsia="新宋体" w:cs="新宋体"/>
          <w:b/>
          <w:bCs/>
          <w:sz w:val="22"/>
          <w:szCs w:val="22"/>
          <w:highlight w:val="none"/>
          <w:lang w:val="en-US" w:eastAsia="zh-CN"/>
        </w:rPr>
        <w:t>4、</w:t>
      </w:r>
      <w:r>
        <w:rPr>
          <w:rFonts w:hint="eastAsia" w:ascii="新宋体" w:hAnsi="新宋体" w:eastAsia="新宋体" w:cs="新宋体"/>
          <w:b/>
          <w:bCs/>
          <w:sz w:val="22"/>
          <w:szCs w:val="22"/>
          <w:highlight w:val="none"/>
        </w:rPr>
        <w:t>银行审批</w:t>
      </w:r>
      <w:bookmarkEnd w:id="69"/>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银行对申请的信贷产品的企业，进行受理，银行人员可以点击查看企业信用 画像、信用评分和风险状况，同时可以可选择状态，如受理、拒绝贷款和同意授 信等相关功能的操作；在同意授信的情况下，可以提交企业的信贷信息，如授信 金额、授信类型、授信时间等。</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融资需求初步对接成功后，平台支持两种订单分发模式。一是银行可通过平台PC端或者微信端分发至相对应的客户经理。二是可接入银行业务分发系统，更加快捷地分发订单。客户经理收到企业融资需求订单后，平台可支持两种模式进行数据使用。一是页面查询。客户经理可在金融综合服务平台一键查询企业相关数据。二是接口调用。银行可通过接口调用的形式，打通银行业务系统，可建立风控模型等方式灵活平台数据，应用于信贷全流程管理，同时将银行对企业的评价回传至金融综合服务平台。</w:t>
      </w:r>
    </w:p>
    <w:p>
      <w:pPr>
        <w:pageBreakBefore w:val="0"/>
        <w:kinsoku/>
        <w:wordWrap/>
        <w:overflowPunct/>
        <w:topLinePunct w:val="0"/>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drawing>
          <wp:anchor distT="0" distB="0" distL="114300" distR="114300" simplePos="0" relativeHeight="251666432" behindDoc="0" locked="0" layoutInCell="1" allowOverlap="1">
            <wp:simplePos x="0" y="0"/>
            <wp:positionH relativeFrom="column">
              <wp:posOffset>563880</wp:posOffset>
            </wp:positionH>
            <wp:positionV relativeFrom="paragraph">
              <wp:posOffset>200660</wp:posOffset>
            </wp:positionV>
            <wp:extent cx="5333365" cy="2418080"/>
            <wp:effectExtent l="0" t="0" r="635" b="1270"/>
            <wp:wrapTopAndBottom/>
            <wp:docPr id="8" name="图片 6" descr="未命名文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未命名文件(4)"/>
                    <pic:cNvPicPr>
                      <a:picLocks noChangeAspect="1"/>
                    </pic:cNvPicPr>
                  </pic:nvPicPr>
                  <pic:blipFill>
                    <a:blip r:embed="rId14"/>
                    <a:stretch>
                      <a:fillRect/>
                    </a:stretch>
                  </pic:blipFill>
                  <pic:spPr>
                    <a:xfrm>
                      <a:off x="0" y="0"/>
                      <a:ext cx="5333365" cy="2418080"/>
                    </a:xfrm>
                    <a:prstGeom prst="rect">
                      <a:avLst/>
                    </a:prstGeom>
                    <a:noFill/>
                    <a:ln>
                      <a:noFill/>
                    </a:ln>
                  </pic:spPr>
                </pic:pic>
              </a:graphicData>
            </a:graphic>
          </wp:anchor>
        </w:drawing>
      </w:r>
    </w:p>
    <w:p>
      <w:pPr>
        <w:pStyle w:val="2"/>
        <w:pageBreakBefore w:val="0"/>
        <w:tabs>
          <w:tab w:val="right" w:leader="dot" w:pos="8301"/>
        </w:tabs>
        <w:kinsoku/>
        <w:wordWrap/>
        <w:overflowPunct/>
        <w:topLinePunct w:val="0"/>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图6 银行审批示意图</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70" w:name="_Toc37322556"/>
      <w:r>
        <w:rPr>
          <w:rFonts w:hint="eastAsia" w:ascii="新宋体" w:hAnsi="新宋体" w:eastAsia="新宋体" w:cs="新宋体"/>
          <w:b/>
          <w:bCs/>
          <w:sz w:val="22"/>
          <w:szCs w:val="22"/>
          <w:highlight w:val="none"/>
          <w:lang w:val="en-US" w:eastAsia="zh-CN"/>
        </w:rPr>
        <w:t>5、</w:t>
      </w:r>
      <w:r>
        <w:rPr>
          <w:rFonts w:hint="eastAsia" w:ascii="新宋体" w:hAnsi="新宋体" w:eastAsia="新宋体" w:cs="新宋体"/>
          <w:b/>
          <w:bCs/>
          <w:sz w:val="22"/>
          <w:szCs w:val="22"/>
          <w:highlight w:val="none"/>
        </w:rPr>
        <w:t>风险防范</w:t>
      </w:r>
      <w:bookmarkEnd w:id="70"/>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开发平台风险预警模块。充分利用温州“金融大脑”平台，对接温州银保监分局的相关数据，加快开发风险预警产品，用于监测企业金融风险。联合市司法局开发金融风险线上快速处置模块，对一般信贷等事实清楚、争议不大的纠纷适用简易程序，加快不良贷款风险处置速度。联合市财政局研究风险补偿机制，根据财政支持深化民营和小微企业金融服务综合改革政策，对我市金融机构和政府性融资担保机构因贷款、担保等业务发生的实际损失风险补偿。</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通过对企业客户各项风险因素的跟踪监测，及时发现和识别影响客户还款能力的事件，评价客户违约的可能性。监测内容包括企业基本信息、经营管理状况、信贷情况、财务状况、诉讼情况、行政处罚情况等。</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为金融机构提供风险监测、预警、报告、统计等功能。建立覆盖整个授信业 务流程的融资风险诊断和预警功能，监测企业日常经营活动中的具体风险事件， 暴露企业潜在违约行为，并通过综合分析反映区域金融风险发展趋势。</w:t>
      </w:r>
    </w:p>
    <w:p>
      <w:pPr>
        <w:pageBreakBefore w:val="0"/>
        <w:kinsoku/>
        <w:wordWrap/>
        <w:overflowPunct/>
        <w:topLinePunct w:val="0"/>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drawing>
          <wp:anchor distT="0" distB="0" distL="114300" distR="114300" simplePos="0" relativeHeight="251668480" behindDoc="0" locked="0" layoutInCell="1" allowOverlap="1">
            <wp:simplePos x="0" y="0"/>
            <wp:positionH relativeFrom="column">
              <wp:posOffset>297180</wp:posOffset>
            </wp:positionH>
            <wp:positionV relativeFrom="paragraph">
              <wp:posOffset>264160</wp:posOffset>
            </wp:positionV>
            <wp:extent cx="5334000" cy="1752600"/>
            <wp:effectExtent l="0" t="0" r="0" b="0"/>
            <wp:wrapTopAndBottom/>
            <wp:docPr id="10" name="图片 7" descr="未命名文件(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未命名文件(5)"/>
                    <pic:cNvPicPr>
                      <a:picLocks noChangeAspect="1"/>
                    </pic:cNvPicPr>
                  </pic:nvPicPr>
                  <pic:blipFill>
                    <a:blip r:embed="rId15"/>
                    <a:stretch>
                      <a:fillRect/>
                    </a:stretch>
                  </pic:blipFill>
                  <pic:spPr>
                    <a:xfrm>
                      <a:off x="0" y="0"/>
                      <a:ext cx="5334000" cy="1752600"/>
                    </a:xfrm>
                    <a:prstGeom prst="rect">
                      <a:avLst/>
                    </a:prstGeom>
                    <a:noFill/>
                    <a:ln>
                      <a:noFill/>
                    </a:ln>
                  </pic:spPr>
                </pic:pic>
              </a:graphicData>
            </a:graphic>
          </wp:anchor>
        </w:drawing>
      </w:r>
    </w:p>
    <w:p>
      <w:pPr>
        <w:pStyle w:val="2"/>
        <w:pageBreakBefore w:val="0"/>
        <w:tabs>
          <w:tab w:val="right" w:leader="dot" w:pos="8301"/>
        </w:tabs>
        <w:kinsoku/>
        <w:wordWrap/>
        <w:overflowPunct/>
        <w:topLinePunct w:val="0"/>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图7 风险防范示意图</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71" w:name="_Toc37322557"/>
      <w:r>
        <w:rPr>
          <w:rFonts w:hint="eastAsia" w:ascii="新宋体" w:hAnsi="新宋体" w:eastAsia="新宋体" w:cs="新宋体"/>
          <w:b/>
          <w:bCs/>
          <w:sz w:val="22"/>
          <w:szCs w:val="22"/>
          <w:highlight w:val="none"/>
          <w:lang w:val="en-US" w:eastAsia="zh-CN"/>
        </w:rPr>
        <w:t>6、</w:t>
      </w:r>
      <w:r>
        <w:rPr>
          <w:rFonts w:hint="eastAsia" w:ascii="新宋体" w:hAnsi="新宋体" w:eastAsia="新宋体" w:cs="新宋体"/>
          <w:b/>
          <w:bCs/>
          <w:sz w:val="22"/>
          <w:szCs w:val="22"/>
          <w:highlight w:val="none"/>
        </w:rPr>
        <w:t>移动端服务</w:t>
      </w:r>
      <w:bookmarkEnd w:id="71"/>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移动端服务作为金融综合服务平台的手机端的延伸，为金融机构及小微企 业提供服务。面向企业提供服务的移动服务端，根据省政府数字话转型的要求, 面向金融机构的手机服务端，将通过支付宝/微信小程序、“浙里办”等方式提供业务功能，为银行的客户经理提供 企业信用信息的查询、订阅、风险预警提醒和相关业务受理等服务</w:t>
      </w:r>
      <w:r>
        <w:rPr>
          <w:rFonts w:hint="eastAsia" w:ascii="新宋体" w:hAnsi="新宋体" w:eastAsia="新宋体" w:cs="新宋体"/>
          <w:sz w:val="22"/>
          <w:szCs w:val="22"/>
          <w:highlight w:val="none"/>
          <w:lang w:eastAsia="zh-CN"/>
        </w:rPr>
        <w:t>。</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72" w:name="_Toc37322558"/>
      <w:r>
        <w:rPr>
          <w:rFonts w:hint="eastAsia" w:ascii="新宋体" w:hAnsi="新宋体" w:eastAsia="新宋体" w:cs="新宋体"/>
          <w:b/>
          <w:bCs/>
          <w:sz w:val="22"/>
          <w:szCs w:val="22"/>
          <w:highlight w:val="none"/>
          <w:lang w:val="en-US" w:eastAsia="zh-CN"/>
        </w:rPr>
        <w:t>7、</w:t>
      </w:r>
      <w:r>
        <w:rPr>
          <w:rFonts w:hint="eastAsia" w:ascii="新宋体" w:hAnsi="新宋体" w:eastAsia="新宋体" w:cs="新宋体"/>
          <w:b/>
          <w:bCs/>
          <w:sz w:val="22"/>
          <w:szCs w:val="22"/>
          <w:highlight w:val="none"/>
        </w:rPr>
        <w:t>大屏展示服务</w:t>
      </w:r>
      <w:bookmarkEnd w:id="72"/>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将建设15 m2 LED屏，对金融综合服务平台进行实时展示，其效果可参考下图：</w:t>
      </w:r>
    </w:p>
    <w:p>
      <w:pPr>
        <w:pageBreakBefore w:val="0"/>
        <w:kinsoku/>
        <w:wordWrap/>
        <w:overflowPunct/>
        <w:topLinePunct w:val="0"/>
        <w:bidi w:val="0"/>
        <w:adjustRightInd/>
        <w:snapToGrid/>
        <w:spacing w:line="460" w:lineRule="exact"/>
        <w:textAlignment w:val="auto"/>
        <w:rPr>
          <w:rFonts w:hint="eastAsia" w:ascii="新宋体" w:hAnsi="新宋体" w:eastAsia="新宋体" w:cs="新宋体"/>
          <w:sz w:val="22"/>
          <w:szCs w:val="22"/>
          <w:highlight w:val="none"/>
        </w:rPr>
      </w:pPr>
    </w:p>
    <w:p>
      <w:pPr>
        <w:pStyle w:val="2"/>
        <w:pageBreakBefore w:val="0"/>
        <w:tabs>
          <w:tab w:val="right" w:leader="dot" w:pos="8301"/>
        </w:tabs>
        <w:kinsoku/>
        <w:wordWrap/>
        <w:overflowPunct/>
        <w:topLinePunct w:val="0"/>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drawing>
          <wp:anchor distT="0" distB="0" distL="0" distR="0" simplePos="0" relativeHeight="251667456" behindDoc="0" locked="0" layoutInCell="1" allowOverlap="1">
            <wp:simplePos x="0" y="0"/>
            <wp:positionH relativeFrom="column">
              <wp:posOffset>480060</wp:posOffset>
            </wp:positionH>
            <wp:positionV relativeFrom="paragraph">
              <wp:posOffset>165100</wp:posOffset>
            </wp:positionV>
            <wp:extent cx="5272405" cy="2976880"/>
            <wp:effectExtent l="0" t="0" r="4445" b="13970"/>
            <wp:wrapTopAndBottom/>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6"/>
                    <a:stretch>
                      <a:fillRect/>
                    </a:stretch>
                  </pic:blipFill>
                  <pic:spPr>
                    <a:xfrm>
                      <a:off x="0" y="0"/>
                      <a:ext cx="5272405" cy="2976880"/>
                    </a:xfrm>
                    <a:prstGeom prst="rect">
                      <a:avLst/>
                    </a:prstGeom>
                    <a:noFill/>
                    <a:ln>
                      <a:noFill/>
                    </a:ln>
                  </pic:spPr>
                </pic:pic>
              </a:graphicData>
            </a:graphic>
          </wp:anchor>
        </w:drawing>
      </w:r>
      <w:r>
        <w:rPr>
          <w:rFonts w:hint="eastAsia" w:ascii="新宋体" w:hAnsi="新宋体" w:eastAsia="新宋体" w:cs="新宋体"/>
          <w:sz w:val="22"/>
          <w:szCs w:val="22"/>
          <w:highlight w:val="none"/>
        </w:rPr>
        <w:t>图9 大屏展示</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rPr>
      </w:pPr>
      <w:bookmarkStart w:id="73" w:name="_Toc37322559"/>
      <w:r>
        <w:rPr>
          <w:rFonts w:hint="eastAsia" w:ascii="新宋体" w:hAnsi="新宋体" w:eastAsia="新宋体" w:cs="新宋体"/>
          <w:b/>
          <w:bCs/>
          <w:sz w:val="22"/>
          <w:szCs w:val="22"/>
          <w:highlight w:val="none"/>
          <w:lang w:val="en-US" w:eastAsia="zh-CN"/>
        </w:rPr>
        <w:t>8、</w:t>
      </w:r>
      <w:r>
        <w:rPr>
          <w:rFonts w:hint="eastAsia" w:ascii="新宋体" w:hAnsi="新宋体" w:eastAsia="新宋体" w:cs="新宋体"/>
          <w:b/>
          <w:bCs/>
          <w:sz w:val="22"/>
          <w:szCs w:val="22"/>
          <w:highlight w:val="none"/>
        </w:rPr>
        <w:t>业务应用支撑</w:t>
      </w:r>
      <w:bookmarkEnd w:id="73"/>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8.1</w:t>
      </w:r>
      <w:r>
        <w:rPr>
          <w:rFonts w:hint="eastAsia" w:ascii="新宋体" w:hAnsi="新宋体" w:eastAsia="新宋体" w:cs="新宋体"/>
          <w:b/>
          <w:bCs/>
          <w:sz w:val="22"/>
          <w:szCs w:val="22"/>
          <w:highlight w:val="none"/>
        </w:rPr>
        <w:t>统一身份认证</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为保障金融综合服务平台的系统运行安全，防止系统被非法访问以及篡改信用数据，需要实现登录平台以及移动端服务的用户进行实名认证。其认证方式如下：</w:t>
      </w:r>
    </w:p>
    <w:p>
      <w:pPr>
        <w:pStyle w:val="201"/>
        <w:pageBreakBefore w:val="0"/>
        <w:numPr>
          <w:ilvl w:val="0"/>
          <w:numId w:val="9"/>
        </w:numPr>
        <w:kinsoku/>
        <w:wordWrap/>
        <w:overflowPunct/>
        <w:topLinePunct w:val="0"/>
        <w:bidi w:val="0"/>
        <w:adjustRightInd/>
        <w:snapToGrid/>
        <w:spacing w:line="460" w:lineRule="exact"/>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公务人员：将统一与钉钉中的“浙政钉”对接，进行身份认证；</w:t>
      </w:r>
    </w:p>
    <w:p>
      <w:pPr>
        <w:pStyle w:val="201"/>
        <w:pageBreakBefore w:val="0"/>
        <w:numPr>
          <w:ilvl w:val="0"/>
          <w:numId w:val="9"/>
        </w:numPr>
        <w:kinsoku/>
        <w:wordWrap/>
        <w:overflowPunct/>
        <w:topLinePunct w:val="0"/>
        <w:bidi w:val="0"/>
        <w:adjustRightInd/>
        <w:snapToGrid/>
        <w:spacing w:line="460" w:lineRule="exact"/>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企业：将统一采用与“浙里办”平台对接，进行企业认证。</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8.2</w:t>
      </w:r>
      <w:r>
        <w:rPr>
          <w:rFonts w:hint="eastAsia" w:ascii="新宋体" w:hAnsi="新宋体" w:eastAsia="新宋体" w:cs="新宋体"/>
          <w:b/>
          <w:bCs/>
          <w:sz w:val="22"/>
          <w:szCs w:val="22"/>
          <w:highlight w:val="none"/>
        </w:rPr>
        <w:t>省银保监接口</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根据省市相关要求，与省银保监相关平台对接，进行数据交换，确保数据的统一和互通。同时，对接温州银保监的不动产抵押登记系统，确保银企信贷业务的一站式办理。</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8.3</w:t>
      </w:r>
      <w:r>
        <w:rPr>
          <w:rFonts w:hint="eastAsia" w:ascii="新宋体" w:hAnsi="新宋体" w:eastAsia="新宋体" w:cs="新宋体"/>
          <w:b/>
          <w:bCs/>
          <w:sz w:val="22"/>
          <w:szCs w:val="22"/>
          <w:highlight w:val="none"/>
        </w:rPr>
        <w:t>融资业务受理接口</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平台受理的融资业务开放标准接口，商业银行机构可通过标准接口对接。</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8.4</w:t>
      </w:r>
      <w:r>
        <w:rPr>
          <w:rFonts w:hint="eastAsia" w:ascii="新宋体" w:hAnsi="新宋体" w:eastAsia="新宋体" w:cs="新宋体"/>
          <w:b/>
          <w:bCs/>
          <w:sz w:val="22"/>
          <w:szCs w:val="22"/>
          <w:highlight w:val="none"/>
        </w:rPr>
        <w:t>政策兑现申请系统</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针对相关政府部门出台的面向小微企业的贴息或其他扶持政策，开发政策兑现申请系统，结合电子签名的环节，按照省政府数字化转型和"最多跑一次”改革的要求，让传统模式下的政策兑现的申请全流程电子化，从而使企业扶持政策的兑现实现线上“零接触”业务办理。</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8.5</w:t>
      </w:r>
      <w:r>
        <w:rPr>
          <w:rFonts w:hint="eastAsia" w:ascii="新宋体" w:hAnsi="新宋体" w:eastAsia="新宋体" w:cs="新宋体"/>
          <w:b/>
          <w:bCs/>
          <w:sz w:val="22"/>
          <w:szCs w:val="22"/>
          <w:highlight w:val="none"/>
        </w:rPr>
        <w:t>新闻动态</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展现金融相关新闻，包括温州市金融新闻、国内金融新闻、金融政策法规等 栏目，还可以扩展最新公告等功能。</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8.6</w:t>
      </w:r>
      <w:r>
        <w:rPr>
          <w:rFonts w:hint="eastAsia" w:ascii="新宋体" w:hAnsi="新宋体" w:eastAsia="新宋体" w:cs="新宋体"/>
          <w:b/>
          <w:bCs/>
          <w:sz w:val="22"/>
          <w:szCs w:val="22"/>
          <w:highlight w:val="none"/>
        </w:rPr>
        <w:t>政策中心</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政策法规包含国内外和本地金融法律法规、金融服务相关政策法规、信用体系建设相关制度和政策解读以及行业自律公约等。</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74" w:name="_Toc37322560"/>
      <w:r>
        <w:rPr>
          <w:rFonts w:hint="eastAsia" w:ascii="新宋体" w:hAnsi="新宋体" w:eastAsia="新宋体" w:cs="新宋体"/>
          <w:sz w:val="22"/>
          <w:szCs w:val="22"/>
          <w:highlight w:val="none"/>
          <w:lang w:val="en-US" w:eastAsia="zh-CN"/>
        </w:rPr>
        <w:t>十、</w:t>
      </w:r>
      <w:r>
        <w:rPr>
          <w:rFonts w:hint="eastAsia" w:ascii="新宋体" w:hAnsi="新宋体" w:eastAsia="新宋体" w:cs="新宋体"/>
          <w:sz w:val="22"/>
          <w:szCs w:val="22"/>
          <w:highlight w:val="none"/>
        </w:rPr>
        <w:t>网络系统建设方案</w:t>
      </w:r>
      <w:bookmarkEnd w:id="74"/>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sz w:val="22"/>
          <w:szCs w:val="22"/>
          <w:highlight w:val="none"/>
        </w:rPr>
      </w:pPr>
      <w:bookmarkStart w:id="75" w:name="_Toc37322561"/>
      <w:r>
        <w:rPr>
          <w:rFonts w:hint="eastAsia" w:ascii="新宋体" w:hAnsi="新宋体" w:eastAsia="新宋体" w:cs="新宋体"/>
          <w:b/>
          <w:bCs/>
          <w:sz w:val="22"/>
          <w:szCs w:val="22"/>
          <w:highlight w:val="none"/>
          <w:lang w:val="en-US" w:eastAsia="zh-CN"/>
        </w:rPr>
        <w:t>1、网络架构设计方案</w:t>
      </w:r>
      <w:bookmarkEnd w:id="75"/>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根据部署业务的不同和网络安全需要，对网络进行了分区域管理。本项目涉 及三个子网：公共服务专网、政务外网和部门业务专网。</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1</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部门业务专网</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部署各个部门的应用、业务数据库服务器、数据采集前置机等，同时通过交换机进行不同VPN区域的通信业务，将各个部门的数据提交到资源共享专网进行处理。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政务外网</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该网络汇集各个部门和企事业单位的数据后，根据系统的核心算法进行数据归集，清洗，挖掘，然后进入数据主题仓库，并按照信用信息资源进行分类，如按主题分类、行业分类、服务分类和资源分类等编制信用资源的目录款目，依授权共享给相关部门使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互联网</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该网段服务于金融机构和移动端等互联网终端，提供社会公众查询。</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76" w:name="_Toc37322562"/>
      <w:r>
        <w:rPr>
          <w:rFonts w:hint="eastAsia" w:ascii="新宋体" w:hAnsi="新宋体" w:eastAsia="新宋体" w:cs="新宋体"/>
          <w:b/>
          <w:bCs/>
          <w:sz w:val="22"/>
          <w:szCs w:val="22"/>
          <w:highlight w:val="none"/>
          <w:lang w:val="en-US" w:eastAsia="zh-CN"/>
        </w:rPr>
        <w:t>2、硬件资源配置方案</w:t>
      </w:r>
      <w:bookmarkEnd w:id="76"/>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金融综合服务平台部署在温州市政务云上，所需的硬件基础资源如下：</w:t>
      </w:r>
    </w:p>
    <w:tbl>
      <w:tblPr>
        <w:tblStyle w:val="52"/>
        <w:tblW w:w="7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40"/>
        <w:gridCol w:w="29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序号</w:t>
            </w:r>
          </w:p>
        </w:tc>
        <w:tc>
          <w:tcPr>
            <w:tcW w:w="114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网络</w:t>
            </w:r>
          </w:p>
        </w:tc>
        <w:tc>
          <w:tcPr>
            <w:tcW w:w="2920" w:type="dxa"/>
            <w:shd w:val="clear" w:color="000000" w:fill="FFFFFF"/>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服务卷用途</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b/>
                <w:bCs/>
                <w:color w:val="000000"/>
                <w:kern w:val="0"/>
                <w:sz w:val="22"/>
                <w:szCs w:val="22"/>
                <w:highlight w:val="none"/>
              </w:rPr>
              <w:t>CPU</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内存</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lang w:eastAsia="zh-TW"/>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w:t>
            </w:r>
          </w:p>
        </w:tc>
        <w:tc>
          <w:tcPr>
            <w:tcW w:w="1140" w:type="dxa"/>
            <w:vMerge w:val="restart"/>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政务网</w:t>
            </w:r>
          </w:p>
        </w:tc>
        <w:tc>
          <w:tcPr>
            <w:tcW w:w="2920" w:type="dxa"/>
            <w:shd w:val="clear" w:color="000000" w:fill="FFFFFF"/>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数据库服务器（主）</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2</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数据库服务器（备）</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3</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云存储</w:t>
            </w:r>
          </w:p>
        </w:tc>
        <w:tc>
          <w:tcPr>
            <w:tcW w:w="3060" w:type="dxa"/>
            <w:gridSpan w:val="3"/>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　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4</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service部署服务器1</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5</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service部署服务器2</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6</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WEB部署服务器1</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7</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WEB部署服务器2</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支撑应用服务器1</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9</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支撑应用服务器2</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10</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支撑应用服务器3</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11</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数据抽取服务器</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12</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负载均衡服务器（或者SLB）</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13</w:t>
            </w:r>
          </w:p>
        </w:tc>
        <w:tc>
          <w:tcPr>
            <w:tcW w:w="1140" w:type="dxa"/>
            <w:vMerge w:val="restart"/>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互联网</w:t>
            </w: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WEB部署服务器1</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14</w:t>
            </w:r>
          </w:p>
        </w:tc>
        <w:tc>
          <w:tcPr>
            <w:tcW w:w="1140" w:type="dxa"/>
            <w:vMerge w:val="continue"/>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WEB部署服务器2</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eastAsia="zh-TW"/>
              </w:rPr>
              <w:t>8核</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16G</w:t>
            </w:r>
          </w:p>
        </w:tc>
        <w:tc>
          <w:tcPr>
            <w:tcW w:w="10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2"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15</w:t>
            </w:r>
          </w:p>
        </w:tc>
        <w:tc>
          <w:tcPr>
            <w:tcW w:w="1140" w:type="dxa"/>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安全设备</w:t>
            </w:r>
          </w:p>
        </w:tc>
        <w:tc>
          <w:tcPr>
            <w:tcW w:w="2920" w:type="dxa"/>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运维审计（堡垒机）</w:t>
            </w:r>
          </w:p>
        </w:tc>
        <w:tc>
          <w:tcPr>
            <w:tcW w:w="3060" w:type="dxa"/>
            <w:gridSpan w:val="3"/>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包含SSL VPN接入服务，共享使用，统一管理，含运维管理服务，支持同一用户主体多个访问账号。含运维及报表服务。</w:t>
            </w:r>
          </w:p>
        </w:tc>
      </w:tr>
    </w:tbl>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77" w:name="_Toc37322563"/>
      <w:r>
        <w:rPr>
          <w:rFonts w:hint="eastAsia" w:ascii="新宋体" w:hAnsi="新宋体" w:eastAsia="新宋体" w:cs="新宋体"/>
          <w:sz w:val="22"/>
          <w:szCs w:val="22"/>
          <w:highlight w:val="none"/>
          <w:lang w:val="en-US" w:eastAsia="zh-CN"/>
        </w:rPr>
        <w:t>十一、</w:t>
      </w:r>
      <w:r>
        <w:rPr>
          <w:rFonts w:hint="eastAsia" w:ascii="新宋体" w:hAnsi="新宋体" w:eastAsia="新宋体" w:cs="新宋体"/>
          <w:sz w:val="22"/>
          <w:szCs w:val="22"/>
          <w:highlight w:val="none"/>
        </w:rPr>
        <w:t>安全系统建设方案</w:t>
      </w:r>
      <w:bookmarkEnd w:id="77"/>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78" w:name="_Toc37322564"/>
      <w:r>
        <w:rPr>
          <w:rFonts w:hint="eastAsia" w:ascii="新宋体" w:hAnsi="新宋体" w:eastAsia="新宋体" w:cs="新宋体"/>
          <w:b/>
          <w:bCs/>
          <w:sz w:val="22"/>
          <w:szCs w:val="22"/>
          <w:highlight w:val="none"/>
          <w:lang w:val="en-US" w:eastAsia="zh-CN"/>
        </w:rPr>
        <w:t>1、安全现状</w:t>
      </w:r>
      <w:bookmarkEnd w:id="78"/>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随着互联网的发展，各类互联网应用也呈爆发式增长。提升效率、给人们带来便利的同时，也不断考验互联网应用的安全防御体系。从传统的安全领域到业务层安全防范也在不断更迭演进。</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安全防御手段的不断更迭，新问题也不断出现。对于互联网海量的信息，诸多应用也在不断挖掘数据的价值。在自有数据不足的情况下，利用网络机器人（网络程序或者自动化工具）进行网络数据爬取成为比较普遍的手段。更有甚者，利用网络机器人进行爬票占票、网络撞库、网络刷单、恶意注册、恶意刷评价等行为也逐步盛行。</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网络机器人带来种种负面影响：</w:t>
      </w:r>
    </w:p>
    <w:p>
      <w:pPr>
        <w:pageBreakBefore w:val="0"/>
        <w:numPr>
          <w:ilvl w:val="0"/>
          <w:numId w:val="0"/>
        </w:numPr>
        <w:kinsoku/>
        <w:wordWrap/>
        <w:overflowPunct/>
        <w:topLinePunct w:val="0"/>
        <w:bidi w:val="0"/>
        <w:adjustRightInd/>
        <w:snapToGrid/>
        <w:spacing w:line="460" w:lineRule="exact"/>
        <w:ind w:left="480"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虚耗网络资源，无效益转化；</w:t>
      </w:r>
    </w:p>
    <w:p>
      <w:pPr>
        <w:pageBreakBefore w:val="0"/>
        <w:numPr>
          <w:ilvl w:val="0"/>
          <w:numId w:val="0"/>
        </w:numPr>
        <w:kinsoku/>
        <w:wordWrap/>
        <w:overflowPunct/>
        <w:topLinePunct w:val="0"/>
        <w:bidi w:val="0"/>
        <w:adjustRightInd/>
        <w:snapToGrid/>
        <w:spacing w:line="460" w:lineRule="exact"/>
        <w:ind w:left="480"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暴力流量，降低网站可用性；</w:t>
      </w:r>
    </w:p>
    <w:p>
      <w:pPr>
        <w:pageBreakBefore w:val="0"/>
        <w:numPr>
          <w:ilvl w:val="0"/>
          <w:numId w:val="0"/>
        </w:numPr>
        <w:kinsoku/>
        <w:wordWrap/>
        <w:overflowPunct/>
        <w:topLinePunct w:val="0"/>
        <w:bidi w:val="0"/>
        <w:adjustRightInd/>
        <w:snapToGrid/>
        <w:spacing w:line="460" w:lineRule="exact"/>
        <w:ind w:left="480"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影响正常客户访问，增加网站运营成本；</w:t>
      </w:r>
    </w:p>
    <w:p>
      <w:pPr>
        <w:pageBreakBefore w:val="0"/>
        <w:numPr>
          <w:ilvl w:val="0"/>
          <w:numId w:val="0"/>
        </w:numPr>
        <w:kinsoku/>
        <w:wordWrap/>
        <w:overflowPunct/>
        <w:topLinePunct w:val="0"/>
        <w:bidi w:val="0"/>
        <w:adjustRightInd/>
        <w:snapToGrid/>
        <w:spacing w:line="460" w:lineRule="exact"/>
        <w:ind w:left="480"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未经授权，二次利用网站数据，影响数据发布权威性；</w:t>
      </w:r>
    </w:p>
    <w:p>
      <w:pPr>
        <w:pageBreakBefore w:val="0"/>
        <w:numPr>
          <w:ilvl w:val="0"/>
          <w:numId w:val="0"/>
        </w:numPr>
        <w:kinsoku/>
        <w:wordWrap/>
        <w:overflowPunct/>
        <w:topLinePunct w:val="0"/>
        <w:bidi w:val="0"/>
        <w:adjustRightInd/>
        <w:snapToGrid/>
        <w:spacing w:line="460" w:lineRule="exact"/>
        <w:ind w:left="480"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5</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爬取产品信息、价格信息，不正当竞争；</w:t>
      </w:r>
    </w:p>
    <w:p>
      <w:pPr>
        <w:pageBreakBefore w:val="0"/>
        <w:numPr>
          <w:ilvl w:val="0"/>
          <w:numId w:val="0"/>
        </w:numPr>
        <w:kinsoku/>
        <w:wordWrap/>
        <w:overflowPunct/>
        <w:topLinePunct w:val="0"/>
        <w:bidi w:val="0"/>
        <w:adjustRightInd/>
        <w:snapToGrid/>
        <w:spacing w:line="460" w:lineRule="exact"/>
        <w:ind w:left="480"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6</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混淆网站用户生态，影响营销分析。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为了应对以上各种现状问题，需要建立一套数据安全保障服务，保证数据安全。</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79" w:name="_Toc37322565"/>
      <w:r>
        <w:rPr>
          <w:rFonts w:hint="eastAsia" w:ascii="新宋体" w:hAnsi="新宋体" w:eastAsia="新宋体" w:cs="新宋体"/>
          <w:b/>
          <w:bCs/>
          <w:sz w:val="22"/>
          <w:szCs w:val="22"/>
          <w:highlight w:val="none"/>
          <w:lang w:val="en-US" w:eastAsia="zh-CN"/>
        </w:rPr>
        <w:t>2、等保三级设计</w:t>
      </w:r>
      <w:bookmarkEnd w:id="79"/>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项目拟参照计算机信息系统等保三级的要求，构建信息安全防护体系，全方位对本项目系统进行综合的安全体系构建。等级保护实施过程主要参见《信息安全技术信息系统安全等级保护实施指南》。在本项目信息系统总体安全规划，安全设计与实施，安全运行与维护等阶段，参照GB 17859、GB/T 22239、GB/T 20269、GB/T 20270和GB/T 20271等技术标准。</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2.1应用安全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应用级安全是指在应用层上保证本系统各应用子系统的信息安全。应用层 的信息安全是面向用户和应用程序的，釆用身份认证、授权管理、应用审计以 及信息加解密作为基本手段，并可根据具体应用系统的实际需求提供灵活而可 靠的信息安全。</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2.1.1</w:t>
      </w:r>
      <w:r>
        <w:rPr>
          <w:rFonts w:hint="eastAsia" w:ascii="新宋体" w:hAnsi="新宋体" w:eastAsia="新宋体" w:cs="新宋体"/>
          <w:kern w:val="0"/>
          <w:sz w:val="22"/>
          <w:szCs w:val="22"/>
          <w:highlight w:val="none"/>
        </w:rPr>
        <w:t>安全权限</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(1)数据安全管理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系统内部的数据均需要设定安全访问级别，数据中间件层通过数据请求的 安全属性决定是否符合数据的安全级别，同时应用层也针对数据的安全级别制 定对应的展示安全控制，确保数据的安全性从存储到访问，再到展示都有严格 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(2)授权管理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提供对平台资源服务的访问权限管理，实现对不同的业务开放不同的权限 控制，提高系统对资源的安全性和可控制性。资源授权管理支持按照委办局组 织机构、用户账号、角色等多种方式进行授权管理。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(3)认证管理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提供对系统访问的统一认证管理，支持单点登录方式。对访问的账号信 息、集成对接的系统服务器信息、证书信息等方式进行认证，提高政务信息资源的访问安全性。</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w:t>
      </w:r>
      <w:r>
        <w:rPr>
          <w:rFonts w:hint="eastAsia" w:ascii="新宋体" w:hAnsi="新宋体" w:eastAsia="新宋体" w:cs="新宋体"/>
          <w:kern w:val="0"/>
          <w:sz w:val="22"/>
          <w:szCs w:val="22"/>
          <w:highlight w:val="none"/>
        </w:rPr>
        <w:t>2身份识别</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身份识别指提供专用的登录控制模块对登录用户进行身份标识和鉴别，确 认用户身份唯一性，提供登录失败处理机制，并可根据不同策略配置安全参数。</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w:t>
      </w:r>
      <w:r>
        <w:rPr>
          <w:rFonts w:hint="eastAsia" w:ascii="新宋体" w:hAnsi="新宋体" w:eastAsia="新宋体" w:cs="新宋体"/>
          <w:kern w:val="0"/>
          <w:sz w:val="22"/>
          <w:szCs w:val="22"/>
          <w:highlight w:val="none"/>
        </w:rPr>
        <w:t>3访问控制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访问控制指根据安全策略，控制用户对系统功能、文件、数据库表的访问，可根据不同用户授予不同级别的权限。</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w:t>
      </w:r>
      <w:r>
        <w:rPr>
          <w:rFonts w:hint="eastAsia" w:ascii="新宋体" w:hAnsi="新宋体" w:eastAsia="新宋体" w:cs="新宋体"/>
          <w:kern w:val="0"/>
          <w:sz w:val="22"/>
          <w:szCs w:val="22"/>
          <w:highlight w:val="none"/>
        </w:rPr>
        <w:t>4传输加密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加密传输是指利用加密传输系统提供可靠的端到端加密服务，以保证数据 的完整性、防窃取、防抵赖。具体涉及到诸如加密、解密、数字签名、密钥对 产生、信息摘要、随机数产生等基本安全服务。</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w:t>
      </w:r>
      <w:r>
        <w:rPr>
          <w:rFonts w:hint="eastAsia" w:ascii="新宋体" w:hAnsi="新宋体" w:eastAsia="新宋体" w:cs="新宋体"/>
          <w:kern w:val="0"/>
          <w:sz w:val="22"/>
          <w:szCs w:val="22"/>
          <w:highlight w:val="none"/>
        </w:rPr>
        <w:t>5应用审计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应用系统和数据的安全是重中之重，而通过应用系统直接进行入侵，对数 据进行窃取、破坏，造成的影响可能比其他都要严重，因此，确保应用系统及数据的安全是本整个应用安全平台必须考虑的问题。应用审计负责应用级行为的记录、分析和管理，它可以使系统管理员更好、更准确地了解和掌握应用系统运行情况，及时发现并解决出现的异常情况。</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w:t>
      </w:r>
      <w:r>
        <w:rPr>
          <w:rFonts w:hint="eastAsia" w:ascii="新宋体" w:hAnsi="新宋体" w:eastAsia="新宋体" w:cs="新宋体"/>
          <w:kern w:val="0"/>
          <w:sz w:val="22"/>
          <w:szCs w:val="22"/>
          <w:highlight w:val="none"/>
        </w:rPr>
        <w:t>6安全加固</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建立整体的安全威胁模型，对web访问存在的溢出漏洞、信息泄漏、错误处理、跨站漏洞、SQL注入等安全漏洞进行及时更新处理。通过加载安全组件包，对web访问的非法连接、恶意扫描、注入信息等按照安全规则进行有效拦截，保障应用平台安全稳定运行。</w:t>
      </w:r>
    </w:p>
    <w:p>
      <w:pPr>
        <w:pStyle w:val="2"/>
        <w:pageBreakBefore w:val="0"/>
        <w:tabs>
          <w:tab w:val="right" w:leader="dot" w:pos="8301"/>
        </w:tabs>
        <w:kinsoku/>
        <w:wordWrap/>
        <w:overflowPunct/>
        <w:topLinePunct w:val="0"/>
        <w:bidi w:val="0"/>
        <w:adjustRightInd/>
        <w:snapToGrid/>
        <w:spacing w:after="0" w:line="460" w:lineRule="exact"/>
        <w:ind w:left="482"/>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2.1.</w:t>
      </w:r>
      <w:r>
        <w:rPr>
          <w:rFonts w:hint="eastAsia" w:ascii="新宋体" w:hAnsi="新宋体" w:eastAsia="新宋体" w:cs="新宋体"/>
          <w:kern w:val="0"/>
          <w:sz w:val="22"/>
          <w:szCs w:val="22"/>
          <w:highlight w:val="none"/>
        </w:rPr>
        <w:t>7数据库安全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系统的数据库安全保护除尽量避免由于客观因素，如断电、火灾所造成的 物理整性破坏外，设计一个好的数据库结构也是一个重要的关键，如对一个字 段的修改不至于影响其它字段以保持逻辑完整性、定期数据库备份以及设置一 个合理的数据库权限管理等。</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2.2项目保密措施</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为了保护系统的安全性，系统建设从网络、系统、数据等方面进行“整体、全面"的防护，杜绝平台数据的泄露、泄密。</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网络安全设计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通过合理网段划分，利用防火墙隔离有效地消除不同网络之间，不同网络 之间可以任意互访的安全隐患；通过内外网的安全逻辑隔离，基本上消除了外 网带来的安全隐患。</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系统安全设计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系统安全重点解决操作系统、数据库和服务器等系统级安全问题，以建立 一个安全的软件运行环境，来有效抵抗黑客利用系统的安全缺陷对系统进行攻 击，主要措施包括：安全操作系统、安全数据库、黑客入侵检测、系统漏洞扫描及病毒防护系统等。通过漏洞扫描、入侵检测以及日志审计组成的“事前、事中、事后”三阶段立体防范体系，有效地防范黑客入侵行为；通过不同安全组件之间的互动防范，使得黑客防范体系具备一定的智能性，动态防范未来黑客的入侵行为。</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数据安全设计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数据安全对本系统来说尤其重要，数据库存储着极其关键敏感的数据，任 何细小的疏忽、遗漏而造成的敏感信息的破坏、泄露都将有可能导致异常严重 的后果。因此，如何保护这些敏感数据在使用、传输过程中高度的强壮性、保 密性、完整性和不可抵赖性是整个系统安全设计当中的重中之重。</w:t>
      </w:r>
    </w:p>
    <w:p>
      <w:pPr>
        <w:pStyle w:val="320"/>
        <w:pageBreakBefore w:val="0"/>
        <w:numPr>
          <w:ilvl w:val="0"/>
          <w:numId w:val="10"/>
        </w:numPr>
        <w:kinsoku/>
        <w:wordWrap/>
        <w:overflowPunct/>
        <w:topLinePunct w:val="0"/>
        <w:bidi w:val="0"/>
        <w:adjustRightInd/>
        <w:snapToGrid/>
        <w:spacing w:line="460" w:lineRule="exact"/>
        <w:ind w:left="0" w:firstLine="480" w:firstLine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强壮性：制定完备的备份方案和釆取必要的冗余技术（例如，RAID5、双机 备份、多机备份等，并且至少应具备双机备份）以确保丢失数据的可能性近可 能的小，恢复数据尽可能的完备、方便、快捷。</w:t>
      </w:r>
    </w:p>
    <w:p>
      <w:pPr>
        <w:pStyle w:val="320"/>
        <w:pageBreakBefore w:val="0"/>
        <w:numPr>
          <w:ilvl w:val="0"/>
          <w:numId w:val="10"/>
        </w:numPr>
        <w:kinsoku/>
        <w:wordWrap/>
        <w:overflowPunct/>
        <w:topLinePunct w:val="0"/>
        <w:bidi w:val="0"/>
        <w:adjustRightInd/>
        <w:snapToGrid/>
        <w:spacing w:line="460" w:lineRule="exact"/>
        <w:ind w:left="0" w:firstLine="480" w:firstLine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保密性：指釆取加密手段对在网络上传送的关键数据进行加密保护，在条 件允许的情况下，在本机的存储也要釆取相应的加密手段。</w:t>
      </w:r>
    </w:p>
    <w:p>
      <w:pPr>
        <w:pStyle w:val="320"/>
        <w:pageBreakBefore w:val="0"/>
        <w:numPr>
          <w:ilvl w:val="0"/>
          <w:numId w:val="10"/>
        </w:numPr>
        <w:kinsoku/>
        <w:wordWrap/>
        <w:overflowPunct/>
        <w:topLinePunct w:val="0"/>
        <w:bidi w:val="0"/>
        <w:adjustRightInd/>
        <w:snapToGrid/>
        <w:spacing w:line="460" w:lineRule="exact"/>
        <w:ind w:left="0" w:firstLine="480" w:firstLineChars="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完整性：指釆取必要的技术手段确保查询或是修改的数据的绝对真实、可 靠性。</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2.3管理安全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按照信息安全等级保护要求，信息安全管理体系包括；制定管理制度、设置安全管理机构、人员安全管理、系统建设管理、系统运维管理等5个方面。</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b/>
          <w:bCs/>
          <w:kern w:val="0"/>
          <w:sz w:val="22"/>
          <w:szCs w:val="22"/>
          <w:highlight w:val="none"/>
        </w:rPr>
      </w:pPr>
      <w:r>
        <w:rPr>
          <w:rFonts w:hint="eastAsia" w:ascii="新宋体" w:hAnsi="新宋体" w:eastAsia="新宋体" w:cs="新宋体"/>
          <w:b/>
          <w:bCs/>
          <w:kern w:val="0"/>
          <w:sz w:val="22"/>
          <w:szCs w:val="22"/>
          <w:highlight w:val="none"/>
          <w:lang w:val="en-US" w:eastAsia="zh-CN"/>
        </w:rPr>
        <w:t>2.3.1</w:t>
      </w:r>
      <w:r>
        <w:rPr>
          <w:rFonts w:hint="eastAsia" w:ascii="新宋体" w:hAnsi="新宋体" w:eastAsia="新宋体" w:cs="新宋体"/>
          <w:b/>
          <w:bCs/>
          <w:kern w:val="0"/>
          <w:sz w:val="22"/>
          <w:szCs w:val="22"/>
          <w:highlight w:val="none"/>
        </w:rPr>
        <w:t>制定管理制度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按照国家相关信息安全标准规范要求及成熟信息安全管理方法论，建立符 合本项目系统安全管理需求的管理制度，主要包括安全策略、管理制度、操作规程等，构成全面的信息安全管理制度体系。</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(1)安全策略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安全策略根据组织机构的风险及安全目标制定的行动策略即为安全策略。 安全策略通常建立在授权的基础之上，未经适当授权的实体，信息不可以给 予、不被访问、不允许引用、任何资源也不得使用。按照授权的性质，安全策 略分为如下几个方面：基于身份的安全策略、基于规则的安全策略、基于角色 的安全策略。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(2)管理制度</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人员管理制度</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安全巡检制度</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信息系统密码口令管理制度</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设备管理制度</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信息安全事件上报/处理制度</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系统监测/检查管理制度</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业务连续性管理制度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(3)操作规程</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信息安全基线</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信息安全事件处理流程</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信息安全事件应急处置流程</w:t>
      </w:r>
    </w:p>
    <w:p>
      <w:pPr>
        <w:pageBreakBefore w:val="0"/>
        <w:numPr>
          <w:ilvl w:val="0"/>
          <w:numId w:val="11"/>
        </w:numPr>
        <w:kinsoku/>
        <w:wordWrap/>
        <w:overflowPunct/>
        <w:topLinePunct w:val="0"/>
        <w:bidi w:val="0"/>
        <w:adjustRightInd/>
        <w:snapToGrid/>
        <w:spacing w:line="460" w:lineRule="exact"/>
        <w:ind w:firstLine="6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人员离岗信息清除流程</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b/>
          <w:bCs/>
          <w:kern w:val="0"/>
          <w:sz w:val="22"/>
          <w:szCs w:val="22"/>
          <w:highlight w:val="none"/>
        </w:rPr>
      </w:pPr>
      <w:r>
        <w:rPr>
          <w:rFonts w:hint="eastAsia" w:ascii="新宋体" w:hAnsi="新宋体" w:eastAsia="新宋体" w:cs="新宋体"/>
          <w:b/>
          <w:bCs/>
          <w:kern w:val="0"/>
          <w:sz w:val="22"/>
          <w:szCs w:val="22"/>
          <w:highlight w:val="none"/>
          <w:lang w:val="en-US" w:eastAsia="zh-CN"/>
        </w:rPr>
        <w:t>2.3.2</w:t>
      </w:r>
      <w:r>
        <w:rPr>
          <w:rFonts w:hint="eastAsia" w:ascii="新宋体" w:hAnsi="新宋体" w:eastAsia="新宋体" w:cs="新宋体"/>
          <w:b/>
          <w:bCs/>
          <w:kern w:val="0"/>
          <w:sz w:val="22"/>
          <w:szCs w:val="22"/>
          <w:highlight w:val="none"/>
        </w:rPr>
        <w:t>安全管理机构</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成立专门的信息安全管理机构，配备系统管理人员、网络管理人员、安全管理员等，其中安全管理员应为专职，关键事物岗位应配备多人共同管理。</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b/>
          <w:bCs/>
          <w:kern w:val="0"/>
          <w:sz w:val="22"/>
          <w:szCs w:val="22"/>
          <w:highlight w:val="none"/>
        </w:rPr>
      </w:pPr>
      <w:r>
        <w:rPr>
          <w:rFonts w:hint="eastAsia" w:ascii="新宋体" w:hAnsi="新宋体" w:eastAsia="新宋体" w:cs="新宋体"/>
          <w:b/>
          <w:bCs/>
          <w:kern w:val="0"/>
          <w:sz w:val="22"/>
          <w:szCs w:val="22"/>
          <w:highlight w:val="none"/>
          <w:lang w:val="en-US" w:eastAsia="zh-CN"/>
        </w:rPr>
        <w:t>2.3.3</w:t>
      </w:r>
      <w:r>
        <w:rPr>
          <w:rFonts w:hint="eastAsia" w:ascii="新宋体" w:hAnsi="新宋体" w:eastAsia="新宋体" w:cs="新宋体"/>
          <w:b/>
          <w:bCs/>
          <w:kern w:val="0"/>
          <w:sz w:val="22"/>
          <w:szCs w:val="22"/>
          <w:highlight w:val="none"/>
        </w:rPr>
        <w:t>人员安全管理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建立规范人员安全管理机制，对人员录用进行严格审查，并签署保密协议, 人员离职或转岗应办理严格的离职/转岗手续，包括终止/修改授权、相关设备设施、关键数据清理等，定期开展信息安全专业人员培训，定期对在岗人员进行安全技能和知识考核，严格执行外部人员访问受控区域制定。</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b/>
          <w:bCs/>
          <w:kern w:val="0"/>
          <w:sz w:val="22"/>
          <w:szCs w:val="22"/>
          <w:highlight w:val="none"/>
        </w:rPr>
      </w:pPr>
      <w:r>
        <w:rPr>
          <w:rFonts w:hint="eastAsia" w:ascii="新宋体" w:hAnsi="新宋体" w:eastAsia="新宋体" w:cs="新宋体"/>
          <w:b/>
          <w:bCs/>
          <w:kern w:val="0"/>
          <w:sz w:val="22"/>
          <w:szCs w:val="22"/>
          <w:highlight w:val="none"/>
          <w:lang w:val="en-US" w:eastAsia="zh-CN"/>
        </w:rPr>
        <w:t>2.3.4</w:t>
      </w:r>
      <w:r>
        <w:rPr>
          <w:rFonts w:hint="eastAsia" w:ascii="新宋体" w:hAnsi="新宋体" w:eastAsia="新宋体" w:cs="新宋体"/>
          <w:b/>
          <w:bCs/>
          <w:kern w:val="0"/>
          <w:sz w:val="22"/>
          <w:szCs w:val="22"/>
          <w:highlight w:val="none"/>
        </w:rPr>
        <w:t>系统建设管理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遵循与信息系统同步规划、同步设计、同步实施和同步运维原则，在系统规划设计之初应明确信息安全等级，根据定级情况进行信息系统安全规划、设计、实施、测试、验收和运行。信息安全建设应贯穿信息系统全生命周期。</w:t>
      </w:r>
    </w:p>
    <w:p>
      <w:pPr>
        <w:pageBreakBefore w:val="0"/>
        <w:numPr>
          <w:ilvl w:val="0"/>
          <w:numId w:val="0"/>
        </w:numPr>
        <w:kinsoku/>
        <w:wordWrap/>
        <w:overflowPunct/>
        <w:topLinePunct w:val="0"/>
        <w:bidi w:val="0"/>
        <w:adjustRightInd/>
        <w:snapToGrid/>
        <w:spacing w:line="460" w:lineRule="exact"/>
        <w:ind w:left="482" w:leftChars="0"/>
        <w:textAlignment w:val="auto"/>
        <w:rPr>
          <w:rFonts w:hint="eastAsia" w:ascii="新宋体" w:hAnsi="新宋体" w:eastAsia="新宋体" w:cs="新宋体"/>
          <w:b/>
          <w:bCs/>
          <w:kern w:val="0"/>
          <w:sz w:val="22"/>
          <w:szCs w:val="22"/>
          <w:highlight w:val="none"/>
        </w:rPr>
      </w:pPr>
      <w:r>
        <w:rPr>
          <w:rFonts w:hint="eastAsia" w:ascii="新宋体" w:hAnsi="新宋体" w:eastAsia="新宋体" w:cs="新宋体"/>
          <w:b/>
          <w:bCs/>
          <w:kern w:val="0"/>
          <w:sz w:val="22"/>
          <w:szCs w:val="22"/>
          <w:highlight w:val="none"/>
          <w:lang w:val="en-US" w:eastAsia="zh-CN"/>
        </w:rPr>
        <w:t>2.3.5</w:t>
      </w:r>
      <w:r>
        <w:rPr>
          <w:rFonts w:hint="eastAsia" w:ascii="新宋体" w:hAnsi="新宋体" w:eastAsia="新宋体" w:cs="新宋体"/>
          <w:b/>
          <w:bCs/>
          <w:kern w:val="0"/>
          <w:sz w:val="22"/>
          <w:szCs w:val="22"/>
          <w:highlight w:val="none"/>
        </w:rPr>
        <w:t>系统运维管理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本项目运维管理建议在信息安全等级保护总体要求下，参照ITSS标准结合 系统实际开展信息系统运维管理。</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2.4安全管理制度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解决信息系统的安全问题，不仅应从技术方面着手，更应加强信息系统安全的管理工作。建立完善的计算机安全管理条例是安全的重要组成部分，通过管理制度的严格实施可以防止人为地泄露机密信息。信息安全管理从制定完善的信息安全管理制度入手，并以此为指导原则加强内部人员管理和相关文档、文件管理。人员管理是信息安全管理的核心，要对所有有关内部工作人员进行信息系统安全知识的基础培训，严格按照应用需求对人员进行安全等级划分，同时指定专人负责系统的安全管理。将安全管理人员有变动时，要进行相应的管理程序更改。对系统安全相关文档、文件注意整理和保存，对在实际应用过程中出现的各种信息安全事件和安全状况进行严格记录，利用安全管理软件对各种重要网络行为、各种涉及系统重要配置的更改进行审核并计入日志。</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2.5基本标准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信息系统安全等级保护的核心是对信息系统分等级、按标准进行建设、管理和监督。在信息安全等级保护实施过程中遵循以下基本原则：</w:t>
      </w:r>
    </w:p>
    <w:p>
      <w:pPr>
        <w:pageBreakBefore w:val="0"/>
        <w:kinsoku/>
        <w:wordWrap/>
        <w:overflowPunct/>
        <w:topLinePunct w:val="0"/>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自主保护原则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项目运营、使用单位及其主管部门按照国家相关法律法规和标准，自主确定信息系统的安全保护等级，自行组织实施安全保护。</w:t>
      </w:r>
    </w:p>
    <w:p>
      <w:pPr>
        <w:pageBreakBefore w:val="0"/>
        <w:kinsoku/>
        <w:wordWrap/>
        <w:overflowPunct/>
        <w:topLinePunct w:val="0"/>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重点保护原则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根据重要程度、业务特点，通过划分不同安全保护等级，实现不同强度的安全保护，集中资源优先保护涉及核心业务或关键信息资产的信息系统。</w:t>
      </w:r>
    </w:p>
    <w:p>
      <w:pPr>
        <w:pageBreakBefore w:val="0"/>
        <w:kinsoku/>
        <w:wordWrap/>
        <w:overflowPunct/>
        <w:topLinePunct w:val="0"/>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同步建设原则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项目在新建、改建、扩建时同步规划和设计安全方案，建设信息安全设施, 保障信息安全与信息化建设相适应。</w:t>
      </w:r>
    </w:p>
    <w:p>
      <w:pPr>
        <w:pageBreakBefore w:val="0"/>
        <w:kinsoku/>
        <w:wordWrap/>
        <w:overflowPunct/>
        <w:topLinePunct w:val="0"/>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动态调整原则</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跟踪信息系统的变化情况，调整安全保护措施。由于应用类型、范围等条件的变化及其他原因，重新调整、实施安全保护。</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80" w:name="_Toc37322566"/>
      <w:r>
        <w:rPr>
          <w:rFonts w:hint="eastAsia" w:ascii="新宋体" w:hAnsi="新宋体" w:eastAsia="新宋体" w:cs="新宋体"/>
          <w:b/>
          <w:bCs/>
          <w:sz w:val="22"/>
          <w:szCs w:val="22"/>
          <w:highlight w:val="none"/>
          <w:lang w:val="en-US" w:eastAsia="zh-CN"/>
        </w:rPr>
        <w:t>3、应用安全</w:t>
      </w:r>
      <w:bookmarkEnd w:id="80"/>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应用级安全是指在应用层上保证本系统各应用子系统的信息安全。应用层的 信息安全是面向用户和应用程序的，采用身份认证、授权管理、应用审计以及信 息加解密作为基本手段，并可根据具体应用系统的实际需求提供灵活而可靠的信 息安全。</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安全权限</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rPr>
        <w:t>数据安全管理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系统内部的数据均需要设定安全访问级别，数据中间件层通过数据请求的安 全属性决定是否符合数据的安全级别，同时应用层也针对数据的安全级别制定对 应的展示安全控制，确保数据的安全性从存储到访问，再到展示都有严格管理。</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rPr>
        <w:t>授权管理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提供对平台资源服务的访问权限管理，实现对不同的业务开放不同的权限控 制，提高系统对资源的安全性和可控制性。资源授权管理支持按照委办局组织机 构、用户账号、角色等多种方式进行授权管理。</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rPr>
        <w:t>认证管理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提供对系统访问的统一认证管理，支持单点登录方式。对访问的账号信息、 集成对接的系统服务器信息、证书信息等方式进行认证，提高政务信息资源的访 问安全性。</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身份识别</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身份识别指提供专用的登录控制模块对登录用户进行身份标识和鉴别，确认 用户身份唯一性，提供登录失败处理机制，并可根据不同策略配置安全参数。</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访问控制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访问控制指根据安全策略，控制用户对系统功能、文件、数据库表的访问， 可根据不同用户授予不同级别的权限。</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传输加密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加密传输是指利用加密传输系统提供可靠的端到端加密服务，以保证数据的 完整性、防窃取、防抵赖。具体涉及到诸如加密、解密、数字签名、密钥对产生、 信息摘要、随机数产生等基本安全服务。</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5</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应用审计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应用系统和数据的安全是重中之重，而通过应用系统直接进行入侵，对数据 进行窃取、破坏，造成的影响可能比其他都要严重，因此，确保应用系统及数据 的安全是本整个应用安全平台必须考虑的问题。</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应用审计负责应用级行为的记录、分析和管理，它可以使系统管理员更好、更准 确地了解和掌握应用系统运行情况，及时发现并解决出现的异常情况。</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6</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安全加固</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建立整体的安全威胁模型，对web访问存在的溢出漏洞、信息泄漏、错误处 理、跨站漏洞、SQL注入等安全漏洞进行及时更新处理。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通过加载安全组件包，对web访问的非法连接、恶意扫描、注入信息等按照安全 规则进行有效拦截，保障应用平台安全稳定运行。</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7</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数据库安全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系统的数据库安全保护除尽量避免由于客观因素，如断电、火灾所造成的物 理整性破坏外，设计一个好的数据库结构也是一个重要的关键，如对一个字段的 修改不至于影响其它字段以保持逻辑完整性、定期数据库备份以及设置一个合理 的数据库权限管理等。</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3.1保密措施</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为了保护系统的安全性，系统建设从网络、系统、数据等方面进行整体、全 面的防护，杜绝平台数据的泄露、泄密。</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网络安全设计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通过合理网段划分，利用防火墙隔离有效地消除不同网络之间，不同网络之 间可以任意互访的安全隐患；通过内外网的安全逻辑隔离，基本上消除了外网带 来的安全隐患。</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系统安全设计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系统安全重点解决操作系统、数据库和服务器等系统级安全问题，以建立一 个安全的软件运行环境，来有效抵抗黑客利用系统的安全缺陷对系统进行攻击, 主要措施包括：安全操作系统、安全数据库、黑客入侵检测、系统漏洞扫描及病 毒防护系统等。</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通过漏洞扫描、入侵检测以及日志审计组成的“事前、事中、事后"三阶段 立体防范体系，有效地防范黑客入侵行为；通过不同安全组件之间的互动防范， 使得黑客防范体系具备一定的智能性，动态防范未来黑客的入侵行为。</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数据安全设计</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数据安全对本系统来说尤其重要，数据库存储着极其关键敏感的数据，任何 细小的疏忽、遗漏而造成的敏感信息的破坏、泄露都将有可能导致异常严重的后 果。因此，如何保护这些敏感数据在使用、传输过程中高度的强壮性、保密性、 完整性和不可抵赖性是整个系统安全设计当中的重中之重。</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强壮性：制定完备的备份方案和釆取必要的冗余技术（例如，RAID5、双机备 份、多机备份等，并且至少应具备双机备份）以确保丢失数据的可能性近可能的 小，恢复数据尽可能的完备、方便、快捷。</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保密性：指采取加密手段对在网络上传送的关键数据进行加密保护，在条件 允许的情况下，在本机的存储也要采取相应的加密手段。</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完整性：指采取必要的技术手段确保查询或是修改的数据的绝对真实、可靠性。</w:t>
      </w:r>
    </w:p>
    <w:p>
      <w:pPr>
        <w:pStyle w:val="7"/>
        <w:pageBreakBefore w:val="0"/>
        <w:tabs>
          <w:tab w:val="left" w:pos="0"/>
          <w:tab w:val="left" w:pos="600"/>
        </w:tabs>
        <w:kinsoku/>
        <w:wordWrap/>
        <w:overflowPunct/>
        <w:topLinePunct w:val="0"/>
        <w:bidi w:val="0"/>
        <w:adjustRightInd/>
        <w:snapToGrid/>
        <w:spacing w:line="460" w:lineRule="exact"/>
        <w:ind w:left="1276" w:hanging="709"/>
        <w:textAlignment w:val="auto"/>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3.2管理安全</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按照信息安全等级保护要求，信息安全管理体系包括；制定管理制度、设置 安全管理机构、人员安全管理、系统建设管理、系统运维管理等5个方面。</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制定管理制度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解决信息系统的安全问题，不仅应从技术方面着手，更应加强信息系统安全 的管理工作。建立完善的计算机安全管理条例是安全的重要组成部分，通过管理 制度的严格实施可以防止人为地泄露机密信息。信息安全管理从制定完善的信息 安全管理制度入手，并以此为指导原则加强内部人员管理和相关文档、文件管理。 人员管理是信息安全管理的核心，要对所有有关内部工作人员进行信息系统安全 知识的基础培训，严格按照应用需求对人员进行安全等级划分，同时指定专人负 责系统的安全管理。将安全管理人员有变动时，要进行相应的管理程序更改。对  </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系统安全相关文档、文件注意整理和保存，对在实际应用过程中出现的各种信息 安全事件和安全状况进行严格记录，利用安全管理软件对各种重要网络行为、各 种涉及系统重要配置的更改进行审核并计入日志。</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按照国家相关信息安全标准规范要求及成熟信息安全管理方法论，建立符合 本项目系统安全管理需求的管理制度，主要包括安全策略、管理制度、操作规程 等，构成全面的信息安全管理制度体系。</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rPr>
        <w:t>安全策略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安全策略根据组织机构的风险及安全目标制定的行动策略即为安全策略。安全策 略通常建立在授权的基础之上，未经适当授权的实体，信息不可以给予、不被访 问、不允许引用、任何资源也不得使用。按照授权的性质，安全策略分为如下几 个方面：基于身份的安全策略、基于规则的安全策略、基于角色的安全策略。</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rPr>
        <w:t>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•人员管理制度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•安全巡检制度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•信息系统密码口令管理制度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•设备管理制度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•信息安全事件上报/处理制度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•系统监测/检查管理制度</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•业务连续性管理制度</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rPr>
        <w:t>操作规程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信息安全基线</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•信息安全事件处理流程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•信息安全事件应急处置流程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•人员离岗信息清除流程</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安全管理机构</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成立专门的信息安全管理机构，配备系统管理人员、网络管理人员、安全管 理员等，其中安全管理员应为专职，关键事物岗位应配备多人共同管理。</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人员安全管理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建立规范人员安全管理机制，对人员录用进行严格审查，并签署保密协议, 人员离职或转岗应办理严格的离职/转岗手续，包括终止/修改授权、相关设备设 施、关键数据清理等，定期开展信息安全专业人员培训，定期对在岗人员进行安 全技能和知识考核，严格执行外部人员访问受控区域制定。</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系统建设管理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遵循与信息系统同步规划、同步设计、同步实施和同步运维原则，在系统规 划设计之初应明确信息安全等级，根据定级情况进行信息系统安全规划、设计、 实施、测试、验收和运行。信息安全建设应贯穿信息系统全生命周期。</w:t>
      </w:r>
    </w:p>
    <w:p>
      <w:pPr>
        <w:pageBreakBefore w:val="0"/>
        <w:kinsoku/>
        <w:wordWrap/>
        <w:overflowPunct/>
        <w:topLinePunct w:val="0"/>
        <w:bidi w:val="0"/>
        <w:adjustRightInd/>
        <w:snapToGrid/>
        <w:spacing w:before="156" w:beforeLines="50"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5</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rPr>
        <w:t>系统运维管理</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本项目运维管理建议在信息安全等级保护总体要求下，参照ITSS标准结合 系统实际开展信息系统运维管理。</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eastAsia" w:ascii="新宋体" w:hAnsi="新宋体" w:eastAsia="新宋体" w:cs="新宋体"/>
          <w:sz w:val="22"/>
          <w:szCs w:val="22"/>
          <w:highlight w:val="none"/>
        </w:rPr>
      </w:pPr>
      <w:bookmarkStart w:id="81" w:name="_Toc37322567"/>
      <w:r>
        <w:rPr>
          <w:rFonts w:hint="eastAsia" w:ascii="新宋体" w:hAnsi="新宋体" w:eastAsia="新宋体" w:cs="新宋体"/>
          <w:sz w:val="22"/>
          <w:szCs w:val="22"/>
          <w:highlight w:val="none"/>
          <w:lang w:val="en-US" w:eastAsia="zh-CN"/>
        </w:rPr>
        <w:t>十二、</w:t>
      </w:r>
      <w:r>
        <w:rPr>
          <w:rFonts w:hint="eastAsia" w:ascii="新宋体" w:hAnsi="新宋体" w:eastAsia="新宋体" w:cs="新宋体"/>
          <w:sz w:val="22"/>
          <w:szCs w:val="22"/>
          <w:highlight w:val="none"/>
        </w:rPr>
        <w:t>备份系统建设方案</w:t>
      </w:r>
      <w:bookmarkEnd w:id="81"/>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本项目的核心就是数据信息，为更好地存储管理数据，存储系统在功能、性 能、扩展性上都要做相应的考虑。基本上可以根据业务处理模式和数据的层次把 存储系统分为几个级别，如硬盘、磁盘阵列、磁带库、光盘库等，从而保证存储 系统具有较好的性能与扩展性。为保证数据存储的可靠性，存储系统必须具有良 好的备份管理功能，可以通过备份管理软件实现网络备份和分级备份等灵活的备 份策略。可以在数据库服务器上运行备份管理软件，根据具体的应用规模和数据 库服务器负载的情况进行选择。具体的备份方式和存储方式可以根据现有IT架 构情况进行具体设计和调整。</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82" w:name="_Toc37322568"/>
      <w:r>
        <w:rPr>
          <w:rFonts w:hint="eastAsia" w:ascii="新宋体" w:hAnsi="新宋体" w:eastAsia="新宋体" w:cs="新宋体"/>
          <w:b/>
          <w:bCs/>
          <w:sz w:val="22"/>
          <w:szCs w:val="22"/>
          <w:highlight w:val="none"/>
          <w:lang w:val="en-US" w:eastAsia="zh-CN"/>
        </w:rPr>
        <w:t>1、备份系统的目的</w:t>
      </w:r>
      <w:bookmarkEnd w:id="82"/>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数据备份的目的是通过自动化的管理手段，使系统数据实时备份到低成本的 存储介质中，在出现数据丢失或系统故障需要恢复的情况下，数据由低成本的存 储介质完整地恢复到系统中，确保系统的安全。</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83" w:name="_Toc37322569"/>
      <w:r>
        <w:rPr>
          <w:rFonts w:hint="eastAsia" w:ascii="新宋体" w:hAnsi="新宋体" w:eastAsia="新宋体" w:cs="新宋体"/>
          <w:b/>
          <w:bCs/>
          <w:sz w:val="22"/>
          <w:szCs w:val="22"/>
          <w:highlight w:val="none"/>
          <w:lang w:val="en-US" w:eastAsia="zh-CN"/>
        </w:rPr>
        <w:t>2、文件备份系统的模式</w:t>
      </w:r>
      <w:bookmarkEnd w:id="83"/>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zh-CN"/>
        </w:rPr>
        <w:t>系</w:t>
      </w:r>
      <w:r>
        <w:rPr>
          <w:rFonts w:hint="eastAsia" w:ascii="新宋体" w:hAnsi="新宋体" w:eastAsia="新宋体" w:cs="新宋体"/>
          <w:sz w:val="22"/>
          <w:szCs w:val="22"/>
          <w:highlight w:val="none"/>
        </w:rPr>
        <w:t xml:space="preserve">统采用自动备份模式和手动自定义备份模式，在服务器端的备份的文件将 </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按照日期和时间的方式建立备份目录，目录中则是具体备份的文件夹或者文件名, 自动备份和手动备份更新数据库信息时，都是按时间节点保持历史数据的，并能够按具体操作需要生产数据更新快照，方便数据恢复时选择对应的已经更新历史数据索引。</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1</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自动备份模式</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自动备份模式最大的好处在于文件备份的实时性，一旦文件发生编辑，修改 事件，系统自动把当前编辑文档以增量备份的方式，自动备份到云服务平台上。 文件的备份既支持单个文件，也支持批量文件。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具体策略如下：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•用户打开系统后，首先在系统中选择、设置好需要备份的文件系统目录， 备份的时间间隔，然后点击最小化，就可以做其他任何文本编辑的工作；</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•统按照设置好的时间间隔自动扫描对应的文件目录中的文件，系统自动 扫描并发现文件的字节，时间，大小等编辑痕迹；</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•政府办公人员日常编辑办公文本文件的时候，系统扫描到文件发生变更 后，会自动按照设置的参数进行备份，把文件以增量备份的方式存入云 服务平台对应的目录中。</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手动自定义备份模式</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手动自定义备份模式最大的好处在于，用户可以根据自己的备份需要，选择 对应的备份文件，点对点的进行选择性备份，备份的时间也是自己灵活掌控的。 文件的备份既支持单个文件，也支持批量文件。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具体策略如下：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1）用户打开备份系统后，最小化系统后，可以不用设置任何系统参数，任意 编辑任何系统目录的文本文件。</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2）用户编辑完成文件后，点击系统中“我要备份”按钮，选择对应需要备份 的文件后就可以将文件备份到云服务平台。</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84" w:name="_Toc37322570"/>
      <w:r>
        <w:rPr>
          <w:rFonts w:hint="eastAsia" w:ascii="新宋体" w:hAnsi="新宋体" w:eastAsia="新宋体" w:cs="新宋体"/>
          <w:b/>
          <w:bCs/>
          <w:sz w:val="22"/>
          <w:szCs w:val="22"/>
          <w:highlight w:val="none"/>
          <w:lang w:val="en-US" w:eastAsia="zh-CN"/>
        </w:rPr>
        <w:t>3、文件恢复策略</w:t>
      </w:r>
      <w:bookmarkEnd w:id="84"/>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对应于上述的文件备份操作，系统提供了文件恢复的功能，如果工作人员操 作失误或者遗失某个文件，系统可以立刻把文件从云平台恢复到当前电脑系统中。 具体策略如下：</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•用户打开系统，通过查询功能，查询到云服务平台的文件名称；</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lang w:val="zh-CN"/>
        </w:rPr>
      </w:pPr>
      <w:r>
        <w:rPr>
          <w:rFonts w:hint="eastAsia" w:ascii="新宋体" w:hAnsi="新宋体" w:eastAsia="新宋体" w:cs="新宋体"/>
          <w:sz w:val="22"/>
          <w:szCs w:val="22"/>
          <w:highlight w:val="none"/>
        </w:rPr>
        <w:t>•用户手动确认恢复该文件，选择好恢复的系统文件目录后，点击确定， 系统便把云服务平台上的备份文件恢复到了客户端电脑中。</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85" w:name="_Toc37322571"/>
      <w:r>
        <w:rPr>
          <w:rFonts w:hint="eastAsia" w:ascii="新宋体" w:hAnsi="新宋体" w:eastAsia="新宋体" w:cs="新宋体"/>
          <w:b/>
          <w:bCs/>
          <w:sz w:val="22"/>
          <w:szCs w:val="22"/>
          <w:highlight w:val="none"/>
          <w:lang w:val="en-US" w:eastAsia="zh-CN"/>
        </w:rPr>
        <w:t>4、数据库备份策略</w:t>
      </w:r>
      <w:bookmarkEnd w:id="85"/>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在备份系统中，有权限的划分，如果有管理员操作权限，该权限能看到数据 库备份的界面和对应的按钮，只要根据业务需要点击“数据库备份"按钮，当前 数据库可以按照系统已定义好的路径进行备份。</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eastAsia" w:ascii="新宋体" w:hAnsi="新宋体" w:eastAsia="新宋体" w:cs="新宋体"/>
          <w:b/>
          <w:bCs/>
          <w:sz w:val="22"/>
          <w:szCs w:val="22"/>
          <w:highlight w:val="none"/>
          <w:lang w:val="en-US" w:eastAsia="zh-CN"/>
        </w:rPr>
      </w:pPr>
      <w:bookmarkStart w:id="86" w:name="_Toc37322572"/>
      <w:r>
        <w:rPr>
          <w:rFonts w:hint="eastAsia" w:ascii="新宋体" w:hAnsi="新宋体" w:eastAsia="新宋体" w:cs="新宋体"/>
          <w:b/>
          <w:bCs/>
          <w:sz w:val="22"/>
          <w:szCs w:val="22"/>
          <w:highlight w:val="none"/>
          <w:lang w:val="en-US" w:eastAsia="zh-CN"/>
        </w:rPr>
        <w:t>5、异地数据备份策略</w:t>
      </w:r>
      <w:bookmarkEnd w:id="86"/>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在容灾的措施上，为确保数据的安全性和可恢复性，系统还支持异地备份的 策略，将服务器部署在异地机房，实现每日凌晨定时上传备份数据，异地定时存 储数据的机制。一旦中心机房的数据库服务器出现网络故障，系统可以自动切换 到异地数据库继续连接，确保业务正常运营。</w:t>
      </w:r>
    </w:p>
    <w:p>
      <w:pPr>
        <w:pStyle w:val="201"/>
        <w:pageBreakBefore w:val="0"/>
        <w:kinsoku/>
        <w:wordWrap/>
        <w:overflowPunct/>
        <w:topLinePunct w:val="0"/>
        <w:bidi w:val="0"/>
        <w:adjustRightInd/>
        <w:snapToGrid/>
        <w:spacing w:line="460" w:lineRule="exact"/>
        <w:ind w:firstLine="440" w:firstLineChars="200"/>
        <w:jc w:val="both"/>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当中心机房网络恢复正常后，异地的机房数据服务器也会自动上传故障中产 生的数据信息到中心机房，系统同时也自会切换连接到中心机房数据库。</w:t>
      </w:r>
    </w:p>
    <w:p>
      <w:pPr>
        <w:pStyle w:val="2"/>
        <w:pageBreakBefore w:val="0"/>
        <w:tabs>
          <w:tab w:val="right" w:leader="dot" w:pos="8301"/>
        </w:tabs>
        <w:kinsoku/>
        <w:wordWrap/>
        <w:overflowPunct/>
        <w:topLinePunct w:val="0"/>
        <w:bidi w:val="0"/>
        <w:adjustRightInd/>
        <w:snapToGrid/>
        <w:spacing w:line="460" w:lineRule="exact"/>
        <w:ind w:firstLine="442" w:firstLineChars="200"/>
        <w:textAlignment w:val="auto"/>
        <w:outlineLvl w:val="1"/>
        <w:rPr>
          <w:rFonts w:hint="default"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十三、主要设备清单</w:t>
      </w:r>
    </w:p>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default"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1、系统软件</w:t>
      </w:r>
    </w:p>
    <w:tbl>
      <w:tblPr>
        <w:tblStyle w:val="52"/>
        <w:tblW w:w="9854" w:type="dxa"/>
        <w:tblInd w:w="0" w:type="dxa"/>
        <w:tblLayout w:type="fixed"/>
        <w:tblCellMar>
          <w:top w:w="0" w:type="dxa"/>
          <w:left w:w="108" w:type="dxa"/>
          <w:bottom w:w="0" w:type="dxa"/>
          <w:right w:w="108" w:type="dxa"/>
        </w:tblCellMar>
      </w:tblPr>
      <w:tblGrid>
        <w:gridCol w:w="702"/>
        <w:gridCol w:w="1118"/>
        <w:gridCol w:w="1428"/>
        <w:gridCol w:w="5832"/>
        <w:gridCol w:w="774"/>
      </w:tblGrid>
      <w:tr>
        <w:tblPrEx>
          <w:tblCellMar>
            <w:top w:w="0" w:type="dxa"/>
            <w:left w:w="108" w:type="dxa"/>
            <w:bottom w:w="0" w:type="dxa"/>
            <w:right w:w="108" w:type="dxa"/>
          </w:tblCellMar>
        </w:tblPrEx>
        <w:trPr>
          <w:trHeight w:val="323" w:hRule="atLeast"/>
        </w:trPr>
        <w:tc>
          <w:tcPr>
            <w:tcW w:w="702" w:type="dxa"/>
            <w:tcBorders>
              <w:top w:val="single" w:color="auto" w:sz="8" w:space="0"/>
              <w:left w:val="single" w:color="auto" w:sz="8" w:space="0"/>
              <w:bottom w:val="nil"/>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序号</w:t>
            </w:r>
          </w:p>
        </w:tc>
        <w:tc>
          <w:tcPr>
            <w:tcW w:w="1118" w:type="dxa"/>
            <w:tcBorders>
              <w:top w:val="single" w:color="auto" w:sz="8" w:space="0"/>
              <w:left w:val="nil"/>
              <w:bottom w:val="nil"/>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系统名称</w:t>
            </w:r>
          </w:p>
        </w:tc>
        <w:tc>
          <w:tcPr>
            <w:tcW w:w="1428" w:type="dxa"/>
            <w:tcBorders>
              <w:top w:val="single" w:color="auto" w:sz="8" w:space="0"/>
              <w:left w:val="nil"/>
              <w:bottom w:val="nil"/>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功能</w:t>
            </w:r>
          </w:p>
        </w:tc>
        <w:tc>
          <w:tcPr>
            <w:tcW w:w="5832" w:type="dxa"/>
            <w:tcBorders>
              <w:top w:val="single" w:color="auto" w:sz="8" w:space="0"/>
              <w:left w:val="nil"/>
              <w:bottom w:val="nil"/>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描述</w:t>
            </w:r>
          </w:p>
        </w:tc>
        <w:tc>
          <w:tcPr>
            <w:tcW w:w="774" w:type="dxa"/>
            <w:tcBorders>
              <w:top w:val="single" w:color="auto" w:sz="8" w:space="0"/>
              <w:left w:val="nil"/>
              <w:bottom w:val="nil"/>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lang w:val="en-US" w:eastAsia="zh-CN"/>
              </w:rPr>
            </w:pPr>
            <w:r>
              <w:rPr>
                <w:rFonts w:hint="eastAsia" w:ascii="新宋体" w:hAnsi="新宋体" w:eastAsia="新宋体" w:cs="新宋体"/>
                <w:b/>
                <w:bCs/>
                <w:color w:val="000000"/>
                <w:kern w:val="0"/>
                <w:sz w:val="22"/>
                <w:szCs w:val="22"/>
                <w:highlight w:val="none"/>
                <w:lang w:val="en-US" w:eastAsia="zh-CN"/>
              </w:rPr>
              <w:t>备注</w:t>
            </w:r>
          </w:p>
        </w:tc>
      </w:tr>
      <w:tr>
        <w:tblPrEx>
          <w:tblCellMar>
            <w:top w:w="0" w:type="dxa"/>
            <w:left w:w="108" w:type="dxa"/>
            <w:bottom w:w="0" w:type="dxa"/>
            <w:right w:w="108" w:type="dxa"/>
          </w:tblCellMar>
        </w:tblPrEx>
        <w:trPr>
          <w:trHeight w:val="1575" w:hRule="atLeast"/>
        </w:trPr>
        <w:tc>
          <w:tcPr>
            <w:tcW w:w="702" w:type="dxa"/>
            <w:vMerge w:val="restart"/>
            <w:tcBorders>
              <w:top w:val="single" w:color="auto" w:sz="8" w:space="0"/>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118" w:type="dxa"/>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金融综合服务平台数据归集</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428"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采集</w:t>
            </w:r>
          </w:p>
        </w:tc>
        <w:tc>
          <w:tcPr>
            <w:tcW w:w="5832"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主要从20多个部门的釆集数据，对上采集省相关基础库数据和省级业务系统中的数据，以及其他部门采集数据，包括相关金融服务平台中采集接口开发</w:t>
            </w:r>
          </w:p>
        </w:tc>
        <w:tc>
          <w:tcPr>
            <w:tcW w:w="774" w:type="dxa"/>
            <w:tcBorders>
              <w:top w:val="single" w:color="auto" w:sz="8" w:space="0"/>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945" w:hRule="atLeast"/>
        </w:trPr>
        <w:tc>
          <w:tcPr>
            <w:tcW w:w="702"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清洗比对</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通过对来自不同业务部门的信用数据进行清洗、转换，整理为符合数 据标准规范的信用基础数据</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575" w:hRule="atLeast"/>
        </w:trPr>
        <w:tc>
          <w:tcPr>
            <w:tcW w:w="702"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转换</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针对据归集过程可能存在的数据一致性等问题，提供消除同名异义和异名同义现象、数字型数据处理、字符串处理、编码转换及空值处理等数据转换服务</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260" w:hRule="atLeast"/>
        </w:trPr>
        <w:tc>
          <w:tcPr>
            <w:tcW w:w="702"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整合</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数据整合包括对数据的物理整合（将不同来源的数据揉进一张表）和化学整合（对数据内容进行转码、衍生计算等）</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945" w:hRule="atLeast"/>
        </w:trPr>
        <w:tc>
          <w:tcPr>
            <w:tcW w:w="702"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入库</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在完成数据中心相应的库表搭建之后，编写相应的脚本把源数据库数据加载到数据中心库相对应的表结构中</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260" w:hRule="atLeast"/>
        </w:trPr>
        <w:tc>
          <w:tcPr>
            <w:tcW w:w="702"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质量控制</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数据清洗比对完成后，需要对结果进行质量验证，包括数据质量管理、数据质量监控、数据质量评估、数据质量报告和数据质量改进</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890" w:hRule="atLeast"/>
        </w:trPr>
        <w:tc>
          <w:tcPr>
            <w:tcW w:w="702" w:type="dxa"/>
            <w:vMerge w:val="restart"/>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2</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11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企业信用评分体系</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企业信用画像模型</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对信息主体基本信息进行信用画像，主要包括企业的基本信息、关联图谱、出资投资、经营状况、信贷融资和风险状况等信用类别，帮助用户实现对企业在工商、税务、质监等部门注册信息以及企业整体财务概况的了解</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89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企业信用评分模型</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通过机器学习技术对主体的信用状况做的信用全貌的分析，最终以量化的数值进行呈现，包括评价项目设定、指标类型设定、信用评价设定、指标大类设定、指标小类设定、指标模板设定等部分。</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252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企业风险预警模型</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通过隶属度映射和决策树方法，为金融机构提供风险监测、预警、报告、统计等功能。建立覆盖整个授信业务流程的融资风险诊断和预警功能，监测企业日常经营活动中的具体风险事件，暴露企业潜在违约行为，并通过综合分析反映区域金融风险发展趋势。</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89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关联关系分析模型</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通过神经网络算法，系统将根据 企业主体的股东关系、高管关系、法定代表人、担保关系等关系构建动态企业信息立方，直观表现目标企业主体关联关系，最终形成企业的关联图谱。</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575"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辅助决策分析模型</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主要针对金融管理和政府职能部门的需要，提供统计信息和经济分析功能。主要包括常规统计、条件查询统计、数据可视化展示、融资投放状况分析等模块。</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restart"/>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3</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11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融资需求信息交互平台</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金融服务超市</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金融产品的展示、搜索和条件筛选等相关功能</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融资需求发布</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设计需求发布流程，开发金融产品申请相关的操作功能</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945"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产品发布管理</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开发信贷产品的发布、下架、冻结、删除、统计及智能匹配等相关业务功能</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企业精准推送</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针对小微企业有针对性的推荐，主要包括精准推荐、推荐历史等相关功能</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945"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企业需求监测</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针对发布有融资需求的企业，平台提供企业需求监测，和监测参数设置等相关功能</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945"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银行产品监测</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通过银行产品监测，实现展示各个银行通过系统发布的金融产品情况，包括已下架、已发布的各类产品</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助贷服务</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根据国家、省、市相关政策，提供相应的财政补贴、金融担保等助贷服务</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89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辅助分析</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针对金融管理和政府职能部门的需要，提供统计信息和企业风险分析。主要包括：小微企业活力分析、信保基金分析、宏观金融风险分析、行业融资投放分析、区域融资投放分析、银行查询排名</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2205" w:hRule="atLeast"/>
        </w:trPr>
        <w:tc>
          <w:tcPr>
            <w:tcW w:w="702"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4</w:t>
            </w:r>
          </w:p>
        </w:tc>
        <w:tc>
          <w:tcPr>
            <w:tcW w:w="11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银行审批</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　</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融资需求初步对接成功后，银行可以通过平台页面或接口方式进行信贷审批。银行对申请的信贷产品的企业，进行受理，银行人员可以点击查看企业信用画像、信用评分和风险状况，同时可以可选择状态，如受理、拒绝贷款和同意授信等相关功能的操作</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890" w:hRule="atLeast"/>
        </w:trPr>
        <w:tc>
          <w:tcPr>
            <w:tcW w:w="702" w:type="dxa"/>
            <w:vMerge w:val="restart"/>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5</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118"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风险防范</w:t>
            </w:r>
          </w:p>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监控</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通过对企业客户各项风险因素的跟踪监测，及时发现和识别影响客户还款能力的事件，评价客户违约的可能性。监测内容包括企业基本信息、经营管理状况、信贷情况、财务状况、诉讼情况、行政处罚情况等</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945"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预警</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对接温州银保监分局的相关数据，加快开发风险预警产品，用于监测企业金融风险</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报告</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监测企业日常经营活动中的具体风险事件，暴露企业潜在违约行为</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统计</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统计综合分析反映区域金融风险发展趋势</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575" w:hRule="atLeast"/>
        </w:trPr>
        <w:tc>
          <w:tcPr>
            <w:tcW w:w="702"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6</w:t>
            </w:r>
          </w:p>
        </w:tc>
        <w:tc>
          <w:tcPr>
            <w:tcW w:w="11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移动端服务</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　</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通过支付宝/微信小程序、“浙里办”等方式提供业务功能，为银行的客户经理提供 企业信用信息的查询、订阅、风险预警提醒和相关业务受理等服务</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restart"/>
            <w:tcBorders>
              <w:top w:val="nil"/>
              <w:left w:val="single" w:color="auto" w:sz="8"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7</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118" w:type="dxa"/>
            <w:vMerge w:val="restart"/>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业务应用支撑</w:t>
            </w:r>
          </w:p>
          <w:p>
            <w:pPr>
              <w:keepNext w:val="0"/>
              <w:keepLines w:val="0"/>
              <w:pageBreakBefore w:val="0"/>
              <w:widowControl/>
              <w:kinsoku/>
              <w:wordWrap/>
              <w:overflowPunct/>
              <w:topLinePunct w:val="0"/>
              <w:autoSpaceDE/>
              <w:autoSpaceDN/>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统一身份认证</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与政务钉和政务网对接进行认证</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continue"/>
            <w:tcBorders>
              <w:top w:val="nil"/>
              <w:left w:val="single" w:color="auto" w:sz="8"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省银保监接口</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与省银保监相关平台对接，进行数据交换，确保数据的统一和互通</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630" w:hRule="atLeast"/>
        </w:trPr>
        <w:tc>
          <w:tcPr>
            <w:tcW w:w="702" w:type="dxa"/>
            <w:vMerge w:val="continue"/>
            <w:tcBorders>
              <w:top w:val="nil"/>
              <w:left w:val="single" w:color="auto" w:sz="8"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融资业务受理接口</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平台受理的融资业务开放标准接口，商业银行机构可通过标准接口对接</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945" w:hRule="atLeast"/>
        </w:trPr>
        <w:tc>
          <w:tcPr>
            <w:tcW w:w="702" w:type="dxa"/>
            <w:vMerge w:val="continue"/>
            <w:tcBorders>
              <w:top w:val="nil"/>
              <w:left w:val="single" w:color="auto" w:sz="8"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政策兑现申请系统</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让传统模式下的政策兑现的申请全流程电子化，从而使企业扶持政策的兑现实现线上“零接触”业务办理</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315" w:hRule="atLeast"/>
        </w:trPr>
        <w:tc>
          <w:tcPr>
            <w:tcW w:w="702" w:type="dxa"/>
            <w:vMerge w:val="continue"/>
            <w:tcBorders>
              <w:top w:val="nil"/>
              <w:left w:val="single" w:color="auto" w:sz="8"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新闻动态</w:t>
            </w:r>
          </w:p>
        </w:tc>
        <w:tc>
          <w:tcPr>
            <w:tcW w:w="58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展现金融相关新闻</w:t>
            </w:r>
          </w:p>
        </w:tc>
        <w:tc>
          <w:tcPr>
            <w:tcW w:w="7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268" w:hRule="atLeast"/>
        </w:trPr>
        <w:tc>
          <w:tcPr>
            <w:tcW w:w="702" w:type="dxa"/>
            <w:vMerge w:val="continue"/>
            <w:tcBorders>
              <w:top w:val="nil"/>
              <w:left w:val="single" w:color="auto" w:sz="8"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118"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1428"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政策中心</w:t>
            </w:r>
          </w:p>
        </w:tc>
        <w:tc>
          <w:tcPr>
            <w:tcW w:w="5832"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政策法规包含国内外和本地金融法律法规、金融服务相关政策法规、信用 体系建设相关制度和政策解读以及行业自律公约等</w:t>
            </w:r>
          </w:p>
        </w:tc>
        <w:tc>
          <w:tcPr>
            <w:tcW w:w="774" w:type="dxa"/>
            <w:tcBorders>
              <w:top w:val="nil"/>
              <w:left w:val="nil"/>
              <w:bottom w:val="single" w:color="auto" w:sz="8" w:space="0"/>
              <w:right w:val="single" w:color="auto" w:sz="4" w:space="0"/>
            </w:tcBorders>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r>
    </w:tbl>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default"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2、展示大屏</w:t>
      </w:r>
    </w:p>
    <w:tbl>
      <w:tblPr>
        <w:tblStyle w:val="52"/>
        <w:tblW w:w="9872" w:type="dxa"/>
        <w:tblInd w:w="0" w:type="dxa"/>
        <w:tblLayout w:type="autofit"/>
        <w:tblCellMar>
          <w:top w:w="0" w:type="dxa"/>
          <w:left w:w="108" w:type="dxa"/>
          <w:bottom w:w="0" w:type="dxa"/>
          <w:right w:w="108" w:type="dxa"/>
        </w:tblCellMar>
      </w:tblPr>
      <w:tblGrid>
        <w:gridCol w:w="700"/>
        <w:gridCol w:w="1300"/>
        <w:gridCol w:w="6192"/>
        <w:gridCol w:w="816"/>
        <w:gridCol w:w="864"/>
      </w:tblGrid>
      <w:tr>
        <w:tblPrEx>
          <w:tblCellMar>
            <w:top w:w="0" w:type="dxa"/>
            <w:left w:w="108" w:type="dxa"/>
            <w:bottom w:w="0" w:type="dxa"/>
            <w:right w:w="108" w:type="dxa"/>
          </w:tblCellMar>
        </w:tblPrEx>
        <w:trPr>
          <w:trHeight w:val="638" w:hRule="atLeast"/>
        </w:trPr>
        <w:tc>
          <w:tcPr>
            <w:tcW w:w="700" w:type="dxa"/>
            <w:tcBorders>
              <w:top w:val="single" w:color="auto" w:sz="8" w:space="0"/>
              <w:left w:val="single" w:color="auto" w:sz="8" w:space="0"/>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序号</w:t>
            </w:r>
          </w:p>
        </w:tc>
        <w:tc>
          <w:tcPr>
            <w:tcW w:w="1300"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货物名称</w:t>
            </w:r>
          </w:p>
        </w:tc>
        <w:tc>
          <w:tcPr>
            <w:tcW w:w="6192"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技术参数</w:t>
            </w:r>
          </w:p>
        </w:tc>
        <w:tc>
          <w:tcPr>
            <w:tcW w:w="816"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单位</w:t>
            </w:r>
          </w:p>
        </w:tc>
        <w:tc>
          <w:tcPr>
            <w:tcW w:w="864"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数量</w:t>
            </w:r>
          </w:p>
        </w:tc>
      </w:tr>
      <w:tr>
        <w:tblPrEx>
          <w:tblCellMar>
            <w:top w:w="0" w:type="dxa"/>
            <w:left w:w="108" w:type="dxa"/>
            <w:bottom w:w="0" w:type="dxa"/>
            <w:right w:w="108" w:type="dxa"/>
          </w:tblCellMar>
        </w:tblPrEx>
        <w:trPr>
          <w:trHeight w:val="3150" w:hRule="atLeast"/>
        </w:trPr>
        <w:tc>
          <w:tcPr>
            <w:tcW w:w="700"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tc>
        <w:tc>
          <w:tcPr>
            <w:tcW w:w="1300" w:type="dxa"/>
            <w:tcBorders>
              <w:top w:val="single" w:color="auto" w:sz="8"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LED显示屏</w:t>
            </w:r>
          </w:p>
        </w:tc>
        <w:tc>
          <w:tcPr>
            <w:tcW w:w="6192" w:type="dxa"/>
            <w:tcBorders>
              <w:top w:val="single" w:color="auto" w:sz="8"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像素间距：≤2mm ，像素结构：1R1G1B ，像素密度：250000/㎡ ，模组分辨率：240（W）*240（H） ，箱体尺寸：480mm*480mm</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白平衡亮度：≥700cd/㎡ ，色温：3200K—9300K可调，水平视角：≥140°，垂直视角：≥120°，可视距离：≥3米，亮度均匀性：≥97% ，对比度 ：≥3000:1</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连续工作时间 ≥72小时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寿命典型值：50，000 小时 ，防护等级 ：IP20，工作温度范围 ：-20 ℃ 至 50 ℃ ，工作湿度范围：10 %- 80% RH 无凝结 ，存储温度范围：-20 ℃ 至 60 ℃</w:t>
            </w:r>
          </w:p>
        </w:tc>
        <w:tc>
          <w:tcPr>
            <w:tcW w:w="816" w:type="dxa"/>
            <w:tcBorders>
              <w:top w:val="single" w:color="auto" w:sz="8"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m2</w:t>
            </w:r>
          </w:p>
        </w:tc>
        <w:tc>
          <w:tcPr>
            <w:tcW w:w="864" w:type="dxa"/>
            <w:tcBorders>
              <w:top w:val="single" w:color="auto" w:sz="8"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15</w:t>
            </w:r>
          </w:p>
        </w:tc>
      </w:tr>
      <w:tr>
        <w:tblPrEx>
          <w:tblCellMar>
            <w:top w:w="0" w:type="dxa"/>
            <w:left w:w="108" w:type="dxa"/>
            <w:bottom w:w="0" w:type="dxa"/>
            <w:right w:w="108" w:type="dxa"/>
          </w:tblCellMar>
        </w:tblPrEx>
        <w:trPr>
          <w:trHeight w:val="549" w:hRule="atLeast"/>
        </w:trPr>
        <w:tc>
          <w:tcPr>
            <w:tcW w:w="700" w:type="dxa"/>
            <w:tcBorders>
              <w:top w:val="nil"/>
              <w:left w:val="single" w:color="auto" w:sz="8"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2</w:t>
            </w:r>
          </w:p>
        </w:tc>
        <w:tc>
          <w:tcPr>
            <w:tcW w:w="130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4K视频拼接处理器</w:t>
            </w:r>
          </w:p>
        </w:tc>
        <w:tc>
          <w:tcPr>
            <w:tcW w:w="61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 xml:space="preserve"> 配合拼接显示单元使用，可在N个拼接显示单元上拼接显示一个完整的图像信号；可以每个屏单独显示一个独立的信号；也可以通过控制软件实现其它多种组合显示模式。</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产品支持不少于1路HDMI信号,1路DVI信号,1路VGA信号，1路AV信号输入，1路AV信号环通输出。</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自动侦测和识别各种标准信号，DVI与HDMI输入接口最高支持3840*2160分辨率4K超高清信号，VGA输入接口最高支持1080P高清信号；并且可以对所有的信号自动识别并可按用户要求对各信号进行视窗大小、显示位置、图像比例等方面的调整和变换。</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支持边缘屏蔽功能，可对拼缝边缘作像素级的精细图像处理，使整个拼接大画面显示更完整，效果更突出。</w:t>
            </w:r>
          </w:p>
        </w:tc>
        <w:tc>
          <w:tcPr>
            <w:tcW w:w="8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台</w:t>
            </w:r>
          </w:p>
        </w:tc>
        <w:tc>
          <w:tcPr>
            <w:tcW w:w="8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tc>
      </w:tr>
      <w:tr>
        <w:tblPrEx>
          <w:tblCellMar>
            <w:top w:w="0" w:type="dxa"/>
            <w:left w:w="108" w:type="dxa"/>
            <w:bottom w:w="0" w:type="dxa"/>
            <w:right w:w="108" w:type="dxa"/>
          </w:tblCellMar>
        </w:tblPrEx>
        <w:trPr>
          <w:trHeight w:val="2835" w:hRule="atLeast"/>
        </w:trPr>
        <w:tc>
          <w:tcPr>
            <w:tcW w:w="700" w:type="dxa"/>
            <w:tcBorders>
              <w:top w:val="nil"/>
              <w:left w:val="single" w:color="auto" w:sz="8"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3</w:t>
            </w:r>
          </w:p>
        </w:tc>
        <w:tc>
          <w:tcPr>
            <w:tcW w:w="130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LED控制器</w:t>
            </w:r>
          </w:p>
        </w:tc>
        <w:tc>
          <w:tcPr>
            <w:tcW w:w="61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 xml:space="preserve">1 输入网络接口 ：3路输入网络接口（以太网、3G/4G、WIFI），用来屏幕配置和更新节目内容使用，节目更新完后可以断开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2 输入网络连接方式 以太网、WIFI、3G/4G均可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3 控制接口一路USB(B型)接口用于配置LED屏幕、两路串口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4 内容更新方式 电脑、优盘、以太网、WIFI、3G/4G均可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5 同步输入接口 一路HDMI输入，直接与外部播放设备连接即可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6 输出控制 2路千兆以太网RJ45接口，用于输出到LED接收卡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7 显示屏类型 单色、双色、全彩等。可以支持各种通用驱动芯片、高刷驱动芯片、逐点检测芯片等。 </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 xml:space="preserve">8 刷新频率 300—6000Hz可调 </w:t>
            </w:r>
          </w:p>
        </w:tc>
        <w:tc>
          <w:tcPr>
            <w:tcW w:w="8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台</w:t>
            </w:r>
          </w:p>
        </w:tc>
        <w:tc>
          <w:tcPr>
            <w:tcW w:w="8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tc>
      </w:tr>
      <w:tr>
        <w:tblPrEx>
          <w:tblCellMar>
            <w:top w:w="0" w:type="dxa"/>
            <w:left w:w="108" w:type="dxa"/>
            <w:bottom w:w="0" w:type="dxa"/>
            <w:right w:w="108" w:type="dxa"/>
          </w:tblCellMar>
        </w:tblPrEx>
        <w:trPr>
          <w:trHeight w:val="435" w:hRule="atLeast"/>
        </w:trPr>
        <w:tc>
          <w:tcPr>
            <w:tcW w:w="700" w:type="dxa"/>
            <w:tcBorders>
              <w:top w:val="nil"/>
              <w:left w:val="single" w:color="auto" w:sz="8"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4</w:t>
            </w:r>
          </w:p>
        </w:tc>
        <w:tc>
          <w:tcPr>
            <w:tcW w:w="130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配电箱</w:t>
            </w:r>
          </w:p>
        </w:tc>
        <w:tc>
          <w:tcPr>
            <w:tcW w:w="61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大屏用配电箱</w:t>
            </w:r>
          </w:p>
        </w:tc>
        <w:tc>
          <w:tcPr>
            <w:tcW w:w="8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台</w:t>
            </w:r>
          </w:p>
        </w:tc>
        <w:tc>
          <w:tcPr>
            <w:tcW w:w="8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tc>
      </w:tr>
      <w:tr>
        <w:tblPrEx>
          <w:tblCellMar>
            <w:top w:w="0" w:type="dxa"/>
            <w:left w:w="108" w:type="dxa"/>
            <w:bottom w:w="0" w:type="dxa"/>
            <w:right w:w="108" w:type="dxa"/>
          </w:tblCellMar>
        </w:tblPrEx>
        <w:trPr>
          <w:trHeight w:val="495" w:hRule="atLeast"/>
        </w:trPr>
        <w:tc>
          <w:tcPr>
            <w:tcW w:w="700" w:type="dxa"/>
            <w:tcBorders>
              <w:top w:val="nil"/>
              <w:left w:val="single" w:color="auto" w:sz="8"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5</w:t>
            </w:r>
          </w:p>
        </w:tc>
        <w:tc>
          <w:tcPr>
            <w:tcW w:w="130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配套钢结构</w:t>
            </w:r>
          </w:p>
        </w:tc>
        <w:tc>
          <w:tcPr>
            <w:tcW w:w="61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大屏配套用钢架结构</w:t>
            </w:r>
          </w:p>
        </w:tc>
        <w:tc>
          <w:tcPr>
            <w:tcW w:w="8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m2</w:t>
            </w:r>
          </w:p>
        </w:tc>
        <w:tc>
          <w:tcPr>
            <w:tcW w:w="8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tc>
      </w:tr>
      <w:tr>
        <w:tblPrEx>
          <w:tblCellMar>
            <w:top w:w="0" w:type="dxa"/>
            <w:left w:w="108" w:type="dxa"/>
            <w:bottom w:w="0" w:type="dxa"/>
            <w:right w:w="108" w:type="dxa"/>
          </w:tblCellMar>
        </w:tblPrEx>
        <w:trPr>
          <w:trHeight w:val="630" w:hRule="atLeast"/>
        </w:trPr>
        <w:tc>
          <w:tcPr>
            <w:tcW w:w="700" w:type="dxa"/>
            <w:tcBorders>
              <w:top w:val="nil"/>
              <w:left w:val="single" w:color="auto" w:sz="8"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6</w:t>
            </w:r>
          </w:p>
        </w:tc>
        <w:tc>
          <w:tcPr>
            <w:tcW w:w="130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台式电脑</w:t>
            </w:r>
          </w:p>
        </w:tc>
        <w:tc>
          <w:tcPr>
            <w:tcW w:w="61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I7九代以上CPU，≥8G内存，≥512 SSD硬盘，≥8G显存独显，配备≥32寸LED显示器，配套键鼠等</w:t>
            </w:r>
          </w:p>
        </w:tc>
        <w:tc>
          <w:tcPr>
            <w:tcW w:w="8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台</w:t>
            </w:r>
          </w:p>
        </w:tc>
        <w:tc>
          <w:tcPr>
            <w:tcW w:w="8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tc>
      </w:tr>
      <w:tr>
        <w:tblPrEx>
          <w:tblCellMar>
            <w:top w:w="0" w:type="dxa"/>
            <w:left w:w="108" w:type="dxa"/>
            <w:bottom w:w="0" w:type="dxa"/>
            <w:right w:w="108" w:type="dxa"/>
          </w:tblCellMar>
        </w:tblPrEx>
        <w:trPr>
          <w:trHeight w:val="975" w:hRule="atLeast"/>
        </w:trPr>
        <w:tc>
          <w:tcPr>
            <w:tcW w:w="700" w:type="dxa"/>
            <w:tcBorders>
              <w:top w:val="nil"/>
              <w:left w:val="single" w:color="auto" w:sz="8" w:space="0"/>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7</w:t>
            </w:r>
          </w:p>
        </w:tc>
        <w:tc>
          <w:tcPr>
            <w:tcW w:w="1300" w:type="dxa"/>
            <w:tcBorders>
              <w:top w:val="nil"/>
              <w:left w:val="nil"/>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机柜</w:t>
            </w:r>
          </w:p>
        </w:tc>
        <w:tc>
          <w:tcPr>
            <w:tcW w:w="6192" w:type="dxa"/>
            <w:tcBorders>
              <w:top w:val="nil"/>
              <w:left w:val="nil"/>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1、机柜尺寸：600mm宽×900mm深×2200mm高或600mm宽×1200mm深×2200mm高；机柜颜色为黑色；</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2、机柜材质：机柜及其附属部件、涂覆层、标志、饰物等均应采用难燃或不燃材料；</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3、机柜结构：柜体结构应牢固，底部和顶部可上下固定，应能承受顶部线缆及结构件的负载；各零部件以及内外部整体结构具有足够的刚性和韧性，不会在设备安装后出现晃动和结构件变形。</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4、柜体结构及其内部安装立柱、层板等组成部件应满足YD5059 抗震要求。</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5、门和侧板：门和侧板为可拆卸式结构，门的开合转动灵活、锁定可靠、施工安装和维护方便；门的开启角应不小于110°；侧板的拆装不应影响机柜整体宽度。前后门均应采用外开门方式，其中前后门均为单开门；前后门带锁，也可根据用户需要更换为独立门锁。</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6、安装立柱：机柜内部应设置6根安装立柱，用于安装设备和固定层板。安装立柱能够前后移动调节。安装立柱的间距、孔距等机柜内部尺寸结构应满足GB/T 3047.2 的要求。</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7、机柜层板：配置6块层板，层板深度为600mm±5mm，标准型层板承重≥40kg，加强型层板承重≥80kg。层板应便于安装和拆卸，其安装高度和前后位置可以调节。</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8、机柜采用上走线设计。顶板后部设置一整体排风口；排风口前两侧各设置一进线孔，其内径（或矩形短边）应≥80mm，其边缘应作钝化处理，以免划伤线缆。进线孔位置应具有线缆固定装置。当进线孔较大时，应加设橡胶罩或网罩，防止外物落入。当机柜采用封闭管道回风方式时，进线孔应能用密封圈密封。</w:t>
            </w:r>
            <w:r>
              <w:rPr>
                <w:rFonts w:hint="eastAsia" w:ascii="新宋体" w:hAnsi="新宋体" w:eastAsia="新宋体" w:cs="新宋体"/>
                <w:color w:val="000000"/>
                <w:kern w:val="0"/>
                <w:sz w:val="22"/>
                <w:szCs w:val="22"/>
                <w:highlight w:val="none"/>
              </w:rPr>
              <w:br w:type="textWrapping"/>
            </w:r>
            <w:r>
              <w:rPr>
                <w:rFonts w:hint="eastAsia" w:ascii="新宋体" w:hAnsi="新宋体" w:eastAsia="新宋体" w:cs="新宋体"/>
                <w:color w:val="000000"/>
                <w:kern w:val="0"/>
                <w:sz w:val="22"/>
                <w:szCs w:val="22"/>
                <w:highlight w:val="none"/>
              </w:rPr>
              <w:t>9、抗震底座：机柜配槽钢底座（支撑机架），底座表面离地面高度要求为500mm；底座前后边框下沿30mm处，向前后延伸30mm（用于支撑机架前后地板）</w:t>
            </w:r>
          </w:p>
        </w:tc>
        <w:tc>
          <w:tcPr>
            <w:tcW w:w="816" w:type="dxa"/>
            <w:tcBorders>
              <w:top w:val="nil"/>
              <w:left w:val="nil"/>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台</w:t>
            </w:r>
          </w:p>
        </w:tc>
        <w:tc>
          <w:tcPr>
            <w:tcW w:w="864" w:type="dxa"/>
            <w:tcBorders>
              <w:top w:val="nil"/>
              <w:left w:val="nil"/>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rPr>
              <w:t>1</w:t>
            </w:r>
          </w:p>
        </w:tc>
      </w:tr>
    </w:tbl>
    <w:p>
      <w:pPr>
        <w:pStyle w:val="6"/>
        <w:pageBreakBefore w:val="0"/>
        <w:tabs>
          <w:tab w:val="left" w:pos="0"/>
          <w:tab w:val="left" w:pos="600"/>
        </w:tabs>
        <w:kinsoku/>
        <w:wordWrap/>
        <w:overflowPunct/>
        <w:topLinePunct w:val="0"/>
        <w:bidi w:val="0"/>
        <w:adjustRightInd/>
        <w:snapToGrid/>
        <w:spacing w:line="460" w:lineRule="exact"/>
        <w:ind w:left="687"/>
        <w:textAlignment w:val="auto"/>
        <w:rPr>
          <w:rFonts w:hint="default"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3、政务云租赁</w:t>
      </w:r>
    </w:p>
    <w:tbl>
      <w:tblPr>
        <w:tblStyle w:val="52"/>
        <w:tblW w:w="9752" w:type="dxa"/>
        <w:jc w:val="center"/>
        <w:tblLayout w:type="autofit"/>
        <w:tblCellMar>
          <w:top w:w="0" w:type="dxa"/>
          <w:left w:w="108" w:type="dxa"/>
          <w:bottom w:w="0" w:type="dxa"/>
          <w:right w:w="108" w:type="dxa"/>
        </w:tblCellMar>
      </w:tblPr>
      <w:tblGrid>
        <w:gridCol w:w="744"/>
        <w:gridCol w:w="1648"/>
        <w:gridCol w:w="2440"/>
        <w:gridCol w:w="2880"/>
        <w:gridCol w:w="1020"/>
        <w:gridCol w:w="1020"/>
      </w:tblGrid>
      <w:tr>
        <w:tblPrEx>
          <w:tblCellMar>
            <w:top w:w="0" w:type="dxa"/>
            <w:left w:w="108" w:type="dxa"/>
            <w:bottom w:w="0" w:type="dxa"/>
            <w:right w:w="108" w:type="dxa"/>
          </w:tblCellMar>
        </w:tblPrEx>
        <w:trPr>
          <w:trHeight w:val="548" w:hRule="atLeast"/>
          <w:jc w:val="center"/>
        </w:trPr>
        <w:tc>
          <w:tcPr>
            <w:tcW w:w="744" w:type="dxa"/>
            <w:tcBorders>
              <w:top w:val="single" w:color="auto" w:sz="8" w:space="0"/>
              <w:left w:val="single" w:color="auto" w:sz="8" w:space="0"/>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序号</w:t>
            </w:r>
          </w:p>
        </w:tc>
        <w:tc>
          <w:tcPr>
            <w:tcW w:w="1648"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网络</w:t>
            </w:r>
          </w:p>
        </w:tc>
        <w:tc>
          <w:tcPr>
            <w:tcW w:w="2440" w:type="dxa"/>
            <w:tcBorders>
              <w:top w:val="single" w:color="auto" w:sz="8" w:space="0"/>
              <w:left w:val="nil"/>
              <w:bottom w:val="nil"/>
              <w:right w:val="single" w:color="auto" w:sz="4" w:space="0"/>
            </w:tcBorders>
            <w:shd w:val="clear" w:color="000000" w:fill="FFFFFF"/>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服务卷用途</w:t>
            </w:r>
          </w:p>
        </w:tc>
        <w:tc>
          <w:tcPr>
            <w:tcW w:w="2880" w:type="dxa"/>
            <w:tcBorders>
              <w:top w:val="single" w:color="auto" w:sz="8" w:space="0"/>
              <w:left w:val="nil"/>
              <w:bottom w:val="nil"/>
              <w:right w:val="single" w:color="auto" w:sz="4" w:space="0"/>
            </w:tcBorders>
            <w:shd w:val="clear" w:color="000000" w:fill="FFFFFF"/>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配置参数</w:t>
            </w:r>
          </w:p>
        </w:tc>
        <w:tc>
          <w:tcPr>
            <w:tcW w:w="1020"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数量</w:t>
            </w:r>
          </w:p>
        </w:tc>
        <w:tc>
          <w:tcPr>
            <w:tcW w:w="1020" w:type="dxa"/>
            <w:tcBorders>
              <w:top w:val="single" w:color="auto" w:sz="8" w:space="0"/>
              <w:left w:val="nil"/>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b/>
                <w:bCs/>
                <w:color w:val="000000"/>
                <w:kern w:val="0"/>
                <w:sz w:val="22"/>
                <w:szCs w:val="22"/>
                <w:highlight w:val="none"/>
                <w:lang w:val="en-US" w:eastAsia="zh-CN"/>
              </w:rPr>
            </w:pPr>
            <w:r>
              <w:rPr>
                <w:rFonts w:hint="eastAsia" w:ascii="新宋体" w:hAnsi="新宋体" w:eastAsia="新宋体" w:cs="新宋体"/>
                <w:b/>
                <w:bCs/>
                <w:color w:val="000000"/>
                <w:kern w:val="0"/>
                <w:sz w:val="22"/>
                <w:szCs w:val="22"/>
                <w:highlight w:val="none"/>
                <w:lang w:val="en-US" w:eastAsia="zh-CN"/>
              </w:rPr>
              <w:t>备注</w:t>
            </w:r>
          </w:p>
        </w:tc>
      </w:tr>
      <w:tr>
        <w:tblPrEx>
          <w:tblCellMar>
            <w:top w:w="0" w:type="dxa"/>
            <w:left w:w="108" w:type="dxa"/>
            <w:bottom w:w="0" w:type="dxa"/>
            <w:right w:w="108" w:type="dxa"/>
          </w:tblCellMar>
        </w:tblPrEx>
        <w:trPr>
          <w:trHeight w:val="540" w:hRule="atLeast"/>
          <w:jc w:val="center"/>
        </w:trPr>
        <w:tc>
          <w:tcPr>
            <w:tcW w:w="744" w:type="dxa"/>
            <w:vMerge w:val="restart"/>
            <w:tcBorders>
              <w:top w:val="single" w:color="auto" w:sz="8" w:space="0"/>
              <w:left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w:t>
            </w:r>
          </w:p>
        </w:tc>
        <w:tc>
          <w:tcPr>
            <w:tcW w:w="1648" w:type="dxa"/>
            <w:vMerge w:val="restart"/>
            <w:tcBorders>
              <w:top w:val="single" w:color="auto" w:sz="8" w:space="0"/>
              <w:left w:val="single" w:color="auto" w:sz="4" w:space="0"/>
              <w:bottom w:val="nil"/>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政务网</w:t>
            </w:r>
          </w:p>
        </w:tc>
        <w:tc>
          <w:tcPr>
            <w:tcW w:w="2440" w:type="dxa"/>
            <w:tcBorders>
              <w:top w:val="single" w:color="auto" w:sz="8" w:space="0"/>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数据库服务器</w:t>
            </w:r>
          </w:p>
        </w:tc>
        <w:tc>
          <w:tcPr>
            <w:tcW w:w="2880" w:type="dxa"/>
            <w:tcBorders>
              <w:top w:val="single" w:color="auto" w:sz="8"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 8核，内存 16GB，存储 1TB</w:t>
            </w:r>
          </w:p>
        </w:tc>
        <w:tc>
          <w:tcPr>
            <w:tcW w:w="1020" w:type="dxa"/>
            <w:tcBorders>
              <w:top w:val="single" w:color="auto" w:sz="8" w:space="0"/>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1020" w:type="dxa"/>
            <w:tcBorders>
              <w:top w:val="single" w:color="auto" w:sz="8" w:space="0"/>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278" w:hRule="atLeast"/>
          <w:jc w:val="center"/>
        </w:trPr>
        <w:tc>
          <w:tcPr>
            <w:tcW w:w="744" w:type="dxa"/>
            <w:vMerge w:val="continue"/>
            <w:tcBorders>
              <w:left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648" w:type="dxa"/>
            <w:vMerge w:val="continue"/>
            <w:tcBorders>
              <w:top w:val="single" w:color="auto" w:sz="8" w:space="0"/>
              <w:left w:val="single" w:color="auto" w:sz="4" w:space="0"/>
              <w:bottom w:val="nil"/>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44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云存储</w:t>
            </w:r>
          </w:p>
        </w:tc>
        <w:tc>
          <w:tcPr>
            <w:tcW w:w="28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 xml:space="preserve"> 2TB</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540" w:hRule="atLeast"/>
          <w:jc w:val="center"/>
        </w:trPr>
        <w:tc>
          <w:tcPr>
            <w:tcW w:w="744" w:type="dxa"/>
            <w:vMerge w:val="continue"/>
            <w:tcBorders>
              <w:left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648" w:type="dxa"/>
            <w:vMerge w:val="continue"/>
            <w:tcBorders>
              <w:top w:val="single" w:color="auto" w:sz="8" w:space="0"/>
              <w:left w:val="single" w:color="auto" w:sz="4" w:space="0"/>
              <w:bottom w:val="nil"/>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44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service部署服务器</w:t>
            </w:r>
          </w:p>
        </w:tc>
        <w:tc>
          <w:tcPr>
            <w:tcW w:w="28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 8核，内存 16GB，存储 500GB</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540" w:hRule="atLeast"/>
          <w:jc w:val="center"/>
        </w:trPr>
        <w:tc>
          <w:tcPr>
            <w:tcW w:w="744" w:type="dxa"/>
            <w:vMerge w:val="continue"/>
            <w:tcBorders>
              <w:left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648" w:type="dxa"/>
            <w:vMerge w:val="continue"/>
            <w:tcBorders>
              <w:top w:val="single" w:color="auto" w:sz="8" w:space="0"/>
              <w:left w:val="single" w:color="auto" w:sz="4" w:space="0"/>
              <w:bottom w:val="nil"/>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44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w:t>
            </w:r>
          </w:p>
        </w:tc>
        <w:tc>
          <w:tcPr>
            <w:tcW w:w="28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 8核，内存 16GB，存储 500GB</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540" w:hRule="atLeast"/>
          <w:jc w:val="center"/>
        </w:trPr>
        <w:tc>
          <w:tcPr>
            <w:tcW w:w="744" w:type="dxa"/>
            <w:vMerge w:val="continue"/>
            <w:tcBorders>
              <w:left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648" w:type="dxa"/>
            <w:vMerge w:val="continue"/>
            <w:tcBorders>
              <w:top w:val="single" w:color="auto" w:sz="8" w:space="0"/>
              <w:left w:val="single" w:color="auto" w:sz="4" w:space="0"/>
              <w:bottom w:val="nil"/>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44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支撑应用服务器</w:t>
            </w:r>
          </w:p>
        </w:tc>
        <w:tc>
          <w:tcPr>
            <w:tcW w:w="28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 8核，内存 16GB，存储 500GB</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540" w:hRule="atLeast"/>
          <w:jc w:val="center"/>
        </w:trPr>
        <w:tc>
          <w:tcPr>
            <w:tcW w:w="744" w:type="dxa"/>
            <w:vMerge w:val="continue"/>
            <w:tcBorders>
              <w:left w:val="single" w:color="auto" w:sz="8"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648" w:type="dxa"/>
            <w:vMerge w:val="continue"/>
            <w:tcBorders>
              <w:top w:val="single" w:color="auto" w:sz="8" w:space="0"/>
              <w:left w:val="single" w:color="auto" w:sz="4" w:space="0"/>
              <w:bottom w:val="nil"/>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44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数据抽取服务器</w:t>
            </w:r>
          </w:p>
        </w:tc>
        <w:tc>
          <w:tcPr>
            <w:tcW w:w="28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 8核，内存 16GB，存储 1TB</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540" w:hRule="atLeast"/>
          <w:jc w:val="center"/>
        </w:trPr>
        <w:tc>
          <w:tcPr>
            <w:tcW w:w="744" w:type="dxa"/>
            <w:vMerge w:val="continue"/>
            <w:tcBorders>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p>
        </w:tc>
        <w:tc>
          <w:tcPr>
            <w:tcW w:w="1648" w:type="dxa"/>
            <w:vMerge w:val="continue"/>
            <w:tcBorders>
              <w:top w:val="single" w:color="auto" w:sz="8" w:space="0"/>
              <w:left w:val="single" w:color="auto" w:sz="4" w:space="0"/>
              <w:bottom w:val="nil"/>
              <w:right w:val="single" w:color="auto" w:sz="4" w:space="0"/>
            </w:tcBorders>
            <w:shd w:val="clear" w:color="auto" w:fill="auto"/>
            <w:noWrap w:val="0"/>
            <w:vAlign w:val="center"/>
          </w:tcPr>
          <w:p>
            <w:pPr>
              <w:pageBreakBefore w:val="0"/>
              <w:widowControl/>
              <w:kinsoku/>
              <w:wordWrap/>
              <w:overflowPunct/>
              <w:topLinePunct w:val="0"/>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p>
        </w:tc>
        <w:tc>
          <w:tcPr>
            <w:tcW w:w="244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负载均衡服务器（或者SLB）</w:t>
            </w:r>
          </w:p>
        </w:tc>
        <w:tc>
          <w:tcPr>
            <w:tcW w:w="28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 8核，内存 16GB，存储 500GB</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540" w:hRule="atLeast"/>
          <w:jc w:val="center"/>
        </w:trPr>
        <w:tc>
          <w:tcPr>
            <w:tcW w:w="744" w:type="dxa"/>
            <w:tcBorders>
              <w:top w:val="nil"/>
              <w:left w:val="single" w:color="auto" w:sz="8"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lang w:eastAsia="zh-CN"/>
              </w:rPr>
            </w:pPr>
            <w:r>
              <w:rPr>
                <w:rFonts w:hint="eastAsia" w:ascii="新宋体" w:hAnsi="新宋体" w:eastAsia="新宋体" w:cs="新宋体"/>
                <w:color w:val="000000"/>
                <w:kern w:val="0"/>
                <w:sz w:val="22"/>
                <w:szCs w:val="22"/>
                <w:highlight w:val="none"/>
                <w:lang w:val="en-US" w:eastAsia="zh-CN"/>
              </w:rPr>
              <w:t>2</w:t>
            </w:r>
          </w:p>
        </w:tc>
        <w:tc>
          <w:tcPr>
            <w:tcW w:w="1648" w:type="dxa"/>
            <w:tcBorders>
              <w:top w:val="single" w:color="auto" w:sz="4"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互联网</w:t>
            </w:r>
          </w:p>
        </w:tc>
        <w:tc>
          <w:tcPr>
            <w:tcW w:w="244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WEB部署服务器</w:t>
            </w:r>
          </w:p>
        </w:tc>
        <w:tc>
          <w:tcPr>
            <w:tcW w:w="288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CPU 8核，内存 16GB，存储 500GB</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1020" w:type="dxa"/>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r>
        <w:tblPrEx>
          <w:tblCellMar>
            <w:top w:w="0" w:type="dxa"/>
            <w:left w:w="108" w:type="dxa"/>
            <w:bottom w:w="0" w:type="dxa"/>
            <w:right w:w="108" w:type="dxa"/>
          </w:tblCellMar>
        </w:tblPrEx>
        <w:trPr>
          <w:trHeight w:val="1358" w:hRule="atLeast"/>
          <w:jc w:val="center"/>
        </w:trPr>
        <w:tc>
          <w:tcPr>
            <w:tcW w:w="744" w:type="dxa"/>
            <w:tcBorders>
              <w:top w:val="nil"/>
              <w:left w:val="single" w:color="auto" w:sz="8" w:space="0"/>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lang w:eastAsia="zh-CN"/>
              </w:rPr>
            </w:pPr>
            <w:r>
              <w:rPr>
                <w:rFonts w:hint="eastAsia" w:ascii="新宋体" w:hAnsi="新宋体" w:eastAsia="新宋体" w:cs="新宋体"/>
                <w:color w:val="000000"/>
                <w:kern w:val="0"/>
                <w:sz w:val="22"/>
                <w:szCs w:val="22"/>
                <w:highlight w:val="none"/>
                <w:lang w:val="en-US" w:eastAsia="zh-CN"/>
              </w:rPr>
              <w:t>3</w:t>
            </w:r>
          </w:p>
        </w:tc>
        <w:tc>
          <w:tcPr>
            <w:tcW w:w="1648" w:type="dxa"/>
            <w:tcBorders>
              <w:top w:val="nil"/>
              <w:left w:val="nil"/>
              <w:bottom w:val="single" w:color="auto" w:sz="8"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安全设备</w:t>
            </w:r>
          </w:p>
        </w:tc>
        <w:tc>
          <w:tcPr>
            <w:tcW w:w="2440" w:type="dxa"/>
            <w:tcBorders>
              <w:top w:val="nil"/>
              <w:left w:val="nil"/>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460" w:lineRule="exact"/>
              <w:ind w:right="0"/>
              <w:jc w:val="center"/>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运维审计（堡垒机）</w:t>
            </w:r>
          </w:p>
        </w:tc>
        <w:tc>
          <w:tcPr>
            <w:tcW w:w="2880" w:type="dxa"/>
            <w:tcBorders>
              <w:top w:val="nil"/>
              <w:left w:val="nil"/>
              <w:bottom w:val="single" w:color="auto" w:sz="8"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bidi w:val="0"/>
              <w:adjustRightInd/>
              <w:snapToGrid/>
              <w:spacing w:line="460" w:lineRule="exact"/>
              <w:ind w:right="0"/>
              <w:jc w:val="lef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包含SSL VPN接入服务，共享使用，统一管理，含运维管理服务，支持同一用户主体多个访问账号。含运维及报表服务。</w:t>
            </w:r>
          </w:p>
        </w:tc>
        <w:tc>
          <w:tcPr>
            <w:tcW w:w="1020"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11</w:t>
            </w:r>
          </w:p>
        </w:tc>
        <w:tc>
          <w:tcPr>
            <w:tcW w:w="1020"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460" w:lineRule="exact"/>
              <w:ind w:right="0"/>
              <w:jc w:val="right"/>
              <w:textAlignment w:val="auto"/>
              <w:rPr>
                <w:rFonts w:hint="eastAsia" w:ascii="新宋体" w:hAnsi="新宋体" w:eastAsia="新宋体" w:cs="新宋体"/>
                <w:color w:val="000000"/>
                <w:kern w:val="0"/>
                <w:sz w:val="22"/>
                <w:szCs w:val="22"/>
                <w:highlight w:val="none"/>
              </w:rPr>
            </w:pPr>
          </w:p>
        </w:tc>
      </w:tr>
    </w:tbl>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w:t>
      </w:r>
      <w:r>
        <w:rPr>
          <w:rFonts w:hint="eastAsia" w:ascii="新宋体" w:hAnsi="新宋体" w:eastAsia="新宋体" w:cs="新宋体"/>
          <w:b/>
          <w:color w:val="auto"/>
          <w:sz w:val="22"/>
          <w:szCs w:val="22"/>
          <w:highlight w:val="none"/>
        </w:rPr>
        <w:t>四、项目实施要求</w:t>
      </w:r>
    </w:p>
    <w:p>
      <w:pPr>
        <w:spacing w:line="460" w:lineRule="exact"/>
        <w:ind w:firstLine="539" w:firstLineChars="245"/>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zh-CN"/>
        </w:rPr>
        <w:t>1、</w:t>
      </w: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zh-CN"/>
        </w:rPr>
        <w:t>建设工期：</w:t>
      </w:r>
      <w:r>
        <w:rPr>
          <w:rFonts w:hint="eastAsia" w:ascii="新宋体" w:hAnsi="新宋体" w:eastAsia="新宋体" w:cs="新宋体"/>
          <w:bCs/>
          <w:color w:val="auto"/>
          <w:sz w:val="22"/>
          <w:szCs w:val="22"/>
          <w:highlight w:val="none"/>
          <w:lang w:val="en-US" w:eastAsia="zh-CN"/>
        </w:rPr>
        <w:t>9月底试运行上线，12月底正式运行。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 2、实施地点：</w:t>
      </w:r>
      <w:r>
        <w:rPr>
          <w:rFonts w:hint="eastAsia" w:ascii="新宋体" w:hAnsi="新宋体" w:eastAsia="新宋体" w:cs="新宋体"/>
          <w:bCs/>
          <w:color w:val="auto"/>
          <w:sz w:val="22"/>
          <w:szCs w:val="22"/>
          <w:highlight w:val="none"/>
        </w:rPr>
        <w:t>招标人</w:t>
      </w:r>
      <w:r>
        <w:rPr>
          <w:rFonts w:hint="eastAsia" w:ascii="新宋体" w:hAnsi="新宋体" w:eastAsia="新宋体" w:cs="新宋体"/>
          <w:bCs/>
          <w:color w:val="auto"/>
          <w:sz w:val="22"/>
          <w:szCs w:val="22"/>
          <w:highlight w:val="none"/>
          <w:lang w:val="zh-CN"/>
        </w:rPr>
        <w:t>指定地点。</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color w:val="auto"/>
          <w:sz w:val="22"/>
          <w:szCs w:val="22"/>
          <w:highlight w:val="none"/>
          <w:lang w:val="en-US" w:eastAsia="zh-CN"/>
        </w:rPr>
        <w:t>十</w:t>
      </w:r>
      <w:r>
        <w:rPr>
          <w:rFonts w:hint="eastAsia" w:ascii="新宋体" w:hAnsi="新宋体" w:eastAsia="新宋体" w:cs="新宋体"/>
          <w:b/>
          <w:color w:val="auto"/>
          <w:sz w:val="22"/>
          <w:szCs w:val="22"/>
          <w:highlight w:val="none"/>
        </w:rPr>
        <w:t xml:space="preserve"> 五、质量保证</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投标人须保证所提供产品符合国家有关规定。投标人须保证所提供产品具有合法的版权或使用权，本项目采购的产品，如在本项目范围内使用过程中出现版权或使用权纠纷，应由投标人负责，招标人不承担责任。</w:t>
      </w:r>
    </w:p>
    <w:p>
      <w:pPr>
        <w:pStyle w:val="19"/>
        <w:spacing w:line="460" w:lineRule="exact"/>
        <w:ind w:firstLine="440" w:firstLineChars="20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投标人应确保其技术建议以及所提供的</w:t>
      </w:r>
      <w:r>
        <w:rPr>
          <w:rFonts w:hint="eastAsia" w:ascii="新宋体" w:hAnsi="新宋体" w:eastAsia="新宋体" w:cs="新宋体"/>
          <w:b/>
          <w:bCs/>
          <w:color w:val="auto"/>
          <w:sz w:val="22"/>
          <w:szCs w:val="22"/>
          <w:highlight w:val="none"/>
          <w:lang w:val="zh-CN"/>
        </w:rPr>
        <w:t>产</w:t>
      </w:r>
      <w:r>
        <w:rPr>
          <w:rFonts w:hint="eastAsia" w:ascii="新宋体" w:hAnsi="新宋体" w:eastAsia="新宋体" w:cs="新宋体"/>
          <w:bCs/>
          <w:color w:val="auto"/>
          <w:sz w:val="22"/>
          <w:szCs w:val="22"/>
          <w:highlight w:val="none"/>
          <w:lang w:val="zh-CN"/>
        </w:rPr>
        <w:t>品的完整性、实用性，保证全部系统及时投入正常运行。否则若出现因投标人提供的产品不满足要求、不合理，或者其所提供的技术支持和服务不全面，而导致系统无法实现或不能完全实现的状况，投标人负全部责任。</w:t>
      </w:r>
    </w:p>
    <w:p>
      <w:pPr>
        <w:pStyle w:val="19"/>
        <w:spacing w:line="460" w:lineRule="exact"/>
        <w:ind w:firstLine="440" w:firstLineChars="20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3、如招标文件中遗漏了必须具备的设备、配件或服务，请投标人在投标文件中指出，并提出解决方案供招标人参考；中标人有义务保证招标人系统的完整性。</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采购需求在开发期和试运行期内，仍有可能不断完善，投标人须承诺在采购需求或政策法规范围内，随着采购需求的变动随时做出响应，修改应用软件。</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zh-CN"/>
        </w:rPr>
        <w:t>、投标人必须保证解决项目所涉及的技术问题，如因技术原因无法满足招标人需求，由此产生的风险由投标人承担。</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6</w:t>
      </w: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rPr>
        <w:t>投标人</w:t>
      </w:r>
      <w:r>
        <w:rPr>
          <w:rFonts w:hint="eastAsia" w:ascii="新宋体" w:hAnsi="新宋体" w:eastAsia="新宋体" w:cs="新宋体"/>
          <w:bCs/>
          <w:color w:val="auto"/>
          <w:sz w:val="22"/>
          <w:szCs w:val="22"/>
          <w:highlight w:val="none"/>
          <w:lang w:val="zh-CN"/>
        </w:rPr>
        <w:t>须提供至少</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lang w:val="en-US" w:eastAsia="zh-CN"/>
        </w:rPr>
        <w:t>3</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lang w:val="zh-CN"/>
        </w:rPr>
        <w:t>年的免费维护期，投标人在维护期内，如遇软件产品升级、改版，应免费提供更新、升级服务。</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7、中标人</w:t>
      </w:r>
      <w:r>
        <w:rPr>
          <w:rFonts w:hint="eastAsia" w:ascii="新宋体" w:hAnsi="新宋体" w:eastAsia="新宋体" w:cs="新宋体"/>
          <w:bCs/>
          <w:color w:val="auto"/>
          <w:sz w:val="22"/>
          <w:szCs w:val="22"/>
          <w:highlight w:val="none"/>
          <w:lang w:val="zh-CN"/>
        </w:rPr>
        <w:t>必须对</w:t>
      </w:r>
      <w:r>
        <w:rPr>
          <w:rFonts w:hint="eastAsia" w:ascii="新宋体" w:hAnsi="新宋体" w:eastAsia="新宋体" w:cs="新宋体"/>
          <w:bCs/>
          <w:color w:val="auto"/>
          <w:sz w:val="22"/>
          <w:szCs w:val="22"/>
          <w:highlight w:val="none"/>
        </w:rPr>
        <w:t>招标人</w:t>
      </w:r>
      <w:r>
        <w:rPr>
          <w:rFonts w:hint="eastAsia" w:ascii="新宋体" w:hAnsi="新宋体" w:eastAsia="新宋体" w:cs="新宋体"/>
          <w:bCs/>
          <w:color w:val="auto"/>
          <w:sz w:val="22"/>
          <w:szCs w:val="22"/>
          <w:highlight w:val="none"/>
          <w:lang w:val="zh-CN"/>
        </w:rPr>
        <w:t>提供系统性的使用培训，以及长期技术支持服务；</w:t>
      </w:r>
    </w:p>
    <w:p>
      <w:pPr>
        <w:pStyle w:val="19"/>
        <w:spacing w:line="460" w:lineRule="exact"/>
        <w:ind w:firstLine="550" w:firstLineChars="25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8、中标人</w:t>
      </w:r>
      <w:r>
        <w:rPr>
          <w:rFonts w:hint="eastAsia" w:ascii="新宋体" w:hAnsi="新宋体" w:eastAsia="新宋体" w:cs="新宋体"/>
          <w:bCs/>
          <w:color w:val="auto"/>
          <w:sz w:val="22"/>
          <w:szCs w:val="22"/>
          <w:highlight w:val="none"/>
          <w:lang w:val="zh-CN"/>
        </w:rPr>
        <w:t>接到</w:t>
      </w:r>
      <w:r>
        <w:rPr>
          <w:rFonts w:hint="eastAsia" w:ascii="新宋体" w:hAnsi="新宋体" w:eastAsia="新宋体" w:cs="新宋体"/>
          <w:bCs/>
          <w:color w:val="auto"/>
          <w:sz w:val="22"/>
          <w:szCs w:val="22"/>
          <w:highlight w:val="none"/>
        </w:rPr>
        <w:t>招标</w:t>
      </w:r>
      <w:r>
        <w:rPr>
          <w:rFonts w:hint="eastAsia" w:ascii="新宋体" w:hAnsi="新宋体" w:eastAsia="新宋体" w:cs="新宋体"/>
          <w:bCs/>
          <w:color w:val="auto"/>
          <w:sz w:val="22"/>
          <w:szCs w:val="22"/>
          <w:highlight w:val="none"/>
          <w:lang w:val="zh-CN"/>
        </w:rPr>
        <w:t>人维护电话后即时做出响应，维护服务人员应在1小时内到达招标方现场(系统在使用过程中，需要功能上的修补和完善：24小时内提出解决方案，3日内解决问题；系统个别服务不正常、部分服务不正常：12小时内提出解决方案，24小时内解决问题；系统严重故障，导致系统瘫痪：1小时内提出解决方案，8小时内解决问题。)如果中标人在接到通知后的3个小时内未做出响应，则由于故障所造成的全部损失由中标人承担。</w:t>
      </w:r>
    </w:p>
    <w:p>
      <w:pPr>
        <w:pStyle w:val="19"/>
        <w:spacing w:line="460" w:lineRule="exact"/>
        <w:ind w:firstLine="550" w:firstLineChars="250"/>
        <w:rPr>
          <w:rFonts w:hint="default" w:ascii="新宋体" w:hAnsi="新宋体" w:eastAsia="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9、项目正式运行前至少提供3名驻点人员</w:t>
      </w:r>
      <w:r>
        <w:rPr>
          <w:rFonts w:hint="eastAsia"/>
          <w:color w:val="auto"/>
          <w:highlight w:val="none"/>
        </w:rPr>
        <w:t>驻场服务</w:t>
      </w:r>
      <w:r>
        <w:rPr>
          <w:rFonts w:hint="eastAsia"/>
          <w:color w:val="auto"/>
          <w:highlight w:val="none"/>
          <w:lang w:eastAsia="zh-CN"/>
        </w:rPr>
        <w:t>。</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w:t>
      </w:r>
      <w:r>
        <w:rPr>
          <w:rFonts w:hint="eastAsia" w:ascii="新宋体" w:hAnsi="新宋体" w:eastAsia="新宋体" w:cs="新宋体"/>
          <w:b/>
          <w:color w:val="auto"/>
          <w:sz w:val="22"/>
          <w:szCs w:val="22"/>
          <w:highlight w:val="none"/>
        </w:rPr>
        <w:t>六、验收要求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项目的工作内容及成果文档的提交应覆盖以下内容，电子文档是成果不可分割的部分。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1、应用软件的源程序及可执行代码。源程序要求具有良好的编程风格，可执行代码以二进制文件或可安装文件的形式提供；</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2、数据库的设计以及数据实体模型、相互关系的描述；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3、网络系统的拓扑结构以及相关设备的配置；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4、系统的体系架构及描述；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5、提供的其它技术手册，包括：</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需求分析报告（含软件功能需求与数据要求）；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系统概要设计说明书；</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系统详细设计方案及系统测试方案设计；</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软件培训资料（含系统演示光盘）；</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数据库设计方案；</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程序安装维护手册；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软件使用操作手册；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软件功能技术手册；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软件体系架构手册；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系统的测试分析报告。</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w:t>
      </w:r>
      <w:r>
        <w:rPr>
          <w:rFonts w:hint="eastAsia" w:ascii="新宋体" w:hAnsi="新宋体" w:eastAsia="新宋体" w:cs="新宋体"/>
          <w:b/>
          <w:color w:val="auto"/>
          <w:sz w:val="22"/>
          <w:szCs w:val="22"/>
          <w:highlight w:val="none"/>
        </w:rPr>
        <w:t>七、其它</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采购需求在开发期和试运行期内，仍有可能不断完善，投标人须承诺在采购需求和政策法规范围内，随着采购需求的变动随时做出响应，修改应用软件。</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投标人须保证所提供产品具有合法的版权或使用权，本项目采购的产品，如在本项目范围内使用过程中出现版权或使用权纠纷，应由中标人负责，招标人和采购机构不承担任何责任。</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中标人对数据没有任何的处置权和使用权。</w:t>
      </w:r>
    </w:p>
    <w:p>
      <w:pPr>
        <w:outlineLvl w:val="9"/>
        <w:rPr>
          <w:rFonts w:hint="eastAsia"/>
          <w:highlight w:val="none"/>
        </w:rPr>
      </w:pPr>
    </w:p>
    <w:p>
      <w:pPr>
        <w:autoSpaceDN w:val="0"/>
        <w:spacing w:line="460" w:lineRule="exact"/>
        <w:ind w:firstLine="904" w:firstLineChars="30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第五部分   评标原则及方法</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一、总 则</w:t>
      </w:r>
    </w:p>
    <w:p>
      <w:pPr>
        <w:spacing w:line="460" w:lineRule="exact"/>
        <w:ind w:firstLine="539" w:firstLineChars="245"/>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四、评标办法</w:t>
      </w:r>
    </w:p>
    <w:p>
      <w:pPr>
        <w:spacing w:line="460" w:lineRule="exact"/>
        <w:ind w:firstLine="539" w:firstLineChars="245"/>
        <w:rPr>
          <w:rFonts w:hint="eastAsia"/>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w:t>
      </w:r>
      <w:r>
        <w:rPr>
          <w:rFonts w:hint="eastAsia" w:ascii="新宋体" w:hAnsi="新宋体" w:eastAsia="新宋体" w:cs="新宋体"/>
          <w:color w:val="auto"/>
          <w:sz w:val="22"/>
          <w:szCs w:val="22"/>
          <w:highlight w:val="none"/>
          <w:lang w:val="en-US" w:eastAsia="zh-CN"/>
        </w:rPr>
        <w:t>报价</w:t>
      </w:r>
      <w:r>
        <w:rPr>
          <w:rFonts w:hint="eastAsia" w:ascii="新宋体" w:hAnsi="新宋体" w:eastAsia="新宋体" w:cs="新宋体"/>
          <w:color w:val="auto"/>
          <w:sz w:val="22"/>
          <w:szCs w:val="22"/>
          <w:highlight w:val="none"/>
        </w:rPr>
        <w:t>分之和）由高到低顺序排序，确定中标候选人的评标方法。根据采购要求，</w:t>
      </w:r>
      <w:r>
        <w:rPr>
          <w:rFonts w:hint="eastAsia" w:ascii="新宋体" w:hAnsi="新宋体" w:eastAsia="新宋体" w:cs="新宋体"/>
          <w:b/>
          <w:color w:val="auto"/>
          <w:sz w:val="22"/>
          <w:szCs w:val="22"/>
          <w:highlight w:val="none"/>
        </w:rPr>
        <w:t>总分设定为100分：</w:t>
      </w:r>
      <w:r>
        <w:rPr>
          <w:rFonts w:hint="eastAsia" w:ascii="新宋体" w:hAnsi="新宋体" w:eastAsia="新宋体" w:cs="新宋体"/>
          <w:b/>
          <w:color w:val="auto"/>
          <w:sz w:val="22"/>
          <w:szCs w:val="22"/>
          <w:highlight w:val="none"/>
        </w:rPr>
        <w:t>商务</w:t>
      </w:r>
      <w:r>
        <w:rPr>
          <w:rFonts w:hint="eastAsia" w:ascii="新宋体" w:hAnsi="新宋体" w:eastAsia="新宋体" w:cs="新宋体"/>
          <w:b/>
          <w:color w:val="auto"/>
          <w:sz w:val="22"/>
          <w:szCs w:val="22"/>
          <w:highlight w:val="none"/>
        </w:rPr>
        <w:t>技术</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rPr>
        <w:t>%）。</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lang w:val="en-US" w:eastAsia="zh-CN"/>
        </w:rPr>
        <w:t>0</w:t>
      </w:r>
      <w:r>
        <w:rPr>
          <w:rFonts w:hint="eastAsia" w:ascii="新宋体" w:hAnsi="新宋体" w:eastAsia="新宋体" w:cs="新宋体"/>
          <w:b/>
          <w:color w:val="auto"/>
          <w:sz w:val="22"/>
          <w:szCs w:val="22"/>
          <w:highlight w:val="none"/>
        </w:rPr>
        <w:t>%）</w:t>
      </w:r>
    </w:p>
    <w:p>
      <w:pPr>
        <w:spacing w:line="460" w:lineRule="exact"/>
        <w:ind w:firstLine="539" w:firstLineChars="245"/>
        <w:rPr>
          <w:rFonts w:hint="eastAsia"/>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2"/>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52"/>
        <w:gridCol w:w="1038"/>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852"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评分项目</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投标人资质及相关情况</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投标人具有ISO9001证书</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rPr>
              <w:t>ISO27001证书、ISO20000证书及ITSS信息技术服务运行维护标准证书，</w:t>
            </w:r>
            <w:r>
              <w:rPr>
                <w:rFonts w:hint="eastAsia" w:ascii="新宋体" w:hAnsi="新宋体" w:eastAsia="新宋体" w:cs="新宋体"/>
                <w:color w:val="000000"/>
                <w:kern w:val="0"/>
                <w:sz w:val="22"/>
                <w:szCs w:val="22"/>
                <w:highlight w:val="none"/>
                <w:lang w:val="en-US" w:eastAsia="zh-CN"/>
              </w:rPr>
              <w:t>提一个证书（证书为真实有效）</w:t>
            </w:r>
            <w:r>
              <w:rPr>
                <w:rFonts w:hint="eastAsia" w:ascii="新宋体" w:hAnsi="新宋体" w:eastAsia="新宋体" w:cs="新宋体"/>
                <w:color w:val="000000"/>
                <w:kern w:val="0"/>
                <w:sz w:val="22"/>
                <w:szCs w:val="22"/>
                <w:highlight w:val="none"/>
              </w:rPr>
              <w:t>得</w:t>
            </w:r>
            <w:r>
              <w:rPr>
                <w:rFonts w:hint="eastAsia" w:ascii="新宋体" w:hAnsi="新宋体" w:eastAsia="新宋体" w:cs="新宋体"/>
                <w:color w:val="000000"/>
                <w:kern w:val="0"/>
                <w:sz w:val="22"/>
                <w:szCs w:val="22"/>
                <w:highlight w:val="none"/>
                <w:lang w:val="en-US" w:eastAsia="zh-CN"/>
              </w:rPr>
              <w:t>0.5</w:t>
            </w:r>
            <w:r>
              <w:rPr>
                <w:rFonts w:hint="eastAsia" w:ascii="新宋体" w:hAnsi="新宋体" w:eastAsia="新宋体" w:cs="新宋体"/>
                <w:color w:val="000000"/>
                <w:kern w:val="0"/>
                <w:sz w:val="22"/>
                <w:szCs w:val="22"/>
                <w:highlight w:val="none"/>
              </w:rPr>
              <w:t>分</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lang w:val="en-US" w:eastAsia="zh-CN"/>
              </w:rPr>
              <w:t>最多1.5分</w:t>
            </w:r>
            <w:r>
              <w:rPr>
                <w:rFonts w:hint="eastAsia" w:ascii="新宋体" w:hAnsi="新宋体" w:eastAsia="新宋体" w:cs="新宋体"/>
                <w:color w:val="000000"/>
                <w:kern w:val="0"/>
                <w:sz w:val="22"/>
                <w:szCs w:val="22"/>
                <w:highlight w:val="none"/>
              </w:rPr>
              <w:t>（提供</w:t>
            </w:r>
            <w:r>
              <w:rPr>
                <w:rFonts w:hint="eastAsia" w:ascii="新宋体" w:hAnsi="新宋体" w:eastAsia="新宋体" w:cs="新宋体"/>
                <w:color w:val="000000"/>
                <w:kern w:val="0"/>
                <w:sz w:val="22"/>
                <w:szCs w:val="22"/>
                <w:highlight w:val="none"/>
                <w:lang w:val="en-US" w:eastAsia="zh-CN"/>
              </w:rPr>
              <w:t>证书复印件</w:t>
            </w:r>
            <w:r>
              <w:rPr>
                <w:rFonts w:hint="eastAsia" w:ascii="新宋体" w:hAnsi="新宋体" w:eastAsia="新宋体" w:cs="新宋体"/>
                <w:color w:val="000000"/>
                <w:kern w:val="0"/>
                <w:sz w:val="22"/>
                <w:szCs w:val="22"/>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投标人具有信用评估模型类软件著作权的</w:t>
            </w:r>
            <w:r>
              <w:rPr>
                <w:rFonts w:hint="eastAsia" w:ascii="新宋体" w:hAnsi="新宋体" w:eastAsia="新宋体" w:cs="新宋体"/>
                <w:color w:val="000000"/>
                <w:kern w:val="0"/>
                <w:sz w:val="22"/>
                <w:szCs w:val="22"/>
                <w:highlight w:val="none"/>
                <w:lang w:val="en-US" w:eastAsia="zh-CN"/>
              </w:rPr>
              <w:t>得0.5分</w:t>
            </w:r>
            <w:r>
              <w:rPr>
                <w:rFonts w:hint="eastAsia" w:ascii="新宋体" w:hAnsi="新宋体" w:eastAsia="新宋体" w:cs="新宋体"/>
                <w:color w:val="000000"/>
                <w:kern w:val="0"/>
                <w:sz w:val="22"/>
                <w:szCs w:val="22"/>
                <w:highlight w:val="none"/>
              </w:rPr>
              <w:t>；</w: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投标人具有信用信息系统类软件著作权的得0.5分；</w: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投标人具有数据治理类软件著作权的得0.5分；</w: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（提供著作权</w:t>
            </w:r>
            <w:r>
              <w:rPr>
                <w:rFonts w:hint="eastAsia" w:ascii="新宋体" w:hAnsi="新宋体" w:eastAsia="新宋体" w:cs="新宋体"/>
                <w:color w:val="000000"/>
                <w:kern w:val="0"/>
                <w:sz w:val="22"/>
                <w:szCs w:val="22"/>
                <w:highlight w:val="none"/>
                <w:lang w:val="en-US" w:eastAsia="zh-CN"/>
              </w:rPr>
              <w:t>复印件</w:t>
            </w:r>
            <w:r>
              <w:rPr>
                <w:rFonts w:hint="eastAsia" w:ascii="新宋体" w:hAnsi="新宋体" w:eastAsia="新宋体" w:cs="新宋体"/>
                <w:color w:val="000000"/>
                <w:kern w:val="0"/>
                <w:sz w:val="22"/>
                <w:szCs w:val="22"/>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0.5分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投标人具有信息安全服务资质证书得</w:t>
            </w:r>
            <w:r>
              <w:rPr>
                <w:rFonts w:hint="eastAsia" w:ascii="新宋体" w:hAnsi="新宋体" w:eastAsia="新宋体" w:cs="新宋体"/>
                <w:color w:val="000000"/>
                <w:kern w:val="0"/>
                <w:sz w:val="22"/>
                <w:szCs w:val="22"/>
                <w:highlight w:val="none"/>
                <w:lang w:val="en-US" w:eastAsia="zh-CN"/>
              </w:rPr>
              <w:t>0.5</w:t>
            </w:r>
            <w:r>
              <w:rPr>
                <w:rFonts w:hint="eastAsia" w:ascii="新宋体" w:hAnsi="新宋体" w:eastAsia="新宋体" w:cs="新宋体"/>
                <w:color w:val="000000"/>
                <w:kern w:val="0"/>
                <w:sz w:val="22"/>
                <w:szCs w:val="22"/>
                <w:highlight w:val="none"/>
              </w:rPr>
              <w:t>分，</w:t>
            </w:r>
          </w:p>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（提供证书</w:t>
            </w:r>
            <w:r>
              <w:rPr>
                <w:rFonts w:hint="eastAsia" w:ascii="新宋体" w:hAnsi="新宋体" w:eastAsia="新宋体" w:cs="新宋体"/>
                <w:color w:val="000000"/>
                <w:kern w:val="0"/>
                <w:sz w:val="22"/>
                <w:szCs w:val="22"/>
                <w:highlight w:val="none"/>
                <w:lang w:val="en-US" w:eastAsia="zh-CN"/>
              </w:rPr>
              <w:t>复印件</w:t>
            </w:r>
            <w:r>
              <w:rPr>
                <w:rFonts w:hint="eastAsia" w:ascii="新宋体" w:hAnsi="新宋体" w:eastAsia="新宋体" w:cs="新宋体"/>
                <w:color w:val="000000"/>
                <w:kern w:val="0"/>
                <w:sz w:val="22"/>
                <w:szCs w:val="22"/>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jc w:val="both"/>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en-US" w:eastAsia="zh-CN"/>
              </w:rPr>
              <w:t>投标人</w:t>
            </w:r>
            <w:r>
              <w:rPr>
                <w:rFonts w:hint="eastAsia" w:ascii="新宋体" w:hAnsi="新宋体" w:eastAsia="新宋体" w:cs="新宋体"/>
                <w:color w:val="000000"/>
                <w:kern w:val="0"/>
                <w:sz w:val="22"/>
                <w:szCs w:val="22"/>
                <w:highlight w:val="none"/>
              </w:rPr>
              <w:t>CMMI资质证书，CMMI3得0.5分，CMMI</w:t>
            </w:r>
            <w:r>
              <w:rPr>
                <w:rFonts w:hint="eastAsia" w:ascii="新宋体" w:hAnsi="新宋体" w:eastAsia="新宋体" w:cs="新宋体"/>
                <w:color w:val="000000"/>
                <w:kern w:val="0"/>
                <w:sz w:val="22"/>
                <w:szCs w:val="22"/>
                <w:highlight w:val="none"/>
                <w:lang w:val="en-US" w:eastAsia="zh-CN"/>
              </w:rPr>
              <w:t>4</w:t>
            </w:r>
            <w:r>
              <w:rPr>
                <w:rFonts w:hint="eastAsia" w:ascii="新宋体" w:hAnsi="新宋体" w:eastAsia="新宋体" w:cs="新宋体"/>
                <w:color w:val="000000"/>
                <w:kern w:val="0"/>
                <w:sz w:val="22"/>
                <w:szCs w:val="22"/>
                <w:highlight w:val="none"/>
              </w:rPr>
              <w:t>得1分</w:t>
            </w:r>
            <w:r>
              <w:rPr>
                <w:rFonts w:hint="eastAsia" w:ascii="新宋体" w:hAnsi="新宋体" w:eastAsia="新宋体" w:cs="新宋体"/>
                <w:color w:val="000000"/>
                <w:kern w:val="0"/>
                <w:sz w:val="22"/>
                <w:szCs w:val="22"/>
                <w:highlight w:val="none"/>
                <w:lang w:eastAsia="zh-CN"/>
              </w:rPr>
              <w:t>，</w:t>
            </w:r>
            <w:r>
              <w:rPr>
                <w:rFonts w:hint="eastAsia" w:ascii="新宋体" w:hAnsi="新宋体" w:eastAsia="新宋体" w:cs="新宋体"/>
                <w:color w:val="000000"/>
                <w:kern w:val="0"/>
                <w:sz w:val="22"/>
                <w:szCs w:val="22"/>
                <w:highlight w:val="none"/>
              </w:rPr>
              <w:t>CMMI</w:t>
            </w:r>
            <w:r>
              <w:rPr>
                <w:rFonts w:hint="eastAsia" w:ascii="新宋体" w:hAnsi="新宋体" w:eastAsia="新宋体" w:cs="新宋体"/>
                <w:color w:val="000000"/>
                <w:kern w:val="0"/>
                <w:sz w:val="22"/>
                <w:szCs w:val="22"/>
                <w:highlight w:val="none"/>
                <w:lang w:val="en-US" w:eastAsia="zh-CN"/>
              </w:rPr>
              <w:t>5</w:t>
            </w:r>
            <w:r>
              <w:rPr>
                <w:rFonts w:hint="eastAsia" w:ascii="新宋体" w:hAnsi="新宋体" w:eastAsia="新宋体" w:cs="新宋体"/>
                <w:color w:val="000000"/>
                <w:kern w:val="0"/>
                <w:sz w:val="22"/>
                <w:szCs w:val="22"/>
                <w:highlight w:val="none"/>
              </w:rPr>
              <w:t>得1</w:t>
            </w:r>
            <w:r>
              <w:rPr>
                <w:rFonts w:hint="eastAsia" w:ascii="新宋体" w:hAnsi="新宋体" w:eastAsia="新宋体" w:cs="新宋体"/>
                <w:color w:val="000000"/>
                <w:kern w:val="0"/>
                <w:sz w:val="22"/>
                <w:szCs w:val="22"/>
                <w:highlight w:val="none"/>
                <w:lang w:val="en-US" w:eastAsia="zh-CN"/>
              </w:rPr>
              <w:t>.5</w:t>
            </w:r>
            <w:r>
              <w:rPr>
                <w:rFonts w:hint="eastAsia" w:ascii="新宋体" w:hAnsi="新宋体" w:eastAsia="新宋体" w:cs="新宋体"/>
                <w:color w:val="000000"/>
                <w:kern w:val="0"/>
                <w:sz w:val="22"/>
                <w:szCs w:val="22"/>
                <w:highlight w:val="none"/>
              </w:rPr>
              <w:t>分（提供证书</w:t>
            </w:r>
            <w:r>
              <w:rPr>
                <w:rFonts w:hint="eastAsia" w:ascii="新宋体" w:hAnsi="新宋体" w:eastAsia="新宋体" w:cs="新宋体"/>
                <w:color w:val="000000"/>
                <w:kern w:val="0"/>
                <w:sz w:val="22"/>
                <w:szCs w:val="22"/>
                <w:highlight w:val="none"/>
                <w:lang w:val="en-US" w:eastAsia="zh-CN"/>
              </w:rPr>
              <w:t>复印件</w:t>
            </w:r>
            <w:r>
              <w:rPr>
                <w:rFonts w:hint="eastAsia" w:ascii="新宋体" w:hAnsi="新宋体" w:eastAsia="新宋体" w:cs="新宋体"/>
                <w:color w:val="000000"/>
                <w:kern w:val="0"/>
                <w:sz w:val="22"/>
                <w:szCs w:val="22"/>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技术方案</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c>
          <w:tcPr>
            <w:tcW w:w="6318" w:type="dxa"/>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项目需求理解：对项目建设背景、业务现状及分析、建设目标、功能需求的理解，要求投标方提供需求分析说明。</w:t>
            </w: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000000"/>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318" w:type="dxa"/>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项目难点及解决方案：根据投标供应商针对本项目难点分析及所提出解决方案的合理性、可行性进行综合评价打分。</w:t>
            </w: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000000"/>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318" w:type="dxa"/>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根据投标供应商功能设计方案是否思路清晰、论述充分,且具备较为科学的合理性和开放性；功能模块设计的详细程度、技术层次及规范化程度的高低；系统设计是否可靠稳定；用户可自定义的程度高低，进行综合评价打分。</w:t>
            </w: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000000"/>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318" w:type="dxa"/>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信用数据中心：根据供应商对数据库体系设计及相关分析专题库的可行性、备份与恢复方案设计的可靠性进行综合评价打分。</w:t>
            </w: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000000"/>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318" w:type="dxa"/>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系统安全体系方案：根据投标供应商对系统安全策略制定的可行性、备份与恢复方案设计的可靠性进行综合评价打分</w:t>
            </w: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000000"/>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318" w:type="dxa"/>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信用评分模型方案：具备信用评分相关模型的开发和应用经验，根据信用评分的技术先进性及可行性进行综合评价打分</w:t>
            </w: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000000"/>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318" w:type="dxa"/>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授权认证解决方案设计，根据对接浙江省法人数字证书对接方案的科学性、可行性、应用普及性进行打分，同时列举真实应用案例，进行综合评价打分。</w:t>
            </w: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项目管理方案</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bCs/>
                <w:color w:val="auto"/>
                <w:sz w:val="22"/>
                <w:szCs w:val="22"/>
                <w:highlight w:val="none"/>
              </w:rPr>
              <w:t>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实施方案：方案对实施要求进行了分析，对实施难点有对应策略，制定了实施计划，并有相应的质量管理计划；制定了整体进度计划，总体进度计划与阶段计划时间上满足标书要求；有完整的质量保证计划，有完整的配置变更管理计划，有项目进度控制计划。</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系统测试和验收方案</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A档:3-2分；B档：2-1分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投标人的培训及售后服务</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投标人为本项目提供的培训方案</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A档:3-2分；B档：2-1分 ；C档：1-0分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投标人对本项目的售后服务承诺和能够保证产品的后续开发与功能扩展及维护的措施</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A档:3-2分；B档：2-1分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318" w:type="dxa"/>
            <w:noWrap w:val="0"/>
            <w:vAlign w:val="center"/>
          </w:tcPr>
          <w:p>
            <w:pPr>
              <w:pStyle w:val="19"/>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按照招标文件中售后服务的要求，对投标人的售后服务响应或承诺情况进行打分</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A档:3-2分；B档：2-1分 ；C档：1-0分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1852"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000000"/>
                <w:kern w:val="0"/>
                <w:sz w:val="22"/>
                <w:szCs w:val="22"/>
                <w:highlight w:val="none"/>
              </w:rPr>
              <w:t>系统演示</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投标人根据要求，需现场演示真实</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或模拟</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的系统</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（投标人自行携带电脑至投标现场进行演示，采用PPT演示</w:t>
            </w:r>
            <w:r>
              <w:rPr>
                <w:rFonts w:hint="eastAsia" w:ascii="新宋体" w:hAnsi="新宋体" w:eastAsia="新宋体" w:cs="新宋体"/>
                <w:sz w:val="22"/>
                <w:szCs w:val="22"/>
                <w:highlight w:val="none"/>
                <w:lang w:val="en-US" w:eastAsia="zh-CN"/>
              </w:rPr>
              <w:t>不得分</w:t>
            </w:r>
            <w:r>
              <w:rPr>
                <w:rFonts w:hint="eastAsia" w:ascii="新宋体" w:hAnsi="新宋体" w:eastAsia="新宋体" w:cs="新宋体"/>
                <w:sz w:val="22"/>
                <w:szCs w:val="22"/>
                <w:highlight w:val="none"/>
              </w:rPr>
              <w:t>，演示时间不超过20分钟。）</w:t>
            </w:r>
          </w:p>
          <w:p>
            <w:pPr>
              <w:pStyle w:val="2"/>
              <w:keepNext w:val="0"/>
              <w:keepLines w:val="0"/>
              <w:pageBreakBefore w:val="0"/>
              <w:kinsoku/>
              <w:wordWrap/>
              <w:overflowPunct/>
              <w:topLinePunct w:val="0"/>
              <w:autoSpaceDE/>
              <w:autoSpaceDN/>
              <w:bidi w:val="0"/>
              <w:spacing w:after="0" w:afterLines="0" w:line="460" w:lineRule="exact"/>
              <w:textAlignment w:val="auto"/>
              <w:rPr>
                <w:rFonts w:hint="eastAsia"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1、企业信用评分模型演示（图形可视化演示）（</w:t>
            </w:r>
            <w:r>
              <w:rPr>
                <w:rFonts w:hint="eastAsia" w:ascii="新宋体" w:hAnsi="新宋体" w:eastAsia="新宋体" w:cs="新宋体"/>
                <w:b w:val="0"/>
                <w:bCs/>
                <w:sz w:val="22"/>
                <w:szCs w:val="22"/>
                <w:highlight w:val="none"/>
                <w:lang w:val="en-US" w:eastAsia="zh-CN"/>
              </w:rPr>
              <w:t>1-0</w:t>
            </w:r>
            <w:r>
              <w:rPr>
                <w:rFonts w:hint="eastAsia" w:ascii="新宋体" w:hAnsi="新宋体" w:eastAsia="新宋体" w:cs="新宋体"/>
                <w:b w:val="0"/>
                <w:bCs/>
                <w:sz w:val="22"/>
                <w:szCs w:val="22"/>
                <w:highlight w:val="none"/>
              </w:rPr>
              <w:t>分）；</w:t>
            </w:r>
          </w:p>
          <w:p>
            <w:pPr>
              <w:pStyle w:val="2"/>
              <w:keepNext w:val="0"/>
              <w:keepLines w:val="0"/>
              <w:pageBreakBefore w:val="0"/>
              <w:kinsoku/>
              <w:wordWrap/>
              <w:overflowPunct/>
              <w:topLinePunct w:val="0"/>
              <w:autoSpaceDE/>
              <w:autoSpaceDN/>
              <w:bidi w:val="0"/>
              <w:spacing w:after="0" w:afterLines="0" w:line="460" w:lineRule="exact"/>
              <w:textAlignment w:val="auto"/>
              <w:rPr>
                <w:rFonts w:hint="eastAsia"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2、企业风险预警等级演示（</w:t>
            </w:r>
            <w:r>
              <w:rPr>
                <w:rFonts w:hint="eastAsia" w:ascii="新宋体" w:hAnsi="新宋体" w:eastAsia="新宋体" w:cs="新宋体"/>
                <w:b w:val="0"/>
                <w:bCs/>
                <w:sz w:val="22"/>
                <w:szCs w:val="22"/>
                <w:highlight w:val="none"/>
                <w:lang w:val="en-US" w:eastAsia="zh-CN"/>
              </w:rPr>
              <w:t>1-0</w:t>
            </w:r>
            <w:r>
              <w:rPr>
                <w:rFonts w:hint="eastAsia" w:ascii="新宋体" w:hAnsi="新宋体" w:eastAsia="新宋体" w:cs="新宋体"/>
                <w:b w:val="0"/>
                <w:bCs/>
                <w:sz w:val="22"/>
                <w:szCs w:val="22"/>
                <w:highlight w:val="none"/>
              </w:rPr>
              <w:t>分）；</w:t>
            </w:r>
          </w:p>
          <w:p>
            <w:pPr>
              <w:pStyle w:val="2"/>
              <w:keepNext w:val="0"/>
              <w:keepLines w:val="0"/>
              <w:pageBreakBefore w:val="0"/>
              <w:kinsoku/>
              <w:wordWrap/>
              <w:overflowPunct/>
              <w:topLinePunct w:val="0"/>
              <w:autoSpaceDE/>
              <w:autoSpaceDN/>
              <w:bidi w:val="0"/>
              <w:spacing w:after="0" w:afterLines="0" w:line="460" w:lineRule="exact"/>
              <w:textAlignment w:val="auto"/>
              <w:rPr>
                <w:rFonts w:hint="eastAsia"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3、银企融资对接操作操作演示（</w:t>
            </w:r>
            <w:r>
              <w:rPr>
                <w:rFonts w:hint="eastAsia" w:ascii="新宋体" w:hAnsi="新宋体" w:eastAsia="新宋体" w:cs="新宋体"/>
                <w:b w:val="0"/>
                <w:bCs/>
                <w:sz w:val="22"/>
                <w:szCs w:val="22"/>
                <w:highlight w:val="none"/>
                <w:lang w:val="en-US" w:eastAsia="zh-CN"/>
              </w:rPr>
              <w:t>1-0</w:t>
            </w:r>
            <w:r>
              <w:rPr>
                <w:rFonts w:hint="eastAsia" w:ascii="新宋体" w:hAnsi="新宋体" w:eastAsia="新宋体" w:cs="新宋体"/>
                <w:b w:val="0"/>
                <w:bCs/>
                <w:sz w:val="22"/>
                <w:szCs w:val="22"/>
                <w:highlight w:val="none"/>
              </w:rPr>
              <w:t>分）；</w:t>
            </w:r>
          </w:p>
          <w:p>
            <w:pPr>
              <w:pStyle w:val="2"/>
              <w:keepNext w:val="0"/>
              <w:keepLines w:val="0"/>
              <w:pageBreakBefore w:val="0"/>
              <w:kinsoku/>
              <w:wordWrap/>
              <w:overflowPunct/>
              <w:topLinePunct w:val="0"/>
              <w:autoSpaceDE/>
              <w:autoSpaceDN/>
              <w:bidi w:val="0"/>
              <w:spacing w:after="0" w:afterLines="0" w:line="460" w:lineRule="exact"/>
              <w:textAlignment w:val="auto"/>
              <w:rPr>
                <w:rFonts w:hint="eastAsia"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4、实名认证及电子授权演示（</w:t>
            </w:r>
            <w:r>
              <w:rPr>
                <w:rFonts w:hint="eastAsia" w:ascii="新宋体" w:hAnsi="新宋体" w:eastAsia="新宋体" w:cs="新宋体"/>
                <w:b w:val="0"/>
                <w:bCs/>
                <w:sz w:val="22"/>
                <w:szCs w:val="22"/>
                <w:highlight w:val="none"/>
                <w:lang w:val="en-US" w:eastAsia="zh-CN"/>
              </w:rPr>
              <w:t>2-0</w:t>
            </w:r>
            <w:r>
              <w:rPr>
                <w:rFonts w:hint="eastAsia" w:ascii="新宋体" w:hAnsi="新宋体" w:eastAsia="新宋体" w:cs="新宋体"/>
                <w:b w:val="0"/>
                <w:bCs/>
                <w:sz w:val="22"/>
                <w:szCs w:val="22"/>
                <w:highlight w:val="none"/>
              </w:rPr>
              <w:t>分）；</w:t>
            </w:r>
          </w:p>
          <w:p>
            <w:pPr>
              <w:pStyle w:val="2"/>
              <w:keepNext w:val="0"/>
              <w:keepLines w:val="0"/>
              <w:pageBreakBefore w:val="0"/>
              <w:kinsoku/>
              <w:wordWrap/>
              <w:overflowPunct/>
              <w:topLinePunct w:val="0"/>
              <w:autoSpaceDE/>
              <w:autoSpaceDN/>
              <w:bidi w:val="0"/>
              <w:spacing w:after="0" w:afterLines="0" w:line="460" w:lineRule="exact"/>
              <w:textAlignment w:val="auto"/>
              <w:rPr>
                <w:rFonts w:hint="eastAsia"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lang w:val="en-US" w:eastAsia="zh-CN"/>
              </w:rPr>
              <w:t>5</w:t>
            </w:r>
            <w:r>
              <w:rPr>
                <w:rFonts w:hint="eastAsia" w:ascii="新宋体" w:hAnsi="新宋体" w:eastAsia="新宋体" w:cs="新宋体"/>
                <w:b w:val="0"/>
                <w:bCs/>
                <w:sz w:val="22"/>
                <w:szCs w:val="22"/>
                <w:highlight w:val="none"/>
              </w:rPr>
              <w:t>、手机APP操作演示（</w:t>
            </w:r>
            <w:r>
              <w:rPr>
                <w:rFonts w:hint="eastAsia" w:ascii="新宋体" w:hAnsi="新宋体" w:eastAsia="新宋体" w:cs="新宋体"/>
                <w:b w:val="0"/>
                <w:bCs/>
                <w:sz w:val="22"/>
                <w:szCs w:val="22"/>
                <w:highlight w:val="none"/>
                <w:lang w:val="en-US" w:eastAsia="zh-CN"/>
              </w:rPr>
              <w:t>1-0</w:t>
            </w:r>
            <w:r>
              <w:rPr>
                <w:rFonts w:hint="eastAsia" w:ascii="新宋体" w:hAnsi="新宋体" w:eastAsia="新宋体" w:cs="新宋体"/>
                <w:b w:val="0"/>
                <w:bCs/>
                <w:sz w:val="22"/>
                <w:szCs w:val="22"/>
                <w:highlight w:val="none"/>
              </w:rPr>
              <w:t>分）</w:t>
            </w:r>
          </w:p>
          <w:p>
            <w:pPr>
              <w:pStyle w:val="2"/>
              <w:keepNext w:val="0"/>
              <w:keepLines w:val="0"/>
              <w:pageBreakBefore w:val="0"/>
              <w:kinsoku/>
              <w:wordWrap/>
              <w:overflowPunct/>
              <w:topLinePunct w:val="0"/>
              <w:autoSpaceDE/>
              <w:autoSpaceDN/>
              <w:bidi w:val="0"/>
              <w:spacing w:after="0" w:afterLines="0" w:line="460" w:lineRule="exact"/>
              <w:textAlignment w:val="auto"/>
              <w:rPr>
                <w:rFonts w:hint="eastAsia"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lang w:val="en-US" w:eastAsia="zh-CN"/>
              </w:rPr>
              <w:t>6、</w:t>
            </w:r>
            <w:r>
              <w:rPr>
                <w:rFonts w:hint="eastAsia" w:ascii="新宋体" w:hAnsi="新宋体" w:eastAsia="新宋体" w:cs="新宋体"/>
                <w:b w:val="0"/>
                <w:bCs/>
                <w:sz w:val="22"/>
                <w:szCs w:val="22"/>
                <w:highlight w:val="none"/>
              </w:rPr>
              <w:t>数据分析可视化演示（</w:t>
            </w:r>
            <w:r>
              <w:rPr>
                <w:rFonts w:hint="eastAsia" w:ascii="新宋体" w:hAnsi="新宋体" w:eastAsia="新宋体" w:cs="新宋体"/>
                <w:b w:val="0"/>
                <w:bCs/>
                <w:sz w:val="22"/>
                <w:szCs w:val="22"/>
                <w:highlight w:val="none"/>
                <w:lang w:val="en-US" w:eastAsia="zh-CN"/>
              </w:rPr>
              <w:t>2-0</w:t>
            </w:r>
            <w:r>
              <w:rPr>
                <w:rFonts w:hint="eastAsia" w:ascii="新宋体" w:hAnsi="新宋体" w:eastAsia="新宋体" w:cs="新宋体"/>
                <w:b w:val="0"/>
                <w:bCs/>
                <w:sz w:val="22"/>
                <w:szCs w:val="22"/>
                <w:highlight w:val="none"/>
              </w:rPr>
              <w:t>分）</w:t>
            </w:r>
          </w:p>
          <w:p>
            <w:pPr>
              <w:pStyle w:val="2"/>
              <w:keepNext w:val="0"/>
              <w:keepLines w:val="0"/>
              <w:pageBreakBefore w:val="0"/>
              <w:kinsoku/>
              <w:wordWrap/>
              <w:overflowPunct/>
              <w:topLinePunct w:val="0"/>
              <w:autoSpaceDE/>
              <w:autoSpaceDN/>
              <w:bidi w:val="0"/>
              <w:spacing w:after="0" w:afterLines="0" w:line="460" w:lineRule="exact"/>
              <w:textAlignment w:val="auto"/>
              <w:rPr>
                <w:rFonts w:hint="eastAsia" w:ascii="新宋体" w:hAnsi="新宋体" w:eastAsia="新宋体" w:cs="新宋体"/>
                <w:sz w:val="22"/>
                <w:szCs w:val="22"/>
                <w:highlight w:val="none"/>
                <w:lang w:eastAsia="zh-CN"/>
              </w:rPr>
            </w:pPr>
            <w:r>
              <w:rPr>
                <w:rFonts w:hint="eastAsia" w:ascii="新宋体" w:hAnsi="新宋体" w:eastAsia="新宋体" w:cs="新宋体"/>
                <w:b w:val="0"/>
                <w:bCs/>
                <w:sz w:val="22"/>
                <w:szCs w:val="22"/>
                <w:highlight w:val="none"/>
                <w:lang w:val="en-US" w:eastAsia="zh-CN"/>
              </w:rPr>
              <w:t>7、</w:t>
            </w:r>
            <w:r>
              <w:rPr>
                <w:rFonts w:hint="eastAsia" w:ascii="新宋体" w:hAnsi="新宋体" w:eastAsia="新宋体" w:cs="新宋体"/>
                <w:b w:val="0"/>
                <w:bCs/>
                <w:sz w:val="22"/>
                <w:szCs w:val="22"/>
                <w:highlight w:val="none"/>
              </w:rPr>
              <w:t>助货服务及相关财政补贴功能演示（</w:t>
            </w:r>
            <w:r>
              <w:rPr>
                <w:rFonts w:hint="eastAsia" w:ascii="新宋体" w:hAnsi="新宋体" w:eastAsia="新宋体" w:cs="新宋体"/>
                <w:b w:val="0"/>
                <w:bCs/>
                <w:sz w:val="22"/>
                <w:szCs w:val="22"/>
                <w:highlight w:val="none"/>
                <w:lang w:val="en-US" w:eastAsia="zh-CN"/>
              </w:rPr>
              <w:t>2-0</w:t>
            </w:r>
            <w:r>
              <w:rPr>
                <w:rFonts w:hint="eastAsia" w:ascii="新宋体" w:hAnsi="新宋体" w:eastAsia="新宋体" w:cs="新宋体"/>
                <w:b w:val="0"/>
                <w:bCs/>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项目投入技术力量</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投标人在本项目中核心人员要求：一名项目经理（具备PMP证书）、一名高级信用管理师、一名高级系统分析师、一名信息安全管理师（具备国家信息安全测评中心颁发注册信息安全专业人员证书），四者缺一不可，需提供资质证明复印件并盖章，得3分</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000000"/>
                <w:kern w:val="0"/>
                <w:sz w:val="22"/>
                <w:szCs w:val="22"/>
                <w:highlight w:val="none"/>
              </w:rPr>
              <w:t>以上人员提供由社保机构开具的在本企业缴纳社保的参保证明。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包括人员项目投入人员的配置、综合素质经验、分工等情况</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分；B档：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 ；C档：</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-0分</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000000"/>
                <w:kern w:val="0"/>
                <w:sz w:val="22"/>
                <w:szCs w:val="22"/>
                <w:highlight w:val="none"/>
              </w:rPr>
              <w:t>以上人员提供由社保机构开具的在本企业缴纳社保的参保证明。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000000"/>
                <w:kern w:val="0"/>
                <w:sz w:val="22"/>
                <w:szCs w:val="22"/>
                <w:highlight w:val="none"/>
                <w:lang w:val="en-US" w:eastAsia="zh-CN"/>
              </w:rPr>
              <w:t>驻点人员的</w:t>
            </w:r>
            <w:r>
              <w:rPr>
                <w:rFonts w:hint="eastAsia" w:ascii="新宋体" w:hAnsi="新宋体" w:eastAsia="新宋体" w:cs="新宋体"/>
                <w:color w:val="auto"/>
                <w:kern w:val="0"/>
                <w:sz w:val="22"/>
                <w:szCs w:val="22"/>
                <w:highlight w:val="none"/>
              </w:rPr>
              <w:t>配置、综合素质经验、分工等情况</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A档:3-2分；B档：2-1分 ；C档：1-0分</w:t>
            </w:r>
            <w:r>
              <w:rPr>
                <w:rFonts w:hint="eastAsia" w:ascii="新宋体" w:hAnsi="新宋体" w:eastAsia="新宋体" w:cs="新宋体"/>
                <w:bCs/>
                <w:color w:val="auto"/>
                <w:sz w:val="22"/>
                <w:szCs w:val="22"/>
                <w:highlight w:val="none"/>
              </w:rPr>
              <w:t>。</w:t>
            </w:r>
          </w:p>
          <w:p>
            <w:pPr>
              <w:keepNext w:val="0"/>
              <w:keepLines w:val="0"/>
              <w:pageBreakBefore w:val="0"/>
              <w:widowControl w:val="0"/>
              <w:kinsoku/>
              <w:wordWrap/>
              <w:overflowPunct/>
              <w:topLinePunct w:val="0"/>
              <w:autoSpaceDE/>
              <w:autoSpaceDN/>
              <w:bidi w:val="0"/>
              <w:spacing w:line="460" w:lineRule="exact"/>
              <w:textAlignment w:val="auto"/>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rPr>
              <w:t>以上人员提供由社保机构开具的在本企业缴纳社保的参保证明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6"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1852"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业绩</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val="0"/>
                <w:bCs w:val="0"/>
                <w:color w:val="auto"/>
                <w:sz w:val="22"/>
                <w:szCs w:val="22"/>
                <w:highlight w:val="none"/>
              </w:rPr>
              <w:t>2016年</w:t>
            </w:r>
            <w:r>
              <w:rPr>
                <w:rFonts w:hint="eastAsia" w:ascii="新宋体" w:hAnsi="新宋体" w:eastAsia="新宋体" w:cs="新宋体"/>
                <w:b w:val="0"/>
                <w:bCs w:val="0"/>
                <w:color w:val="auto"/>
                <w:sz w:val="22"/>
                <w:szCs w:val="22"/>
                <w:highlight w:val="none"/>
                <w:lang w:val="en-US" w:eastAsia="zh-CN"/>
              </w:rPr>
              <w:t>1月1日</w:t>
            </w:r>
            <w:r>
              <w:rPr>
                <w:rFonts w:hint="eastAsia" w:ascii="新宋体" w:hAnsi="新宋体" w:eastAsia="新宋体" w:cs="新宋体"/>
                <w:b w:val="0"/>
                <w:bCs w:val="0"/>
                <w:color w:val="auto"/>
                <w:sz w:val="22"/>
                <w:szCs w:val="22"/>
                <w:highlight w:val="none"/>
              </w:rPr>
              <w:t>以来</w:t>
            </w:r>
            <w:r>
              <w:rPr>
                <w:rFonts w:hint="eastAsia" w:ascii="新宋体" w:hAnsi="新宋体" w:eastAsia="新宋体" w:cs="新宋体"/>
                <w:b w:val="0"/>
                <w:bCs w:val="0"/>
                <w:color w:val="auto"/>
                <w:sz w:val="22"/>
                <w:szCs w:val="22"/>
                <w:highlight w:val="none"/>
                <w:lang w:val="en-US" w:eastAsia="zh-CN"/>
              </w:rPr>
              <w:t>签署的</w:t>
            </w:r>
            <w:r>
              <w:rPr>
                <w:rFonts w:hint="eastAsia" w:ascii="新宋体" w:hAnsi="新宋体" w:eastAsia="新宋体" w:cs="新宋体"/>
                <w:b w:val="0"/>
                <w:bCs w:val="0"/>
                <w:color w:val="auto"/>
                <w:sz w:val="22"/>
                <w:szCs w:val="22"/>
                <w:highlight w:val="none"/>
              </w:rPr>
              <w:t>具有</w:t>
            </w:r>
            <w:r>
              <w:rPr>
                <w:rFonts w:hint="eastAsia" w:ascii="新宋体" w:hAnsi="新宋体" w:eastAsia="新宋体" w:cs="新宋体"/>
                <w:b w:val="0"/>
                <w:bCs w:val="0"/>
                <w:color w:val="auto"/>
                <w:sz w:val="22"/>
                <w:szCs w:val="22"/>
                <w:highlight w:val="none"/>
                <w:lang w:val="en-US" w:eastAsia="zh-CN"/>
              </w:rPr>
              <w:t>金融综合服务平台项目</w:t>
            </w:r>
            <w:r>
              <w:rPr>
                <w:rFonts w:hint="eastAsia" w:ascii="新宋体" w:hAnsi="新宋体" w:eastAsia="新宋体" w:cs="新宋体"/>
                <w:b w:val="0"/>
                <w:bCs w:val="0"/>
                <w:color w:val="auto"/>
                <w:sz w:val="22"/>
                <w:szCs w:val="22"/>
                <w:highlight w:val="none"/>
              </w:rPr>
              <w:t>开发案例，每提供一个案例得1分，满分5分；投标时提供合同</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验收报告</w:t>
            </w:r>
            <w:r>
              <w:rPr>
                <w:rFonts w:hint="eastAsia" w:ascii="新宋体" w:hAnsi="新宋体" w:eastAsia="新宋体" w:cs="新宋体"/>
                <w:b w:val="0"/>
                <w:bCs w:val="0"/>
                <w:color w:val="auto"/>
                <w:sz w:val="22"/>
                <w:szCs w:val="22"/>
                <w:highlight w:val="none"/>
              </w:rPr>
              <w:t>的复印件</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需提供原件备查</w:t>
            </w:r>
            <w:r>
              <w:rPr>
                <w:rFonts w:hint="eastAsia" w:ascii="新宋体" w:hAnsi="新宋体" w:eastAsia="新宋体" w:cs="新宋体"/>
                <w:b w:val="0"/>
                <w:bCs w:val="0"/>
                <w:color w:val="auto"/>
                <w:sz w:val="22"/>
                <w:szCs w:val="22"/>
                <w:highlight w:val="none"/>
                <w:lang w:eastAsia="zh-CN"/>
              </w:rPr>
              <w:t>）。</w:t>
            </w:r>
          </w:p>
        </w:tc>
      </w:tr>
    </w:tbl>
    <w:p>
      <w:pPr>
        <w:pStyle w:val="22"/>
        <w:spacing w:line="460" w:lineRule="exact"/>
        <w:ind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w:t>
      </w:r>
      <w:r>
        <w:rPr>
          <w:rFonts w:hint="eastAsia" w:ascii="新宋体" w:hAnsi="新宋体" w:eastAsia="新宋体" w:cs="新宋体"/>
          <w:b/>
          <w:color w:val="auto"/>
          <w:sz w:val="22"/>
          <w:szCs w:val="22"/>
          <w:highlight w:val="none"/>
          <w:lang w:val="en-US" w:eastAsia="zh-CN"/>
        </w:rPr>
        <w:t>报价</w:t>
      </w:r>
      <w:r>
        <w:rPr>
          <w:rFonts w:hint="eastAsia" w:ascii="新宋体" w:hAnsi="新宋体" w:eastAsia="新宋体" w:cs="新宋体"/>
          <w:b/>
          <w:color w:val="auto"/>
          <w:sz w:val="22"/>
          <w:szCs w:val="22"/>
          <w:highlight w:val="none"/>
        </w:rPr>
        <w:t>评分（权值</w:t>
      </w:r>
      <w:r>
        <w:rPr>
          <w:rFonts w:hint="eastAsia" w:ascii="新宋体" w:hAnsi="新宋体" w:eastAsia="新宋体" w:cs="新宋体"/>
          <w:b/>
          <w:color w:val="auto"/>
          <w:sz w:val="22"/>
          <w:szCs w:val="22"/>
          <w:highlight w:val="none"/>
          <w:lang w:val="en-US" w:eastAsia="zh-CN"/>
        </w:rPr>
        <w:t>10</w:t>
      </w:r>
      <w:r>
        <w:rPr>
          <w:rFonts w:hint="eastAsia" w:ascii="新宋体" w:hAnsi="新宋体" w:eastAsia="新宋体" w:cs="新宋体"/>
          <w:b/>
          <w:color w:val="auto"/>
          <w:sz w:val="22"/>
          <w:szCs w:val="22"/>
          <w:highlight w:val="none"/>
        </w:rPr>
        <w:t>%）：</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cs="新宋体"/>
          <w:b/>
          <w:bCs/>
          <w:color w:val="auto"/>
          <w:sz w:val="22"/>
          <w:szCs w:val="22"/>
          <w:highlight w:val="none"/>
          <w:u w:val="single"/>
          <w:lang w:val="zh-CN"/>
        </w:rPr>
        <w:t>价格给予6%的扣除</w:t>
      </w:r>
      <w:r>
        <w:rPr>
          <w:rFonts w:hint="eastAsia" w:ascii="新宋体" w:hAnsi="新宋体" w:eastAsia="新宋体" w:cs="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s="新宋体"/>
          <w:color w:val="auto"/>
          <w:sz w:val="22"/>
          <w:szCs w:val="22"/>
          <w:highlight w:val="none"/>
          <w:lang w:val="zh-CN"/>
        </w:rPr>
      </w:pPr>
      <w:r>
        <w:rPr>
          <w:rFonts w:hint="eastAsia" w:ascii="新宋体" w:hAnsi="新宋体" w:eastAsia="新宋体" w:cs="新宋体"/>
          <w:b/>
          <w:color w:val="auto"/>
          <w:sz w:val="22"/>
          <w:highlight w:val="none"/>
          <w:u w:val="single"/>
        </w:rPr>
        <w:t xml:space="preserve"> </w:t>
      </w:r>
      <w:r>
        <w:rPr>
          <w:rFonts w:hint="eastAsia" w:ascii="新宋体" w:hAnsi="新宋体" w:eastAsia="新宋体" w:cs="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bCs/>
          <w:color w:val="auto"/>
          <w:sz w:val="22"/>
          <w:szCs w:val="22"/>
          <w:highlight w:val="none"/>
          <w:u w:val="single"/>
          <w:lang w:val="zh-CN"/>
        </w:rPr>
        <w:t>必须提供</w:t>
      </w:r>
      <w:r>
        <w:rPr>
          <w:rFonts w:hint="eastAsia" w:ascii="新宋体" w:hAnsi="新宋体" w:eastAsia="新宋体" w:cs="新宋体"/>
          <w:b/>
          <w:bCs/>
          <w:color w:val="auto"/>
          <w:sz w:val="22"/>
          <w:szCs w:val="22"/>
          <w:highlight w:val="none"/>
          <w:u w:val="single"/>
        </w:rPr>
        <w:t>投标人、</w:t>
      </w:r>
      <w:r>
        <w:rPr>
          <w:rFonts w:hint="eastAsia" w:ascii="新宋体" w:hAnsi="新宋体" w:eastAsia="新宋体" w:cs="新宋体"/>
          <w:b/>
          <w:bCs/>
          <w:color w:val="auto"/>
          <w:sz w:val="22"/>
          <w:szCs w:val="22"/>
          <w:highlight w:val="none"/>
          <w:u w:val="single"/>
          <w:lang w:val="zh-CN"/>
        </w:rPr>
        <w:t>投标产品生产企业为小型、微型企业</w:t>
      </w:r>
      <w:r>
        <w:rPr>
          <w:rFonts w:hint="eastAsia" w:ascii="新宋体" w:hAnsi="新宋体" w:eastAsia="新宋体" w:cs="新宋体"/>
          <w:b/>
          <w:bCs/>
          <w:color w:val="auto"/>
          <w:sz w:val="22"/>
          <w:szCs w:val="22"/>
          <w:highlight w:val="none"/>
          <w:u w:val="single"/>
        </w:rPr>
        <w:t>与</w:t>
      </w:r>
      <w:r>
        <w:rPr>
          <w:rFonts w:hint="eastAsia" w:ascii="新宋体" w:hAnsi="新宋体" w:eastAsia="新宋体" w:cs="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cs="新宋体"/>
          <w:b/>
          <w:bCs/>
          <w:color w:val="auto"/>
          <w:sz w:val="22"/>
          <w:szCs w:val="22"/>
          <w:highlight w:val="none"/>
          <w:u w:val="single"/>
        </w:rPr>
        <w:t>规定所属行业</w:t>
      </w:r>
      <w:r>
        <w:rPr>
          <w:rFonts w:hint="eastAsia" w:ascii="新宋体" w:hAnsi="新宋体" w:eastAsia="新宋体" w:cs="新宋体"/>
          <w:b/>
          <w:bCs/>
          <w:color w:val="auto"/>
          <w:sz w:val="22"/>
          <w:szCs w:val="22"/>
          <w:highlight w:val="none"/>
          <w:u w:val="single"/>
          <w:lang w:val="zh-CN"/>
        </w:rPr>
        <w:t>为小型、微型企业</w:t>
      </w:r>
      <w:r>
        <w:rPr>
          <w:rFonts w:hint="eastAsia" w:ascii="新宋体" w:hAnsi="新宋体" w:eastAsia="新宋体" w:cs="新宋体"/>
          <w:b/>
          <w:bCs/>
          <w:color w:val="auto"/>
          <w:sz w:val="22"/>
          <w:szCs w:val="22"/>
          <w:highlight w:val="none"/>
          <w:u w:val="single"/>
        </w:rPr>
        <w:t>标准要求对应的</w:t>
      </w:r>
      <w:r>
        <w:rPr>
          <w:rFonts w:hint="eastAsia" w:ascii="新宋体" w:hAnsi="新宋体" w:eastAsia="新宋体" w:cs="新宋体"/>
          <w:b/>
          <w:bCs/>
          <w:color w:val="auto"/>
          <w:sz w:val="22"/>
          <w:szCs w:val="22"/>
          <w:highlight w:val="none"/>
          <w:u w:val="single"/>
          <w:lang w:val="zh-CN"/>
        </w:rPr>
        <w:t>相关充分证明材料；</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bCs/>
          <w:color w:val="auto"/>
          <w:sz w:val="22"/>
          <w:szCs w:val="22"/>
          <w:highlight w:val="none"/>
          <w:lang w:val="zh-CN"/>
        </w:rPr>
        <w:t>②投标人已通过浙江政府采购网申请注册并成为正式入库供应商</w:t>
      </w:r>
      <w:r>
        <w:rPr>
          <w:rFonts w:hint="eastAsia" w:ascii="新宋体" w:hAnsi="新宋体" w:eastAsia="新宋体" w:cs="新宋体"/>
          <w:b/>
          <w:bCs/>
          <w:color w:val="auto"/>
          <w:sz w:val="22"/>
          <w:szCs w:val="22"/>
          <w:highlight w:val="none"/>
          <w:u w:val="single"/>
          <w:lang w:val="zh-CN"/>
        </w:rPr>
        <w:t>并提供</w:t>
      </w:r>
      <w:r>
        <w:rPr>
          <w:rFonts w:hint="eastAsia" w:ascii="新宋体" w:hAnsi="新宋体" w:eastAsia="新宋体" w:cs="新宋体"/>
          <w:b/>
          <w:bCs/>
          <w:color w:val="auto"/>
          <w:sz w:val="22"/>
          <w:szCs w:val="22"/>
          <w:highlight w:val="none"/>
          <w:u w:val="single"/>
        </w:rPr>
        <w:t>注册为</w:t>
      </w:r>
      <w:r>
        <w:rPr>
          <w:rFonts w:hint="eastAsia" w:ascii="新宋体" w:hAnsi="新宋体" w:eastAsia="新宋体" w:cs="新宋体"/>
          <w:b/>
          <w:bCs/>
          <w:color w:val="auto"/>
          <w:sz w:val="22"/>
          <w:szCs w:val="22"/>
          <w:highlight w:val="none"/>
          <w:u w:val="single"/>
          <w:lang w:val="zh-CN"/>
        </w:rPr>
        <w:t>小型、微型企业证明材料</w:t>
      </w:r>
      <w:r>
        <w:rPr>
          <w:rFonts w:hint="eastAsia" w:ascii="新宋体" w:hAnsi="新宋体" w:eastAsia="新宋体" w:cs="新宋体"/>
          <w:b/>
          <w:bCs/>
          <w:color w:val="auto"/>
          <w:sz w:val="22"/>
          <w:szCs w:val="22"/>
          <w:highlight w:val="none"/>
          <w:lang w:val="zh-CN"/>
        </w:rPr>
        <w:t>。</w:t>
      </w:r>
    </w:p>
    <w:p>
      <w:pPr>
        <w:spacing w:line="460" w:lineRule="exact"/>
        <w:ind w:firstLine="541" w:firstLineChars="245"/>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w:t>
      </w:r>
      <w:r>
        <w:rPr>
          <w:rFonts w:hint="eastAsia" w:ascii="新宋体" w:hAnsi="新宋体" w:eastAsia="新宋体" w:cs="新宋体"/>
          <w:color w:val="auto"/>
          <w:sz w:val="22"/>
          <w:szCs w:val="22"/>
          <w:highlight w:val="none"/>
          <w:lang w:val="en-US" w:eastAsia="zh-CN"/>
        </w:rPr>
        <w:t>商务</w:t>
      </w:r>
      <w:r>
        <w:rPr>
          <w:rFonts w:hint="eastAsia" w:ascii="新宋体" w:hAnsi="新宋体" w:eastAsia="新宋体" w:cs="新宋体"/>
          <w:color w:val="auto"/>
          <w:sz w:val="22"/>
          <w:szCs w:val="22"/>
          <w:highlight w:val="none"/>
        </w:rPr>
        <w:t>技术分和报价分的总和。</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六、定标办法</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w:t>
      </w:r>
      <w:r>
        <w:rPr>
          <w:rFonts w:hint="eastAsia" w:ascii="新宋体" w:hAnsi="新宋体" w:eastAsia="新宋体" w:cs="新宋体"/>
          <w:color w:val="auto"/>
          <w:sz w:val="22"/>
          <w:szCs w:val="22"/>
          <w:highlight w:val="none"/>
          <w:lang w:val="en-US" w:eastAsia="zh-CN"/>
        </w:rPr>
        <w:t>报价</w:t>
      </w:r>
      <w:r>
        <w:rPr>
          <w:rFonts w:hint="eastAsia" w:ascii="新宋体" w:hAnsi="新宋体" w:eastAsia="新宋体" w:cs="新宋体"/>
          <w:color w:val="auto"/>
          <w:sz w:val="22"/>
          <w:szCs w:val="22"/>
          <w:highlight w:val="none"/>
        </w:rPr>
        <w:t>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2.1</w:t>
      </w:r>
      <w:r>
        <w:rPr>
          <w:rFonts w:hint="eastAsia" w:ascii="新宋体" w:hAnsi="新宋体" w:eastAsia="新宋体"/>
          <w:b/>
          <w:bCs/>
          <w:color w:val="auto"/>
          <w:sz w:val="22"/>
          <w:szCs w:val="22"/>
          <w:highlight w:val="none"/>
        </w:rPr>
        <w:t>招标人按照</w:t>
      </w:r>
      <w:r>
        <w:rPr>
          <w:rFonts w:hint="eastAsia" w:ascii="新宋体" w:hAnsi="新宋体" w:eastAsia="新宋体"/>
          <w:b/>
          <w:bCs/>
          <w:color w:val="auto"/>
          <w:sz w:val="22"/>
          <w:szCs w:val="22"/>
          <w:highlight w:val="none"/>
          <w:lang w:val="en-US" w:eastAsia="zh-CN"/>
        </w:rPr>
        <w:t>书面</w:t>
      </w:r>
      <w:r>
        <w:rPr>
          <w:rFonts w:hint="eastAsia" w:ascii="新宋体" w:hAnsi="新宋体" w:eastAsia="新宋体"/>
          <w:b/>
          <w:bCs/>
          <w:color w:val="auto"/>
          <w:sz w:val="22"/>
          <w:szCs w:val="22"/>
          <w:highlight w:val="none"/>
        </w:rPr>
        <w:t>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七、投标人义务</w:t>
      </w:r>
    </w:p>
    <w:p>
      <w:pPr>
        <w:spacing w:line="460" w:lineRule="exact"/>
        <w:ind w:firstLine="539" w:firstLineChars="245"/>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投标人应随时接受评标委员会的询标，解答包括有关的商务技术</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报价</w:t>
      </w:r>
      <w:r>
        <w:rPr>
          <w:rFonts w:hint="eastAsia" w:ascii="新宋体" w:hAnsi="新宋体" w:eastAsia="新宋体" w:cs="新宋体"/>
          <w:color w:val="auto"/>
          <w:sz w:val="22"/>
          <w:szCs w:val="22"/>
          <w:highlight w:val="none"/>
        </w:rPr>
        <w:t>问题等。评标结束，所有评标资料存招标机构备查</w:t>
      </w:r>
      <w:r>
        <w:rPr>
          <w:rFonts w:hint="eastAsia" w:ascii="新宋体" w:hAnsi="新宋体" w:eastAsia="新宋体" w:cs="新宋体"/>
          <w:color w:val="auto"/>
          <w:sz w:val="22"/>
          <w:szCs w:val="22"/>
          <w:highlight w:val="none"/>
          <w:lang w:eastAsia="zh-CN"/>
        </w:rPr>
        <w:t>。</w:t>
      </w:r>
    </w:p>
    <w:p>
      <w:pPr>
        <w:pStyle w:val="24"/>
        <w:ind w:left="0" w:leftChars="0" w:firstLine="0" w:firstLineChars="0"/>
        <w:rPr>
          <w:rFonts w:hint="default" w:ascii="新宋体" w:hAnsi="新宋体" w:eastAsia="新宋体" w:cs="新宋体"/>
          <w:b/>
          <w:bCs/>
          <w:color w:val="auto"/>
          <w:kern w:val="0"/>
          <w:sz w:val="36"/>
          <w:szCs w:val="36"/>
          <w:highlight w:val="none"/>
          <w:lang w:val="en-US" w:eastAsia="zh-CN" w:bidi="ar"/>
        </w:rPr>
      </w:pPr>
    </w:p>
    <w:p>
      <w:pPr>
        <w:pStyle w:val="24"/>
        <w:ind w:left="0" w:leftChars="0" w:firstLine="0" w:firstLineChars="0"/>
        <w:rPr>
          <w:rFonts w:hint="default" w:ascii="新宋体" w:hAnsi="新宋体" w:eastAsia="新宋体" w:cs="新宋体"/>
          <w:b/>
          <w:bCs/>
          <w:color w:val="auto"/>
          <w:kern w:val="0"/>
          <w:sz w:val="36"/>
          <w:szCs w:val="36"/>
          <w:highlight w:val="none"/>
          <w:lang w:val="en-US" w:eastAsia="zh-CN" w:bidi="ar"/>
        </w:rPr>
      </w:pPr>
    </w:p>
    <w:p>
      <w:pPr>
        <w:pStyle w:val="24"/>
        <w:ind w:left="0" w:leftChars="0" w:firstLine="0" w:firstLineChars="0"/>
        <w:rPr>
          <w:rFonts w:hint="default" w:ascii="新宋体" w:hAnsi="新宋体" w:eastAsia="新宋体" w:cs="新宋体"/>
          <w:b/>
          <w:bCs/>
          <w:color w:val="auto"/>
          <w:kern w:val="0"/>
          <w:sz w:val="36"/>
          <w:szCs w:val="36"/>
          <w:highlight w:val="none"/>
          <w:lang w:val="en-US" w:eastAsia="zh-CN" w:bidi="ar"/>
        </w:rPr>
      </w:pPr>
    </w:p>
    <w:p>
      <w:pPr>
        <w:pStyle w:val="24"/>
        <w:ind w:left="0" w:leftChars="0" w:firstLine="0" w:firstLineChars="0"/>
        <w:rPr>
          <w:rFonts w:hint="default" w:ascii="新宋体" w:hAnsi="新宋体" w:eastAsia="新宋体" w:cs="新宋体"/>
          <w:b/>
          <w:bCs/>
          <w:color w:val="auto"/>
          <w:kern w:val="0"/>
          <w:sz w:val="36"/>
          <w:szCs w:val="36"/>
          <w:highlight w:val="none"/>
          <w:lang w:val="en-US" w:eastAsia="zh-CN" w:bidi="ar"/>
        </w:rPr>
      </w:pPr>
    </w:p>
    <w:p>
      <w:pPr>
        <w:pStyle w:val="24"/>
        <w:ind w:left="0" w:leftChars="0" w:firstLine="0" w:firstLineChars="0"/>
        <w:rPr>
          <w:rFonts w:hint="eastAsia" w:ascii="新宋体" w:hAnsi="新宋体" w:eastAsia="新宋体" w:cs="新宋体"/>
          <w:b/>
          <w:bCs/>
          <w:color w:val="auto"/>
          <w:kern w:val="0"/>
          <w:sz w:val="36"/>
          <w:szCs w:val="36"/>
          <w:highlight w:val="none"/>
          <w:lang w:val="en-US" w:eastAsia="zh-CN" w:bidi="ar"/>
        </w:rPr>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AFF" w:usb1="C0007843" w:usb2="00000009" w:usb3="00000000" w:csb0="000001FF" w:csb1="00000000"/>
  </w:font>
  <w:font w:name="Century Gothic">
    <w:panose1 w:val="020B0502020202020204"/>
    <w:charset w:val="00"/>
    <w:family w:val="swiss"/>
    <w:pitch w:val="default"/>
    <w:sig w:usb0="00000287" w:usb1="00000000" w:usb2="00000000" w:usb3="00000000" w:csb0="2000009F" w:csb1="DFD70000"/>
  </w:font>
  <w:font w:name="PMingLiU">
    <w:altName w:val="PMingLiU-ExtB"/>
    <w:panose1 w:val="02020500000000000000"/>
    <w:charset w:val="88"/>
    <w:family w:val="roman"/>
    <w:pitch w:val="default"/>
    <w:sig w:usb0="A00002FF" w:usb1="28CFFCFA" w:usb2="00000016" w:usb3="00000000" w:csb0="00100001"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4500" w:firstLineChars="250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4"/>
                            <w:rPr>
                              <w:rStyle w:val="57"/>
                              <w:rFonts w:hint="eastAsia"/>
                            </w:rPr>
                          </w:pPr>
                          <w:r>
                            <w:fldChar w:fldCharType="begin"/>
                          </w:r>
                          <w:r>
                            <w:rPr>
                              <w:rStyle w:val="57"/>
                            </w:rPr>
                            <w:instrText xml:space="preserve">PAGE  </w:instrText>
                          </w:r>
                          <w:r>
                            <w:fldChar w:fldCharType="separate"/>
                          </w:r>
                          <w:r>
                            <w:rPr>
                              <w:rStyle w:val="57"/>
                            </w:rPr>
                            <w:t>4</w:t>
                          </w:r>
                          <w:r>
                            <w:fldChar w:fldCharType="end"/>
                          </w:r>
                        </w:p>
                      </w:txbxContent>
                    </wps:txbx>
                    <wps:bodyPr wrap="none" lIns="0" tIns="0" rIns="0" bIns="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r0yjXVAQAApwMAAA4AAABkcnMvZTJvRG9jLnhtbK1TzY7TMBC+ I/EOlu802aLtRlHT1aJqERICpIUHcB27seQ/edwmfQF4A05cuPNcfQ7GTtJFy2UPe3FmPONv5vtm sr4djCZHEUA529CrRUmJsNy1yu4b+u3r/ZuKEojMtkw7Kxp6EkBvN69frXtfi6XrnG5FIAhioe59 Q7sYfV0UwDthGCycFxaD0gXDIrphX7SB9YhudLEsy1XRu9D64LgAwNvtGKQTYngOoJNScbF1/GCE jSNqEJpFpASd8kA3uVspBY+fpQQRiW4oMo35xCJo79JZbNas3gfmO8WnFthzWnjCyTBlsegFassi I4eg/oMyigcHTsYFd6YYiWRFkMVV+USbh455kbmg1OAvosPLwfJPxy+BqBY3YUWJZQYnfv754/zr z/n3d/K2vFkliXoPNWY+eMyNwzs3YPp8D3iZmA8ymPRFTgTjKPDpIrAYIuHpUbWsqhJDHGOzg/jF 43MfIL4XzpBkNDTgBLOw7PgR4pg6p6Rq1t0rrfMUtSU9ol5XN9f5xSWE6NpikcRi7DZZcdgNE7Wd a0/IrMc1aKjFradEf7CoctqY2QizsZuNgw9q3+WVSq2AvztEbCd3mSqMsFNhnF/mOe1aWpB//Zz1 +H9t/gJ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KvTKNdUBAACnAwAADgAAAAAAAAABACAA AAAiAQAAZHJzL2Uyb0RvYy54bWxQSwUGAAAAAAYABgBZAQAAaQUAAAAA ">
              <v:fill on="f" focussize="0,0"/>
              <v:stroke on="f" weight="1.25pt"/>
              <v:imagedata o:title=""/>
              <o:lock v:ext="edit" aspectratio="f"/>
              <v:textbox inset="0mm,0mm,0mm,0mm" style="mso-fit-shape-to-text:t;">
                <w:txbxContent>
                  <w:p>
                    <w:pPr>
                      <w:pStyle w:val="34"/>
                      <w:rPr>
                        <w:rStyle w:val="57"/>
                        <w:rFonts w:hint="eastAsia"/>
                      </w:rPr>
                    </w:pPr>
                    <w:r>
                      <w:fldChar w:fldCharType="begin"/>
                    </w:r>
                    <w:r>
                      <w:rPr>
                        <w:rStyle w:val="57"/>
                      </w:rPr>
                      <w:instrText xml:space="preserve">PAGE  </w:instrText>
                    </w:r>
                    <w:r>
                      <w:fldChar w:fldCharType="separate"/>
                    </w:r>
                    <w:r>
                      <w:rPr>
                        <w:rStyle w:val="57"/>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7"/>
      </w:rPr>
    </w:pPr>
    <w:r>
      <w:fldChar w:fldCharType="begin"/>
    </w:r>
    <w:r>
      <w:rPr>
        <w:rStyle w:val="57"/>
      </w:rPr>
      <w:instrText xml:space="preserve">PAGE  </w:instrText>
    </w:r>
    <w:r>
      <w:fldChar w:fldCharType="separate"/>
    </w:r>
    <w:r>
      <w:rPr>
        <w:rStyle w:val="57"/>
      </w:rPr>
      <w:t>41</w:t>
    </w:r>
    <w:r>
      <w:fldChar w:fldCharType="end"/>
    </w:r>
  </w:p>
  <w:p>
    <w:pPr>
      <w:pStyle w:val="34"/>
      <w:ind w:right="360" w:firstLine="4500" w:firstLineChars="25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4"/>
                            <w:jc w:val="both"/>
                            <w:rPr>
                              <w:rStyle w:val="57"/>
                            </w:rPr>
                          </w:pPr>
                          <w:r>
                            <w:fldChar w:fldCharType="begin"/>
                          </w:r>
                          <w:r>
                            <w:rPr>
                              <w:rStyle w:val="57"/>
                            </w:rPr>
                            <w:instrText xml:space="preserve">PAGE  </w:instrText>
                          </w:r>
                          <w:r>
                            <w:fldChar w:fldCharType="separate"/>
                          </w:r>
                          <w:r>
                            <w:rPr>
                              <w:rStyle w:val="57"/>
                              <w:lang/>
                            </w:rPr>
                            <w:t>54</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0PHR7TAQAApwMAAA4AAABkcnMvZTJvRG9jLnhtbK1TS27bMBDd F+gdCO5rKS7SCILloIWRokDRFEh6AJoiLQL8gUNb8gXaG3SVTfY9l8/RISU5bbrJohtqhjN8M+/N aHU9GE0OIoBytqEXi5ISYblrld019Nv9zZuKEojMtkw7Kxp6FECv169frXpfi6XrnG5FIAhioe59 Q7sYfV0UwDthGCycFxaD0gXDIrphV7SB9YhudLEsy3dF70Lrg+MCAG83Y5BOiOElgE5KxcXG8b0R No6oQWgWkRJ0ygNd526lFDzeSgkiEt1QZBrziUXQ3qazWK9YvQvMd4pPLbCXtPCMk2HKYtEz1IZF RvZB/QNlFA8OnIwL7kwxEsmKIIuL8pk2dx3zInNBqcGfRYf/B8u/HL4GolrchEtKLDM48dPPH6eH X6fH7+RteXWZJOo91Jh55zE3Dh/cgOnzPeBlYj7IYNIXORGMo8DHs8BiiISnR9WyqkoMcYzNDuIX T899gPhROEOS0dCAE8zCssNniGPqnJKqWXejtM5T1Jb0iUaFPf8VQnRtsUhiMXabrDhsh4na1rVH ZNbjGjTU4tZToj9ZVDltzGyE2djOxt4HtevySqV64N/vI7aTu0wVRtipMM4v85x2LS3In37Oevq/ 1r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G0PHR7TAQAApwMAAA4AAAAAAAAAAQAgAAAA IgEAAGRycy9lMm9Eb2MueG1sUEsFBgAAAAAGAAYAWQEAAGcFAAAAAA== ">
              <v:fill on="f" focussize="0,0"/>
              <v:stroke on="f" weight="1.25pt"/>
              <v:imagedata o:title=""/>
              <o:lock v:ext="edit" aspectratio="f"/>
              <v:textbox inset="0mm,0mm,0mm,0mm" style="mso-fit-shape-to-text:t;">
                <w:txbxContent>
                  <w:p>
                    <w:pPr>
                      <w:pStyle w:val="34"/>
                      <w:jc w:val="both"/>
                      <w:rPr>
                        <w:rStyle w:val="57"/>
                      </w:rPr>
                    </w:pPr>
                    <w:r>
                      <w:fldChar w:fldCharType="begin"/>
                    </w:r>
                    <w:r>
                      <w:rPr>
                        <w:rStyle w:val="57"/>
                      </w:rPr>
                      <w:instrText xml:space="preserve">PAGE  </w:instrText>
                    </w:r>
                    <w:r>
                      <w:fldChar w:fldCharType="separate"/>
                    </w:r>
                    <w:r>
                      <w:rPr>
                        <w:rStyle w:val="57"/>
                        <w:lang/>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rPr>
        <w:rFonts w:hint="eastAsia"/>
      </w:rPr>
    </w:pPr>
    <w:r>
      <w:rPr>
        <w:rFonts w:hint="eastAsia"/>
      </w:rPr>
      <w:t>温州市政府（分散）采购招标文件                                                   项目编号：WZLCZB-2020-04028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温州市政府（分散）采购招标文件                                             项目编号：WZLCZB-2020-04028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202C0"/>
    <w:multiLevelType w:val="singleLevel"/>
    <w:tmpl w:val="8A3202C0"/>
    <w:lvl w:ilvl="0" w:tentative="0">
      <w:start w:val="3"/>
      <w:numFmt w:val="chineseCounting"/>
      <w:suff w:val="nothing"/>
      <w:lvlText w:val="%1、"/>
      <w:lvlJc w:val="left"/>
      <w:rPr>
        <w:rFonts w:hint="eastAsia"/>
      </w:rPr>
    </w:lvl>
  </w:abstractNum>
  <w:abstractNum w:abstractNumId="1">
    <w:nsid w:val="AEE96D4B"/>
    <w:multiLevelType w:val="singleLevel"/>
    <w:tmpl w:val="AEE96D4B"/>
    <w:lvl w:ilvl="0" w:tentative="0">
      <w:start w:val="1"/>
      <w:numFmt w:val="bullet"/>
      <w:lvlText w:val=""/>
      <w:lvlJc w:val="left"/>
      <w:pPr>
        <w:ind w:left="420" w:hanging="420"/>
      </w:pPr>
      <w:rPr>
        <w:rFonts w:hint="default" w:ascii="Wingdings" w:hAnsi="Wingdings"/>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9F13FDB"/>
    <w:multiLevelType w:val="singleLevel"/>
    <w:tmpl w:val="C9F13FDB"/>
    <w:lvl w:ilvl="0" w:tentative="0">
      <w:start w:val="4"/>
      <w:numFmt w:val="decimal"/>
      <w:suff w:val="nothing"/>
      <w:lvlText w:val="%1、"/>
      <w:lvlJc w:val="left"/>
    </w:lvl>
  </w:abstractNum>
  <w:abstractNum w:abstractNumId="4">
    <w:nsid w:val="CFB600D0"/>
    <w:multiLevelType w:val="singleLevel"/>
    <w:tmpl w:val="CFB600D0"/>
    <w:lvl w:ilvl="0" w:tentative="0">
      <w:start w:val="1"/>
      <w:numFmt w:val="bullet"/>
      <w:lvlText w:val=""/>
      <w:lvlJc w:val="left"/>
      <w:pPr>
        <w:ind w:left="420" w:hanging="420"/>
      </w:pPr>
      <w:rPr>
        <w:rFonts w:hint="default" w:ascii="Wingdings" w:hAnsi="Wingdings"/>
      </w:rPr>
    </w:lvl>
  </w:abstractNum>
  <w:abstractNum w:abstractNumId="5">
    <w:nsid w:val="40ED05DE"/>
    <w:multiLevelType w:val="multilevel"/>
    <w:tmpl w:val="40ED05D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5C71CA8"/>
    <w:multiLevelType w:val="multilevel"/>
    <w:tmpl w:val="45C71CA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EA38682"/>
    <w:multiLevelType w:val="singleLevel"/>
    <w:tmpl w:val="4EA38682"/>
    <w:lvl w:ilvl="0" w:tentative="0">
      <w:start w:val="1"/>
      <w:numFmt w:val="chineseCounting"/>
      <w:suff w:val="space"/>
      <w:lvlText w:val="第%1部分"/>
      <w:lvlJc w:val="left"/>
      <w:rPr>
        <w:rFonts w:hint="eastAsia"/>
      </w:rPr>
    </w:lvl>
  </w:abstractNum>
  <w:abstractNum w:abstractNumId="8">
    <w:nsid w:val="50866BE1"/>
    <w:multiLevelType w:val="multilevel"/>
    <w:tmpl w:val="50866BE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2D7A3B6"/>
    <w:multiLevelType w:val="singleLevel"/>
    <w:tmpl w:val="52D7A3B6"/>
    <w:lvl w:ilvl="0" w:tentative="0">
      <w:start w:val="1"/>
      <w:numFmt w:val="decimal"/>
      <w:suff w:val="nothing"/>
      <w:lvlText w:val="（%1）"/>
      <w:lvlJc w:val="left"/>
    </w:lvl>
  </w:abstractNum>
  <w:abstractNum w:abstractNumId="10">
    <w:nsid w:val="5CCF3429"/>
    <w:multiLevelType w:val="multilevel"/>
    <w:tmpl w:val="5CCF3429"/>
    <w:lvl w:ilvl="0" w:tentative="0">
      <w:start w:val="1"/>
      <w:numFmt w:val="decimal"/>
      <w:lvlText w:val="%1）"/>
      <w:lvlJc w:val="left"/>
      <w:pPr>
        <w:ind w:left="840" w:hanging="360"/>
      </w:pPr>
      <w:rPr>
        <w:rFonts w:hint="default" w:eastAsia="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9"/>
  </w:num>
  <w:num w:numId="4">
    <w:abstractNumId w:val="2"/>
  </w:num>
  <w:num w:numId="5">
    <w:abstractNumId w:val="3"/>
  </w:num>
  <w:num w:numId="6">
    <w:abstractNumId w:val="6"/>
  </w:num>
  <w:num w:numId="7">
    <w:abstractNumId w:val="4"/>
  </w:num>
  <w:num w:numId="8">
    <w:abstractNumId w:val="8"/>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F"/>
    <w:rsid w:val="001330A2"/>
    <w:rsid w:val="0019455F"/>
    <w:rsid w:val="003033AF"/>
    <w:rsid w:val="003A2A47"/>
    <w:rsid w:val="003B1E8D"/>
    <w:rsid w:val="003E6FB1"/>
    <w:rsid w:val="00467882"/>
    <w:rsid w:val="00475AAE"/>
    <w:rsid w:val="005736BA"/>
    <w:rsid w:val="0057485A"/>
    <w:rsid w:val="005978B8"/>
    <w:rsid w:val="005F0A4C"/>
    <w:rsid w:val="00605459"/>
    <w:rsid w:val="006F0BE0"/>
    <w:rsid w:val="0074694C"/>
    <w:rsid w:val="0075479D"/>
    <w:rsid w:val="00767F98"/>
    <w:rsid w:val="0077607E"/>
    <w:rsid w:val="007953A3"/>
    <w:rsid w:val="007A5A00"/>
    <w:rsid w:val="00824181"/>
    <w:rsid w:val="00872009"/>
    <w:rsid w:val="008C715B"/>
    <w:rsid w:val="008E3815"/>
    <w:rsid w:val="00944BC5"/>
    <w:rsid w:val="009D6EF6"/>
    <w:rsid w:val="009F445E"/>
    <w:rsid w:val="00B61CE5"/>
    <w:rsid w:val="00B72974"/>
    <w:rsid w:val="00B75F10"/>
    <w:rsid w:val="00B90220"/>
    <w:rsid w:val="00BE7C5D"/>
    <w:rsid w:val="00C85187"/>
    <w:rsid w:val="00CA35F5"/>
    <w:rsid w:val="00CE261F"/>
    <w:rsid w:val="00D14C34"/>
    <w:rsid w:val="00D202C2"/>
    <w:rsid w:val="00D31581"/>
    <w:rsid w:val="00DA24F1"/>
    <w:rsid w:val="00DB6D78"/>
    <w:rsid w:val="00DD141F"/>
    <w:rsid w:val="00DF49CA"/>
    <w:rsid w:val="00E348BC"/>
    <w:rsid w:val="00EC2597"/>
    <w:rsid w:val="00F42E54"/>
    <w:rsid w:val="00F505AC"/>
    <w:rsid w:val="00FA24F1"/>
    <w:rsid w:val="00FB7D84"/>
    <w:rsid w:val="013001D8"/>
    <w:rsid w:val="01372171"/>
    <w:rsid w:val="013F27ED"/>
    <w:rsid w:val="01444FC2"/>
    <w:rsid w:val="01485667"/>
    <w:rsid w:val="01BB610E"/>
    <w:rsid w:val="01F15D70"/>
    <w:rsid w:val="020E0E62"/>
    <w:rsid w:val="02437BF2"/>
    <w:rsid w:val="024A13AC"/>
    <w:rsid w:val="02974AC8"/>
    <w:rsid w:val="02D81BE7"/>
    <w:rsid w:val="02F3661A"/>
    <w:rsid w:val="03002925"/>
    <w:rsid w:val="034C70E3"/>
    <w:rsid w:val="03541CD8"/>
    <w:rsid w:val="035449CF"/>
    <w:rsid w:val="035E4655"/>
    <w:rsid w:val="03601F25"/>
    <w:rsid w:val="03756184"/>
    <w:rsid w:val="03B16E7B"/>
    <w:rsid w:val="03E3512A"/>
    <w:rsid w:val="04113D07"/>
    <w:rsid w:val="043053DA"/>
    <w:rsid w:val="04A51BAC"/>
    <w:rsid w:val="04B539BC"/>
    <w:rsid w:val="04CB22A6"/>
    <w:rsid w:val="05011E4D"/>
    <w:rsid w:val="05241C5C"/>
    <w:rsid w:val="05342F31"/>
    <w:rsid w:val="057C6E97"/>
    <w:rsid w:val="05B54827"/>
    <w:rsid w:val="05E9329B"/>
    <w:rsid w:val="062A2873"/>
    <w:rsid w:val="070545E2"/>
    <w:rsid w:val="0705724E"/>
    <w:rsid w:val="073564AA"/>
    <w:rsid w:val="0747552D"/>
    <w:rsid w:val="07544F67"/>
    <w:rsid w:val="076E786E"/>
    <w:rsid w:val="07F43B72"/>
    <w:rsid w:val="08301451"/>
    <w:rsid w:val="087972CF"/>
    <w:rsid w:val="08805ACF"/>
    <w:rsid w:val="08846EF7"/>
    <w:rsid w:val="08993BA4"/>
    <w:rsid w:val="089A0148"/>
    <w:rsid w:val="08CB55BB"/>
    <w:rsid w:val="08F6752D"/>
    <w:rsid w:val="0908668B"/>
    <w:rsid w:val="09405F6A"/>
    <w:rsid w:val="098C12EA"/>
    <w:rsid w:val="09C073F6"/>
    <w:rsid w:val="09DC1AE0"/>
    <w:rsid w:val="09F132E5"/>
    <w:rsid w:val="0A4A4820"/>
    <w:rsid w:val="0A655B1C"/>
    <w:rsid w:val="0A7022A3"/>
    <w:rsid w:val="0A97481C"/>
    <w:rsid w:val="0AA85CD1"/>
    <w:rsid w:val="0AE3391E"/>
    <w:rsid w:val="0AEB534A"/>
    <w:rsid w:val="0AEC0A73"/>
    <w:rsid w:val="0B0F3B3C"/>
    <w:rsid w:val="0B173FBF"/>
    <w:rsid w:val="0B1A73CC"/>
    <w:rsid w:val="0B793B03"/>
    <w:rsid w:val="0B7D2716"/>
    <w:rsid w:val="0B7D6DAE"/>
    <w:rsid w:val="0BD66F7F"/>
    <w:rsid w:val="0C015C4E"/>
    <w:rsid w:val="0C1A531B"/>
    <w:rsid w:val="0C262886"/>
    <w:rsid w:val="0C272E0B"/>
    <w:rsid w:val="0C331F58"/>
    <w:rsid w:val="0C3A18FA"/>
    <w:rsid w:val="0C935463"/>
    <w:rsid w:val="0D131EEF"/>
    <w:rsid w:val="0D1E6764"/>
    <w:rsid w:val="0D217569"/>
    <w:rsid w:val="0D3F34E2"/>
    <w:rsid w:val="0D452BE9"/>
    <w:rsid w:val="0D545189"/>
    <w:rsid w:val="0D6B6185"/>
    <w:rsid w:val="0D7D3705"/>
    <w:rsid w:val="0DC54F2E"/>
    <w:rsid w:val="0DE934ED"/>
    <w:rsid w:val="0DFC74A1"/>
    <w:rsid w:val="0E48055A"/>
    <w:rsid w:val="0ECA1221"/>
    <w:rsid w:val="0EDE7AD9"/>
    <w:rsid w:val="0EF4186B"/>
    <w:rsid w:val="0F2261B2"/>
    <w:rsid w:val="0F5D2358"/>
    <w:rsid w:val="0F79019B"/>
    <w:rsid w:val="0FBD03E2"/>
    <w:rsid w:val="0FCB1952"/>
    <w:rsid w:val="0FDD3E77"/>
    <w:rsid w:val="0FDF2AA2"/>
    <w:rsid w:val="10003DE9"/>
    <w:rsid w:val="104211F7"/>
    <w:rsid w:val="10C12337"/>
    <w:rsid w:val="10C47A4A"/>
    <w:rsid w:val="10C928E0"/>
    <w:rsid w:val="10D90315"/>
    <w:rsid w:val="11DF71C9"/>
    <w:rsid w:val="120D4517"/>
    <w:rsid w:val="12171D0C"/>
    <w:rsid w:val="125257CA"/>
    <w:rsid w:val="12AF7CF6"/>
    <w:rsid w:val="12B60843"/>
    <w:rsid w:val="12D637BE"/>
    <w:rsid w:val="12DA4BE2"/>
    <w:rsid w:val="12F01674"/>
    <w:rsid w:val="131266F0"/>
    <w:rsid w:val="13580201"/>
    <w:rsid w:val="13635613"/>
    <w:rsid w:val="13A90F03"/>
    <w:rsid w:val="13BE6268"/>
    <w:rsid w:val="13C93111"/>
    <w:rsid w:val="1407509A"/>
    <w:rsid w:val="145E7407"/>
    <w:rsid w:val="14842E95"/>
    <w:rsid w:val="14B7470A"/>
    <w:rsid w:val="14F95557"/>
    <w:rsid w:val="150B2E49"/>
    <w:rsid w:val="159E4E04"/>
    <w:rsid w:val="15A31A05"/>
    <w:rsid w:val="15E96100"/>
    <w:rsid w:val="15F3003D"/>
    <w:rsid w:val="15FF4020"/>
    <w:rsid w:val="16075434"/>
    <w:rsid w:val="161A56A4"/>
    <w:rsid w:val="163004AD"/>
    <w:rsid w:val="16630751"/>
    <w:rsid w:val="166E0962"/>
    <w:rsid w:val="167F5567"/>
    <w:rsid w:val="16AA3642"/>
    <w:rsid w:val="16C142A1"/>
    <w:rsid w:val="16F94DEE"/>
    <w:rsid w:val="171B618B"/>
    <w:rsid w:val="175F4275"/>
    <w:rsid w:val="17905726"/>
    <w:rsid w:val="17981ED7"/>
    <w:rsid w:val="17D66CEA"/>
    <w:rsid w:val="181A1D25"/>
    <w:rsid w:val="1826131F"/>
    <w:rsid w:val="18271D4B"/>
    <w:rsid w:val="18695AB0"/>
    <w:rsid w:val="1877210B"/>
    <w:rsid w:val="18DA5364"/>
    <w:rsid w:val="18E109AB"/>
    <w:rsid w:val="18E64FD6"/>
    <w:rsid w:val="196210F5"/>
    <w:rsid w:val="196868F5"/>
    <w:rsid w:val="196E79CE"/>
    <w:rsid w:val="19D702C8"/>
    <w:rsid w:val="19EC27FE"/>
    <w:rsid w:val="1A1071C9"/>
    <w:rsid w:val="1A340690"/>
    <w:rsid w:val="1A76029A"/>
    <w:rsid w:val="1A8861D5"/>
    <w:rsid w:val="1A8E4AD8"/>
    <w:rsid w:val="1B4643E1"/>
    <w:rsid w:val="1B470902"/>
    <w:rsid w:val="1BAE06E6"/>
    <w:rsid w:val="1BBB665B"/>
    <w:rsid w:val="1BC12270"/>
    <w:rsid w:val="1BF57F17"/>
    <w:rsid w:val="1C2568C9"/>
    <w:rsid w:val="1C32098C"/>
    <w:rsid w:val="1C3705CD"/>
    <w:rsid w:val="1C420BEA"/>
    <w:rsid w:val="1C794E77"/>
    <w:rsid w:val="1C9660BA"/>
    <w:rsid w:val="1CBE4C52"/>
    <w:rsid w:val="1CDA36AB"/>
    <w:rsid w:val="1CFF0C66"/>
    <w:rsid w:val="1D2031B4"/>
    <w:rsid w:val="1D31465B"/>
    <w:rsid w:val="1D4D4E89"/>
    <w:rsid w:val="1E4235E0"/>
    <w:rsid w:val="1E694D77"/>
    <w:rsid w:val="1EA0401F"/>
    <w:rsid w:val="1EC1289C"/>
    <w:rsid w:val="1EC85D86"/>
    <w:rsid w:val="1EDF5DFF"/>
    <w:rsid w:val="1F0115E6"/>
    <w:rsid w:val="1F400D45"/>
    <w:rsid w:val="1F5B0E3C"/>
    <w:rsid w:val="1F997D08"/>
    <w:rsid w:val="1FAD00B8"/>
    <w:rsid w:val="1FC740F3"/>
    <w:rsid w:val="1FD32D30"/>
    <w:rsid w:val="1FE57748"/>
    <w:rsid w:val="200D6F47"/>
    <w:rsid w:val="20125A90"/>
    <w:rsid w:val="2028604D"/>
    <w:rsid w:val="203C74A5"/>
    <w:rsid w:val="2053359A"/>
    <w:rsid w:val="20ED16DC"/>
    <w:rsid w:val="21365423"/>
    <w:rsid w:val="213D35C4"/>
    <w:rsid w:val="219465A8"/>
    <w:rsid w:val="21A572BA"/>
    <w:rsid w:val="21DF2874"/>
    <w:rsid w:val="221725B5"/>
    <w:rsid w:val="22273C78"/>
    <w:rsid w:val="225A76BA"/>
    <w:rsid w:val="227472EC"/>
    <w:rsid w:val="22953CD1"/>
    <w:rsid w:val="22BC2FE9"/>
    <w:rsid w:val="23093AA8"/>
    <w:rsid w:val="238610A7"/>
    <w:rsid w:val="2387736F"/>
    <w:rsid w:val="23A07A94"/>
    <w:rsid w:val="23A72C83"/>
    <w:rsid w:val="23FB1D59"/>
    <w:rsid w:val="242B056C"/>
    <w:rsid w:val="24327716"/>
    <w:rsid w:val="24491E1F"/>
    <w:rsid w:val="246F14B7"/>
    <w:rsid w:val="24C10CA1"/>
    <w:rsid w:val="24F00B4F"/>
    <w:rsid w:val="25001CA1"/>
    <w:rsid w:val="25526E97"/>
    <w:rsid w:val="25831E3A"/>
    <w:rsid w:val="25BC27B3"/>
    <w:rsid w:val="25D961F9"/>
    <w:rsid w:val="25DC45DF"/>
    <w:rsid w:val="26245372"/>
    <w:rsid w:val="263438A3"/>
    <w:rsid w:val="264B1EE2"/>
    <w:rsid w:val="264B6355"/>
    <w:rsid w:val="26627459"/>
    <w:rsid w:val="26BB5760"/>
    <w:rsid w:val="26F84ED3"/>
    <w:rsid w:val="26FD49E5"/>
    <w:rsid w:val="27215E15"/>
    <w:rsid w:val="273374C3"/>
    <w:rsid w:val="27691FEB"/>
    <w:rsid w:val="276C2A47"/>
    <w:rsid w:val="27995126"/>
    <w:rsid w:val="28AB52FD"/>
    <w:rsid w:val="28B700EB"/>
    <w:rsid w:val="28C93469"/>
    <w:rsid w:val="29007903"/>
    <w:rsid w:val="291E3312"/>
    <w:rsid w:val="29C1387D"/>
    <w:rsid w:val="2A0540EB"/>
    <w:rsid w:val="2A450970"/>
    <w:rsid w:val="2A8F75F4"/>
    <w:rsid w:val="2AF00FDF"/>
    <w:rsid w:val="2B165412"/>
    <w:rsid w:val="2BA43086"/>
    <w:rsid w:val="2BA44C1F"/>
    <w:rsid w:val="2BC479C2"/>
    <w:rsid w:val="2BEC7E2C"/>
    <w:rsid w:val="2C1D7843"/>
    <w:rsid w:val="2C294F8C"/>
    <w:rsid w:val="2C345177"/>
    <w:rsid w:val="2C4326EC"/>
    <w:rsid w:val="2C4C6FDD"/>
    <w:rsid w:val="2C855265"/>
    <w:rsid w:val="2CAE3665"/>
    <w:rsid w:val="2D3A28F2"/>
    <w:rsid w:val="2D4128C1"/>
    <w:rsid w:val="2D6B4B28"/>
    <w:rsid w:val="2DCC10A1"/>
    <w:rsid w:val="2DCF03F8"/>
    <w:rsid w:val="2DFF4A83"/>
    <w:rsid w:val="2E122008"/>
    <w:rsid w:val="2E2E2168"/>
    <w:rsid w:val="2E40448B"/>
    <w:rsid w:val="2E8C1E5B"/>
    <w:rsid w:val="2EC861BD"/>
    <w:rsid w:val="2F032CD9"/>
    <w:rsid w:val="2F5479BA"/>
    <w:rsid w:val="2F652DBB"/>
    <w:rsid w:val="2F6C589B"/>
    <w:rsid w:val="2F997CCD"/>
    <w:rsid w:val="311F6DD1"/>
    <w:rsid w:val="315C0464"/>
    <w:rsid w:val="317E778D"/>
    <w:rsid w:val="31A729C5"/>
    <w:rsid w:val="31AC33EA"/>
    <w:rsid w:val="31C20C1C"/>
    <w:rsid w:val="32314873"/>
    <w:rsid w:val="32572E2A"/>
    <w:rsid w:val="32B703C5"/>
    <w:rsid w:val="32D5578E"/>
    <w:rsid w:val="331B051A"/>
    <w:rsid w:val="332A470C"/>
    <w:rsid w:val="33492157"/>
    <w:rsid w:val="338C350C"/>
    <w:rsid w:val="33A440BD"/>
    <w:rsid w:val="33A725A4"/>
    <w:rsid w:val="33CD2722"/>
    <w:rsid w:val="33DF5176"/>
    <w:rsid w:val="33E96E13"/>
    <w:rsid w:val="342F1C9A"/>
    <w:rsid w:val="343A07D4"/>
    <w:rsid w:val="3472746F"/>
    <w:rsid w:val="34AB08B2"/>
    <w:rsid w:val="34F7608F"/>
    <w:rsid w:val="352441F3"/>
    <w:rsid w:val="352F238C"/>
    <w:rsid w:val="3561697A"/>
    <w:rsid w:val="359039E0"/>
    <w:rsid w:val="367F3CF4"/>
    <w:rsid w:val="3693324F"/>
    <w:rsid w:val="36B942AE"/>
    <w:rsid w:val="36DD4630"/>
    <w:rsid w:val="36EC2369"/>
    <w:rsid w:val="3790271A"/>
    <w:rsid w:val="37AC2C61"/>
    <w:rsid w:val="37BF3380"/>
    <w:rsid w:val="380E4F1F"/>
    <w:rsid w:val="38432EAC"/>
    <w:rsid w:val="38597608"/>
    <w:rsid w:val="39213268"/>
    <w:rsid w:val="398F5A2D"/>
    <w:rsid w:val="3A84188F"/>
    <w:rsid w:val="3A9C4BBA"/>
    <w:rsid w:val="3A9F2513"/>
    <w:rsid w:val="3AC72086"/>
    <w:rsid w:val="3AFE025A"/>
    <w:rsid w:val="3B3E6753"/>
    <w:rsid w:val="3B716E0A"/>
    <w:rsid w:val="3BC92105"/>
    <w:rsid w:val="3BF93AB6"/>
    <w:rsid w:val="3C0C7345"/>
    <w:rsid w:val="3C7D7C99"/>
    <w:rsid w:val="3D4C0BB6"/>
    <w:rsid w:val="3D507557"/>
    <w:rsid w:val="3D585B11"/>
    <w:rsid w:val="3D6669E6"/>
    <w:rsid w:val="3D755F99"/>
    <w:rsid w:val="3D7A2502"/>
    <w:rsid w:val="3DB20086"/>
    <w:rsid w:val="3DE837D8"/>
    <w:rsid w:val="3E0A6B94"/>
    <w:rsid w:val="3E4C63DD"/>
    <w:rsid w:val="3E59117D"/>
    <w:rsid w:val="3EFD35FC"/>
    <w:rsid w:val="3F1C67B3"/>
    <w:rsid w:val="3F4E0AF4"/>
    <w:rsid w:val="3F6131BF"/>
    <w:rsid w:val="3F7C6ACF"/>
    <w:rsid w:val="3F87161D"/>
    <w:rsid w:val="3F9256F0"/>
    <w:rsid w:val="3F972383"/>
    <w:rsid w:val="3FCB1275"/>
    <w:rsid w:val="3FD61FD3"/>
    <w:rsid w:val="3FF43235"/>
    <w:rsid w:val="3FF45099"/>
    <w:rsid w:val="401D6D4D"/>
    <w:rsid w:val="403060F0"/>
    <w:rsid w:val="40A065BD"/>
    <w:rsid w:val="40FF1F62"/>
    <w:rsid w:val="4197782B"/>
    <w:rsid w:val="41A535AA"/>
    <w:rsid w:val="42244A08"/>
    <w:rsid w:val="4241137D"/>
    <w:rsid w:val="429C1435"/>
    <w:rsid w:val="42E16EB3"/>
    <w:rsid w:val="43085C34"/>
    <w:rsid w:val="435A06C4"/>
    <w:rsid w:val="43665A5C"/>
    <w:rsid w:val="439F1B8F"/>
    <w:rsid w:val="43B8313D"/>
    <w:rsid w:val="4431337C"/>
    <w:rsid w:val="444730A2"/>
    <w:rsid w:val="444A72BB"/>
    <w:rsid w:val="449F563D"/>
    <w:rsid w:val="44BB1973"/>
    <w:rsid w:val="44E57F64"/>
    <w:rsid w:val="44EB0D5C"/>
    <w:rsid w:val="44FE278B"/>
    <w:rsid w:val="451F006A"/>
    <w:rsid w:val="456C41D2"/>
    <w:rsid w:val="45714C61"/>
    <w:rsid w:val="45EE76B2"/>
    <w:rsid w:val="46840369"/>
    <w:rsid w:val="46990B0B"/>
    <w:rsid w:val="46CD7FE0"/>
    <w:rsid w:val="47A15929"/>
    <w:rsid w:val="47A2753A"/>
    <w:rsid w:val="47AB6627"/>
    <w:rsid w:val="47AE70EB"/>
    <w:rsid w:val="47C05CA9"/>
    <w:rsid w:val="47F354E7"/>
    <w:rsid w:val="484006F3"/>
    <w:rsid w:val="48690867"/>
    <w:rsid w:val="488C61D2"/>
    <w:rsid w:val="48991014"/>
    <w:rsid w:val="48DF1DC3"/>
    <w:rsid w:val="48EF319B"/>
    <w:rsid w:val="48EF714D"/>
    <w:rsid w:val="4924281B"/>
    <w:rsid w:val="49321AAF"/>
    <w:rsid w:val="494F75D6"/>
    <w:rsid w:val="495F69C1"/>
    <w:rsid w:val="496770E4"/>
    <w:rsid w:val="49AC2396"/>
    <w:rsid w:val="49C56596"/>
    <w:rsid w:val="4A5E6550"/>
    <w:rsid w:val="4A7103C0"/>
    <w:rsid w:val="4AE419A1"/>
    <w:rsid w:val="4AEC71C1"/>
    <w:rsid w:val="4AFF0413"/>
    <w:rsid w:val="4B066AD1"/>
    <w:rsid w:val="4B8D111A"/>
    <w:rsid w:val="4C0F59F4"/>
    <w:rsid w:val="4C227943"/>
    <w:rsid w:val="4CB27F58"/>
    <w:rsid w:val="4CB92ABE"/>
    <w:rsid w:val="4CCC6242"/>
    <w:rsid w:val="4CD133C5"/>
    <w:rsid w:val="4D096E8F"/>
    <w:rsid w:val="4D3413B0"/>
    <w:rsid w:val="4D653CC4"/>
    <w:rsid w:val="4DA145FE"/>
    <w:rsid w:val="4DCF60C5"/>
    <w:rsid w:val="4E103A51"/>
    <w:rsid w:val="4E2C41C7"/>
    <w:rsid w:val="4E522D0C"/>
    <w:rsid w:val="4EB44BE7"/>
    <w:rsid w:val="4F105740"/>
    <w:rsid w:val="4F3717BD"/>
    <w:rsid w:val="4F610FB8"/>
    <w:rsid w:val="4FD84E79"/>
    <w:rsid w:val="4FDF2870"/>
    <w:rsid w:val="50132220"/>
    <w:rsid w:val="50445F58"/>
    <w:rsid w:val="504A26F6"/>
    <w:rsid w:val="504F2B7C"/>
    <w:rsid w:val="50750D8C"/>
    <w:rsid w:val="50A456F9"/>
    <w:rsid w:val="50E50AC2"/>
    <w:rsid w:val="50F37CB3"/>
    <w:rsid w:val="510961FA"/>
    <w:rsid w:val="514915AE"/>
    <w:rsid w:val="51622499"/>
    <w:rsid w:val="51AF57C6"/>
    <w:rsid w:val="52275CB6"/>
    <w:rsid w:val="524A562E"/>
    <w:rsid w:val="52601278"/>
    <w:rsid w:val="5288376A"/>
    <w:rsid w:val="52C32C39"/>
    <w:rsid w:val="52ED05BC"/>
    <w:rsid w:val="53061A53"/>
    <w:rsid w:val="533711EA"/>
    <w:rsid w:val="53567BEF"/>
    <w:rsid w:val="53B319B5"/>
    <w:rsid w:val="54421A1B"/>
    <w:rsid w:val="544B29D0"/>
    <w:rsid w:val="544C52F5"/>
    <w:rsid w:val="54E95147"/>
    <w:rsid w:val="54EF5A2E"/>
    <w:rsid w:val="550D2648"/>
    <w:rsid w:val="559E2EBF"/>
    <w:rsid w:val="55CA584F"/>
    <w:rsid w:val="55E97EAE"/>
    <w:rsid w:val="55FD7B2E"/>
    <w:rsid w:val="562B1343"/>
    <w:rsid w:val="568F485E"/>
    <w:rsid w:val="56BB2D2F"/>
    <w:rsid w:val="56EC08D8"/>
    <w:rsid w:val="56ED629A"/>
    <w:rsid w:val="56F96B07"/>
    <w:rsid w:val="572B4892"/>
    <w:rsid w:val="574A099D"/>
    <w:rsid w:val="57616002"/>
    <w:rsid w:val="578E25D7"/>
    <w:rsid w:val="57C26B2D"/>
    <w:rsid w:val="57E2287F"/>
    <w:rsid w:val="57E66D1D"/>
    <w:rsid w:val="57F83669"/>
    <w:rsid w:val="5841719C"/>
    <w:rsid w:val="58AE15EB"/>
    <w:rsid w:val="58DE757B"/>
    <w:rsid w:val="5921150F"/>
    <w:rsid w:val="594D7699"/>
    <w:rsid w:val="597B6CED"/>
    <w:rsid w:val="59B20F9F"/>
    <w:rsid w:val="59B35B4B"/>
    <w:rsid w:val="59B819C2"/>
    <w:rsid w:val="5A3537AA"/>
    <w:rsid w:val="5A7066E6"/>
    <w:rsid w:val="5A9F6BD3"/>
    <w:rsid w:val="5AA870F4"/>
    <w:rsid w:val="5AFD02AF"/>
    <w:rsid w:val="5B021445"/>
    <w:rsid w:val="5B1B2537"/>
    <w:rsid w:val="5B204573"/>
    <w:rsid w:val="5BEE69DD"/>
    <w:rsid w:val="5C3F1579"/>
    <w:rsid w:val="5C942F44"/>
    <w:rsid w:val="5C9B11E3"/>
    <w:rsid w:val="5CBB1864"/>
    <w:rsid w:val="5CBD3460"/>
    <w:rsid w:val="5CF94831"/>
    <w:rsid w:val="5D1C12A9"/>
    <w:rsid w:val="5D6A3D29"/>
    <w:rsid w:val="5D9C4B5F"/>
    <w:rsid w:val="5D9F77DE"/>
    <w:rsid w:val="5DB93E54"/>
    <w:rsid w:val="5DE70C7D"/>
    <w:rsid w:val="5E0C2497"/>
    <w:rsid w:val="5E1223FD"/>
    <w:rsid w:val="5E473B1C"/>
    <w:rsid w:val="5F042E24"/>
    <w:rsid w:val="5F2356CA"/>
    <w:rsid w:val="5F3E2B5F"/>
    <w:rsid w:val="5F522D7B"/>
    <w:rsid w:val="5F5A62EC"/>
    <w:rsid w:val="5F644FE3"/>
    <w:rsid w:val="5F7A0C37"/>
    <w:rsid w:val="5FA410D6"/>
    <w:rsid w:val="5FC43550"/>
    <w:rsid w:val="5FCB6A79"/>
    <w:rsid w:val="5FE479BB"/>
    <w:rsid w:val="5FE71F50"/>
    <w:rsid w:val="5FE72A0A"/>
    <w:rsid w:val="5FFF2396"/>
    <w:rsid w:val="6007755F"/>
    <w:rsid w:val="60817E51"/>
    <w:rsid w:val="61053D86"/>
    <w:rsid w:val="61301A16"/>
    <w:rsid w:val="615B1AFB"/>
    <w:rsid w:val="61DE2370"/>
    <w:rsid w:val="622F7629"/>
    <w:rsid w:val="625E3946"/>
    <w:rsid w:val="626E4109"/>
    <w:rsid w:val="62980D9A"/>
    <w:rsid w:val="629F55E2"/>
    <w:rsid w:val="62CD53DB"/>
    <w:rsid w:val="635A423F"/>
    <w:rsid w:val="638527C3"/>
    <w:rsid w:val="63F8673F"/>
    <w:rsid w:val="63FF6967"/>
    <w:rsid w:val="6407452F"/>
    <w:rsid w:val="646E3CB5"/>
    <w:rsid w:val="64E51842"/>
    <w:rsid w:val="651E4DCC"/>
    <w:rsid w:val="657C36B8"/>
    <w:rsid w:val="65F430E2"/>
    <w:rsid w:val="660940A1"/>
    <w:rsid w:val="66117811"/>
    <w:rsid w:val="669323DE"/>
    <w:rsid w:val="66AA37C4"/>
    <w:rsid w:val="66C4441A"/>
    <w:rsid w:val="66D22371"/>
    <w:rsid w:val="670F38F3"/>
    <w:rsid w:val="67371992"/>
    <w:rsid w:val="673A3D9F"/>
    <w:rsid w:val="67580D25"/>
    <w:rsid w:val="677F598A"/>
    <w:rsid w:val="678A05F9"/>
    <w:rsid w:val="678A0690"/>
    <w:rsid w:val="67A75387"/>
    <w:rsid w:val="6819737B"/>
    <w:rsid w:val="68201E16"/>
    <w:rsid w:val="68F240C7"/>
    <w:rsid w:val="693518F9"/>
    <w:rsid w:val="69412846"/>
    <w:rsid w:val="69694CF5"/>
    <w:rsid w:val="696B7731"/>
    <w:rsid w:val="69A06439"/>
    <w:rsid w:val="69D229D3"/>
    <w:rsid w:val="69D84081"/>
    <w:rsid w:val="69FD46DC"/>
    <w:rsid w:val="6A726123"/>
    <w:rsid w:val="6A9B699A"/>
    <w:rsid w:val="6B0C0BEA"/>
    <w:rsid w:val="6B22413D"/>
    <w:rsid w:val="6B7F5533"/>
    <w:rsid w:val="6B881106"/>
    <w:rsid w:val="6B93280A"/>
    <w:rsid w:val="6BDA3B40"/>
    <w:rsid w:val="6C1B1900"/>
    <w:rsid w:val="6C391476"/>
    <w:rsid w:val="6C954F10"/>
    <w:rsid w:val="6CA13AB4"/>
    <w:rsid w:val="6D032D5E"/>
    <w:rsid w:val="6D0675E3"/>
    <w:rsid w:val="6D4C14BC"/>
    <w:rsid w:val="6E074888"/>
    <w:rsid w:val="6E12150B"/>
    <w:rsid w:val="6E1B0232"/>
    <w:rsid w:val="6E4101E5"/>
    <w:rsid w:val="6E835256"/>
    <w:rsid w:val="6EB90F5C"/>
    <w:rsid w:val="6EDD013F"/>
    <w:rsid w:val="6EDF1252"/>
    <w:rsid w:val="6EF963B0"/>
    <w:rsid w:val="6F366286"/>
    <w:rsid w:val="6F49026C"/>
    <w:rsid w:val="6F50716D"/>
    <w:rsid w:val="6F644F21"/>
    <w:rsid w:val="6F837F46"/>
    <w:rsid w:val="6FC51576"/>
    <w:rsid w:val="70077486"/>
    <w:rsid w:val="70140259"/>
    <w:rsid w:val="701F5075"/>
    <w:rsid w:val="70402F20"/>
    <w:rsid w:val="70524D90"/>
    <w:rsid w:val="705D0EF9"/>
    <w:rsid w:val="70815A9F"/>
    <w:rsid w:val="70BA2FA5"/>
    <w:rsid w:val="70BD378A"/>
    <w:rsid w:val="7134474E"/>
    <w:rsid w:val="71354044"/>
    <w:rsid w:val="715A415B"/>
    <w:rsid w:val="71727E74"/>
    <w:rsid w:val="717363AB"/>
    <w:rsid w:val="71971E70"/>
    <w:rsid w:val="71C13337"/>
    <w:rsid w:val="71D40552"/>
    <w:rsid w:val="71E1094E"/>
    <w:rsid w:val="72102FEF"/>
    <w:rsid w:val="725F6BE2"/>
    <w:rsid w:val="72762278"/>
    <w:rsid w:val="73251E72"/>
    <w:rsid w:val="732C4C98"/>
    <w:rsid w:val="733E62E4"/>
    <w:rsid w:val="73915317"/>
    <w:rsid w:val="73E350DB"/>
    <w:rsid w:val="7436633A"/>
    <w:rsid w:val="745C3B28"/>
    <w:rsid w:val="747362ED"/>
    <w:rsid w:val="748E7375"/>
    <w:rsid w:val="74D156FD"/>
    <w:rsid w:val="74E840FD"/>
    <w:rsid w:val="751F640F"/>
    <w:rsid w:val="752407A4"/>
    <w:rsid w:val="752A45A8"/>
    <w:rsid w:val="758F5A18"/>
    <w:rsid w:val="75A33669"/>
    <w:rsid w:val="75AD3CB7"/>
    <w:rsid w:val="7615746B"/>
    <w:rsid w:val="76240449"/>
    <w:rsid w:val="766D7A52"/>
    <w:rsid w:val="76EA2099"/>
    <w:rsid w:val="76F61109"/>
    <w:rsid w:val="77234FCF"/>
    <w:rsid w:val="7795168F"/>
    <w:rsid w:val="77C5082F"/>
    <w:rsid w:val="784A6913"/>
    <w:rsid w:val="78926E68"/>
    <w:rsid w:val="789B791D"/>
    <w:rsid w:val="78C52B6C"/>
    <w:rsid w:val="79045905"/>
    <w:rsid w:val="79152FEB"/>
    <w:rsid w:val="797A63CF"/>
    <w:rsid w:val="79817742"/>
    <w:rsid w:val="79842ABB"/>
    <w:rsid w:val="79A937FB"/>
    <w:rsid w:val="79BB1678"/>
    <w:rsid w:val="79D1132C"/>
    <w:rsid w:val="79DA2354"/>
    <w:rsid w:val="79EC63BA"/>
    <w:rsid w:val="7A893971"/>
    <w:rsid w:val="7AA37A88"/>
    <w:rsid w:val="7ABC3697"/>
    <w:rsid w:val="7AD45005"/>
    <w:rsid w:val="7B244303"/>
    <w:rsid w:val="7B751FD5"/>
    <w:rsid w:val="7BAD6EB9"/>
    <w:rsid w:val="7BBC2008"/>
    <w:rsid w:val="7BC040B8"/>
    <w:rsid w:val="7BD96D1A"/>
    <w:rsid w:val="7C116E57"/>
    <w:rsid w:val="7C592AD4"/>
    <w:rsid w:val="7C6341CC"/>
    <w:rsid w:val="7CB7798D"/>
    <w:rsid w:val="7CCF79B4"/>
    <w:rsid w:val="7CF85706"/>
    <w:rsid w:val="7DA01B79"/>
    <w:rsid w:val="7DE17EBF"/>
    <w:rsid w:val="7DF62DC9"/>
    <w:rsid w:val="7EA426CC"/>
    <w:rsid w:val="7EBD4CC0"/>
    <w:rsid w:val="7EC035FD"/>
    <w:rsid w:val="7EC40A24"/>
    <w:rsid w:val="7F2733BE"/>
    <w:rsid w:val="7F283120"/>
    <w:rsid w:val="7F6337BD"/>
    <w:rsid w:val="7F846908"/>
    <w:rsid w:val="7FB551BC"/>
    <w:rsid w:val="7FCB2254"/>
    <w:rsid w:val="7FD2471A"/>
    <w:rsid w:val="7FDA02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133"/>
    <w:qFormat/>
    <w:uiPriority w:val="0"/>
    <w:pPr>
      <w:keepNext/>
      <w:jc w:val="center"/>
      <w:outlineLvl w:val="0"/>
    </w:pPr>
    <w:rPr>
      <w:rFonts w:eastAsia="黑体"/>
      <w:b/>
      <w:sz w:val="32"/>
      <w:szCs w:val="20"/>
    </w:rPr>
  </w:style>
  <w:style w:type="paragraph" w:styleId="5">
    <w:name w:val="heading 2"/>
    <w:basedOn w:val="1"/>
    <w:next w:val="1"/>
    <w:link w:val="139"/>
    <w:qFormat/>
    <w:uiPriority w:val="0"/>
    <w:pPr>
      <w:keepNext/>
      <w:outlineLvl w:val="1"/>
    </w:pPr>
    <w:rPr>
      <w:rFonts w:ascii="仿宋_GB2312"/>
      <w:b/>
      <w:sz w:val="28"/>
      <w:szCs w:val="32"/>
    </w:rPr>
  </w:style>
  <w:style w:type="paragraph" w:styleId="6">
    <w:name w:val="heading 3"/>
    <w:basedOn w:val="5"/>
    <w:next w:val="1"/>
    <w:link w:val="151"/>
    <w:qFormat/>
    <w:uiPriority w:val="0"/>
    <w:pPr>
      <w:keepNext/>
      <w:keepLines/>
      <w:spacing w:line="540" w:lineRule="atLeast"/>
      <w:outlineLvl w:val="2"/>
    </w:pPr>
    <w:rPr>
      <w:rFonts w:eastAsia="黑体"/>
      <w:b w:val="0"/>
      <w:sz w:val="28"/>
      <w:szCs w:val="20"/>
    </w:rPr>
  </w:style>
  <w:style w:type="paragraph" w:styleId="7">
    <w:name w:val="heading 4"/>
    <w:basedOn w:val="1"/>
    <w:next w:val="1"/>
    <w:link w:val="67"/>
    <w:qFormat/>
    <w:uiPriority w:val="0"/>
    <w:pPr>
      <w:keepNext/>
      <w:keepLines/>
      <w:spacing w:line="540" w:lineRule="atLeast"/>
      <w:outlineLvl w:val="3"/>
    </w:pPr>
    <w:rPr>
      <w:sz w:val="28"/>
      <w:szCs w:val="28"/>
    </w:rPr>
  </w:style>
  <w:style w:type="paragraph" w:styleId="8">
    <w:name w:val="heading 5"/>
    <w:basedOn w:val="1"/>
    <w:next w:val="1"/>
    <w:link w:val="79"/>
    <w:qFormat/>
    <w:uiPriority w:val="0"/>
    <w:pPr>
      <w:keepNext/>
      <w:keepLines/>
      <w:spacing w:before="280" w:beforeLines="0" w:after="290" w:afterLines="0" w:line="372" w:lineRule="auto"/>
      <w:outlineLvl w:val="4"/>
    </w:pPr>
    <w:rPr>
      <w:b/>
      <w:bCs/>
      <w:kern w:val="0"/>
      <w:sz w:val="28"/>
      <w:szCs w:val="28"/>
    </w:rPr>
  </w:style>
  <w:style w:type="paragraph" w:styleId="9">
    <w:name w:val="heading 6"/>
    <w:basedOn w:val="1"/>
    <w:next w:val="10"/>
    <w:link w:val="141"/>
    <w:qFormat/>
    <w:uiPriority w:val="0"/>
    <w:pPr>
      <w:keepNext/>
      <w:keepLines/>
      <w:spacing w:before="240" w:beforeLines="0" w:after="64" w:afterLines="0" w:line="317" w:lineRule="auto"/>
      <w:outlineLvl w:val="5"/>
    </w:pPr>
    <w:rPr>
      <w:rFonts w:ascii="Arial" w:hAnsi="Arial" w:eastAsia="黑体"/>
      <w:b/>
      <w:sz w:val="24"/>
      <w:szCs w:val="20"/>
    </w:rPr>
  </w:style>
  <w:style w:type="paragraph" w:styleId="11">
    <w:name w:val="heading 7"/>
    <w:basedOn w:val="1"/>
    <w:next w:val="10"/>
    <w:link w:val="135"/>
    <w:qFormat/>
    <w:uiPriority w:val="0"/>
    <w:pPr>
      <w:keepNext/>
      <w:keepLines/>
      <w:spacing w:before="240" w:beforeLines="0" w:after="64" w:afterLines="0" w:line="317" w:lineRule="auto"/>
      <w:outlineLvl w:val="6"/>
    </w:pPr>
    <w:rPr>
      <w:b/>
      <w:sz w:val="24"/>
      <w:szCs w:val="20"/>
    </w:rPr>
  </w:style>
  <w:style w:type="paragraph" w:styleId="12">
    <w:name w:val="heading 8"/>
    <w:basedOn w:val="1"/>
    <w:next w:val="10"/>
    <w:link w:val="93"/>
    <w:qFormat/>
    <w:uiPriority w:val="0"/>
    <w:pPr>
      <w:keepNext/>
      <w:keepLines/>
      <w:spacing w:before="240" w:beforeLines="0" w:after="64" w:afterLines="0" w:line="317" w:lineRule="auto"/>
      <w:outlineLvl w:val="7"/>
    </w:pPr>
    <w:rPr>
      <w:rFonts w:ascii="Arial" w:hAnsi="Arial" w:eastAsia="黑体"/>
      <w:sz w:val="24"/>
      <w:szCs w:val="20"/>
    </w:rPr>
  </w:style>
  <w:style w:type="paragraph" w:styleId="13">
    <w:name w:val="heading 9"/>
    <w:basedOn w:val="1"/>
    <w:next w:val="10"/>
    <w:link w:val="182"/>
    <w:qFormat/>
    <w:uiPriority w:val="0"/>
    <w:pPr>
      <w:keepNext/>
      <w:keepLines/>
      <w:spacing w:before="240" w:beforeLines="0" w:after="64" w:afterLines="0" w:line="317" w:lineRule="auto"/>
      <w:outlineLvl w:val="8"/>
    </w:pPr>
    <w:rPr>
      <w:rFonts w:ascii="Arial" w:hAnsi="Arial" w:eastAsia="黑体"/>
      <w:szCs w:val="20"/>
    </w:rPr>
  </w:style>
  <w:style w:type="character" w:default="1" w:styleId="54">
    <w:name w:val="Default Paragraph Font"/>
    <w:link w:val="55"/>
    <w:uiPriority w:val="0"/>
  </w:style>
  <w:style w:type="table" w:default="1" w:styleId="52">
    <w:name w:val="Normal Table"/>
    <w:semiHidden/>
    <w:uiPriority w:val="0"/>
    <w:tblPr>
      <w:tblStyle w:val="52"/>
      <w:tblCellMar>
        <w:top w:w="0" w:type="dxa"/>
        <w:left w:w="108" w:type="dxa"/>
        <w:bottom w:w="0" w:type="dxa"/>
        <w:right w:w="108" w:type="dxa"/>
      </w:tblCellMar>
    </w:tblPr>
  </w:style>
  <w:style w:type="paragraph" w:styleId="2">
    <w:name w:val="Body Text"/>
    <w:basedOn w:val="1"/>
    <w:next w:val="1"/>
    <w:link w:val="78"/>
    <w:uiPriority w:val="0"/>
    <w:pPr>
      <w:spacing w:after="120" w:afterLines="0"/>
    </w:pPr>
    <w:rPr>
      <w:rFonts w:ascii="仿宋_GB2312"/>
      <w:b/>
    </w:rPr>
  </w:style>
  <w:style w:type="paragraph" w:styleId="3">
    <w:name w:val="macro"/>
    <w:link w:val="142"/>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kern w:val="2"/>
      <w:sz w:val="24"/>
      <w:szCs w:val="24"/>
      <w:lang w:val="en-US" w:eastAsia="zh-CN" w:bidi="ar-SA"/>
    </w:rPr>
  </w:style>
  <w:style w:type="paragraph" w:styleId="10">
    <w:name w:val="Normal Indent"/>
    <w:basedOn w:val="1"/>
    <w:next w:val="1"/>
    <w:link w:val="171"/>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uiPriority w:val="0"/>
    <w:pPr>
      <w:autoSpaceDE w:val="0"/>
      <w:autoSpaceDN w:val="0"/>
      <w:adjustRightInd w:val="0"/>
      <w:ind w:left="2520" w:leftChars="1200"/>
      <w:jc w:val="left"/>
    </w:pPr>
    <w:rPr>
      <w:kern w:val="0"/>
      <w:sz w:val="20"/>
      <w:szCs w:val="20"/>
    </w:rPr>
  </w:style>
  <w:style w:type="paragraph" w:styleId="15">
    <w:name w:val="List Number"/>
    <w:basedOn w:val="1"/>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uiPriority w:val="0"/>
    <w:pPr>
      <w:tabs>
        <w:tab w:val="left" w:pos="360"/>
      </w:tabs>
    </w:pPr>
    <w:rPr>
      <w:rFonts w:ascii="Calibri" w:hAnsi="Calibri"/>
      <w:szCs w:val="22"/>
    </w:rPr>
  </w:style>
  <w:style w:type="paragraph" w:styleId="18">
    <w:name w:val="Document Map"/>
    <w:basedOn w:val="1"/>
    <w:link w:val="103"/>
    <w:uiPriority w:val="0"/>
    <w:pPr>
      <w:shd w:val="clear" w:color="auto" w:fill="000080"/>
    </w:pPr>
  </w:style>
  <w:style w:type="paragraph" w:styleId="19">
    <w:name w:val="annotation text"/>
    <w:basedOn w:val="1"/>
    <w:link w:val="143"/>
    <w:uiPriority w:val="0"/>
    <w:pPr>
      <w:jc w:val="left"/>
    </w:pPr>
  </w:style>
  <w:style w:type="paragraph" w:styleId="20">
    <w:name w:val="Salutation"/>
    <w:basedOn w:val="1"/>
    <w:next w:val="1"/>
    <w:link w:val="173"/>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2"/>
    <w:uiPriority w:val="0"/>
    <w:pPr>
      <w:autoSpaceDE w:val="0"/>
      <w:autoSpaceDN w:val="0"/>
      <w:adjustRightInd w:val="0"/>
      <w:jc w:val="center"/>
    </w:pPr>
  </w:style>
  <w:style w:type="paragraph" w:styleId="22">
    <w:name w:val="Body Text Indent"/>
    <w:basedOn w:val="1"/>
    <w:link w:val="194"/>
    <w:uiPriority w:val="0"/>
    <w:pPr>
      <w:ind w:left="480" w:hanging="480" w:hangingChars="200"/>
    </w:pPr>
    <w:rPr>
      <w:sz w:val="24"/>
    </w:rPr>
  </w:style>
  <w:style w:type="paragraph" w:styleId="23">
    <w:name w:val="List Number 3"/>
    <w:basedOn w:val="1"/>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uiPriority w:val="0"/>
    <w:pPr>
      <w:tabs>
        <w:tab w:val="left" w:pos="780"/>
      </w:tabs>
      <w:spacing w:line="360" w:lineRule="auto"/>
      <w:ind w:left="780" w:leftChars="200" w:hanging="360" w:hangingChars="200"/>
    </w:pPr>
  </w:style>
  <w:style w:type="paragraph" w:styleId="26">
    <w:name w:val="toc 5"/>
    <w:basedOn w:val="1"/>
    <w:next w:val="1"/>
    <w:uiPriority w:val="0"/>
    <w:pPr>
      <w:autoSpaceDE w:val="0"/>
      <w:autoSpaceDN w:val="0"/>
      <w:adjustRightInd w:val="0"/>
      <w:ind w:left="1680" w:leftChars="800"/>
      <w:jc w:val="left"/>
    </w:pPr>
    <w:rPr>
      <w:kern w:val="0"/>
      <w:sz w:val="20"/>
      <w:szCs w:val="20"/>
    </w:rPr>
  </w:style>
  <w:style w:type="paragraph" w:styleId="27">
    <w:name w:val="toc 3"/>
    <w:basedOn w:val="1"/>
    <w:next w:val="1"/>
    <w:uiPriority w:val="0"/>
    <w:pPr>
      <w:ind w:left="840" w:leftChars="400"/>
    </w:pPr>
  </w:style>
  <w:style w:type="paragraph" w:styleId="28">
    <w:name w:val="Plain Text"/>
    <w:basedOn w:val="1"/>
    <w:link w:val="156"/>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uiPriority w:val="0"/>
    <w:pPr>
      <w:autoSpaceDE w:val="0"/>
      <w:autoSpaceDN w:val="0"/>
      <w:adjustRightInd w:val="0"/>
      <w:ind w:left="2940" w:leftChars="1400"/>
      <w:jc w:val="left"/>
    </w:pPr>
    <w:rPr>
      <w:kern w:val="0"/>
      <w:sz w:val="20"/>
      <w:szCs w:val="20"/>
    </w:rPr>
  </w:style>
  <w:style w:type="paragraph" w:styleId="31">
    <w:name w:val="Date"/>
    <w:basedOn w:val="1"/>
    <w:next w:val="1"/>
    <w:link w:val="105"/>
    <w:uiPriority w:val="0"/>
    <w:pPr>
      <w:ind w:left="100" w:leftChars="2500"/>
    </w:pPr>
  </w:style>
  <w:style w:type="paragraph" w:styleId="32">
    <w:name w:val="Body Text Indent 2"/>
    <w:basedOn w:val="1"/>
    <w:link w:val="195"/>
    <w:uiPriority w:val="0"/>
    <w:pPr>
      <w:spacing w:line="500" w:lineRule="exact"/>
      <w:ind w:firstLine="511" w:firstLineChars="213"/>
    </w:pPr>
    <w:rPr>
      <w:sz w:val="24"/>
    </w:rPr>
  </w:style>
  <w:style w:type="paragraph" w:styleId="33">
    <w:name w:val="Balloon Text"/>
    <w:basedOn w:val="1"/>
    <w:link w:val="159"/>
    <w:uiPriority w:val="0"/>
    <w:rPr>
      <w:sz w:val="18"/>
      <w:szCs w:val="18"/>
    </w:rPr>
  </w:style>
  <w:style w:type="paragraph" w:styleId="34">
    <w:name w:val="footer"/>
    <w:basedOn w:val="1"/>
    <w:link w:val="115"/>
    <w:uiPriority w:val="0"/>
    <w:pPr>
      <w:tabs>
        <w:tab w:val="center" w:pos="4153"/>
        <w:tab w:val="right" w:pos="8306"/>
      </w:tabs>
      <w:snapToGrid w:val="0"/>
      <w:jc w:val="left"/>
    </w:pPr>
    <w:rPr>
      <w:sz w:val="18"/>
      <w:szCs w:val="18"/>
    </w:rPr>
  </w:style>
  <w:style w:type="paragraph" w:styleId="35">
    <w:name w:val="header"/>
    <w:basedOn w:val="1"/>
    <w:link w:val="109"/>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90"/>
    <w:uiPriority w:val="0"/>
    <w:pPr>
      <w:autoSpaceDE w:val="0"/>
      <w:autoSpaceDN w:val="0"/>
      <w:adjustRightInd w:val="0"/>
      <w:spacing w:after="600" w:afterLines="0" w:line="312" w:lineRule="atLeast"/>
      <w:jc w:val="center"/>
      <w:textAlignment w:val="baseline"/>
    </w:pPr>
    <w:rPr>
      <w:rFonts w:ascii="仿宋_GB2312" w:eastAsia="仿宋_GB2312"/>
      <w:b/>
      <w:kern w:val="0"/>
      <w:sz w:val="24"/>
      <w:szCs w:val="32"/>
    </w:rPr>
  </w:style>
  <w:style w:type="paragraph" w:styleId="37">
    <w:name w:val="toc 1"/>
    <w:basedOn w:val="1"/>
    <w:next w:val="1"/>
    <w:uiPriority w:val="0"/>
  </w:style>
  <w:style w:type="paragraph" w:styleId="38">
    <w:name w:val="toc 4"/>
    <w:basedOn w:val="1"/>
    <w:next w:val="1"/>
    <w:uiPriority w:val="0"/>
    <w:pPr>
      <w:autoSpaceDE w:val="0"/>
      <w:autoSpaceDN w:val="0"/>
      <w:adjustRightInd w:val="0"/>
      <w:ind w:left="1260" w:leftChars="600"/>
      <w:jc w:val="left"/>
    </w:pPr>
    <w:rPr>
      <w:kern w:val="0"/>
      <w:sz w:val="20"/>
      <w:szCs w:val="20"/>
    </w:rPr>
  </w:style>
  <w:style w:type="paragraph" w:styleId="39">
    <w:name w:val="Subtitle"/>
    <w:basedOn w:val="1"/>
    <w:next w:val="1"/>
    <w:link w:val="127"/>
    <w:qFormat/>
    <w:uiPriority w:val="0"/>
    <w:pPr>
      <w:spacing w:before="240" w:beforeLines="0" w:after="60" w:afterLines="0" w:line="312" w:lineRule="auto"/>
      <w:jc w:val="center"/>
      <w:outlineLvl w:val="1"/>
    </w:pPr>
    <w:rPr>
      <w:rFonts w:ascii="Cambria" w:hAnsi="Cambria"/>
      <w:b/>
      <w:bCs/>
      <w:kern w:val="28"/>
      <w:sz w:val="32"/>
      <w:szCs w:val="32"/>
    </w:rPr>
  </w:style>
  <w:style w:type="paragraph" w:styleId="40">
    <w:name w:val="List Number 5"/>
    <w:basedOn w:val="1"/>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uiPriority w:val="0"/>
    <w:pPr>
      <w:spacing w:line="240" w:lineRule="auto"/>
      <w:ind w:left="200" w:hanging="200" w:hangingChars="200"/>
      <w:jc w:val="both"/>
    </w:pPr>
    <w:rPr>
      <w:rFonts w:ascii="Times New Roman" w:hAnsi="Times New Roman" w:eastAsia="宋体" w:cs="Times New Roman"/>
      <w:sz w:val="21"/>
      <w:szCs w:val="24"/>
    </w:rPr>
  </w:style>
  <w:style w:type="paragraph" w:styleId="42">
    <w:name w:val="toc 6"/>
    <w:basedOn w:val="1"/>
    <w:next w:val="1"/>
    <w:uiPriority w:val="0"/>
    <w:pPr>
      <w:autoSpaceDE w:val="0"/>
      <w:autoSpaceDN w:val="0"/>
      <w:adjustRightInd w:val="0"/>
      <w:ind w:left="2100" w:leftChars="1000"/>
      <w:jc w:val="left"/>
    </w:pPr>
    <w:rPr>
      <w:kern w:val="0"/>
      <w:sz w:val="20"/>
      <w:szCs w:val="20"/>
    </w:rPr>
  </w:style>
  <w:style w:type="paragraph" w:styleId="43">
    <w:name w:val="Body Text Indent 3"/>
    <w:basedOn w:val="1"/>
    <w:link w:val="126"/>
    <w:uiPriority w:val="0"/>
    <w:pPr>
      <w:spacing w:line="500" w:lineRule="exact"/>
      <w:ind w:left="511" w:hanging="511" w:hangingChars="213"/>
    </w:pPr>
    <w:rPr>
      <w:sz w:val="24"/>
    </w:rPr>
  </w:style>
  <w:style w:type="paragraph" w:styleId="44">
    <w:name w:val="toc 2"/>
    <w:basedOn w:val="1"/>
    <w:next w:val="1"/>
    <w:uiPriority w:val="0"/>
    <w:pPr>
      <w:ind w:left="420" w:leftChars="200"/>
    </w:pPr>
  </w:style>
  <w:style w:type="paragraph" w:styleId="45">
    <w:name w:val="toc 9"/>
    <w:basedOn w:val="1"/>
    <w:next w:val="1"/>
    <w:uiPriority w:val="0"/>
    <w:pPr>
      <w:autoSpaceDE w:val="0"/>
      <w:autoSpaceDN w:val="0"/>
      <w:adjustRightInd w:val="0"/>
      <w:ind w:left="3360" w:leftChars="1600"/>
      <w:jc w:val="left"/>
    </w:pPr>
    <w:rPr>
      <w:kern w:val="0"/>
      <w:sz w:val="20"/>
      <w:szCs w:val="20"/>
    </w:rPr>
  </w:style>
  <w:style w:type="paragraph" w:styleId="46">
    <w:name w:val="Body Text 2"/>
    <w:basedOn w:val="1"/>
    <w:link w:val="165"/>
    <w:uiPriority w:val="0"/>
    <w:pPr>
      <w:autoSpaceDE w:val="0"/>
      <w:autoSpaceDN w:val="0"/>
      <w:adjustRightInd w:val="0"/>
      <w:spacing w:after="120" w:afterLines="0" w:line="480" w:lineRule="auto"/>
      <w:jc w:val="left"/>
    </w:pPr>
  </w:style>
  <w:style w:type="paragraph" w:styleId="4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48">
    <w:name w:val="Title"/>
    <w:basedOn w:val="1"/>
    <w:next w:val="1"/>
    <w:link w:val="75"/>
    <w:qFormat/>
    <w:uiPriority w:val="0"/>
    <w:pPr>
      <w:spacing w:before="240" w:beforeLines="0" w:after="60" w:afterLines="0"/>
      <w:jc w:val="center"/>
      <w:outlineLvl w:val="0"/>
    </w:pPr>
    <w:rPr>
      <w:rFonts w:ascii="Cambria" w:hAnsi="Cambria"/>
      <w:b/>
      <w:bCs/>
      <w:sz w:val="32"/>
      <w:szCs w:val="32"/>
    </w:rPr>
  </w:style>
  <w:style w:type="paragraph" w:styleId="49">
    <w:name w:val="annotation subject"/>
    <w:basedOn w:val="19"/>
    <w:next w:val="19"/>
    <w:link w:val="181"/>
    <w:uiPriority w:val="0"/>
    <w:rPr>
      <w:b/>
      <w:bCs/>
    </w:rPr>
  </w:style>
  <w:style w:type="paragraph" w:styleId="50">
    <w:name w:val="Body Text First Indent"/>
    <w:basedOn w:val="2"/>
    <w:link w:val="118"/>
    <w:uiPriority w:val="0"/>
    <w:pPr>
      <w:autoSpaceDE w:val="0"/>
      <w:autoSpaceDN w:val="0"/>
      <w:adjustRightInd w:val="0"/>
      <w:ind w:firstLine="420" w:firstLineChars="100"/>
      <w:jc w:val="left"/>
    </w:pPr>
    <w:rPr>
      <w:rFonts w:ascii="Times New Roman"/>
      <w:b w:val="0"/>
      <w:kern w:val="0"/>
      <w:sz w:val="20"/>
      <w:szCs w:val="20"/>
    </w:rPr>
  </w:style>
  <w:style w:type="paragraph" w:styleId="51">
    <w:name w:val="Body Text First Indent 2"/>
    <w:basedOn w:val="22"/>
    <w:qFormat/>
    <w:uiPriority w:val="0"/>
    <w:pPr>
      <w:spacing w:after="120"/>
      <w:ind w:left="420" w:leftChars="200" w:firstLine="420"/>
    </w:pPr>
    <w:rPr>
      <w:rFonts w:cs="宋体"/>
      <w:sz w:val="21"/>
      <w:szCs w:val="21"/>
    </w:rPr>
  </w:style>
  <w:style w:type="table" w:styleId="53">
    <w:name w:val="Table Grid"/>
    <w:basedOn w:val="52"/>
    <w:uiPriority w:val="0"/>
    <w:pPr>
      <w:widowControl w:val="0"/>
      <w:jc w:val="both"/>
    </w:p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 Char3 Char Char Char"/>
    <w:basedOn w:val="1"/>
    <w:link w:val="54"/>
    <w:qFormat/>
    <w:uiPriority w:val="0"/>
  </w:style>
  <w:style w:type="character" w:styleId="56">
    <w:name w:val="Strong"/>
    <w:qFormat/>
    <w:uiPriority w:val="0"/>
    <w:rPr>
      <w:rFonts w:ascii="仿宋_GB2312" w:eastAsia="仿宋_GB2312"/>
      <w:bCs/>
      <w:sz w:val="32"/>
      <w:szCs w:val="32"/>
    </w:rPr>
  </w:style>
  <w:style w:type="character" w:styleId="57">
    <w:name w:val="page number"/>
    <w:basedOn w:val="54"/>
    <w:uiPriority w:val="0"/>
  </w:style>
  <w:style w:type="character" w:styleId="58">
    <w:name w:val="FollowedHyperlink"/>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4"/>
    <w:uiPriority w:val="0"/>
  </w:style>
  <w:style w:type="character" w:styleId="61">
    <w:name w:val="Hyperlink"/>
    <w:uiPriority w:val="0"/>
    <w:rPr>
      <w:rFonts w:ascii="仿宋_GB2312" w:eastAsia="仿宋_GB2312"/>
      <w:b/>
      <w:color w:val="0000FF"/>
      <w:sz w:val="32"/>
      <w:szCs w:val="32"/>
      <w:u w:val="none"/>
    </w:rPr>
  </w:style>
  <w:style w:type="character" w:styleId="62">
    <w:name w:val="annotation reference"/>
    <w:uiPriority w:val="0"/>
    <w:rPr>
      <w:sz w:val="21"/>
      <w:szCs w:val="21"/>
    </w:rPr>
  </w:style>
  <w:style w:type="character" w:styleId="63">
    <w:name w:val="HTML Cite"/>
    <w:uiPriority w:val="0"/>
    <w:rPr>
      <w:color w:val="008000"/>
    </w:rPr>
  </w:style>
  <w:style w:type="character" w:customStyle="1" w:styleId="64">
    <w:name w:val="blue1"/>
    <w:basedOn w:val="54"/>
    <w:uiPriority w:val="0"/>
  </w:style>
  <w:style w:type="character" w:customStyle="1" w:styleId="65">
    <w:name w:val="Char Char24"/>
    <w:uiPriority w:val="0"/>
    <w:rPr>
      <w:rFonts w:eastAsia="宋体"/>
      <w:b/>
      <w:kern w:val="2"/>
      <w:sz w:val="28"/>
      <w:lang w:val="en-US" w:eastAsia="zh-CN" w:bidi="ar-SA"/>
    </w:rPr>
  </w:style>
  <w:style w:type="character" w:customStyle="1" w:styleId="66">
    <w:name w:val="Char Char Char1"/>
    <w:uiPriority w:val="0"/>
    <w:rPr>
      <w:rFonts w:ascii="宋体" w:hAnsi="Courier New"/>
      <w:sz w:val="21"/>
      <w:szCs w:val="21"/>
    </w:rPr>
  </w:style>
  <w:style w:type="character" w:customStyle="1" w:styleId="67">
    <w:name w:val="标题 4 Char"/>
    <w:link w:val="7"/>
    <w:uiPriority w:val="0"/>
    <w:rPr>
      <w:rFonts w:eastAsia="宋体"/>
      <w:kern w:val="2"/>
      <w:sz w:val="28"/>
      <w:szCs w:val="28"/>
      <w:lang w:val="en-US" w:eastAsia="zh-CN" w:bidi="ar-SA"/>
    </w:rPr>
  </w:style>
  <w:style w:type="character" w:customStyle="1" w:styleId="68">
    <w:name w:val="Char Char11"/>
    <w:uiPriority w:val="0"/>
    <w:rPr>
      <w:rFonts w:ascii="Times New Roman" w:hAnsi="Times New Roman" w:eastAsia="宋体" w:cs="Times New Roman"/>
      <w:sz w:val="18"/>
      <w:szCs w:val="18"/>
    </w:rPr>
  </w:style>
  <w:style w:type="character" w:customStyle="1" w:styleId="69">
    <w:name w:val="style21"/>
    <w:uiPriority w:val="0"/>
    <w:rPr>
      <w:sz w:val="15"/>
      <w:szCs w:val="15"/>
    </w:rPr>
  </w:style>
  <w:style w:type="character" w:customStyle="1" w:styleId="70">
    <w:name w:val="PI Char1"/>
    <w:aliases w:val="正文文字首行缩进 Char1,HD正文1 Char1,正文小标题 Char1,正文顶格 Char Char1"/>
    <w:uiPriority w:val="0"/>
    <w:rPr>
      <w:rFonts w:eastAsia="宋体"/>
      <w:kern w:val="2"/>
      <w:sz w:val="24"/>
      <w:szCs w:val="24"/>
      <w:lang w:val="en-US" w:eastAsia="zh-CN" w:bidi="ar-SA"/>
    </w:rPr>
  </w:style>
  <w:style w:type="character" w:customStyle="1" w:styleId="71">
    <w:name w:val="Style5"/>
    <w:uiPriority w:val="0"/>
    <w:rPr>
      <w:rFonts w:ascii="Calibri" w:hAnsi="宋体" w:eastAsia="宋体" w:cs="Times New Roman"/>
      <w:sz w:val="22"/>
      <w:szCs w:val="22"/>
      <w:lang w:eastAsia="zh-CN"/>
    </w:rPr>
  </w:style>
  <w:style w:type="character" w:customStyle="1" w:styleId="72">
    <w:name w:val="Char Char18"/>
    <w:uiPriority w:val="0"/>
    <w:rPr>
      <w:b/>
      <w:bCs/>
      <w:kern w:val="2"/>
      <w:sz w:val="32"/>
      <w:szCs w:val="32"/>
    </w:rPr>
  </w:style>
  <w:style w:type="character" w:styleId="73">
    <w:name w:val=""/>
    <w:qFormat/>
    <w:uiPriority w:val="0"/>
    <w:rPr>
      <w:b/>
      <w:bCs/>
      <w:smallCaps/>
      <w:color w:val="C0504D"/>
      <w:spacing w:val="5"/>
      <w:u w:val="single"/>
    </w:rPr>
  </w:style>
  <w:style w:type="character" w:customStyle="1" w:styleId="74">
    <w:name w:val=" ändrad Char1"/>
    <w:aliases w:val="Indent Char1,Ind Char1,鋘drad Char1,paragraph 2 Char1,paragraph 21 Char1,``` Char1,contents Char Char Char2,contents Char Char Char Char1,contents Char1,特殊文字 Char Char Char Char2,特殊文字 Char Char Char Char Char1,ändra Char Char"/>
    <w:uiPriority w:val="0"/>
    <w:rPr>
      <w:rFonts w:ascii="仿宋_GB2312" w:eastAsia="宋体"/>
      <w:b/>
      <w:kern w:val="2"/>
      <w:sz w:val="21"/>
      <w:szCs w:val="24"/>
      <w:lang w:val="en-US" w:eastAsia="zh-CN" w:bidi="ar-SA"/>
    </w:rPr>
  </w:style>
  <w:style w:type="character" w:customStyle="1" w:styleId="75">
    <w:name w:val="标题 Char"/>
    <w:link w:val="48"/>
    <w:uiPriority w:val="0"/>
    <w:rPr>
      <w:rFonts w:ascii="Cambria" w:hAnsi="Cambria" w:eastAsia="宋体"/>
      <w:b/>
      <w:bCs/>
      <w:kern w:val="2"/>
      <w:sz w:val="32"/>
      <w:szCs w:val="32"/>
      <w:lang w:val="en-US" w:eastAsia="zh-CN" w:bidi="ar-SA"/>
    </w:rPr>
  </w:style>
  <w:style w:type="character" w:customStyle="1" w:styleId="76">
    <w:name w:val="Char Char21"/>
    <w:uiPriority w:val="0"/>
    <w:rPr>
      <w:rFonts w:ascii="Times New Roman" w:hAnsi="Times New Roman" w:eastAsia="宋体" w:cs="Times New Roman"/>
      <w:b/>
      <w:bCs/>
      <w:kern w:val="44"/>
      <w:sz w:val="44"/>
      <w:szCs w:val="44"/>
    </w:rPr>
  </w:style>
  <w:style w:type="character" w:customStyle="1" w:styleId="77">
    <w:name w:val="Texte Char Char"/>
    <w:uiPriority w:val="0"/>
    <w:rPr>
      <w:rFonts w:ascii="宋体" w:hAnsi="Courier New" w:eastAsia="宋体"/>
      <w:sz w:val="21"/>
      <w:szCs w:val="21"/>
      <w:lang w:val="en-US" w:eastAsia="zh-CN" w:bidi="ar-SA"/>
    </w:rPr>
  </w:style>
  <w:style w:type="character" w:customStyle="1" w:styleId="78">
    <w:name w:val="正文文本 Char"/>
    <w:link w:val="2"/>
    <w:uiPriority w:val="0"/>
    <w:rPr>
      <w:rFonts w:ascii="仿宋_GB2312" w:eastAsia="宋体"/>
      <w:b/>
      <w:kern w:val="2"/>
      <w:sz w:val="21"/>
      <w:szCs w:val="24"/>
      <w:lang w:val="en-US" w:eastAsia="zh-CN" w:bidi="ar-SA"/>
    </w:rPr>
  </w:style>
  <w:style w:type="character" w:customStyle="1" w:styleId="79">
    <w:name w:val="标题 5 Char"/>
    <w:link w:val="8"/>
    <w:uiPriority w:val="0"/>
    <w:rPr>
      <w:rFonts w:eastAsia="宋体"/>
      <w:b/>
      <w:bCs/>
      <w:sz w:val="28"/>
      <w:szCs w:val="28"/>
      <w:lang w:bidi="ar-SA"/>
    </w:rPr>
  </w:style>
  <w:style w:type="character" w:customStyle="1" w:styleId="80">
    <w:name w:val="正文1 Char Char"/>
    <w:link w:val="81"/>
    <w:uiPriority w:val="0"/>
    <w:rPr>
      <w:rFonts w:ascii="宋体" w:hAnsi="宋体" w:eastAsia="宋体" w:cs="宋体"/>
      <w:sz w:val="21"/>
      <w:lang w:val="en-US" w:eastAsia="zh-CN" w:bidi="ar-SA"/>
    </w:rPr>
  </w:style>
  <w:style w:type="paragraph" w:customStyle="1" w:styleId="81">
    <w:name w:val="正文1"/>
    <w:basedOn w:val="1"/>
    <w:link w:val="80"/>
    <w:uiPriority w:val="0"/>
    <w:pPr>
      <w:widowControl/>
      <w:spacing w:line="360" w:lineRule="auto"/>
      <w:ind w:left="360" w:firstLine="420"/>
      <w:jc w:val="left"/>
    </w:pPr>
    <w:rPr>
      <w:rFonts w:ascii="宋体" w:hAnsi="宋体" w:cs="宋体"/>
      <w:kern w:val="0"/>
      <w:szCs w:val="20"/>
    </w:rPr>
  </w:style>
  <w:style w:type="character" w:customStyle="1" w:styleId="82">
    <w:name w:val="heading 7 Char1"/>
    <w:aliases w:val="表名 Char Char1"/>
    <w:uiPriority w:val="0"/>
    <w:rPr>
      <w:rFonts w:ascii="Arial" w:hAnsi="Arial" w:eastAsia="黑体"/>
      <w:sz w:val="21"/>
      <w:szCs w:val="21"/>
      <w:lang w:val="en-US" w:eastAsia="zh-CN" w:bidi="ar-SA"/>
    </w:rPr>
  </w:style>
  <w:style w:type="character" w:customStyle="1" w:styleId="83">
    <w:name w:val="Ò³Ã¼ Char Char1"/>
    <w:uiPriority w:val="0"/>
    <w:rPr>
      <w:rFonts w:eastAsia="宋体"/>
      <w:kern w:val="2"/>
      <w:sz w:val="18"/>
      <w:szCs w:val="18"/>
      <w:lang w:val="en-US" w:eastAsia="zh-CN" w:bidi="ar-SA"/>
    </w:rPr>
  </w:style>
  <w:style w:type="character" w:customStyle="1" w:styleId="84">
    <w:name w:val="Char Char22"/>
    <w:uiPriority w:val="0"/>
    <w:rPr>
      <w:rFonts w:ascii="Arial" w:hAnsi="Arial" w:eastAsia="黑体"/>
      <w:b/>
      <w:bCs/>
      <w:kern w:val="44"/>
      <w:sz w:val="30"/>
      <w:szCs w:val="44"/>
      <w:lang w:val="en-US" w:eastAsia="zh-CN" w:bidi="ar-SA"/>
    </w:rPr>
  </w:style>
  <w:style w:type="character" w:customStyle="1" w:styleId="85">
    <w:name w:val="pt141"/>
    <w:uiPriority w:val="0"/>
    <w:rPr>
      <w:color w:val="330066"/>
      <w:spacing w:val="450"/>
      <w:sz w:val="22"/>
      <w:szCs w:val="22"/>
    </w:rPr>
  </w:style>
  <w:style w:type="character" w:customStyle="1" w:styleId="86">
    <w:name w:val="heading 3 Char1"/>
    <w:aliases w:val="H3 Char1,l3 Char1,CT Char1,h3 Char1,3rd level Char1,Heading 3 - old Char1,3 Char1,Head 3 Char1,level_3 Char1,PIM 3 Char1,Level 3 Head Char1,sect1.2.3 Char1,ISO2 Char1,L3 Char1,sect1.2.31 Char1,sect1.2.32 Char1,sect1.2.311 Char1,三级 Char"/>
    <w:uiPriority w:val="0"/>
    <w:rPr>
      <w:rFonts w:eastAsia="宋体"/>
      <w:b/>
      <w:bCs/>
      <w:kern w:val="2"/>
      <w:sz w:val="32"/>
      <w:szCs w:val="32"/>
      <w:lang w:val="en-US" w:eastAsia="zh-CN" w:bidi="ar-SA"/>
    </w:rPr>
  </w:style>
  <w:style w:type="character" w:customStyle="1" w:styleId="87">
    <w:name w:val="Char Char17"/>
    <w:uiPriority w:val="0"/>
    <w:rPr>
      <w:rFonts w:ascii="Cambria" w:hAnsi="Cambria"/>
      <w:b/>
      <w:bCs/>
      <w:kern w:val="2"/>
      <w:sz w:val="28"/>
      <w:szCs w:val="28"/>
    </w:rPr>
  </w:style>
  <w:style w:type="character" w:customStyle="1" w:styleId="88">
    <w:name w:val="明显强调1"/>
    <w:uiPriority w:val="0"/>
    <w:rPr>
      <w:b/>
      <w:bCs/>
      <w:i/>
      <w:iCs/>
      <w:color w:val="4F81BD"/>
    </w:rPr>
  </w:style>
  <w:style w:type="character" w:customStyle="1" w:styleId="89">
    <w:name w:val="ändrad Char"/>
    <w:aliases w:val="Indent Char,Ind Char,鋘drad Char,paragraph 2 Char,paragraph 21 Char,``` Char,contents Char Char Char1,contents Char Char Char Char,contents Char,特殊文字 Char Char Char Char1,特殊文字 Char Char Char Char Char,特殊文字 Char Char Char Cha Char Char Char1"/>
    <w:uiPriority w:val="0"/>
    <w:rPr>
      <w:rFonts w:eastAsia="宋体"/>
      <w:kern w:val="2"/>
      <w:sz w:val="21"/>
      <w:szCs w:val="24"/>
      <w:lang w:val="en-US" w:eastAsia="zh-CN" w:bidi="ar-SA"/>
    </w:rPr>
  </w:style>
  <w:style w:type="character" w:customStyle="1" w:styleId="90">
    <w:name w:val="签名 Char"/>
    <w:link w:val="36"/>
    <w:uiPriority w:val="0"/>
    <w:rPr>
      <w:rFonts w:ascii="仿宋_GB2312" w:eastAsia="仿宋_GB2312"/>
      <w:b/>
      <w:sz w:val="24"/>
      <w:szCs w:val="32"/>
    </w:rPr>
  </w:style>
  <w:style w:type="character" w:customStyle="1" w:styleId="91">
    <w:name w:val="style13"/>
    <w:basedOn w:val="54"/>
    <w:uiPriority w:val="0"/>
  </w:style>
  <w:style w:type="character" w:customStyle="1" w:styleId="92">
    <w:name w:val="正文文本 3 Char"/>
    <w:basedOn w:val="54"/>
    <w:link w:val="21"/>
    <w:uiPriority w:val="0"/>
  </w:style>
  <w:style w:type="character" w:customStyle="1" w:styleId="93">
    <w:name w:val="标题 8 Char"/>
    <w:link w:val="12"/>
    <w:uiPriority w:val="0"/>
    <w:rPr>
      <w:rFonts w:ascii="Arial" w:hAnsi="Arial" w:eastAsia="黑体"/>
      <w:kern w:val="2"/>
      <w:sz w:val="24"/>
      <w:lang w:val="en-US" w:eastAsia="zh-CN" w:bidi="ar-SA"/>
    </w:rPr>
  </w:style>
  <w:style w:type="character" w:customStyle="1" w:styleId="94">
    <w:name w:val="heading 5 Char2"/>
    <w:aliases w:val="H5 Char2,dash Char2,ds Char2,dd Char2,Roman list Char2,h5 Char2,PIM 5 Char2,5 Char2,第四层条 Char2,Titre5 Char Char2"/>
    <w:uiPriority w:val="0"/>
    <w:rPr>
      <w:b/>
      <w:bCs/>
      <w:kern w:val="2"/>
      <w:sz w:val="28"/>
      <w:szCs w:val="28"/>
    </w:rPr>
  </w:style>
  <w:style w:type="character" w:customStyle="1" w:styleId="95">
    <w:name w:val="Table Text Char Char"/>
    <w:link w:val="96"/>
    <w:uiPriority w:val="0"/>
    <w:rPr>
      <w:sz w:val="21"/>
      <w:lang w:val="en-US" w:eastAsia="en-US" w:bidi="ar-SA"/>
    </w:rPr>
  </w:style>
  <w:style w:type="paragraph" w:customStyle="1" w:styleId="96">
    <w:name w:val="Table Text"/>
    <w:basedOn w:val="1"/>
    <w:link w:val="95"/>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97">
    <w:name w:val="Char Char20"/>
    <w:uiPriority w:val="0"/>
    <w:rPr>
      <w:b/>
      <w:bCs/>
      <w:kern w:val="44"/>
      <w:sz w:val="44"/>
      <w:szCs w:val="44"/>
    </w:rPr>
  </w:style>
  <w:style w:type="character" w:customStyle="1" w:styleId="98">
    <w:name w:val="heading 4 Char"/>
    <w:aliases w:val="H4 Char,Ref Heading 1 Char,rh1 Char,Heading sql Char,sect 1.2.3.4 Char,h4 Char,sect 1.2.3.41 Char,Ref Heading 11 Char,rh11 Char,sect 1.2.3.42 Char,Ref Heading 12 Char,rh12 Char,sect 1.2.3.411 Char,Ref Heading 111 Char,rh111 Char,rh13 Char"/>
    <w:uiPriority w:val="0"/>
    <w:rPr>
      <w:rFonts w:ascii="Arial" w:hAnsi="Arial" w:eastAsia="黑体" w:cs="Times New Roman"/>
      <w:sz w:val="21"/>
      <w:szCs w:val="21"/>
    </w:rPr>
  </w:style>
  <w:style w:type="character" w:customStyle="1" w:styleId="99">
    <w:name w:val="heading 4 Char1"/>
    <w:aliases w:val="H4 Char1,Ref Heading 1 Char1,rh1 Char1,Heading sql Char1,sect 1.2.3.4 Char1,h4 Char1,sect 1.2.3.41 Char1,Ref Heading 11 Char1,rh11 Char1,sect 1.2.3.42 Char1,Ref Heading 12 Char1,rh12 Char1,sect 1.2.3.411 Char1,Ref Heading 111 Char1"/>
    <w:uiPriority w:val="0"/>
    <w:rPr>
      <w:rFonts w:ascii="Cambria" w:hAnsi="Cambria" w:eastAsia="宋体"/>
      <w:b/>
      <w:bCs/>
      <w:kern w:val="2"/>
      <w:sz w:val="28"/>
      <w:szCs w:val="28"/>
      <w:lang w:val="en-US" w:eastAsia="zh-CN" w:bidi="ar-SA"/>
    </w:rPr>
  </w:style>
  <w:style w:type="character" w:customStyle="1" w:styleId="100">
    <w:name w:val=" Char Char Char"/>
    <w:uiPriority w:val="0"/>
    <w:rPr>
      <w:rFonts w:ascii="宋体" w:hAnsi="Courier New" w:eastAsia="宋体"/>
      <w:b/>
      <w:sz w:val="21"/>
      <w:szCs w:val="21"/>
      <w:lang w:val="en-US" w:eastAsia="zh-CN" w:bidi="ar-SA"/>
    </w:rPr>
  </w:style>
  <w:style w:type="character" w:customStyle="1" w:styleId="101">
    <w:name w:val="明显参考1"/>
    <w:uiPriority w:val="0"/>
    <w:rPr>
      <w:b/>
      <w:bCs/>
      <w:smallCaps/>
      <w:color w:val="C0504D"/>
      <w:spacing w:val="5"/>
      <w:u w:val="single"/>
    </w:rPr>
  </w:style>
  <w:style w:type="character" w:customStyle="1" w:styleId="102">
    <w:name w:val="不明显强调1"/>
    <w:uiPriority w:val="0"/>
    <w:rPr>
      <w:i/>
      <w:iCs/>
      <w:color w:val="808080"/>
    </w:rPr>
  </w:style>
  <w:style w:type="character" w:customStyle="1" w:styleId="103">
    <w:name w:val="文档结构图 Char"/>
    <w:link w:val="18"/>
    <w:uiPriority w:val="0"/>
    <w:rPr>
      <w:rFonts w:eastAsia="宋体"/>
      <w:kern w:val="2"/>
      <w:sz w:val="21"/>
      <w:szCs w:val="24"/>
      <w:lang w:val="en-US" w:eastAsia="zh-CN" w:bidi="ar-SA"/>
    </w:rPr>
  </w:style>
  <w:style w:type="character" w:customStyle="1" w:styleId="104">
    <w:name w:val="heading 1 Char1"/>
    <w:aliases w:val="标书1 Char1,h1 Char1,H1 Char1,L1 Char1,boc Char1,Section Head Char1,1st level Char1,l1 Char1,1 Char1,H11 Char1,H12 Char1,H13 Char1,H14 Char1,H15 Char1,H16 Char1,H17 Char1,Level 1 Topic Heading Char1,L1 Heading 1 Char1,h11 Char1,h12 Char"/>
    <w:uiPriority w:val="0"/>
    <w:rPr>
      <w:rFonts w:eastAsia="宋体"/>
      <w:b/>
      <w:bCs/>
      <w:kern w:val="44"/>
      <w:sz w:val="44"/>
      <w:szCs w:val="44"/>
      <w:lang w:val="en-US" w:eastAsia="zh-CN" w:bidi="ar-SA"/>
    </w:rPr>
  </w:style>
  <w:style w:type="character" w:customStyle="1" w:styleId="105">
    <w:name w:val="日期 Char"/>
    <w:link w:val="31"/>
    <w:uiPriority w:val="0"/>
    <w:rPr>
      <w:rFonts w:eastAsia="宋体"/>
      <w:kern w:val="2"/>
      <w:sz w:val="21"/>
      <w:szCs w:val="24"/>
      <w:lang w:val="en-US" w:eastAsia="zh-CN" w:bidi="ar-SA"/>
    </w:rPr>
  </w:style>
  <w:style w:type="character" w:customStyle="1" w:styleId="106">
    <w:name w:val="heading 1 Char2"/>
    <w:aliases w:val="标书1 Char2,h1 Char2,H1 Char2,L1 Char2,boc Char2,Section Head Char2,1st level Char2,l1 Char2,1 Char2,H11 Char2,H12 Char2,H13 Char2,H14 Char2,H15 Char2,H16 Char2,H17 Char2,Level 1 Topic Heading Char2,L1 Heading 1 Char2,h11 Char2,h12 Char1"/>
    <w:uiPriority w:val="0"/>
    <w:rPr>
      <w:b/>
      <w:bCs/>
      <w:kern w:val="44"/>
      <w:sz w:val="44"/>
      <w:szCs w:val="44"/>
    </w:rPr>
  </w:style>
  <w:style w:type="character" w:customStyle="1" w:styleId="107">
    <w:name w:val="Char Char16"/>
    <w:uiPriority w:val="0"/>
    <w:rPr>
      <w:b/>
      <w:bCs/>
      <w:kern w:val="2"/>
      <w:sz w:val="28"/>
      <w:szCs w:val="28"/>
    </w:rPr>
  </w:style>
  <w:style w:type="character" w:customStyle="1" w:styleId="108">
    <w:name w:val="style111"/>
    <w:uiPriority w:val="0"/>
    <w:rPr>
      <w:sz w:val="27"/>
      <w:szCs w:val="27"/>
    </w:rPr>
  </w:style>
  <w:style w:type="character" w:customStyle="1" w:styleId="109">
    <w:name w:val="页眉 Char"/>
    <w:link w:val="35"/>
    <w:uiPriority w:val="0"/>
    <w:rPr>
      <w:rFonts w:eastAsia="宋体"/>
      <w:kern w:val="2"/>
      <w:sz w:val="18"/>
      <w:szCs w:val="18"/>
      <w:lang w:val="en-US" w:eastAsia="zh-CN" w:bidi="ar-SA"/>
    </w:rPr>
  </w:style>
  <w:style w:type="character" w:customStyle="1" w:styleId="110">
    <w:name w:val="textcolor1"/>
    <w:uiPriority w:val="0"/>
    <w:rPr>
      <w:rFonts w:ascii="仿宋_GB2312" w:eastAsia="仿宋_GB2312"/>
      <w:b/>
      <w:color w:val="FF6600"/>
      <w:sz w:val="32"/>
      <w:szCs w:val="32"/>
    </w:rPr>
  </w:style>
  <w:style w:type="character" w:customStyle="1" w:styleId="111">
    <w:name w:val="表格 Char Char"/>
    <w:link w:val="112"/>
    <w:uiPriority w:val="0"/>
    <w:rPr>
      <w:rFonts w:ascii="宋体" w:hAnsi="宋体" w:eastAsia="宋体"/>
      <w:lang w:val="en-US" w:eastAsia="zh-CN" w:bidi="ar-SA"/>
    </w:rPr>
  </w:style>
  <w:style w:type="paragraph" w:customStyle="1" w:styleId="112">
    <w:name w:val="表格"/>
    <w:basedOn w:val="1"/>
    <w:link w:val="111"/>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13">
    <w:name w:val="heading 2 Char1"/>
    <w:aliases w:val="Heading 2 Hidden Char1,Heading 2 CCBS Char1,H2 Char1,2 Char1,h2 Char1,Level 2 Head Char1,第*章 Char1,sect 1.2 Char1,节 Char1,标题 1.1 Char1,Underrubrik1 Char1,prop2 Char1,l2 Char1,Chapter Title Char1,DO NOT USE_h2 Char1,chn Char1,Titre2 Char1"/>
    <w:uiPriority w:val="0"/>
    <w:rPr>
      <w:rFonts w:ascii="Cambria" w:hAnsi="Cambria" w:eastAsia="宋体"/>
      <w:b/>
      <w:bCs/>
      <w:kern w:val="2"/>
      <w:sz w:val="32"/>
      <w:szCs w:val="32"/>
      <w:lang w:val="en-US" w:eastAsia="zh-CN" w:bidi="ar-SA"/>
    </w:rPr>
  </w:style>
  <w:style w:type="character" w:customStyle="1" w:styleId="114">
    <w:name w:val="Style1"/>
    <w:uiPriority w:val="0"/>
    <w:rPr>
      <w:rFonts w:ascii="Calibri" w:hAnsi="宋体" w:eastAsia="宋体" w:cs="Times New Roman"/>
      <w:sz w:val="22"/>
      <w:szCs w:val="22"/>
      <w:lang w:eastAsia="zh-CN"/>
    </w:rPr>
  </w:style>
  <w:style w:type="character" w:customStyle="1" w:styleId="115">
    <w:name w:val="页脚 Char"/>
    <w:link w:val="34"/>
    <w:uiPriority w:val="0"/>
    <w:rPr>
      <w:rFonts w:eastAsia="宋体"/>
      <w:kern w:val="2"/>
      <w:sz w:val="18"/>
      <w:szCs w:val="18"/>
      <w:lang w:val="en-US" w:eastAsia="zh-CN" w:bidi="ar-SA"/>
    </w:rPr>
  </w:style>
  <w:style w:type="character" w:styleId="116">
    <w:name w:val=""/>
    <w:qFormat/>
    <w:uiPriority w:val="0"/>
    <w:rPr>
      <w:smallCaps/>
      <w:color w:val="C0504D"/>
      <w:u w:val="single"/>
    </w:rPr>
  </w:style>
  <w:style w:type="character" w:customStyle="1" w:styleId="117">
    <w:name w:val="不明显参考1"/>
    <w:uiPriority w:val="0"/>
    <w:rPr>
      <w:smallCaps/>
      <w:color w:val="C0504D"/>
      <w:u w:val="single"/>
    </w:rPr>
  </w:style>
  <w:style w:type="character" w:customStyle="1" w:styleId="118">
    <w:name w:val="正文首行缩进 Char"/>
    <w:link w:val="50"/>
    <w:uiPriority w:val="0"/>
    <w:rPr>
      <w:rFonts w:eastAsia="宋体"/>
      <w:lang w:val="en-US" w:eastAsia="zh-CN" w:bidi="ar-SA"/>
    </w:rPr>
  </w:style>
  <w:style w:type="character" w:customStyle="1" w:styleId="119">
    <w:name w:val="Style3"/>
    <w:uiPriority w:val="0"/>
    <w:rPr>
      <w:rFonts w:ascii="Calibri" w:hAnsi="宋体" w:eastAsia="宋体" w:cs="Times New Roman"/>
      <w:szCs w:val="22"/>
      <w:lang w:eastAsia="zh-CN"/>
    </w:rPr>
  </w:style>
  <w:style w:type="character" w:customStyle="1" w:styleId="120">
    <w:name w:val="样式 标题 3 + 黑体 小四 Char Char"/>
    <w:link w:val="121"/>
    <w:uiPriority w:val="0"/>
    <w:rPr>
      <w:rFonts w:ascii="黑体" w:hAnsi="Arial" w:eastAsia="黑体"/>
      <w:bCs/>
      <w:sz w:val="24"/>
      <w:szCs w:val="24"/>
      <w:lang w:bidi="ar-SA"/>
    </w:rPr>
  </w:style>
  <w:style w:type="paragraph" w:customStyle="1" w:styleId="121">
    <w:name w:val="样式 标题 3 + 黑体 小四"/>
    <w:basedOn w:val="6"/>
    <w:link w:val="120"/>
    <w:uiPriority w:val="0"/>
    <w:pPr>
      <w:numPr>
        <w:ilvl w:val="0"/>
        <w:numId w:val="0"/>
      </w:numPr>
      <w:spacing w:before="260" w:beforeLines="0" w:after="260" w:afterLines="0" w:line="413" w:lineRule="auto"/>
    </w:pPr>
    <w:rPr>
      <w:rFonts w:ascii="黑体" w:hAnsi="Arial"/>
      <w:b/>
      <w:bCs/>
      <w:kern w:val="0"/>
      <w:sz w:val="24"/>
      <w:szCs w:val="24"/>
    </w:rPr>
  </w:style>
  <w:style w:type="character" w:customStyle="1" w:styleId="122">
    <w:name w:val="heading 2 Char"/>
    <w:aliases w:val="Heading 2 Hidden Char,Heading 2 CCBS Char,H2 Char,2 Char,h2 Char,Level 2 Head Char,第*章 Char,sect 1.2 Char,节 Char,标题 1.1 Char,Underrubrik1 Char,prop2 Char,l2 Char,Chapter Title Char,DO NOT USE_h2 Char,chn Char,2nd level Char,Titre2 Char"/>
    <w:uiPriority w:val="0"/>
    <w:rPr>
      <w:rFonts w:ascii="Arial" w:hAnsi="Arial" w:eastAsia="黑体" w:cs="Times New Roman"/>
      <w:sz w:val="30"/>
      <w:szCs w:val="24"/>
    </w:rPr>
  </w:style>
  <w:style w:type="character" w:customStyle="1" w:styleId="123">
    <w:name w:val=" Char Char12"/>
    <w:uiPriority w:val="0"/>
    <w:rPr>
      <w:rFonts w:eastAsia="宋体"/>
      <w:kern w:val="2"/>
      <w:sz w:val="21"/>
      <w:szCs w:val="24"/>
      <w:lang w:val="en-US" w:eastAsia="zh-CN" w:bidi="ar-SA"/>
    </w:rPr>
  </w:style>
  <w:style w:type="character" w:customStyle="1" w:styleId="124">
    <w:name w:val="Footer-Even Char"/>
    <w:aliases w:val="FtrF Char Char"/>
    <w:uiPriority w:val="0"/>
    <w:rPr>
      <w:sz w:val="18"/>
      <w:szCs w:val="18"/>
    </w:rPr>
  </w:style>
  <w:style w:type="character" w:customStyle="1" w:styleId="125">
    <w:name w:val="样式 宋体"/>
    <w:uiPriority w:val="0"/>
    <w:rPr>
      <w:rFonts w:ascii="宋体" w:hAnsi="宋体" w:eastAsia="宋体"/>
      <w:sz w:val="24"/>
      <w:szCs w:val="24"/>
    </w:rPr>
  </w:style>
  <w:style w:type="character" w:customStyle="1" w:styleId="126">
    <w:name w:val="正文文本缩进 3 Char"/>
    <w:link w:val="43"/>
    <w:uiPriority w:val="0"/>
    <w:rPr>
      <w:rFonts w:eastAsia="宋体"/>
      <w:kern w:val="2"/>
      <w:sz w:val="24"/>
      <w:szCs w:val="24"/>
      <w:lang w:val="en-US" w:eastAsia="zh-CN" w:bidi="ar-SA"/>
    </w:rPr>
  </w:style>
  <w:style w:type="character" w:customStyle="1" w:styleId="127">
    <w:name w:val="副标题 Char"/>
    <w:link w:val="39"/>
    <w:uiPriority w:val="0"/>
    <w:rPr>
      <w:rFonts w:ascii="Cambria" w:hAnsi="Cambria" w:eastAsia="宋体"/>
      <w:b/>
      <w:bCs/>
      <w:kern w:val="28"/>
      <w:sz w:val="32"/>
      <w:szCs w:val="32"/>
      <w:lang w:val="en-US" w:eastAsia="zh-CN" w:bidi="ar-SA"/>
    </w:rPr>
  </w:style>
  <w:style w:type="character" w:customStyle="1" w:styleId="128">
    <w:name w:val="样式2 Char Char"/>
    <w:link w:val="129"/>
    <w:uiPriority w:val="0"/>
    <w:rPr>
      <w:rFonts w:ascii="宋体" w:hAnsi="宋体" w:eastAsia="宋体"/>
      <w:bCs/>
      <w:kern w:val="2"/>
      <w:sz w:val="28"/>
      <w:szCs w:val="28"/>
      <w:lang w:val="en-US" w:eastAsia="zh-CN" w:bidi="ar-SA"/>
    </w:rPr>
  </w:style>
  <w:style w:type="paragraph" w:customStyle="1" w:styleId="129">
    <w:name w:val="样式2"/>
    <w:basedOn w:val="5"/>
    <w:link w:val="128"/>
    <w:uiPriority w:val="0"/>
    <w:pPr>
      <w:keepLines/>
      <w:numPr>
        <w:ilvl w:val="0"/>
        <w:numId w:val="0"/>
      </w:numPr>
      <w:snapToGrid w:val="0"/>
      <w:spacing w:before="260" w:beforeLines="0" w:after="156" w:afterLines="50" w:line="480" w:lineRule="exact"/>
      <w:ind w:firstLine="556"/>
    </w:pPr>
    <w:rPr>
      <w:rFonts w:ascii="宋体" w:hAnsi="宋体"/>
      <w:b w:val="0"/>
      <w:bCs/>
      <w:szCs w:val="28"/>
    </w:rPr>
  </w:style>
  <w:style w:type="character" w:customStyle="1" w:styleId="130">
    <w:name w:val="Char Char27"/>
    <w:uiPriority w:val="0"/>
    <w:rPr>
      <w:rFonts w:eastAsia="宋体"/>
      <w:kern w:val="2"/>
      <w:sz w:val="28"/>
      <w:lang w:val="en-US" w:eastAsia="zh-CN" w:bidi="ar-SA"/>
    </w:rPr>
  </w:style>
  <w:style w:type="character" w:customStyle="1" w:styleId="131">
    <w:name w:val="Char Char12"/>
    <w:uiPriority w:val="0"/>
    <w:rPr>
      <w:rFonts w:eastAsia="宋体"/>
      <w:kern w:val="2"/>
      <w:sz w:val="21"/>
      <w:szCs w:val="24"/>
      <w:lang w:val="en-US" w:eastAsia="zh-CN" w:bidi="ar-SA"/>
    </w:rPr>
  </w:style>
  <w:style w:type="character" w:customStyle="1" w:styleId="132">
    <w:name w:val=" Char Char1"/>
    <w:uiPriority w:val="0"/>
    <w:rPr>
      <w:rFonts w:eastAsia="宋体"/>
      <w:sz w:val="21"/>
      <w:lang w:val="en-US" w:eastAsia="zh-CN" w:bidi="ar-SA"/>
    </w:rPr>
  </w:style>
  <w:style w:type="character" w:customStyle="1" w:styleId="133">
    <w:name w:val="标题 1 Char"/>
    <w:link w:val="4"/>
    <w:uiPriority w:val="0"/>
    <w:rPr>
      <w:rFonts w:eastAsia="黑体"/>
      <w:b/>
      <w:kern w:val="2"/>
      <w:sz w:val="32"/>
      <w:lang w:val="en-US" w:eastAsia="zh-CN" w:bidi="ar-SA"/>
    </w:rPr>
  </w:style>
  <w:style w:type="character" w:customStyle="1" w:styleId="134">
    <w:name w:val="Char Char4"/>
    <w:uiPriority w:val="0"/>
    <w:rPr>
      <w:rFonts w:ascii="Cambria" w:hAnsi="Cambria" w:eastAsia="宋体"/>
      <w:b/>
      <w:bCs/>
      <w:sz w:val="32"/>
      <w:szCs w:val="32"/>
      <w:lang w:bidi="ar-SA"/>
    </w:rPr>
  </w:style>
  <w:style w:type="character" w:customStyle="1" w:styleId="135">
    <w:name w:val="标题 7 Char"/>
    <w:link w:val="11"/>
    <w:uiPriority w:val="0"/>
    <w:rPr>
      <w:rFonts w:eastAsia="宋体"/>
      <w:b/>
      <w:kern w:val="2"/>
      <w:sz w:val="24"/>
      <w:lang w:val="en-US" w:eastAsia="zh-CN" w:bidi="ar-SA"/>
    </w:rPr>
  </w:style>
  <w:style w:type="character" w:customStyle="1" w:styleId="136">
    <w:name w:val="Footer-Even Char1"/>
    <w:aliases w:val="FtrF Char Char1"/>
    <w:uiPriority w:val="0"/>
    <w:rPr>
      <w:rFonts w:eastAsia="宋体"/>
      <w:kern w:val="2"/>
      <w:sz w:val="18"/>
      <w:szCs w:val="18"/>
      <w:lang w:val="en-US" w:eastAsia="zh-CN" w:bidi="ar-SA"/>
    </w:rPr>
  </w:style>
  <w:style w:type="character" w:customStyle="1" w:styleId="137">
    <w:name w:val="Char Char15"/>
    <w:uiPriority w:val="0"/>
    <w:rPr>
      <w:rFonts w:ascii="Arial" w:hAnsi="Arial" w:eastAsia="黑体"/>
      <w:sz w:val="24"/>
      <w:szCs w:val="24"/>
    </w:rPr>
  </w:style>
  <w:style w:type="character" w:customStyle="1" w:styleId="138">
    <w:name w:val="Char Char111"/>
    <w:uiPriority w:val="0"/>
    <w:rPr>
      <w:rFonts w:ascii="Times New Roman" w:hAnsi="Times New Roman" w:eastAsia="宋体" w:cs="Times New Roman"/>
      <w:sz w:val="18"/>
      <w:szCs w:val="18"/>
    </w:rPr>
  </w:style>
  <w:style w:type="character" w:customStyle="1" w:styleId="139">
    <w:name w:val="标题 2 Char"/>
    <w:link w:val="5"/>
    <w:uiPriority w:val="0"/>
    <w:rPr>
      <w:rFonts w:ascii="仿宋_GB2312" w:eastAsia="宋体"/>
      <w:b/>
      <w:kern w:val="2"/>
      <w:sz w:val="28"/>
      <w:szCs w:val="32"/>
      <w:lang w:val="en-US" w:eastAsia="zh-CN" w:bidi="ar-SA"/>
    </w:rPr>
  </w:style>
  <w:style w:type="character" w:customStyle="1" w:styleId="140">
    <w:name w:val="Char Char19"/>
    <w:uiPriority w:val="0"/>
    <w:rPr>
      <w:rFonts w:ascii="Cambria" w:hAnsi="Cambria"/>
      <w:b/>
      <w:bCs/>
      <w:kern w:val="2"/>
      <w:sz w:val="32"/>
      <w:szCs w:val="32"/>
    </w:rPr>
  </w:style>
  <w:style w:type="character" w:customStyle="1" w:styleId="141">
    <w:name w:val="标题 6 Char"/>
    <w:link w:val="9"/>
    <w:uiPriority w:val="0"/>
    <w:rPr>
      <w:rFonts w:ascii="Arial" w:hAnsi="Arial" w:eastAsia="黑体"/>
      <w:b/>
      <w:kern w:val="2"/>
      <w:sz w:val="24"/>
      <w:lang w:val="en-US" w:eastAsia="zh-CN" w:bidi="ar-SA"/>
    </w:rPr>
  </w:style>
  <w:style w:type="character" w:customStyle="1" w:styleId="142">
    <w:name w:val="宏文本 Char"/>
    <w:link w:val="3"/>
    <w:uiPriority w:val="0"/>
    <w:rPr>
      <w:rFonts w:ascii="Courier New" w:hAnsi="Courier New" w:eastAsia="Times New Roman"/>
      <w:kern w:val="2"/>
      <w:sz w:val="24"/>
      <w:szCs w:val="24"/>
      <w:lang w:val="en-US" w:eastAsia="zh-CN" w:bidi="ar-SA"/>
    </w:rPr>
  </w:style>
  <w:style w:type="character" w:customStyle="1" w:styleId="143">
    <w:name w:val="批注文字 Char"/>
    <w:link w:val="19"/>
    <w:uiPriority w:val="0"/>
    <w:rPr>
      <w:rFonts w:eastAsia="宋体"/>
      <w:kern w:val="2"/>
      <w:sz w:val="21"/>
      <w:szCs w:val="24"/>
      <w:lang w:val="en-US" w:eastAsia="zh-CN" w:bidi="ar-SA"/>
    </w:rPr>
  </w:style>
  <w:style w:type="character" w:customStyle="1" w:styleId="144">
    <w:name w:val="heading 4 Char2"/>
    <w:aliases w:val="H4 Char2,Ref Heading 1 Char2,rh1 Char2,Heading sql Char2,sect 1.2.3.4 Char2,h4 Char2,sect 1.2.3.41 Char2,Ref Heading 11 Char2,rh11 Char2,sect 1.2.3.42 Char2,Ref Heading 12 Char2,rh12 Char2,sect 1.2.3.411 Char2,Ref Heading 111 Char2"/>
    <w:uiPriority w:val="0"/>
    <w:rPr>
      <w:rFonts w:ascii="Cambria" w:hAnsi="Cambria"/>
      <w:b/>
      <w:bCs/>
      <w:kern w:val="2"/>
      <w:sz w:val="28"/>
      <w:szCs w:val="28"/>
    </w:rPr>
  </w:style>
  <w:style w:type="character" w:customStyle="1" w:styleId="145">
    <w:name w:val="heading 3 Char"/>
    <w:aliases w:val="H3 Char,l3 Char,CT Char,h3 Char,3rd level Char,Heading 3 - old Char,3 Char,Head 3 Char,level_3 Char,PIM 3 Char,Level 3 Head Char,sect1.2.3 Char,ISO2 Char,L3 Char,sect1.2.31 Char,sect1.2.32 Char,sect1.2.311 Char,sect1.2.33 Char,BOD 0 Char"/>
    <w:uiPriority w:val="0"/>
    <w:rPr>
      <w:rFonts w:ascii="Arial" w:hAnsi="Arial" w:eastAsia="黑体"/>
      <w:sz w:val="28"/>
      <w:szCs w:val="24"/>
    </w:rPr>
  </w:style>
  <w:style w:type="character" w:customStyle="1" w:styleId="146">
    <w:name w:val="smalltxt1"/>
    <w:uiPriority w:val="0"/>
    <w:rPr>
      <w:rFonts w:hint="default" w:ascii="ˎ̥" w:hAnsi="ˎ̥"/>
      <w:sz w:val="24"/>
      <w:szCs w:val="24"/>
    </w:rPr>
  </w:style>
  <w:style w:type="character" w:customStyle="1" w:styleId="147">
    <w:name w:val="Char Char Char Char Char Char Char Char Char"/>
    <w:uiPriority w:val="0"/>
    <w:rPr>
      <w:rFonts w:ascii="宋体" w:hAnsi="Courier New" w:eastAsia="宋体"/>
      <w:sz w:val="21"/>
      <w:szCs w:val="21"/>
      <w:lang w:val="en-US" w:eastAsia="zh-CN" w:bidi="ar-SA"/>
    </w:rPr>
  </w:style>
  <w:style w:type="character" w:customStyle="1" w:styleId="148">
    <w:name w:val=" Char Char24"/>
    <w:uiPriority w:val="0"/>
    <w:rPr>
      <w:rFonts w:eastAsia="宋体"/>
      <w:b/>
      <w:kern w:val="2"/>
      <w:sz w:val="28"/>
      <w:lang w:val="en-US" w:eastAsia="zh-CN" w:bidi="ar-SA"/>
    </w:rPr>
  </w:style>
  <w:style w:type="character" w:customStyle="1" w:styleId="149">
    <w:name w:val="无间隔 Char"/>
    <w:link w:val="150"/>
    <w:uiPriority w:val="0"/>
    <w:rPr>
      <w:rFonts w:eastAsia="Times New Roman"/>
      <w:sz w:val="22"/>
      <w:szCs w:val="22"/>
      <w:lang w:val="en-US" w:eastAsia="zh-CN" w:bidi="ar-SA"/>
    </w:rPr>
  </w:style>
  <w:style w:type="paragraph" w:styleId="150">
    <w:name w:val="No Spacing"/>
    <w:link w:val="149"/>
    <w:qFormat/>
    <w:uiPriority w:val="0"/>
    <w:rPr>
      <w:rFonts w:eastAsia="Times New Roman"/>
      <w:sz w:val="22"/>
      <w:szCs w:val="22"/>
      <w:lang w:val="en-US" w:eastAsia="zh-CN" w:bidi="ar-SA"/>
    </w:rPr>
  </w:style>
  <w:style w:type="character" w:customStyle="1" w:styleId="151">
    <w:name w:val="标题 3 Char"/>
    <w:link w:val="6"/>
    <w:uiPriority w:val="0"/>
    <w:rPr>
      <w:rFonts w:eastAsia="黑体"/>
      <w:b/>
      <w:kern w:val="2"/>
      <w:sz w:val="28"/>
      <w:lang w:val="en-US" w:eastAsia="zh-CN" w:bidi="ar-SA"/>
    </w:rPr>
  </w:style>
  <w:style w:type="character" w:customStyle="1" w:styleId="152">
    <w:name w:val="引用 Char"/>
    <w:link w:val="153"/>
    <w:uiPriority w:val="0"/>
    <w:rPr>
      <w:rFonts w:ascii="Calibri" w:hAnsi="Calibri" w:eastAsia="宋体"/>
      <w:i/>
      <w:iCs/>
      <w:color w:val="000000"/>
      <w:lang w:val="en-US" w:eastAsia="zh-CN" w:bidi="ar-SA"/>
    </w:rPr>
  </w:style>
  <w:style w:type="paragraph" w:styleId="153">
    <w:name w:val="Quote"/>
    <w:basedOn w:val="1"/>
    <w:next w:val="1"/>
    <w:link w:val="152"/>
    <w:qFormat/>
    <w:uiPriority w:val="0"/>
    <w:rPr>
      <w:rFonts w:ascii="Calibri" w:hAnsi="Calibri"/>
      <w:i/>
      <w:iCs/>
      <w:color w:val="000000"/>
      <w:kern w:val="0"/>
      <w:sz w:val="20"/>
      <w:szCs w:val="20"/>
    </w:rPr>
  </w:style>
  <w:style w:type="character" w:customStyle="1" w:styleId="154">
    <w:name w:val="heading 5 Char"/>
    <w:aliases w:val="H5 Char,dash Char,ds Char,dd Char,Roman list Char,h5 Char,PIM 5 Char,5 Char,第四层条 Char,Titre5 Char Char"/>
    <w:uiPriority w:val="0"/>
    <w:rPr>
      <w:rFonts w:ascii="Arial" w:hAnsi="Arial" w:eastAsia="黑体"/>
      <w:sz w:val="21"/>
      <w:szCs w:val="21"/>
    </w:rPr>
  </w:style>
  <w:style w:type="character" w:customStyle="1" w:styleId="155">
    <w:name w:val=" Char Char27"/>
    <w:uiPriority w:val="0"/>
    <w:rPr>
      <w:rFonts w:eastAsia="宋体"/>
      <w:kern w:val="2"/>
      <w:sz w:val="28"/>
      <w:lang w:val="en-US" w:eastAsia="zh-CN" w:bidi="ar-SA"/>
    </w:rPr>
  </w:style>
  <w:style w:type="character" w:customStyle="1" w:styleId="156">
    <w:name w:val="纯文本 Char"/>
    <w:link w:val="28"/>
    <w:uiPriority w:val="0"/>
    <w:rPr>
      <w:rFonts w:ascii="宋体" w:hAnsi="Courier New" w:eastAsia="宋体"/>
      <w:b/>
      <w:sz w:val="21"/>
      <w:szCs w:val="21"/>
      <w:lang w:val="en-US" w:eastAsia="zh-CN" w:bidi="ar-SA"/>
    </w:rPr>
  </w:style>
  <w:style w:type="character" w:customStyle="1" w:styleId="157">
    <w:name w:val=" Char Char4"/>
    <w:uiPriority w:val="0"/>
    <w:rPr>
      <w:rFonts w:ascii="Cambria" w:hAnsi="Cambria" w:eastAsia="宋体"/>
      <w:b/>
      <w:bCs/>
      <w:sz w:val="32"/>
      <w:szCs w:val="32"/>
      <w:lang w:bidi="ar-SA"/>
    </w:rPr>
  </w:style>
  <w:style w:type="character" w:customStyle="1" w:styleId="158">
    <w:name w:val="Style4"/>
    <w:uiPriority w:val="0"/>
    <w:rPr>
      <w:rFonts w:ascii="Calibri" w:hAnsi="宋体" w:eastAsia="宋体" w:cs="Times New Roman"/>
      <w:szCs w:val="22"/>
      <w:lang w:eastAsia="zh-CN"/>
    </w:rPr>
  </w:style>
  <w:style w:type="character" w:customStyle="1" w:styleId="159">
    <w:name w:val="批注框文本 Char"/>
    <w:link w:val="33"/>
    <w:uiPriority w:val="0"/>
    <w:rPr>
      <w:rFonts w:eastAsia="宋体"/>
      <w:kern w:val="2"/>
      <w:sz w:val="18"/>
      <w:szCs w:val="18"/>
      <w:lang w:val="en-US" w:eastAsia="zh-CN" w:bidi="ar-SA"/>
    </w:rPr>
  </w:style>
  <w:style w:type="character" w:customStyle="1" w:styleId="160">
    <w:name w:val="ListLabel 1"/>
    <w:qFormat/>
    <w:uiPriority w:val="7"/>
    <w:rPr>
      <w:rFonts w:ascii="宋体" w:hAnsi="宋体" w:cs="宋体"/>
      <w:color w:val="FF0000"/>
      <w:sz w:val="24"/>
    </w:rPr>
  </w:style>
  <w:style w:type="character" w:customStyle="1" w:styleId="161">
    <w:name w:val="Char Char211"/>
    <w:uiPriority w:val="0"/>
    <w:rPr>
      <w:rFonts w:ascii="Times New Roman" w:hAnsi="Times New Roman" w:eastAsia="宋体" w:cs="Times New Roman"/>
      <w:b/>
      <w:bCs/>
      <w:kern w:val="44"/>
      <w:sz w:val="44"/>
      <w:szCs w:val="44"/>
    </w:rPr>
  </w:style>
  <w:style w:type="character" w:customStyle="1" w:styleId="162">
    <w:name w:val="font31"/>
    <w:basedOn w:val="54"/>
    <w:uiPriority w:val="0"/>
    <w:rPr>
      <w:rFonts w:hint="eastAsia" w:ascii="宋体" w:hAnsi="宋体" w:eastAsia="宋体" w:cs="宋体"/>
      <w:color w:val="000000"/>
      <w:sz w:val="24"/>
      <w:szCs w:val="24"/>
      <w:u w:val="single"/>
    </w:rPr>
  </w:style>
  <w:style w:type="character" w:customStyle="1" w:styleId="163">
    <w:name w:val="heading 6 Char1"/>
    <w:aliases w:val="H6 Char1,BOD 4 Char Char1"/>
    <w:uiPriority w:val="0"/>
    <w:rPr>
      <w:rFonts w:ascii="Arial" w:hAnsi="Arial" w:eastAsia="黑体"/>
      <w:kern w:val="2"/>
      <w:sz w:val="24"/>
      <w:szCs w:val="24"/>
      <w:lang w:val="en-US" w:eastAsia="zh-CN" w:bidi="ar-SA"/>
    </w:rPr>
  </w:style>
  <w:style w:type="character" w:styleId="164">
    <w:name w:val=""/>
    <w:qFormat/>
    <w:uiPriority w:val="0"/>
    <w:rPr>
      <w:b/>
      <w:bCs/>
      <w:i/>
      <w:iCs/>
      <w:color w:val="4F81BD"/>
    </w:rPr>
  </w:style>
  <w:style w:type="character" w:customStyle="1" w:styleId="165">
    <w:name w:val="正文文本 2 Char"/>
    <w:basedOn w:val="54"/>
    <w:link w:val="46"/>
    <w:uiPriority w:val="0"/>
  </w:style>
  <w:style w:type="character" w:customStyle="1" w:styleId="166">
    <w:name w:val="heading 1 Char"/>
    <w:aliases w:val="标书1 Char,h1 Char,H1 Char,L1 Char,boc Char,Section Head Char,1st level Char,l1 Char,H11 Char,H12 Char,H13 Char,H14 Char,H15 Char,H16 Char,H17 Char,Level 1 Topic Heading Char,L1 Heading 1 Char,h11 Char,1st level1 Char,heading 11 Char"/>
    <w:uiPriority w:val="0"/>
    <w:rPr>
      <w:rFonts w:ascii="Arial" w:hAnsi="Arial" w:eastAsia="黑体"/>
      <w:b/>
      <w:sz w:val="36"/>
      <w:szCs w:val="36"/>
    </w:rPr>
  </w:style>
  <w:style w:type="character" w:customStyle="1" w:styleId="167">
    <w:name w:val="Char Char61"/>
    <w:uiPriority w:val="0"/>
    <w:rPr>
      <w:rFonts w:ascii="Times New Roman" w:hAnsi="Times New Roman" w:eastAsia="宋体" w:cs="Times New Roman"/>
      <w:szCs w:val="24"/>
    </w:rPr>
  </w:style>
  <w:style w:type="character" w:customStyle="1" w:styleId="168">
    <w:name w:val="Char Char6"/>
    <w:uiPriority w:val="0"/>
    <w:rPr>
      <w:rFonts w:ascii="Times New Roman" w:hAnsi="Times New Roman" w:eastAsia="宋体" w:cs="Times New Roman"/>
      <w:szCs w:val="24"/>
    </w:rPr>
  </w:style>
  <w:style w:type="character" w:customStyle="1" w:styleId="169">
    <w:name w:val="书籍标题1"/>
    <w:uiPriority w:val="0"/>
    <w:rPr>
      <w:b/>
      <w:bCs/>
      <w:smallCaps/>
      <w:spacing w:val="5"/>
    </w:rPr>
  </w:style>
  <w:style w:type="character" w:customStyle="1" w:styleId="170">
    <w:name w:val="heading 5 Char1"/>
    <w:aliases w:val="H5 Char1,dash Char1,ds Char1,dd Char1,Roman list Char1,h5 Char1,PIM 5 Char1,5 Char1,第四层条 Char1,Titre5 Char Char1"/>
    <w:uiPriority w:val="0"/>
    <w:rPr>
      <w:rFonts w:eastAsia="宋体"/>
      <w:b/>
      <w:bCs/>
      <w:kern w:val="2"/>
      <w:sz w:val="28"/>
      <w:szCs w:val="28"/>
      <w:lang w:val="en-US" w:eastAsia="zh-CN" w:bidi="ar-SA"/>
    </w:rPr>
  </w:style>
  <w:style w:type="character" w:customStyle="1" w:styleId="171">
    <w:name w:val="正文缩进 Char"/>
    <w:link w:val="10"/>
    <w:uiPriority w:val="0"/>
    <w:rPr>
      <w:rFonts w:ascii="仿宋_GB2312" w:eastAsia="宋体"/>
      <w:b/>
      <w:sz w:val="21"/>
      <w:szCs w:val="32"/>
      <w:lang w:val="en-US" w:eastAsia="zh-CN" w:bidi="ar-SA"/>
    </w:rPr>
  </w:style>
  <w:style w:type="character" w:customStyle="1" w:styleId="172">
    <w:name w:val="表正文 Char2"/>
    <w:aliases w:val="正文非缩进 Char2,特点 Char2,缩进 Char1,ALT+Z Char1,标题4 Char1,段1 Char1,正文不缩进 Char2,首行缩进 Char1,正文（首行缩进两字） Char Char1,表正文 Char Char1,正文非缩进 Char Char1,特点 Char Char1,正文不缩进 Char Char1,正文（首行缩进两字） Char2,Normal Indent（正文缩进） Char1,Body Text(ch) Char1,表正文1 Char1"/>
    <w:uiPriority w:val="0"/>
    <w:rPr>
      <w:rFonts w:ascii="Times New Roman" w:hAnsi="Times New Roman" w:eastAsia="宋体" w:cs="Times New Roman"/>
      <w:szCs w:val="24"/>
    </w:rPr>
  </w:style>
  <w:style w:type="character" w:customStyle="1" w:styleId="173">
    <w:name w:val="称呼 Char"/>
    <w:link w:val="20"/>
    <w:uiPriority w:val="0"/>
    <w:rPr>
      <w:rFonts w:ascii="仿宋_GB2312" w:eastAsia="仿宋_GB2312"/>
      <w:b/>
      <w:sz w:val="24"/>
      <w:szCs w:val="32"/>
    </w:rPr>
  </w:style>
  <w:style w:type="character" w:customStyle="1" w:styleId="174">
    <w:name w:val="Char Char2"/>
    <w:uiPriority w:val="0"/>
    <w:rPr>
      <w:rFonts w:ascii="Arial" w:hAnsi="Arial" w:eastAsia="黑体"/>
      <w:b/>
      <w:bCs/>
      <w:kern w:val="44"/>
      <w:sz w:val="30"/>
      <w:szCs w:val="44"/>
      <w:lang w:val="en-US" w:eastAsia="zh-CN" w:bidi="ar-SA"/>
    </w:rPr>
  </w:style>
  <w:style w:type="character" w:customStyle="1" w:styleId="175">
    <w:name w:val="Style2"/>
    <w:uiPriority w:val="0"/>
    <w:rPr>
      <w:rFonts w:ascii="Calibri" w:hAnsi="宋体" w:eastAsia="宋体" w:cs="Times New Roman"/>
      <w:sz w:val="22"/>
      <w:szCs w:val="22"/>
      <w:lang w:eastAsia="zh-CN"/>
    </w:rPr>
  </w:style>
  <w:style w:type="character" w:customStyle="1" w:styleId="176">
    <w:name w:val="heading 3 Char2"/>
    <w:aliases w:val="H3 Char2,l3 Char2,CT Char2,h3 Char2,3rd level Char2,Heading 3 - old Char2,3 Char2,Head 3 Char2,level_3 Char2,PIM 3 Char2,Level 3 Head Char2,sect1.2.3 Char2,ISO2 Char2,L3 Char2,sect1.2.31 Char2,sect1.2.32 Char2,sect1.2.311 Char2,三级 Char1"/>
    <w:uiPriority w:val="0"/>
    <w:rPr>
      <w:b/>
      <w:bCs/>
      <w:kern w:val="2"/>
      <w:sz w:val="32"/>
      <w:szCs w:val="32"/>
    </w:rPr>
  </w:style>
  <w:style w:type="character" w:customStyle="1" w:styleId="177">
    <w:name w:val="PI Char"/>
    <w:aliases w:val="正文文字首行缩进 Char,HD正文1 Char,正文小标题 Char,正文顶格 Char Char"/>
    <w:uiPriority w:val="0"/>
    <w:rPr>
      <w:rFonts w:ascii="宋体" w:hAnsi="宋体"/>
      <w:sz w:val="24"/>
    </w:rPr>
  </w:style>
  <w:style w:type="character" w:customStyle="1" w:styleId="178">
    <w:name w:val="heading 9 Char1"/>
    <w:aliases w:val="未用 Char Char1"/>
    <w:uiPriority w:val="0"/>
    <w:rPr>
      <w:rFonts w:ascii="Arial" w:hAnsi="Arial" w:eastAsia="黑体"/>
      <w:sz w:val="21"/>
      <w:lang w:val="en-US" w:eastAsia="zh-CN" w:bidi="ar-SA"/>
    </w:rPr>
  </w:style>
  <w:style w:type="character" w:styleId="179">
    <w:name w:val=""/>
    <w:qFormat/>
    <w:uiPriority w:val="0"/>
    <w:rPr>
      <w:b/>
      <w:bCs/>
      <w:smallCaps/>
      <w:spacing w:val="5"/>
    </w:rPr>
  </w:style>
  <w:style w:type="character" w:customStyle="1" w:styleId="180">
    <w:name w:val="Ò³Ã¼ Char Char2"/>
    <w:uiPriority w:val="0"/>
    <w:rPr>
      <w:kern w:val="2"/>
      <w:sz w:val="18"/>
      <w:szCs w:val="18"/>
    </w:rPr>
  </w:style>
  <w:style w:type="character" w:customStyle="1" w:styleId="181">
    <w:name w:val="批注主题 Char"/>
    <w:link w:val="49"/>
    <w:uiPriority w:val="0"/>
    <w:rPr>
      <w:rFonts w:eastAsia="宋体"/>
      <w:b/>
      <w:bCs/>
      <w:kern w:val="2"/>
      <w:sz w:val="21"/>
      <w:szCs w:val="24"/>
      <w:lang w:val="en-US" w:eastAsia="zh-CN" w:bidi="ar-SA"/>
    </w:rPr>
  </w:style>
  <w:style w:type="character" w:customStyle="1" w:styleId="182">
    <w:name w:val="标题 9 Char"/>
    <w:link w:val="13"/>
    <w:uiPriority w:val="0"/>
    <w:rPr>
      <w:rFonts w:ascii="Arial" w:hAnsi="Arial" w:eastAsia="黑体"/>
      <w:kern w:val="2"/>
      <w:sz w:val="21"/>
      <w:lang w:val="en-US" w:eastAsia="zh-CN" w:bidi="ar-SA"/>
    </w:rPr>
  </w:style>
  <w:style w:type="character" w:customStyle="1" w:styleId="183">
    <w:name w:val="Footer-Even Char2"/>
    <w:aliases w:val="FtrF Char Char2"/>
    <w:uiPriority w:val="0"/>
    <w:rPr>
      <w:kern w:val="2"/>
      <w:sz w:val="18"/>
      <w:szCs w:val="18"/>
    </w:rPr>
  </w:style>
  <w:style w:type="character" w:customStyle="1" w:styleId="184">
    <w:name w:val="PI Char2"/>
    <w:aliases w:val="正文文字首行缩进 Char2,HD正文1 Char2,正文小标题 Char2,正文顶格 Char Char2"/>
    <w:uiPriority w:val="0"/>
    <w:rPr>
      <w:kern w:val="2"/>
      <w:sz w:val="24"/>
      <w:szCs w:val="24"/>
    </w:rPr>
  </w:style>
  <w:style w:type="character" w:customStyle="1" w:styleId="185">
    <w:name w:val="dandyren_title1"/>
    <w:uiPriority w:val="0"/>
    <w:rPr>
      <w:b/>
      <w:bCs/>
      <w:color w:val="FF6633"/>
      <w:sz w:val="18"/>
      <w:szCs w:val="18"/>
    </w:rPr>
  </w:style>
  <w:style w:type="character" w:customStyle="1" w:styleId="186">
    <w:name w:val="Ò³Ã¼ Char Char"/>
    <w:uiPriority w:val="0"/>
    <w:rPr>
      <w:sz w:val="18"/>
      <w:szCs w:val="18"/>
    </w:rPr>
  </w:style>
  <w:style w:type="character" w:customStyle="1" w:styleId="187">
    <w:name w:val="style41"/>
    <w:uiPriority w:val="0"/>
    <w:rPr>
      <w:color w:val="auto"/>
    </w:rPr>
  </w:style>
  <w:style w:type="character" w:customStyle="1" w:styleId="188">
    <w:name w:val="heading 2 Char2"/>
    <w:aliases w:val="Heading 2 Hidden Char2,Heading 2 CCBS Char2,H2 Char2,2 Char2,h2 Char2,Level 2 Head Char2,第*章 Char2,sect 1.2 Char2,节 Char2,标题 1.1 Char2,Underrubrik1 Char2,prop2 Char2,l2 Char2,Chapter Title Char2,DO NOT USE_h2 Char2,chn Char2,Titre2 Char2"/>
    <w:uiPriority w:val="0"/>
    <w:rPr>
      <w:rFonts w:ascii="Cambria" w:hAnsi="Cambria"/>
      <w:b/>
      <w:bCs/>
      <w:kern w:val="2"/>
      <w:sz w:val="32"/>
      <w:szCs w:val="32"/>
    </w:rPr>
  </w:style>
  <w:style w:type="character" w:customStyle="1" w:styleId="189">
    <w:name w:val="明显引用 Char"/>
    <w:link w:val="190"/>
    <w:uiPriority w:val="0"/>
    <w:rPr>
      <w:rFonts w:ascii="Calibri" w:hAnsi="Calibri" w:eastAsia="宋体"/>
      <w:b/>
      <w:bCs/>
      <w:i/>
      <w:iCs/>
      <w:color w:val="4F81BD"/>
      <w:lang w:val="en-US" w:eastAsia="zh-CN" w:bidi="ar-SA"/>
    </w:rPr>
  </w:style>
  <w:style w:type="paragraph" w:styleId="190">
    <w:name w:val="Intense Quote"/>
    <w:basedOn w:val="1"/>
    <w:next w:val="1"/>
    <w:link w:val="189"/>
    <w:qFormat/>
    <w:uiPriority w:val="0"/>
    <w:pPr>
      <w:pBdr>
        <w:bottom w:val="single" w:color="4F81BD" w:sz="4" w:space="4"/>
      </w:pBdr>
      <w:spacing w:before="200" w:beforeLines="0" w:after="280" w:afterLines="0"/>
      <w:ind w:left="936" w:right="936"/>
    </w:pPr>
    <w:rPr>
      <w:rFonts w:ascii="Calibri" w:hAnsi="Calibri"/>
      <w:b/>
      <w:bCs/>
      <w:i/>
      <w:iCs/>
      <w:color w:val="4F81BD"/>
      <w:kern w:val="0"/>
      <w:sz w:val="20"/>
      <w:szCs w:val="20"/>
    </w:rPr>
  </w:style>
  <w:style w:type="character" w:customStyle="1" w:styleId="191">
    <w:name w:val="heading 8 Char1"/>
    <w:aliases w:val="图名 Char Char1"/>
    <w:uiPriority w:val="0"/>
    <w:rPr>
      <w:rFonts w:ascii="Arial" w:hAnsi="Arial" w:eastAsia="黑体"/>
      <w:sz w:val="24"/>
      <w:lang w:val="en-US" w:eastAsia="zh-CN" w:bidi="ar-SA"/>
    </w:rPr>
  </w:style>
  <w:style w:type="character" w:styleId="192">
    <w:name w:val=""/>
    <w:qFormat/>
    <w:uiPriority w:val="0"/>
    <w:rPr>
      <w:i/>
      <w:iCs/>
      <w:color w:val="808080"/>
    </w:rPr>
  </w:style>
  <w:style w:type="character" w:customStyle="1" w:styleId="193">
    <w:name w:val="Plain Text Char"/>
    <w:uiPriority w:val="0"/>
    <w:rPr>
      <w:rFonts w:ascii="宋体" w:hAnsi="Courier New" w:eastAsia="宋体" w:cs="Times New Roman"/>
      <w:sz w:val="21"/>
      <w:szCs w:val="21"/>
    </w:rPr>
  </w:style>
  <w:style w:type="character" w:customStyle="1" w:styleId="194">
    <w:name w:val="正文文本缩进 Char"/>
    <w:link w:val="22"/>
    <w:uiPriority w:val="0"/>
    <w:rPr>
      <w:rFonts w:eastAsia="宋体"/>
      <w:kern w:val="2"/>
      <w:sz w:val="24"/>
      <w:szCs w:val="24"/>
      <w:lang w:val="en-US" w:eastAsia="zh-CN" w:bidi="ar-SA"/>
    </w:rPr>
  </w:style>
  <w:style w:type="character" w:customStyle="1" w:styleId="195">
    <w:name w:val="正文文本缩进 2 Char"/>
    <w:link w:val="32"/>
    <w:uiPriority w:val="0"/>
    <w:rPr>
      <w:rFonts w:eastAsia="宋体"/>
      <w:kern w:val="2"/>
      <w:sz w:val="24"/>
      <w:szCs w:val="24"/>
      <w:lang w:val="en-US" w:eastAsia="zh-CN" w:bidi="ar-SA"/>
    </w:rPr>
  </w:style>
  <w:style w:type="character" w:customStyle="1" w:styleId="196">
    <w:name w:val="gray6"/>
    <w:basedOn w:val="54"/>
    <w:uiPriority w:val="0"/>
  </w:style>
  <w:style w:type="character" w:customStyle="1" w:styleId="197">
    <w:name w:val="Char Char201"/>
    <w:uiPriority w:val="0"/>
    <w:rPr>
      <w:rFonts w:ascii="Cambria" w:hAnsi="Cambria" w:eastAsia="宋体" w:cs="Times New Roman"/>
      <w:b/>
      <w:bCs/>
      <w:sz w:val="32"/>
      <w:szCs w:val="32"/>
    </w:rPr>
  </w:style>
  <w:style w:type="paragraph" w:customStyle="1" w:styleId="198">
    <w:name w:val="Char1"/>
    <w:basedOn w:val="1"/>
    <w:uiPriority w:val="0"/>
    <w:pPr>
      <w:autoSpaceDE w:val="0"/>
      <w:autoSpaceDN w:val="0"/>
      <w:adjustRightInd w:val="0"/>
      <w:jc w:val="left"/>
    </w:pPr>
    <w:rPr>
      <w:rFonts w:ascii="仿宋_GB2312" w:eastAsia="仿宋_GB2312"/>
      <w:b/>
      <w:kern w:val="0"/>
      <w:sz w:val="32"/>
      <w:szCs w:val="32"/>
    </w:rPr>
  </w:style>
  <w:style w:type="paragraph" w:customStyle="1" w:styleId="199">
    <w:name w:val="xl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0">
    <w:name w:val="样式"/>
    <w:basedOn w:val="1"/>
    <w:uiPriority w:val="0"/>
    <w:pPr>
      <w:autoSpaceDE w:val="0"/>
      <w:autoSpaceDN w:val="0"/>
      <w:adjustRightInd w:val="0"/>
      <w:snapToGrid w:val="0"/>
      <w:spacing w:before="120" w:beforeLines="0" w:after="120" w:afterLines="0" w:line="360" w:lineRule="auto"/>
      <w:jc w:val="left"/>
    </w:pPr>
    <w:rPr>
      <w:rFonts w:ascii="宋体"/>
      <w:kern w:val="0"/>
      <w:sz w:val="24"/>
      <w:szCs w:val="20"/>
    </w:rPr>
  </w:style>
  <w:style w:type="paragraph" w:customStyle="1" w:styleId="201">
    <w:name w:val="Body text|1"/>
    <w:basedOn w:val="1"/>
    <w:qFormat/>
    <w:uiPriority w:val="0"/>
    <w:pPr>
      <w:adjustRightInd/>
      <w:snapToGrid/>
      <w:spacing w:line="456" w:lineRule="auto"/>
      <w:ind w:right="0" w:firstLine="400"/>
      <w:jc w:val="left"/>
    </w:pPr>
    <w:rPr>
      <w:rFonts w:ascii="宋体" w:hAnsi="宋体" w:cs="宋体"/>
      <w:kern w:val="0"/>
      <w:sz w:val="22"/>
      <w:szCs w:val="22"/>
      <w:lang w:val="zh-TW" w:eastAsia="zh-TW" w:bidi="zh-TW"/>
    </w:rPr>
  </w:style>
  <w:style w:type="paragraph" w:customStyle="1" w:styleId="202">
    <w:name w:val="段"/>
    <w:uiPriority w:val="0"/>
    <w:pPr>
      <w:autoSpaceDE w:val="0"/>
      <w:autoSpaceDN w:val="0"/>
      <w:ind w:firstLine="200" w:firstLineChars="200"/>
      <w:jc w:val="both"/>
    </w:pPr>
    <w:rPr>
      <w:rFonts w:ascii="宋体"/>
      <w:sz w:val="21"/>
      <w:lang w:val="en-US" w:eastAsia="zh-CN" w:bidi="ar-SA"/>
    </w:rPr>
  </w:style>
  <w:style w:type="paragraph" w:customStyle="1" w:styleId="203">
    <w:name w:val="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04">
    <w:name w:val="List Paragraph1"/>
    <w:basedOn w:val="1"/>
    <w:uiPriority w:val="0"/>
    <w:pPr>
      <w:ind w:firstLine="420" w:firstLineChars="200"/>
    </w:pPr>
    <w:rPr>
      <w:rFonts w:ascii="Calibri" w:hAnsi="Calibri"/>
      <w:szCs w:val="22"/>
    </w:rPr>
  </w:style>
  <w:style w:type="paragraph" w:customStyle="1" w:styleId="205">
    <w:name w:val="样式 样式 正文文本缩进 + 仿宋_GB2312 小四 首行缩进:  0 厘米 行距: 1.5 倍行距 + (中文) 仿宋_GB... Char Char"/>
    <w:basedOn w:val="1"/>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06">
    <w:name w:val="Plain Text"/>
    <w:basedOn w:val="1"/>
    <w:uiPriority w:val="0"/>
    <w:pPr>
      <w:adjustRightInd w:val="0"/>
      <w:textAlignment w:val="baseline"/>
    </w:pPr>
    <w:rPr>
      <w:rFonts w:ascii="宋体" w:hAnsi="Courier New" w:eastAsia="楷体_GB2312"/>
      <w:sz w:val="28"/>
      <w:szCs w:val="20"/>
    </w:rPr>
  </w:style>
  <w:style w:type="paragraph" w:customStyle="1" w:styleId="207">
    <w:name w:val="font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08">
    <w:name w:val="图"/>
    <w:basedOn w:val="1"/>
    <w:uiPriority w:val="0"/>
    <w:pPr>
      <w:keepNext/>
      <w:adjustRightInd w:val="0"/>
      <w:spacing w:before="60" w:beforeLines="0" w:after="60" w:afterLines="0" w:line="300" w:lineRule="auto"/>
      <w:jc w:val="center"/>
      <w:textAlignment w:val="center"/>
    </w:pPr>
    <w:rPr>
      <w:snapToGrid w:val="0"/>
      <w:spacing w:val="20"/>
      <w:kern w:val="0"/>
      <w:sz w:val="24"/>
      <w:szCs w:val="20"/>
      <w:lang w:val="zh-CN" w:eastAsia="zh-CN"/>
    </w:rPr>
  </w:style>
  <w:style w:type="paragraph" w:customStyle="1" w:styleId="209">
    <w:name w:val="正文缩进1"/>
    <w:basedOn w:val="1"/>
    <w:next w:val="22"/>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210">
    <w:name w:val="标准段落"/>
    <w:basedOn w:val="1"/>
    <w:uiPriority w:val="0"/>
    <w:pPr>
      <w:spacing w:after="120" w:afterLines="0" w:line="360" w:lineRule="auto"/>
      <w:ind w:firstLine="420"/>
    </w:pPr>
    <w:rPr>
      <w:rFonts w:ascii="黑体" w:hAnsi="宋体" w:eastAsia="黑体"/>
      <w:b/>
      <w:spacing w:val="6"/>
      <w:szCs w:val="22"/>
    </w:rPr>
  </w:style>
  <w:style w:type="paragraph" w:customStyle="1" w:styleId="211">
    <w:name w:val="正文样式 首行缩进:  0.74 厘米"/>
    <w:basedOn w:val="1"/>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212">
    <w:name w:val="默认段落字体 Para Char Char Char Char Char Char Char"/>
    <w:basedOn w:val="1"/>
    <w:uiPriority w:val="0"/>
  </w:style>
  <w:style w:type="paragraph" w:customStyle="1" w:styleId="213">
    <w:name w:val="列项——（一级）"/>
    <w:uiPriority w:val="0"/>
    <w:pPr>
      <w:widowControl w:val="0"/>
      <w:tabs>
        <w:tab w:val="left" w:pos="854"/>
        <w:tab w:val="left" w:pos="1260"/>
      </w:tabs>
      <w:ind w:left="1260" w:hanging="420"/>
      <w:jc w:val="both"/>
    </w:pPr>
    <w:rPr>
      <w:rFonts w:ascii="宋体"/>
      <w:sz w:val="21"/>
      <w:lang w:val="en-US" w:eastAsia="zh-CN" w:bidi="ar-SA"/>
    </w:rPr>
  </w:style>
  <w:style w:type="paragraph" w:customStyle="1" w:styleId="214">
    <w:name w:val="1 Char"/>
    <w:basedOn w:val="10"/>
    <w:uiPriority w:val="0"/>
    <w:pPr>
      <w:adjustRightInd/>
      <w:spacing w:line="360" w:lineRule="auto"/>
      <w:ind w:firstLine="200" w:firstLineChars="200"/>
      <w:textAlignment w:val="auto"/>
    </w:pPr>
    <w:rPr>
      <w:kern w:val="2"/>
    </w:rPr>
  </w:style>
  <w:style w:type="paragraph" w:customStyle="1" w:styleId="215">
    <w:name w:val="Table Paragraph"/>
    <w:basedOn w:val="1"/>
    <w:qFormat/>
    <w:uiPriority w:val="1"/>
  </w:style>
  <w:style w:type="paragraph" w:customStyle="1" w:styleId="216">
    <w:name w:val="样式 标题 1Level 1Level 11h1II+IHeading1H1-Heading 1Header 1..."/>
    <w:basedOn w:val="4"/>
    <w:uiPriority w:val="0"/>
    <w:pPr>
      <w:keepLines/>
      <w:pageBreakBefore/>
      <w:numPr>
        <w:ilvl w:val="0"/>
        <w:numId w:val="0"/>
      </w:numPr>
      <w:spacing w:before="100" w:beforeLines="0" w:after="100" w:afterLines="0" w:line="360" w:lineRule="auto"/>
      <w:ind w:left="1680" w:hanging="420"/>
      <w:jc w:val="left"/>
    </w:pPr>
    <w:rPr>
      <w:rFonts w:ascii="Arial" w:hAnsi="Arial" w:cs="宋体"/>
      <w:bCs/>
      <w:kern w:val="44"/>
      <w:sz w:val="44"/>
    </w:rPr>
  </w:style>
  <w:style w:type="paragraph" w:customStyle="1" w:styleId="217">
    <w:name w:val="features1"/>
    <w:basedOn w:val="1"/>
    <w:uiPriority w:val="0"/>
    <w:pPr>
      <w:widowControl/>
      <w:spacing w:before="100" w:beforeLines="0" w:beforeAutospacing="1" w:after="100" w:afterLines="0" w:afterAutospacing="1"/>
      <w:jc w:val="left"/>
    </w:pPr>
    <w:rPr>
      <w:rFonts w:ascii="宋体" w:hAnsi="宋体" w:cs="宋体"/>
      <w:b/>
      <w:bCs/>
      <w:kern w:val="0"/>
      <w:sz w:val="18"/>
      <w:szCs w:val="18"/>
    </w:rPr>
  </w:style>
  <w:style w:type="paragraph" w:customStyle="1" w:styleId="218">
    <w:name w:val="正文字缩2字"/>
    <w:basedOn w:val="1"/>
    <w:uiPriority w:val="0"/>
    <w:pPr>
      <w:spacing w:before="60" w:beforeLines="0" w:after="60" w:afterLines="0" w:line="360" w:lineRule="auto"/>
      <w:ind w:left="200" w:leftChars="200" w:firstLine="200" w:firstLineChars="200"/>
    </w:pPr>
    <w:rPr>
      <w:sz w:val="24"/>
    </w:rPr>
  </w:style>
  <w:style w:type="paragraph" w:customStyle="1" w:styleId="219">
    <w:name w:val="标准小四"/>
    <w:basedOn w:val="1"/>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20">
    <w:name w:val="列出段落2"/>
    <w:basedOn w:val="1"/>
    <w:qFormat/>
    <w:uiPriority w:val="34"/>
    <w:pPr>
      <w:ind w:firstLine="420" w:firstLineChars="200"/>
    </w:pPr>
  </w:style>
  <w:style w:type="paragraph" w:customStyle="1" w:styleId="221">
    <w:name w:val="样式 宋体 小四 段前: 7.8 磅 段后: 7.8 磅 行距: 1.5 倍行距"/>
    <w:basedOn w:val="1"/>
    <w:qFormat/>
    <w:uiPriority w:val="0"/>
    <w:pPr>
      <w:spacing w:line="360" w:lineRule="auto"/>
      <w:ind w:firstLine="480"/>
    </w:pPr>
    <w:rPr>
      <w:rFonts w:ascii="宋体" w:hAnsi="宋体" w:eastAsia="宋体" w:cs="宋体"/>
      <w:sz w:val="24"/>
      <w:szCs w:val="20"/>
    </w:rPr>
  </w:style>
  <w:style w:type="paragraph" w:customStyle="1" w:styleId="222">
    <w:name w:val="NICMAN Body Text"/>
    <w:basedOn w:val="1"/>
    <w:next w:val="2"/>
    <w:uiPriority w:val="0"/>
    <w:pPr>
      <w:autoSpaceDE w:val="0"/>
      <w:autoSpaceDN w:val="0"/>
      <w:adjustRightInd w:val="0"/>
      <w:spacing w:after="120" w:afterLines="0"/>
      <w:jc w:val="left"/>
    </w:pPr>
    <w:rPr>
      <w:kern w:val="0"/>
      <w:sz w:val="20"/>
      <w:szCs w:val="20"/>
    </w:rPr>
  </w:style>
  <w:style w:type="paragraph" w:customStyle="1" w:styleId="223">
    <w:name w:val="二级条标题"/>
    <w:basedOn w:val="224"/>
    <w:next w:val="1"/>
    <w:uiPriority w:val="0"/>
    <w:pPr>
      <w:tabs>
        <w:tab w:val="left" w:pos="4309"/>
      </w:tabs>
      <w:ind w:left="4309"/>
      <w:outlineLvl w:val="3"/>
    </w:pPr>
  </w:style>
  <w:style w:type="paragraph" w:customStyle="1" w:styleId="224">
    <w:name w:val="一级条标题"/>
    <w:next w:val="1"/>
    <w:uiPriority w:val="0"/>
    <w:pPr>
      <w:tabs>
        <w:tab w:val="left" w:pos="3889"/>
      </w:tabs>
      <w:ind w:left="3889" w:hanging="420"/>
      <w:outlineLvl w:val="2"/>
    </w:pPr>
    <w:rPr>
      <w:rFonts w:eastAsia="黑体"/>
      <w:sz w:val="21"/>
      <w:lang w:val="en-US" w:eastAsia="zh-CN" w:bidi="ar-SA"/>
    </w:rPr>
  </w:style>
  <w:style w:type="paragraph" w:customStyle="1" w:styleId="225">
    <w:name w:val="xl6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26">
    <w:name w:val="三级条标题"/>
    <w:basedOn w:val="223"/>
    <w:next w:val="1"/>
    <w:uiPriority w:val="0"/>
    <w:pPr>
      <w:numPr>
        <w:ilvl w:val="0"/>
        <w:numId w:val="0"/>
      </w:numPr>
      <w:tabs>
        <w:tab w:val="left" w:pos="4729"/>
        <w:tab w:val="clear" w:pos="4309"/>
      </w:tabs>
      <w:ind w:left="4729" w:hanging="420"/>
      <w:outlineLvl w:val="4"/>
    </w:pPr>
  </w:style>
  <w:style w:type="paragraph" w:customStyle="1" w:styleId="227">
    <w:name w:val="正文文字表格居中"/>
    <w:basedOn w:val="1"/>
    <w:next w:val="46"/>
    <w:uiPriority w:val="0"/>
    <w:pPr>
      <w:autoSpaceDE w:val="0"/>
      <w:autoSpaceDN w:val="0"/>
      <w:adjustRightInd w:val="0"/>
      <w:snapToGrid w:val="0"/>
      <w:spacing w:line="360" w:lineRule="auto"/>
      <w:jc w:val="left"/>
    </w:pPr>
    <w:rPr>
      <w:rFonts w:ascii="宋体"/>
      <w:b/>
      <w:kern w:val="0"/>
      <w:sz w:val="24"/>
      <w:szCs w:val="20"/>
    </w:rPr>
  </w:style>
  <w:style w:type="paragraph" w:customStyle="1" w:styleId="228">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29">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230">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231">
    <w:name w:val="部分1"/>
    <w:basedOn w:val="1"/>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32">
    <w:name w:val="正文2"/>
    <w:basedOn w:val="1"/>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233">
    <w:name w:val="五级条标题"/>
    <w:basedOn w:val="234"/>
    <w:next w:val="1"/>
    <w:uiPriority w:val="0"/>
    <w:pPr>
      <w:tabs>
        <w:tab w:val="left" w:pos="5569"/>
      </w:tabs>
      <w:ind w:left="5569"/>
      <w:outlineLvl w:val="6"/>
    </w:pPr>
  </w:style>
  <w:style w:type="paragraph" w:customStyle="1" w:styleId="234">
    <w:name w:val="四级条标题"/>
    <w:basedOn w:val="226"/>
    <w:next w:val="1"/>
    <w:uiPriority w:val="0"/>
    <w:pPr>
      <w:tabs>
        <w:tab w:val="left" w:pos="5149"/>
        <w:tab w:val="clear" w:pos="4729"/>
      </w:tabs>
      <w:ind w:left="5149"/>
      <w:outlineLvl w:val="5"/>
    </w:pPr>
  </w:style>
  <w:style w:type="paragraph" w:customStyle="1" w:styleId="235">
    <w:name w:val="章标题"/>
    <w:next w:val="1"/>
    <w:uiPriority w:val="0"/>
    <w:pPr>
      <w:tabs>
        <w:tab w:val="left" w:pos="3469"/>
      </w:tabs>
      <w:spacing w:before="156" w:beforeLines="50" w:after="156" w:afterLines="50"/>
      <w:ind w:left="3469" w:hanging="420"/>
      <w:jc w:val="both"/>
      <w:outlineLvl w:val="1"/>
    </w:pPr>
    <w:rPr>
      <w:rFonts w:ascii="黑体" w:eastAsia="黑体"/>
      <w:sz w:val="21"/>
      <w:lang w:val="en-US" w:eastAsia="zh-CN" w:bidi="ar-SA"/>
    </w:rPr>
  </w:style>
  <w:style w:type="paragraph" w:customStyle="1" w:styleId="236">
    <w:name w:val="技术报告正文"/>
    <w:basedOn w:val="1"/>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37">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238">
    <w:name w:val="小标题"/>
    <w:basedOn w:val="1"/>
    <w:uiPriority w:val="0"/>
    <w:pPr>
      <w:autoSpaceDE w:val="0"/>
      <w:autoSpaceDN w:val="0"/>
      <w:adjustRightInd w:val="0"/>
      <w:spacing w:before="120" w:beforeLines="0" w:line="360" w:lineRule="atLeast"/>
      <w:ind w:left="1134"/>
      <w:jc w:val="left"/>
      <w:textAlignment w:val="baseline"/>
    </w:pPr>
    <w:rPr>
      <w:rFonts w:eastAsia="黑体"/>
      <w:kern w:val="0"/>
      <w:sz w:val="20"/>
      <w:szCs w:val="20"/>
    </w:rPr>
  </w:style>
  <w:style w:type="paragraph" w:customStyle="1" w:styleId="239">
    <w:name w:val="Item List in Table"/>
    <w:uiPriority w:val="0"/>
    <w:pPr>
      <w:tabs>
        <w:tab w:val="left" w:pos="284"/>
        <w:tab w:val="left" w:pos="720"/>
      </w:tabs>
      <w:spacing w:before="40" w:after="40"/>
      <w:ind w:left="720" w:hanging="720"/>
      <w:jc w:val="both"/>
    </w:pPr>
    <w:rPr>
      <w:rFonts w:cs="Arial"/>
      <w:kern w:val="2"/>
      <w:sz w:val="18"/>
      <w:szCs w:val="18"/>
      <w:lang w:val="en-US" w:eastAsia="zh-CN" w:bidi="ar-SA"/>
    </w:rPr>
  </w:style>
  <w:style w:type="paragraph" w:customStyle="1" w:styleId="240">
    <w:name w:val="14"/>
    <w:basedOn w:val="1"/>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41">
    <w:name w:val="Char Char Char Char Char Char Char Char Char Char"/>
    <w:basedOn w:val="1"/>
    <w:uiPriority w:val="0"/>
    <w:pPr>
      <w:autoSpaceDE w:val="0"/>
      <w:autoSpaceDN w:val="0"/>
      <w:adjustRightInd w:val="0"/>
      <w:jc w:val="left"/>
    </w:pPr>
    <w:rPr>
      <w:rFonts w:ascii="仿宋_GB2312" w:eastAsia="仿宋_GB2312"/>
      <w:b/>
      <w:kern w:val="0"/>
      <w:sz w:val="32"/>
      <w:szCs w:val="32"/>
    </w:rPr>
  </w:style>
  <w:style w:type="paragraph" w:customStyle="1" w:styleId="242">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243">
    <w:name w:val="button"/>
    <w:basedOn w:val="1"/>
    <w:uiPriority w:val="0"/>
    <w:pPr>
      <w:widowControl/>
      <w:autoSpaceDE w:val="0"/>
      <w:autoSpaceDN w:val="0"/>
      <w:adjustRightInd w:val="0"/>
      <w:spacing w:before="100" w:beforeLines="0" w:beforeAutospacing="1" w:after="100" w:afterLines="0" w:afterAutospacing="1"/>
      <w:jc w:val="left"/>
    </w:pPr>
    <w:rPr>
      <w:rFonts w:ascii="Arial Unicode MS" w:hAnsi="Arial Unicode MS"/>
      <w:color w:val="000000"/>
      <w:kern w:val="0"/>
      <w:sz w:val="24"/>
      <w:szCs w:val="20"/>
    </w:rPr>
  </w:style>
  <w:style w:type="paragraph" w:customStyle="1" w:styleId="244">
    <w:name w:val="样式5"/>
    <w:basedOn w:val="10"/>
    <w:uiPriority w:val="0"/>
    <w:pPr>
      <w:adjustRightInd/>
      <w:spacing w:line="360" w:lineRule="auto"/>
      <w:ind w:firstLine="200" w:firstLineChars="200"/>
      <w:textAlignment w:val="auto"/>
    </w:pPr>
    <w:rPr>
      <w:sz w:val="28"/>
      <w:szCs w:val="21"/>
    </w:rPr>
  </w:style>
  <w:style w:type="paragraph" w:customStyle="1" w:styleId="245">
    <w:name w:val="样式 左侧:  0.85 厘米 首行缩进:  0.85 厘米"/>
    <w:basedOn w:val="1"/>
    <w:uiPriority w:val="0"/>
    <w:pPr>
      <w:autoSpaceDE w:val="0"/>
      <w:autoSpaceDN w:val="0"/>
      <w:adjustRightInd w:val="0"/>
      <w:spacing w:line="360" w:lineRule="auto"/>
      <w:ind w:firstLine="482"/>
      <w:jc w:val="left"/>
    </w:pPr>
    <w:rPr>
      <w:rFonts w:cs="宋体"/>
      <w:kern w:val="0"/>
      <w:sz w:val="24"/>
      <w:szCs w:val="20"/>
    </w:rPr>
  </w:style>
  <w:style w:type="paragraph" w:customStyle="1" w:styleId="246">
    <w:name w:val="!正文"/>
    <w:basedOn w:val="1"/>
    <w:qFormat/>
    <w:uiPriority w:val="0"/>
    <w:pPr>
      <w:ind w:firstLine="480" w:firstLineChars="200"/>
    </w:pPr>
    <w:rPr>
      <w:rFonts w:ascii="Calibri" w:hAnsi="Calibri"/>
      <w:szCs w:val="21"/>
    </w:rPr>
  </w:style>
  <w:style w:type="paragraph" w:customStyle="1" w:styleId="247">
    <w:name w:val="Body Text Indent 3"/>
    <w:basedOn w:val="1"/>
    <w:uiPriority w:val="99"/>
    <w:pPr>
      <w:spacing w:line="300" w:lineRule="auto"/>
      <w:ind w:firstLine="480" w:firstLineChars="200"/>
      <w:jc w:val="left"/>
    </w:pPr>
    <w:rPr>
      <w:kern w:val="0"/>
      <w:sz w:val="24"/>
      <w:szCs w:val="24"/>
    </w:rPr>
  </w:style>
  <w:style w:type="paragraph" w:customStyle="1" w:styleId="248">
    <w:name w:val="È±Ê¡ÎÄ±¾ Char"/>
    <w:basedOn w:val="1"/>
    <w:uiPriority w:val="0"/>
    <w:pPr>
      <w:widowControl/>
      <w:overflowPunct w:val="0"/>
      <w:autoSpaceDE w:val="0"/>
      <w:autoSpaceDN w:val="0"/>
      <w:adjustRightInd w:val="0"/>
      <w:spacing w:line="240" w:lineRule="auto"/>
      <w:textAlignment w:val="baseline"/>
    </w:pPr>
    <w:rPr>
      <w:rFonts w:ascii="Times New Roman" w:hAnsi="Times New Roman" w:eastAsia="宋体" w:cs="Times New Roman"/>
      <w:szCs w:val="21"/>
      <w:lang w:val="zh-CN" w:eastAsia="zh-CN"/>
    </w:rPr>
  </w:style>
  <w:style w:type="paragraph" w:customStyle="1" w:styleId="249">
    <w:name w:val="Char"/>
    <w:basedOn w:val="1"/>
    <w:uiPriority w:val="0"/>
    <w:rPr>
      <w:rFonts w:ascii="仿宋_GB2312" w:eastAsia="仿宋_GB2312"/>
      <w:b/>
      <w:sz w:val="32"/>
      <w:szCs w:val="32"/>
    </w:rPr>
  </w:style>
  <w:style w:type="paragraph" w:customStyle="1" w:styleId="250">
    <w:name w:val="文字"/>
    <w:basedOn w:val="1"/>
    <w:uiPriority w:val="0"/>
    <w:pPr>
      <w:tabs>
        <w:tab w:val="left" w:pos="8520"/>
      </w:tabs>
      <w:spacing w:line="312" w:lineRule="auto"/>
      <w:ind w:right="-210" w:firstLine="556"/>
    </w:pPr>
    <w:rPr>
      <w:rFonts w:ascii="宋体"/>
      <w:sz w:val="28"/>
      <w:szCs w:val="20"/>
    </w:rPr>
  </w:style>
  <w:style w:type="paragraph" w:customStyle="1" w:styleId="251">
    <w:name w:val="xl25"/>
    <w:basedOn w:val="1"/>
    <w:uiPriority w:val="0"/>
    <w:pPr>
      <w:widowControl/>
      <w:autoSpaceDE w:val="0"/>
      <w:autoSpaceDN w:val="0"/>
      <w:adjustRightInd w:val="0"/>
      <w:spacing w:before="100" w:beforeLines="0" w:beforeAutospacing="1" w:after="100" w:afterLines="0" w:afterAutospacing="1"/>
      <w:jc w:val="center"/>
      <w:textAlignment w:val="center"/>
    </w:pPr>
    <w:rPr>
      <w:rFonts w:hint="eastAsia" w:ascii="楷体_GB2312" w:hAnsi="宋体" w:eastAsia="楷体_GB2312"/>
      <w:kern w:val="0"/>
      <w:sz w:val="24"/>
      <w:szCs w:val="20"/>
    </w:rPr>
  </w:style>
  <w:style w:type="paragraph" w:customStyle="1" w:styleId="252">
    <w:name w:val=" Char Char Char Char"/>
    <w:basedOn w:val="18"/>
    <w:uiPriority w:val="0"/>
    <w:rPr>
      <w:rFonts w:ascii="Tahoma" w:hAnsi="Tahoma"/>
      <w:sz w:val="24"/>
    </w:rPr>
  </w:style>
  <w:style w:type="paragraph" w:customStyle="1" w:styleId="253">
    <w:name w:val="样式 标题 3 + 黑体 小四 非加粗"/>
    <w:basedOn w:val="6"/>
    <w:uiPriority w:val="0"/>
    <w:pPr>
      <w:numPr>
        <w:ilvl w:val="0"/>
        <w:numId w:val="0"/>
      </w:numPr>
      <w:spacing w:before="260" w:beforeLines="0" w:after="260" w:afterLines="0" w:line="413" w:lineRule="auto"/>
    </w:pPr>
    <w:rPr>
      <w:rFonts w:ascii="黑体" w:hAnsi="黑体"/>
      <w:b/>
      <w:kern w:val="0"/>
      <w:sz w:val="24"/>
      <w:szCs w:val="32"/>
    </w:rPr>
  </w:style>
  <w:style w:type="paragraph" w:customStyle="1" w:styleId="254">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55">
    <w:name w:val="Char Char1 Char Char Char Char Char Char Char Char Char Char Char Char Char Char"/>
    <w:basedOn w:val="1"/>
    <w:uiPriority w:val="0"/>
    <w:pPr>
      <w:widowControl/>
      <w:autoSpaceDE w:val="0"/>
      <w:autoSpaceDN w:val="0"/>
      <w:adjustRightInd w:val="0"/>
      <w:spacing w:after="160" w:afterLines="0" w:line="240" w:lineRule="exact"/>
      <w:jc w:val="left"/>
    </w:pPr>
    <w:rPr>
      <w:kern w:val="0"/>
      <w:sz w:val="20"/>
      <w:szCs w:val="20"/>
    </w:rPr>
  </w:style>
  <w:style w:type="paragraph" w:customStyle="1" w:styleId="256">
    <w:name w:val="Table caption|1"/>
    <w:basedOn w:val="1"/>
    <w:qFormat/>
    <w:uiPriority w:val="0"/>
    <w:pPr>
      <w:adjustRightInd/>
      <w:snapToGrid/>
      <w:spacing w:line="240" w:lineRule="auto"/>
      <w:ind w:right="0"/>
      <w:jc w:val="left"/>
    </w:pPr>
    <w:rPr>
      <w:rFonts w:ascii="宋体" w:hAnsi="宋体" w:cs="宋体"/>
      <w:kern w:val="0"/>
      <w:sz w:val="22"/>
      <w:szCs w:val="22"/>
      <w:lang w:val="zh-TW" w:eastAsia="zh-TW" w:bidi="zh-TW"/>
    </w:rPr>
  </w:style>
  <w:style w:type="paragraph" w:customStyle="1" w:styleId="257">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新宋体" w:hAnsi="新宋体" w:eastAsia="新宋体" w:cs="宋体"/>
      <w:color w:val="000000"/>
      <w:kern w:val="0"/>
      <w:sz w:val="24"/>
    </w:rPr>
  </w:style>
  <w:style w:type="paragraph" w:customStyle="1" w:styleId="258">
    <w:name w:val="xl6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259">
    <w:name w:val="正文-宋体四号"/>
    <w:basedOn w:val="1"/>
    <w:uiPriority w:val="0"/>
    <w:pPr>
      <w:spacing w:line="360" w:lineRule="auto"/>
      <w:ind w:firstLine="560" w:firstLineChars="200"/>
    </w:pPr>
    <w:rPr>
      <w:rFonts w:cs="宋体"/>
      <w:sz w:val="28"/>
      <w:szCs w:val="20"/>
    </w:rPr>
  </w:style>
  <w:style w:type="paragraph" w:customStyle="1" w:styleId="260">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61">
    <w:name w:val="xl8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62">
    <w:name w:val="Char Char Char Char"/>
    <w:basedOn w:val="1"/>
    <w:uiPriority w:val="0"/>
    <w:pPr>
      <w:autoSpaceDE w:val="0"/>
      <w:autoSpaceDN w:val="0"/>
      <w:adjustRightInd w:val="0"/>
      <w:jc w:val="left"/>
    </w:pPr>
    <w:rPr>
      <w:rFonts w:ascii="Tahoma" w:hAnsi="Tahoma"/>
      <w:kern w:val="0"/>
      <w:sz w:val="24"/>
      <w:szCs w:val="20"/>
    </w:rPr>
  </w:style>
  <w:style w:type="paragraph" w:customStyle="1" w:styleId="263">
    <w:name w:val="aspnumfaautoadjustrightr"/>
    <w:uiPriority w:val="0"/>
    <w:pPr>
      <w:widowControl w:val="0"/>
      <w:autoSpaceDE w:val="0"/>
      <w:autoSpaceDN w:val="0"/>
      <w:adjustRightInd w:val="0"/>
      <w:ind w:firstLine="720"/>
      <w:jc w:val="both"/>
    </w:pPr>
    <w:rPr>
      <w:lang w:val="en-US" w:eastAsia="zh-CN" w:bidi="ar-SA"/>
    </w:rPr>
  </w:style>
  <w:style w:type="paragraph" w:customStyle="1" w:styleId="264">
    <w:name w:val="Char Char Char Char Char Char Char Char Char Char Char Char Char Char Char Char Char Char Char1"/>
    <w:basedOn w:val="1"/>
    <w:uiPriority w:val="0"/>
    <w:rPr>
      <w:rFonts w:ascii="仿宋_GB2312" w:eastAsia="仿宋_GB2312"/>
      <w:b/>
      <w:sz w:val="32"/>
      <w:szCs w:val="32"/>
    </w:rPr>
  </w:style>
  <w:style w:type="paragraph" w:customStyle="1" w:styleId="265">
    <w:name w:val=" Char13"/>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66">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67">
    <w:name w:val="Table Contents"/>
    <w:basedOn w:val="1"/>
    <w:uiPriority w:val="0"/>
    <w:pPr>
      <w:suppressAutoHyphens/>
      <w:autoSpaceDE w:val="0"/>
      <w:autoSpaceDN w:val="0"/>
      <w:adjustRightInd w:val="0"/>
      <w:spacing w:after="120" w:afterLines="0"/>
      <w:jc w:val="left"/>
    </w:pPr>
    <w:rPr>
      <w:rFonts w:ascii="Helvetica" w:hAnsi="Helvetica"/>
      <w:kern w:val="1"/>
      <w:sz w:val="20"/>
      <w:szCs w:val="20"/>
    </w:rPr>
  </w:style>
  <w:style w:type="paragraph" w:customStyle="1" w:styleId="268">
    <w:name w:val="表格文字（大）"/>
    <w:basedOn w:val="1"/>
    <w:uiPriority w:val="0"/>
    <w:pPr>
      <w:autoSpaceDE w:val="0"/>
      <w:autoSpaceDN w:val="0"/>
      <w:adjustRightInd w:val="0"/>
      <w:spacing w:before="20" w:beforeLines="0" w:after="20" w:afterLines="0"/>
      <w:jc w:val="left"/>
    </w:pPr>
    <w:rPr>
      <w:rFonts w:ascii="Century Gothic" w:hAnsi="Century Gothic" w:cs="Century Gothic"/>
      <w:kern w:val="0"/>
      <w:sz w:val="24"/>
      <w:szCs w:val="20"/>
    </w:rPr>
  </w:style>
  <w:style w:type="paragraph" w:customStyle="1" w:styleId="269">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270">
    <w:name w:val="正文文本 21"/>
    <w:basedOn w:val="1"/>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1">
    <w:name w:val="列出段落1"/>
    <w:basedOn w:val="1"/>
    <w:uiPriority w:val="0"/>
    <w:pPr>
      <w:ind w:firstLine="420" w:firstLineChars="200"/>
    </w:pPr>
    <w:rPr>
      <w:szCs w:val="20"/>
    </w:rPr>
  </w:style>
  <w:style w:type="paragraph" w:customStyle="1" w:styleId="272">
    <w:name w:val="Char Char Char Char Char Char Char"/>
    <w:basedOn w:val="1"/>
    <w:uiPriority w:val="0"/>
    <w:rPr>
      <w:rFonts w:ascii="仿宋_GB2312" w:eastAsia="仿宋_GB2312"/>
      <w:b/>
      <w:sz w:val="32"/>
      <w:szCs w:val="32"/>
    </w:rPr>
  </w:style>
  <w:style w:type="paragraph" w:customStyle="1" w:styleId="273">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74">
    <w:name w:val="此正文"/>
    <w:basedOn w:val="1"/>
    <w:uiPriority w:val="0"/>
    <w:pPr>
      <w:autoSpaceDE w:val="0"/>
      <w:autoSpaceDN w:val="0"/>
      <w:adjustRightInd w:val="0"/>
      <w:spacing w:line="360" w:lineRule="auto"/>
      <w:ind w:firstLine="200" w:firstLineChars="200"/>
      <w:jc w:val="left"/>
    </w:pPr>
    <w:rPr>
      <w:kern w:val="0"/>
      <w:sz w:val="24"/>
      <w:szCs w:val="20"/>
    </w:rPr>
  </w:style>
  <w:style w:type="paragraph" w:customStyle="1" w:styleId="275">
    <w:name w:val="1.1.1"/>
    <w:basedOn w:val="1"/>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sz w:val="24"/>
      <w:szCs w:val="20"/>
    </w:rPr>
  </w:style>
  <w:style w:type="paragraph" w:customStyle="1" w:styleId="276">
    <w:name w:val=" Char1"/>
    <w:basedOn w:val="1"/>
    <w:uiPriority w:val="0"/>
    <w:rPr>
      <w:rFonts w:ascii="仿宋_GB2312" w:eastAsia="仿宋_GB2312"/>
      <w:b/>
      <w:sz w:val="32"/>
      <w:szCs w:val="32"/>
    </w:rPr>
  </w:style>
  <w:style w:type="paragraph" w:customStyle="1" w:styleId="277">
    <w:name w:val="Char Char Char Char Char Char Char Char Char Char Char Char Char Char Char Char Char Char Char"/>
    <w:basedOn w:val="1"/>
    <w:uiPriority w:val="0"/>
    <w:rPr>
      <w:rFonts w:ascii="仿宋_GB2312" w:eastAsia="仿宋_GB2312"/>
      <w:b/>
      <w:sz w:val="32"/>
      <w:szCs w:val="32"/>
    </w:rPr>
  </w:style>
  <w:style w:type="paragraph" w:customStyle="1" w:styleId="278">
    <w:name w:val="xl91"/>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79">
    <w:name w:val="xl7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新宋体" w:hAnsi="新宋体" w:eastAsia="新宋体" w:cs="宋体"/>
      <w:b/>
      <w:bCs/>
      <w:color w:val="FF0000"/>
      <w:kern w:val="0"/>
      <w:sz w:val="24"/>
    </w:rPr>
  </w:style>
  <w:style w:type="paragraph" w:customStyle="1" w:styleId="280">
    <w:name w:val="保留正文"/>
    <w:basedOn w:val="2"/>
    <w:uiPriority w:val="0"/>
    <w:pPr>
      <w:keepNext/>
      <w:spacing w:after="160" w:afterLines="0"/>
    </w:pPr>
    <w:rPr>
      <w:szCs w:val="20"/>
    </w:rPr>
  </w:style>
  <w:style w:type="paragraph" w:customStyle="1" w:styleId="281">
    <w:name w:val="Char Char"/>
    <w:basedOn w:val="1"/>
    <w:uiPriority w:val="0"/>
    <w:rPr>
      <w:rFonts w:ascii="仿宋_GB2312" w:eastAsia="仿宋_GB2312"/>
      <w:b/>
      <w:sz w:val="32"/>
      <w:szCs w:val="32"/>
    </w:rPr>
  </w:style>
  <w:style w:type="paragraph" w:customStyle="1" w:styleId="282">
    <w:name w:val="xl76"/>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83">
    <w:name w:val="font5"/>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4">
    <w:name w:val="xl9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85">
    <w:name w:val="ÕýÎÄÊ×ÐÐËõ½ø"/>
    <w:basedOn w:val="1"/>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86">
    <w:name w:val="l正文"/>
    <w:basedOn w:val="1"/>
    <w:qFormat/>
    <w:uiPriority w:val="0"/>
    <w:pPr>
      <w:spacing w:line="360" w:lineRule="auto"/>
      <w:ind w:firstLine="200" w:firstLineChars="200"/>
    </w:pPr>
    <w:rPr>
      <w:rFonts w:ascii="宋体" w:hAnsi="宋体"/>
      <w:sz w:val="24"/>
    </w:rPr>
  </w:style>
  <w:style w:type="paragraph" w:customStyle="1" w:styleId="287">
    <w:name w:val=" Char Char Char Char Char Char Char Char Char Char Char Char Char"/>
    <w:basedOn w:val="1"/>
    <w:uiPriority w:val="0"/>
  </w:style>
  <w:style w:type="paragraph" w:customStyle="1" w:styleId="288">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Table Heading"/>
    <w:uiPriority w:val="0"/>
    <w:pPr>
      <w:keepNext/>
      <w:snapToGrid w:val="0"/>
      <w:spacing w:before="80" w:after="80"/>
      <w:jc w:val="center"/>
    </w:pPr>
    <w:rPr>
      <w:rFonts w:eastAsia="黑体" w:cs="Arial"/>
      <w:kern w:val="2"/>
      <w:sz w:val="18"/>
      <w:szCs w:val="18"/>
      <w:lang w:val="en-US" w:eastAsia="zh-CN" w:bidi="ar-SA"/>
    </w:rPr>
  </w:style>
  <w:style w:type="paragraph" w:customStyle="1" w:styleId="290">
    <w:name w:val="简单回函地址"/>
    <w:basedOn w:val="1"/>
    <w:uiPriority w:val="0"/>
  </w:style>
  <w:style w:type="paragraph" w:customStyle="1" w:styleId="291">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styleId="292">
    <w:name w:val=""/>
    <w:basedOn w:val="4"/>
    <w:next w:val="1"/>
    <w:qFormat/>
    <w:uiPriority w:val="0"/>
    <w:pPr>
      <w:keepLines/>
      <w:widowControl/>
      <w:numPr>
        <w:ilvl w:val="0"/>
        <w:numId w:val="0"/>
      </w:numPr>
      <w:spacing w:before="480" w:beforeLines="0" w:line="276" w:lineRule="auto"/>
      <w:jc w:val="left"/>
      <w:outlineLvl w:val="9"/>
    </w:pPr>
    <w:rPr>
      <w:rFonts w:ascii="Cambria" w:hAnsi="Cambria" w:eastAsia="宋体"/>
      <w:bCs/>
      <w:color w:val="365F91"/>
      <w:kern w:val="0"/>
      <w:sz w:val="28"/>
      <w:szCs w:val="28"/>
    </w:rPr>
  </w:style>
  <w:style w:type="paragraph" w:customStyle="1" w:styleId="293">
    <w:name w:val="正文（首行缩进）"/>
    <w:basedOn w:val="22"/>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294">
    <w:name w:val="xl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95">
    <w:name w:val="Char1 Char Char Char Char Char Char"/>
    <w:basedOn w:val="1"/>
    <w:uiPriority w:val="0"/>
    <w:rPr>
      <w:rFonts w:ascii="宋体" w:hAnsi="宋体"/>
      <w:color w:val="000000"/>
      <w:sz w:val="24"/>
    </w:rPr>
  </w:style>
  <w:style w:type="paragraph" w:customStyle="1" w:styleId="296">
    <w:name w:val="排列"/>
    <w:basedOn w:val="1"/>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97">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98">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299">
    <w:name w:val="VIT-Text"/>
    <w:basedOn w:val="1"/>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0">
    <w:name w:val="正文 首行缩进:  2 字符 Char"/>
    <w:basedOn w:val="1"/>
    <w:uiPriority w:val="0"/>
    <w:pPr>
      <w:spacing w:line="360" w:lineRule="auto"/>
      <w:ind w:firstLine="480"/>
    </w:pPr>
    <w:rPr>
      <w:rFonts w:cs="宋体"/>
      <w:sz w:val="24"/>
      <w:szCs w:val="20"/>
    </w:rPr>
  </w:style>
  <w:style w:type="paragraph" w:customStyle="1" w:styleId="301">
    <w:name w:val="正文－恩普"/>
    <w:basedOn w:val="10"/>
    <w:uiPriority w:val="0"/>
    <w:pPr>
      <w:adjustRightInd/>
      <w:spacing w:line="360" w:lineRule="auto"/>
      <w:ind w:firstLine="200" w:firstLineChars="200"/>
      <w:textAlignment w:val="auto"/>
    </w:pPr>
    <w:rPr>
      <w:kern w:val="2"/>
      <w:sz w:val="24"/>
      <w:szCs w:val="24"/>
    </w:rPr>
  </w:style>
  <w:style w:type="paragraph" w:customStyle="1" w:styleId="302">
    <w:name w:val="样式 标题 3 + 黑色 段前: 5 磅 段后: 5 磅 行距: 1.5 倍行距"/>
    <w:basedOn w:val="1"/>
    <w:uiPriority w:val="0"/>
    <w:pPr>
      <w:ind w:left="855" w:hanging="855"/>
    </w:pPr>
    <w:rPr>
      <w:sz w:val="24"/>
      <w:szCs w:val="20"/>
    </w:rPr>
  </w:style>
  <w:style w:type="paragraph" w:customStyle="1" w:styleId="303">
    <w:name w:val="标题五"/>
    <w:basedOn w:val="1"/>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304">
    <w:name w:val="WW-正文文字缩进 2"/>
    <w:basedOn w:val="1"/>
    <w:uiPriority w:val="0"/>
    <w:pPr>
      <w:suppressAutoHyphens/>
      <w:autoSpaceDE w:val="0"/>
      <w:autoSpaceDN w:val="0"/>
      <w:adjustRightInd w:val="0"/>
      <w:ind w:firstLine="420"/>
      <w:jc w:val="left"/>
    </w:pPr>
    <w:rPr>
      <w:kern w:val="1"/>
      <w:sz w:val="20"/>
      <w:szCs w:val="20"/>
    </w:rPr>
  </w:style>
  <w:style w:type="paragraph" w:customStyle="1" w:styleId="305">
    <w:name w:val="Test2"/>
    <w:basedOn w:val="5"/>
    <w:uiPriority w:val="0"/>
    <w:pPr>
      <w:keepNext w:val="0"/>
      <w:widowControl/>
      <w:numPr>
        <w:ilvl w:val="0"/>
        <w:numId w:val="0"/>
      </w:numPr>
      <w:tabs>
        <w:tab w:val="left" w:pos="774"/>
      </w:tabs>
      <w:autoSpaceDE w:val="0"/>
      <w:autoSpaceDN w:val="0"/>
      <w:adjustRightInd w:val="0"/>
      <w:snapToGrid w:val="0"/>
      <w:spacing w:before="360" w:beforeLines="0" w:after="360" w:afterLines="0" w:line="240" w:lineRule="atLeast"/>
      <w:ind w:left="774" w:hanging="576"/>
      <w:jc w:val="left"/>
    </w:pPr>
    <w:rPr>
      <w:rFonts w:ascii="宋体" w:hAnsi="Arial"/>
      <w:snapToGrid w:val="0"/>
      <w:kern w:val="0"/>
      <w:szCs w:val="32"/>
    </w:rPr>
  </w:style>
  <w:style w:type="paragraph" w:customStyle="1" w:styleId="306">
    <w:name w:val="xl8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07">
    <w:name w:val="xl84"/>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08">
    <w:name w:val="Char Char Char Char Char Char Char Char Char Char Char Char Char"/>
    <w:basedOn w:val="1"/>
    <w:uiPriority w:val="0"/>
    <w:rPr>
      <w:rFonts w:ascii="Tahoma" w:hAnsi="Tahoma"/>
      <w:sz w:val="24"/>
      <w:szCs w:val="20"/>
    </w:rPr>
  </w:style>
  <w:style w:type="paragraph" w:customStyle="1" w:styleId="309">
    <w:name w:val="xl89"/>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0">
    <w:name w:val="标书正文带编号"/>
    <w:basedOn w:val="1"/>
    <w:uiPriority w:val="0"/>
    <w:pPr>
      <w:tabs>
        <w:tab w:val="left" w:pos="397"/>
      </w:tabs>
      <w:autoSpaceDE w:val="0"/>
      <w:autoSpaceDN w:val="0"/>
      <w:adjustRightInd w:val="0"/>
      <w:ind w:firstLine="397"/>
      <w:jc w:val="left"/>
    </w:pPr>
    <w:rPr>
      <w:rFonts w:cs="宋体"/>
      <w:kern w:val="0"/>
      <w:sz w:val="20"/>
      <w:szCs w:val="21"/>
    </w:rPr>
  </w:style>
  <w:style w:type="paragraph" w:customStyle="1" w:styleId="311">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312">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13">
    <w:name w:val="xl6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314">
    <w:name w:val="List Paragraph"/>
    <w:basedOn w:val="1"/>
    <w:uiPriority w:val="0"/>
    <w:pPr>
      <w:ind w:firstLine="420" w:firstLineChars="200"/>
    </w:pPr>
  </w:style>
  <w:style w:type="paragraph" w:customStyle="1" w:styleId="315">
    <w:name w:val=" Char Char Char Char Char Char Char"/>
    <w:basedOn w:val="1"/>
    <w:uiPriority w:val="0"/>
    <w:rPr>
      <w:rFonts w:ascii="仿宋_GB2312" w:eastAsia="仿宋_GB2312"/>
      <w:b/>
      <w:sz w:val="32"/>
      <w:szCs w:val="32"/>
    </w:rPr>
  </w:style>
  <w:style w:type="paragraph" w:customStyle="1" w:styleId="316">
    <w:name w:val="文档正文"/>
    <w:basedOn w:val="1"/>
    <w:uiPriority w:val="0"/>
    <w:pPr>
      <w:adjustRightInd w:val="0"/>
      <w:spacing w:line="300" w:lineRule="auto"/>
      <w:ind w:firstLine="567"/>
      <w:textAlignment w:val="baseline"/>
    </w:pPr>
    <w:rPr>
      <w:kern w:val="0"/>
      <w:sz w:val="24"/>
      <w:szCs w:val="20"/>
    </w:rPr>
  </w:style>
  <w:style w:type="paragraph" w:customStyle="1" w:styleId="317">
    <w:name w:val="xl29"/>
    <w:basedOn w:val="1"/>
    <w:uiPriority w:val="0"/>
    <w:pPr>
      <w:widowControl/>
      <w:autoSpaceDE w:val="0"/>
      <w:autoSpaceDN w:val="0"/>
      <w:adjustRightInd w:val="0"/>
      <w:spacing w:before="100" w:beforeLines="0" w:beforeAutospacing="1" w:after="100" w:afterLines="0" w:afterAutospacing="1"/>
      <w:jc w:val="center"/>
    </w:pPr>
    <w:rPr>
      <w:rFonts w:ascii="Arial Unicode MS" w:hAnsi="Arial Unicode MS" w:eastAsia="Arial Unicode MS"/>
      <w:kern w:val="0"/>
      <w:sz w:val="24"/>
      <w:szCs w:val="20"/>
    </w:rPr>
  </w:style>
  <w:style w:type="paragraph" w:customStyle="1" w:styleId="318">
    <w:name w:val="样式1"/>
    <w:basedOn w:val="1"/>
    <w:uiPriority w:val="0"/>
    <w:pPr>
      <w:autoSpaceDE w:val="0"/>
      <w:autoSpaceDN w:val="0"/>
      <w:adjustRightInd w:val="0"/>
      <w:spacing w:line="400" w:lineRule="exact"/>
      <w:jc w:val="both"/>
    </w:pPr>
    <w:rPr>
      <w:rFonts w:ascii="宋体" w:hAnsi="Times New Roman" w:eastAsia="宋体" w:cs="宋体"/>
      <w:kern w:val="0"/>
      <w:szCs w:val="24"/>
    </w:rPr>
  </w:style>
  <w:style w:type="paragraph" w:customStyle="1" w:styleId="319">
    <w:name w:val="前言、引言标题"/>
    <w:next w:val="1"/>
    <w:uiPriority w:val="0"/>
    <w:pPr>
      <w:shd w:val="clear" w:color="FFFFFF" w:fill="FFFFFF"/>
      <w:tabs>
        <w:tab w:val="left" w:pos="3349"/>
      </w:tabs>
      <w:spacing w:before="640" w:after="560"/>
      <w:ind w:left="3349" w:hanging="720"/>
      <w:jc w:val="center"/>
      <w:outlineLvl w:val="0"/>
    </w:pPr>
    <w:rPr>
      <w:rFonts w:ascii="黑体" w:eastAsia="黑体"/>
      <w:sz w:val="32"/>
      <w:lang w:val="en-US" w:eastAsia="zh-CN" w:bidi="ar-SA"/>
    </w:rPr>
  </w:style>
  <w:style w:type="paragraph" w:styleId="320">
    <w:name w:val="List Paragraph"/>
    <w:basedOn w:val="1"/>
    <w:qFormat/>
    <w:uiPriority w:val="0"/>
    <w:pPr>
      <w:ind w:firstLine="420" w:firstLineChars="200"/>
    </w:pPr>
    <w:rPr>
      <w:rFonts w:ascii="Calibri" w:hAnsi="Calibri"/>
      <w:szCs w:val="22"/>
    </w:rPr>
  </w:style>
  <w:style w:type="paragraph" w:customStyle="1" w:styleId="321">
    <w:name w:val="xl83"/>
    <w:basedOn w:val="1"/>
    <w:uiPriority w:val="0"/>
    <w:pPr>
      <w:widowControl/>
      <w:pBdr>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22">
    <w:name w:val="Char2"/>
    <w:basedOn w:val="1"/>
    <w:uiPriority w:val="0"/>
    <w:pPr>
      <w:autoSpaceDE w:val="0"/>
      <w:autoSpaceDN w:val="0"/>
      <w:adjustRightInd w:val="0"/>
      <w:jc w:val="left"/>
    </w:pPr>
    <w:rPr>
      <w:rFonts w:ascii="仿宋_GB2312" w:eastAsia="仿宋_GB2312"/>
      <w:b/>
      <w:kern w:val="0"/>
      <w:sz w:val="32"/>
      <w:szCs w:val="32"/>
    </w:rPr>
  </w:style>
  <w:style w:type="paragraph" w:customStyle="1" w:styleId="323">
    <w:name w:val="xl9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24">
    <w:name w:val="xl3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kern w:val="0"/>
      <w:szCs w:val="22"/>
    </w:rPr>
  </w:style>
  <w:style w:type="paragraph" w:customStyle="1" w:styleId="325">
    <w:name w:val="tabletext"/>
    <w:basedOn w:val="1"/>
    <w:uiPriority w:val="0"/>
    <w:pPr>
      <w:widowControl/>
      <w:spacing w:line="300" w:lineRule="atLeast"/>
      <w:jc w:val="left"/>
    </w:pPr>
    <w:rPr>
      <w:rFonts w:ascii="宋体" w:hAnsi="宋体" w:cs="宋体"/>
      <w:kern w:val="0"/>
      <w:sz w:val="18"/>
      <w:szCs w:val="18"/>
    </w:rPr>
  </w:style>
  <w:style w:type="paragraph" w:customStyle="1" w:styleId="326">
    <w:name w:val="p0"/>
    <w:basedOn w:val="1"/>
    <w:uiPriority w:val="0"/>
    <w:pPr>
      <w:widowControl/>
    </w:pPr>
    <w:rPr>
      <w:kern w:val="0"/>
      <w:szCs w:val="21"/>
    </w:rPr>
  </w:style>
  <w:style w:type="paragraph" w:customStyle="1" w:styleId="327">
    <w:name w:val="xl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jpeg" Type="http://schemas.openxmlformats.org/officeDocument/2006/relationships/imag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62</Pages>
  <Words>5126</Words>
  <Characters>29223</Characters>
  <Lines>243</Lines>
  <Paragraphs>68</Paragraphs>
  <TotalTime>0</TotalTime>
  <ScaleCrop>false</ScaleCrop>
  <LinksUpToDate>false</LinksUpToDate>
  <CharactersWithSpaces>34281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2018-11-13T02:13:00Z</dcterms:created>
  <dc:creator>zyq</dc:creator>
  <cp:lastModifiedBy>WPS_1701756769</cp:lastModifiedBy>
  <cp:lastPrinted>2020-04-09T00:55:49Z</cp:lastPrinted>
  <dcterms:modified xsi:type="dcterms:W3CDTF">2024-02-23T04:14:39Z</dcterms:modified>
  <cp:revision>2</cp:revision>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BE63320048374D6F8F368771CDEEADB3_13</vt:lpwstr>
  </property>
</Properties>
</file>