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新宋体" w:hAnsi="新宋体" w:eastAsia="新宋体"/>
          <w:b/>
          <w:bCs/>
          <w:color w:val="auto"/>
          <w:spacing w:val="120"/>
          <w:sz w:val="52"/>
          <w:szCs w:val="52"/>
          <w:highlight w:val="none"/>
        </w:rPr>
      </w:pPr>
      <w:bookmarkStart w:id="50" w:name="_GoBack"/>
      <w:bookmarkEnd w:id="50"/>
    </w:p>
    <w:p>
      <w:pPr>
        <w:jc w:val="center"/>
        <w:rPr>
          <w:rFonts w:hint="eastAsia" w:ascii="新宋体" w:hAnsi="新宋体" w:eastAsia="新宋体"/>
          <w:b/>
          <w:bCs/>
          <w:color w:val="auto"/>
          <w:sz w:val="52"/>
          <w:szCs w:val="52"/>
          <w:highlight w:val="none"/>
        </w:rPr>
      </w:pPr>
      <w:r>
        <w:rPr>
          <w:rFonts w:hint="eastAsia" w:ascii="新宋体" w:hAnsi="新宋体" w:eastAsia="新宋体"/>
          <w:color w:val="auto"/>
          <w:spacing w:val="20"/>
          <w:sz w:val="84"/>
          <w:highlight w:val="none"/>
        </w:rPr>
        <w:t>温州市政府（分散）采购</w:t>
      </w:r>
    </w:p>
    <w:p>
      <w:pPr>
        <w:jc w:val="center"/>
        <w:rPr>
          <w:rFonts w:hint="eastAsia" w:ascii="新宋体" w:hAnsi="新宋体" w:eastAsia="新宋体"/>
          <w:b/>
          <w:bCs/>
          <w:color w:val="auto"/>
          <w:spacing w:val="26"/>
          <w:sz w:val="52"/>
          <w:highlight w:val="none"/>
        </w:rPr>
      </w:pPr>
    </w:p>
    <w:p>
      <w:pPr>
        <w:ind w:firstLine="2357" w:firstLineChars="235"/>
        <w:rPr>
          <w:rFonts w:hint="eastAsia" w:ascii="新宋体" w:hAnsi="新宋体" w:eastAsia="新宋体"/>
          <w:b/>
          <w:bCs/>
          <w:color w:val="auto"/>
          <w:spacing w:val="140"/>
          <w:sz w:val="72"/>
          <w:highlight w:val="none"/>
        </w:rPr>
      </w:pPr>
    </w:p>
    <w:p>
      <w:pPr>
        <w:jc w:val="center"/>
        <w:rPr>
          <w:rFonts w:hint="eastAsia" w:ascii="新宋体" w:hAnsi="新宋体" w:eastAsia="新宋体"/>
          <w:b/>
          <w:bCs/>
          <w:color w:val="auto"/>
          <w:spacing w:val="140"/>
          <w:sz w:val="72"/>
          <w:highlight w:val="none"/>
        </w:rPr>
      </w:pPr>
    </w:p>
    <w:p>
      <w:pPr>
        <w:adjustRightInd w:val="0"/>
        <w:snapToGrid w:val="0"/>
        <w:spacing w:line="480" w:lineRule="auto"/>
        <w:ind w:right="361"/>
        <w:jc w:val="center"/>
        <w:rPr>
          <w:rFonts w:hint="eastAsia" w:ascii="新宋体" w:hAnsi="新宋体" w:eastAsia="新宋体"/>
          <w:color w:val="auto"/>
          <w:sz w:val="84"/>
          <w:szCs w:val="84"/>
          <w:highlight w:val="none"/>
        </w:rPr>
      </w:pPr>
      <w:r>
        <w:rPr>
          <w:rFonts w:hint="eastAsia" w:ascii="新宋体" w:hAnsi="新宋体" w:eastAsia="新宋体"/>
          <w:b/>
          <w:bCs/>
          <w:color w:val="auto"/>
          <w:sz w:val="84"/>
          <w:szCs w:val="84"/>
          <w:highlight w:val="none"/>
        </w:rPr>
        <w:t>招 标 文 件</w:t>
      </w:r>
    </w:p>
    <w:p>
      <w:pPr>
        <w:ind w:left="1888" w:leftChars="899" w:firstLine="210" w:firstLineChars="87"/>
        <w:rPr>
          <w:rFonts w:hint="eastAsia" w:ascii="新宋体" w:hAnsi="新宋体" w:eastAsia="新宋体"/>
          <w:b/>
          <w:bCs/>
          <w:color w:val="auto"/>
          <w:sz w:val="24"/>
          <w:highlight w:val="none"/>
        </w:rPr>
      </w:pPr>
    </w:p>
    <w:p>
      <w:pPr>
        <w:spacing w:line="800" w:lineRule="exact"/>
        <w:ind w:left="3794" w:leftChars="540" w:hanging="2660" w:hangingChars="700"/>
        <w:rPr>
          <w:rFonts w:hint="eastAsia" w:ascii="新宋体" w:hAnsi="新宋体" w:eastAsia="新宋体"/>
          <w:b/>
          <w:color w:val="auto"/>
          <w:spacing w:val="40"/>
          <w:sz w:val="30"/>
          <w:szCs w:val="30"/>
          <w:highlight w:val="none"/>
        </w:rPr>
      </w:pPr>
      <w:r>
        <w:rPr>
          <w:rFonts w:hint="eastAsia" w:ascii="新宋体" w:hAnsi="新宋体" w:eastAsia="新宋体"/>
          <w:color w:val="auto"/>
          <w:spacing w:val="40"/>
          <w:sz w:val="30"/>
          <w:szCs w:val="30"/>
          <w:highlight w:val="none"/>
        </w:rPr>
        <w:t>项 目 编 号</w:t>
      </w:r>
      <w:r>
        <w:rPr>
          <w:rFonts w:hint="eastAsia" w:ascii="新宋体" w:hAnsi="新宋体" w:eastAsia="新宋体"/>
          <w:color w:val="auto"/>
          <w:spacing w:val="40"/>
          <w:sz w:val="28"/>
          <w:highlight w:val="none"/>
        </w:rPr>
        <w:t>：</w:t>
      </w:r>
      <w:r>
        <w:rPr>
          <w:rFonts w:hint="eastAsia" w:ascii="新宋体" w:hAnsi="新宋体" w:eastAsia="新宋体"/>
          <w:b/>
          <w:bCs/>
          <w:color w:val="auto"/>
          <w:sz w:val="30"/>
          <w:szCs w:val="30"/>
          <w:highlight w:val="none"/>
          <w:lang w:eastAsia="zh-CN"/>
        </w:rPr>
        <w:t xml:space="preserve">WZLCZB-SZS-2019-09156 </w:t>
      </w:r>
      <w:r>
        <w:rPr>
          <w:rFonts w:hint="eastAsia" w:ascii="新宋体" w:hAnsi="新宋体" w:eastAsia="新宋体"/>
          <w:b/>
          <w:bCs/>
          <w:color w:val="auto"/>
          <w:sz w:val="30"/>
          <w:szCs w:val="30"/>
          <w:highlight w:val="none"/>
        </w:rPr>
        <w:t xml:space="preserve">  </w:t>
      </w:r>
    </w:p>
    <w:p>
      <w:pPr>
        <w:spacing w:line="800" w:lineRule="exact"/>
        <w:ind w:firstLine="1140" w:firstLineChars="300"/>
        <w:jc w:val="left"/>
        <w:rPr>
          <w:rFonts w:hint="eastAsia" w:ascii="新宋体" w:hAnsi="新宋体" w:eastAsia="新宋体"/>
          <w:b/>
          <w:color w:val="auto"/>
          <w:spacing w:val="40"/>
          <w:sz w:val="30"/>
          <w:szCs w:val="30"/>
          <w:highlight w:val="none"/>
          <w:lang w:eastAsia="zh-CN"/>
        </w:rPr>
      </w:pPr>
      <w:r>
        <w:rPr>
          <w:rFonts w:hint="eastAsia" w:ascii="新宋体" w:hAnsi="新宋体" w:eastAsia="新宋体"/>
          <w:color w:val="auto"/>
          <w:spacing w:val="40"/>
          <w:sz w:val="30"/>
          <w:szCs w:val="30"/>
          <w:highlight w:val="none"/>
        </w:rPr>
        <w:t>项 目 名 称：</w:t>
      </w:r>
      <w:r>
        <w:rPr>
          <w:rFonts w:hint="eastAsia" w:ascii="新宋体" w:hAnsi="新宋体" w:eastAsia="新宋体"/>
          <w:b/>
          <w:bCs/>
          <w:color w:val="auto"/>
          <w:sz w:val="30"/>
          <w:szCs w:val="30"/>
          <w:highlight w:val="none"/>
          <w:lang w:eastAsia="zh-CN"/>
        </w:rPr>
        <w:t>电子卷宗随案生成及审判系统升级项目（软件部分）</w:t>
      </w:r>
    </w:p>
    <w:p>
      <w:pPr>
        <w:spacing w:line="800" w:lineRule="exact"/>
        <w:ind w:left="3794" w:leftChars="540" w:hanging="2660" w:hangingChars="700"/>
        <w:rPr>
          <w:rFonts w:hint="eastAsia" w:ascii="新宋体" w:hAnsi="新宋体" w:eastAsia="新宋体"/>
          <w:b/>
          <w:color w:val="auto"/>
          <w:spacing w:val="40"/>
          <w:sz w:val="30"/>
          <w:szCs w:val="30"/>
          <w:highlight w:val="none"/>
        </w:rPr>
      </w:pPr>
      <w:r>
        <w:rPr>
          <w:rFonts w:hint="eastAsia" w:ascii="新宋体" w:hAnsi="新宋体" w:eastAsia="新宋体"/>
          <w:color w:val="auto"/>
          <w:spacing w:val="40"/>
          <w:sz w:val="30"/>
          <w:szCs w:val="30"/>
          <w:highlight w:val="none"/>
        </w:rPr>
        <w:t>采 购 方 式：</w:t>
      </w:r>
      <w:r>
        <w:rPr>
          <w:rFonts w:hint="eastAsia" w:ascii="新宋体" w:hAnsi="新宋体" w:eastAsia="新宋体"/>
          <w:b/>
          <w:color w:val="auto"/>
          <w:spacing w:val="40"/>
          <w:sz w:val="30"/>
          <w:szCs w:val="30"/>
          <w:highlight w:val="none"/>
        </w:rPr>
        <w:t>公开招标</w:t>
      </w:r>
    </w:p>
    <w:p>
      <w:pPr>
        <w:spacing w:line="600" w:lineRule="exact"/>
        <w:ind w:firstLine="1140" w:firstLineChars="300"/>
        <w:rPr>
          <w:rFonts w:hint="eastAsia" w:ascii="新宋体" w:hAnsi="新宋体" w:eastAsia="新宋体"/>
          <w:color w:val="auto"/>
          <w:spacing w:val="40"/>
          <w:sz w:val="30"/>
          <w:szCs w:val="30"/>
          <w:highlight w:val="none"/>
        </w:rPr>
      </w:pPr>
    </w:p>
    <w:p>
      <w:pPr>
        <w:spacing w:line="600" w:lineRule="exact"/>
        <w:ind w:firstLine="1140" w:firstLineChars="300"/>
        <w:rPr>
          <w:rFonts w:hint="eastAsia" w:ascii="新宋体" w:hAnsi="新宋体" w:eastAsia="新宋体"/>
          <w:color w:val="auto"/>
          <w:spacing w:val="40"/>
          <w:sz w:val="30"/>
          <w:szCs w:val="30"/>
          <w:highlight w:val="none"/>
        </w:rPr>
      </w:pPr>
    </w:p>
    <w:p>
      <w:pPr>
        <w:spacing w:line="600" w:lineRule="exact"/>
        <w:ind w:firstLine="1140" w:firstLineChars="300"/>
        <w:rPr>
          <w:rFonts w:hint="eastAsia" w:ascii="新宋体" w:hAnsi="新宋体" w:eastAsia="新宋体"/>
          <w:color w:val="auto"/>
          <w:spacing w:val="40"/>
          <w:sz w:val="30"/>
          <w:szCs w:val="30"/>
          <w:highlight w:val="none"/>
        </w:rPr>
      </w:pPr>
    </w:p>
    <w:p>
      <w:pPr>
        <w:spacing w:line="600" w:lineRule="exact"/>
        <w:ind w:firstLine="1620" w:firstLineChars="450"/>
        <w:rPr>
          <w:rFonts w:hint="eastAsia" w:ascii="新宋体" w:hAnsi="新宋体" w:eastAsia="新宋体"/>
          <w:color w:val="auto"/>
          <w:spacing w:val="30"/>
          <w:sz w:val="30"/>
          <w:highlight w:val="none"/>
        </w:rPr>
      </w:pPr>
      <w:r>
        <w:rPr>
          <w:rFonts w:hint="eastAsia" w:ascii="新宋体" w:hAnsi="新宋体" w:eastAsia="新宋体"/>
          <w:color w:val="auto"/>
          <w:spacing w:val="30"/>
          <w:sz w:val="30"/>
          <w:highlight w:val="none"/>
        </w:rPr>
        <w:t>招 标 人:</w:t>
      </w:r>
      <w:r>
        <w:rPr>
          <w:rFonts w:hint="eastAsia" w:ascii="新宋体" w:hAnsi="新宋体" w:eastAsia="新宋体"/>
          <w:b/>
          <w:color w:val="auto"/>
          <w:sz w:val="22"/>
          <w:szCs w:val="22"/>
          <w:highlight w:val="none"/>
        </w:rPr>
        <w:t xml:space="preserve"> </w:t>
      </w:r>
      <w:r>
        <w:rPr>
          <w:rFonts w:hint="eastAsia" w:ascii="新宋体" w:hAnsi="新宋体" w:eastAsia="新宋体"/>
          <w:color w:val="auto"/>
          <w:spacing w:val="30"/>
          <w:sz w:val="30"/>
          <w:highlight w:val="none"/>
        </w:rPr>
        <w:t>浙江省温州市中级人民法院</w:t>
      </w:r>
    </w:p>
    <w:p>
      <w:pPr>
        <w:spacing w:line="600" w:lineRule="exact"/>
        <w:jc w:val="center"/>
        <w:rPr>
          <w:rFonts w:hint="eastAsia" w:ascii="新宋体" w:hAnsi="新宋体" w:eastAsia="新宋体"/>
          <w:color w:val="auto"/>
          <w:spacing w:val="30"/>
          <w:sz w:val="30"/>
          <w:highlight w:val="none"/>
        </w:rPr>
      </w:pPr>
      <w:r>
        <w:rPr>
          <w:rFonts w:hint="eastAsia" w:ascii="新宋体" w:hAnsi="新宋体" w:eastAsia="新宋体"/>
          <w:color w:val="auto"/>
          <w:spacing w:val="30"/>
          <w:sz w:val="30"/>
          <w:highlight w:val="none"/>
        </w:rPr>
        <w:t xml:space="preserve">  招标代理公司：温州历程招标有限公司</w:t>
      </w:r>
    </w:p>
    <w:p>
      <w:pPr>
        <w:rPr>
          <w:rFonts w:hint="eastAsia" w:ascii="新宋体" w:hAnsi="新宋体" w:eastAsia="新宋体"/>
          <w:color w:val="auto"/>
          <w:spacing w:val="40"/>
          <w:sz w:val="28"/>
          <w:highlight w:val="none"/>
        </w:rPr>
      </w:pPr>
    </w:p>
    <w:p>
      <w:pPr>
        <w:spacing w:line="600" w:lineRule="exact"/>
        <w:jc w:val="center"/>
        <w:rPr>
          <w:rFonts w:hint="eastAsia" w:ascii="新宋体" w:hAnsi="新宋体" w:eastAsia="新宋体"/>
          <w:color w:val="auto"/>
          <w:spacing w:val="30"/>
          <w:sz w:val="30"/>
          <w:highlight w:val="none"/>
        </w:rPr>
      </w:pPr>
      <w:r>
        <w:rPr>
          <w:rFonts w:hint="eastAsia" w:ascii="新宋体" w:hAnsi="新宋体" w:eastAsia="新宋体"/>
          <w:color w:val="auto"/>
          <w:spacing w:val="30"/>
          <w:sz w:val="30"/>
          <w:highlight w:val="none"/>
        </w:rPr>
        <w:t>二0一九年</w:t>
      </w:r>
      <w:r>
        <w:rPr>
          <w:rFonts w:hint="eastAsia" w:ascii="新宋体" w:hAnsi="新宋体" w:eastAsia="新宋体"/>
          <w:color w:val="auto"/>
          <w:spacing w:val="30"/>
          <w:sz w:val="30"/>
          <w:highlight w:val="none"/>
          <w:lang w:val="en-US" w:eastAsia="zh-CN"/>
        </w:rPr>
        <w:t>九</w:t>
      </w:r>
      <w:r>
        <w:rPr>
          <w:rFonts w:hint="eastAsia" w:ascii="新宋体" w:hAnsi="新宋体" w:eastAsia="新宋体"/>
          <w:color w:val="auto"/>
          <w:spacing w:val="30"/>
          <w:sz w:val="30"/>
          <w:highlight w:val="none"/>
        </w:rPr>
        <w:t>月</w:t>
      </w:r>
    </w:p>
    <w:p>
      <w:pPr>
        <w:ind w:firstLine="3072" w:firstLineChars="850"/>
        <w:rPr>
          <w:rFonts w:hint="eastAsia" w:ascii="新宋体" w:hAnsi="新宋体" w:eastAsia="新宋体"/>
          <w:b/>
          <w:color w:val="auto"/>
          <w:sz w:val="36"/>
          <w:szCs w:val="36"/>
          <w:highlight w:val="none"/>
        </w:rPr>
      </w:pPr>
    </w:p>
    <w:p>
      <w:pPr>
        <w:rPr>
          <w:rFonts w:hint="eastAsia" w:ascii="新宋体" w:hAnsi="新宋体" w:eastAsia="新宋体"/>
          <w:color w:val="auto"/>
          <w:spacing w:val="40"/>
          <w:sz w:val="28"/>
          <w:highlight w:val="none"/>
        </w:rPr>
      </w:pPr>
    </w:p>
    <w:p>
      <w:pPr>
        <w:rPr>
          <w:rFonts w:hint="eastAsia" w:ascii="新宋体" w:hAnsi="新宋体" w:eastAsia="新宋体"/>
          <w:color w:val="auto"/>
          <w:spacing w:val="40"/>
          <w:sz w:val="28"/>
          <w:highlight w:val="none"/>
        </w:rPr>
      </w:pPr>
    </w:p>
    <w:p>
      <w:pPr>
        <w:rPr>
          <w:rFonts w:hint="eastAsia" w:ascii="新宋体" w:hAnsi="新宋体" w:eastAsia="新宋体"/>
          <w:color w:val="auto"/>
          <w:spacing w:val="40"/>
          <w:sz w:val="28"/>
          <w:highlight w:val="none"/>
        </w:rPr>
      </w:pPr>
    </w:p>
    <w:p>
      <w:pPr>
        <w:rPr>
          <w:rFonts w:hint="eastAsia" w:ascii="新宋体" w:hAnsi="新宋体" w:eastAsia="新宋体"/>
          <w:color w:val="auto"/>
          <w:spacing w:val="40"/>
          <w:sz w:val="28"/>
          <w:highlight w:val="none"/>
        </w:rPr>
      </w:pPr>
    </w:p>
    <w:p>
      <w:pPr>
        <w:spacing w:before="100" w:beforeAutospacing="1" w:after="100" w:afterAutospacing="1" w:line="440" w:lineRule="exact"/>
        <w:jc w:val="center"/>
        <w:outlineLvl w:val="0"/>
        <w:rPr>
          <w:rFonts w:hint="eastAsia" w:ascii="新宋体" w:hAnsi="新宋体" w:eastAsia="新宋体"/>
          <w:b/>
          <w:bCs/>
          <w:color w:val="auto"/>
          <w:sz w:val="32"/>
          <w:szCs w:val="32"/>
          <w:highlight w:val="none"/>
        </w:rPr>
      </w:pPr>
      <w:r>
        <w:rPr>
          <w:rFonts w:hint="eastAsia" w:ascii="新宋体" w:hAnsi="新宋体" w:eastAsia="新宋体"/>
          <w:b/>
          <w:bCs/>
          <w:color w:val="auto"/>
          <w:sz w:val="32"/>
          <w:szCs w:val="32"/>
          <w:highlight w:val="none"/>
        </w:rPr>
        <w:t>目    录</w:t>
      </w:r>
    </w:p>
    <w:p>
      <w:pPr>
        <w:jc w:val="center"/>
        <w:rPr>
          <w:rFonts w:hint="eastAsia" w:ascii="新宋体" w:hAnsi="新宋体" w:eastAsia="新宋体"/>
          <w:b/>
          <w:bCs/>
          <w:color w:val="auto"/>
          <w:sz w:val="32"/>
          <w:szCs w:val="32"/>
          <w:highlight w:val="none"/>
        </w:rPr>
      </w:pP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第一册   通  用  文  本    </w:t>
      </w:r>
      <w:r>
        <w:rPr>
          <w:rFonts w:ascii="新宋体" w:hAnsi="新宋体" w:eastAsia="新宋体"/>
          <w:color w:val="auto"/>
          <w:sz w:val="22"/>
          <w:highlight w:val="none"/>
        </w:rPr>
        <w:t>…………………………………………………………………</w:t>
      </w:r>
      <w:r>
        <w:rPr>
          <w:rFonts w:hint="eastAsia" w:ascii="新宋体" w:hAnsi="新宋体" w:eastAsia="新宋体"/>
          <w:color w:val="auto"/>
          <w:sz w:val="22"/>
          <w:highlight w:val="none"/>
        </w:rPr>
        <w:t>2</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投标邀请函                 </w:t>
      </w:r>
      <w:r>
        <w:rPr>
          <w:rFonts w:ascii="新宋体" w:hAnsi="新宋体" w:eastAsia="新宋体"/>
          <w:color w:val="auto"/>
          <w:sz w:val="22"/>
          <w:highlight w:val="none"/>
        </w:rPr>
        <w:t>…………………………………………………………………</w:t>
      </w:r>
      <w:r>
        <w:rPr>
          <w:rFonts w:hint="eastAsia" w:ascii="新宋体" w:hAnsi="新宋体" w:eastAsia="新宋体"/>
          <w:color w:val="auto"/>
          <w:sz w:val="22"/>
          <w:highlight w:val="none"/>
        </w:rPr>
        <w:t>3</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第一部分  投标人须知       </w:t>
      </w:r>
      <w:r>
        <w:rPr>
          <w:rFonts w:ascii="新宋体" w:hAnsi="新宋体" w:eastAsia="新宋体"/>
          <w:color w:val="auto"/>
          <w:sz w:val="22"/>
          <w:highlight w:val="none"/>
        </w:rPr>
        <w:t>…………………………………………………………………</w:t>
      </w:r>
      <w:r>
        <w:rPr>
          <w:rFonts w:hint="eastAsia" w:ascii="新宋体" w:hAnsi="新宋体" w:eastAsia="新宋体"/>
          <w:color w:val="auto"/>
          <w:sz w:val="22"/>
          <w:highlight w:val="none"/>
        </w:rPr>
        <w:t>4</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一、说明                   </w:t>
      </w:r>
      <w:r>
        <w:rPr>
          <w:rFonts w:ascii="新宋体" w:hAnsi="新宋体" w:eastAsia="新宋体"/>
          <w:color w:val="auto"/>
          <w:sz w:val="22"/>
          <w:highlight w:val="none"/>
        </w:rPr>
        <w:t>…………………………………………………………………</w:t>
      </w:r>
      <w:r>
        <w:rPr>
          <w:rFonts w:hint="eastAsia" w:ascii="新宋体" w:hAnsi="新宋体" w:eastAsia="新宋体"/>
          <w:color w:val="auto"/>
          <w:sz w:val="22"/>
          <w:highlight w:val="none"/>
        </w:rPr>
        <w:t>4</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二、招标文件               </w:t>
      </w:r>
      <w:r>
        <w:rPr>
          <w:rFonts w:ascii="新宋体" w:hAnsi="新宋体" w:eastAsia="新宋体"/>
          <w:color w:val="auto"/>
          <w:sz w:val="22"/>
          <w:highlight w:val="none"/>
        </w:rPr>
        <w:t>…………………………………………………………………</w:t>
      </w:r>
      <w:r>
        <w:rPr>
          <w:rFonts w:hint="eastAsia" w:ascii="新宋体" w:hAnsi="新宋体" w:eastAsia="新宋体"/>
          <w:color w:val="auto"/>
          <w:sz w:val="22"/>
          <w:highlight w:val="none"/>
        </w:rPr>
        <w:t>4</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三、投标文件的编制         </w:t>
      </w:r>
      <w:r>
        <w:rPr>
          <w:rFonts w:ascii="新宋体" w:hAnsi="新宋体" w:eastAsia="新宋体"/>
          <w:color w:val="auto"/>
          <w:sz w:val="22"/>
          <w:highlight w:val="none"/>
        </w:rPr>
        <w:t>…………………………………………………………………</w:t>
      </w:r>
      <w:r>
        <w:rPr>
          <w:rFonts w:hint="eastAsia" w:ascii="新宋体" w:hAnsi="新宋体" w:eastAsia="新宋体"/>
          <w:color w:val="auto"/>
          <w:sz w:val="22"/>
          <w:highlight w:val="none"/>
        </w:rPr>
        <w:t>5</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四、投标文件的递交         </w:t>
      </w:r>
      <w:r>
        <w:rPr>
          <w:rFonts w:ascii="新宋体" w:hAnsi="新宋体" w:eastAsia="新宋体"/>
          <w:color w:val="auto"/>
          <w:sz w:val="22"/>
          <w:highlight w:val="none"/>
        </w:rPr>
        <w:t>…………………………………………………………………</w:t>
      </w:r>
      <w:r>
        <w:rPr>
          <w:rFonts w:hint="eastAsia" w:ascii="新宋体" w:hAnsi="新宋体" w:eastAsia="新宋体"/>
          <w:color w:val="auto"/>
          <w:sz w:val="22"/>
          <w:highlight w:val="none"/>
        </w:rPr>
        <w:t>7</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五、开标和评标             </w:t>
      </w:r>
      <w:r>
        <w:rPr>
          <w:rFonts w:ascii="新宋体" w:hAnsi="新宋体" w:eastAsia="新宋体"/>
          <w:color w:val="auto"/>
          <w:sz w:val="22"/>
          <w:highlight w:val="none"/>
        </w:rPr>
        <w:t>…………………………………………………………………</w:t>
      </w:r>
      <w:r>
        <w:rPr>
          <w:rFonts w:hint="eastAsia" w:ascii="新宋体" w:hAnsi="新宋体" w:eastAsia="新宋体"/>
          <w:color w:val="auto"/>
          <w:sz w:val="22"/>
          <w:highlight w:val="none"/>
        </w:rPr>
        <w:t>8</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六、授予合同               </w:t>
      </w:r>
      <w:r>
        <w:rPr>
          <w:rFonts w:ascii="新宋体" w:hAnsi="新宋体" w:eastAsia="新宋体"/>
          <w:color w:val="auto"/>
          <w:sz w:val="22"/>
          <w:highlight w:val="none"/>
        </w:rPr>
        <w:t>…………………………………………………………………</w:t>
      </w:r>
      <w:r>
        <w:rPr>
          <w:rFonts w:hint="eastAsia" w:ascii="新宋体" w:hAnsi="新宋体" w:eastAsia="新宋体"/>
          <w:color w:val="auto"/>
          <w:sz w:val="22"/>
          <w:highlight w:val="none"/>
        </w:rPr>
        <w:t>11</w:t>
      </w:r>
    </w:p>
    <w:p>
      <w:pPr>
        <w:spacing w:line="600" w:lineRule="exact"/>
        <w:ind w:firstLine="550" w:firstLineChars="250"/>
        <w:rPr>
          <w:rFonts w:ascii="新宋体" w:hAnsi="新宋体" w:eastAsia="新宋体"/>
          <w:color w:val="auto"/>
          <w:sz w:val="22"/>
          <w:highlight w:val="none"/>
        </w:rPr>
      </w:pPr>
      <w:r>
        <w:rPr>
          <w:rFonts w:hint="eastAsia" w:ascii="新宋体" w:hAnsi="新宋体" w:eastAsia="新宋体"/>
          <w:color w:val="auto"/>
          <w:sz w:val="22"/>
          <w:highlight w:val="none"/>
        </w:rPr>
        <w:t xml:space="preserve">第二部分  合同主要条款     </w:t>
      </w:r>
      <w:r>
        <w:rPr>
          <w:rFonts w:ascii="新宋体" w:hAnsi="新宋体" w:eastAsia="新宋体"/>
          <w:color w:val="auto"/>
          <w:sz w:val="22"/>
          <w:highlight w:val="none"/>
        </w:rPr>
        <w:t>…………………………………………………………………</w:t>
      </w:r>
      <w:r>
        <w:rPr>
          <w:rFonts w:hint="eastAsia" w:ascii="新宋体" w:hAnsi="新宋体" w:eastAsia="新宋体"/>
          <w:color w:val="auto"/>
          <w:sz w:val="22"/>
          <w:highlight w:val="none"/>
        </w:rPr>
        <w:t>14</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第三部分 合同格式          </w:t>
      </w:r>
      <w:r>
        <w:rPr>
          <w:rFonts w:ascii="新宋体" w:hAnsi="新宋体" w:eastAsia="新宋体"/>
          <w:color w:val="auto"/>
          <w:sz w:val="22"/>
          <w:highlight w:val="none"/>
        </w:rPr>
        <w:t>…………………………………………………………………</w:t>
      </w:r>
      <w:r>
        <w:rPr>
          <w:rFonts w:hint="eastAsia" w:ascii="新宋体" w:hAnsi="新宋体" w:eastAsia="新宋体"/>
          <w:color w:val="auto"/>
          <w:sz w:val="22"/>
          <w:highlight w:val="none"/>
        </w:rPr>
        <w:t>20</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第四部分  附件             …………………………………………………………………21</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第二册    专用文本         …………………………………………………………………43</w:t>
      </w:r>
    </w:p>
    <w:p>
      <w:pPr>
        <w:spacing w:line="60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第五部分 招标内容及要求    …………………………………………………………………44</w:t>
      </w:r>
    </w:p>
    <w:p>
      <w:pPr>
        <w:spacing w:line="600" w:lineRule="exact"/>
        <w:ind w:firstLine="550" w:firstLineChars="250"/>
        <w:rPr>
          <w:rFonts w:hint="default" w:ascii="新宋体" w:hAnsi="新宋体" w:eastAsia="新宋体"/>
          <w:color w:val="auto"/>
          <w:sz w:val="22"/>
          <w:highlight w:val="none"/>
          <w:lang w:val="en-US" w:eastAsia="zh-CN"/>
        </w:rPr>
      </w:pPr>
      <w:r>
        <w:rPr>
          <w:rFonts w:hint="eastAsia" w:ascii="新宋体" w:hAnsi="新宋体" w:eastAsia="新宋体"/>
          <w:color w:val="auto"/>
          <w:sz w:val="22"/>
          <w:highlight w:val="none"/>
        </w:rPr>
        <w:t>第六部分 评标原则及方法    …………………………………………………………………</w:t>
      </w:r>
      <w:r>
        <w:rPr>
          <w:rFonts w:hint="eastAsia" w:ascii="新宋体" w:hAnsi="新宋体" w:eastAsia="新宋体"/>
          <w:color w:val="auto"/>
          <w:sz w:val="22"/>
          <w:highlight w:val="none"/>
          <w:lang w:val="en-US" w:eastAsia="zh-CN"/>
        </w:rPr>
        <w:t>77</w:t>
      </w:r>
    </w:p>
    <w:p>
      <w:pPr>
        <w:spacing w:line="600" w:lineRule="exact"/>
        <w:ind w:firstLine="552" w:firstLineChars="250"/>
        <w:rPr>
          <w:rFonts w:hint="eastAsia" w:ascii="新宋体" w:hAnsi="新宋体" w:eastAsia="新宋体"/>
          <w:color w:val="auto"/>
          <w:sz w:val="22"/>
          <w:highlight w:val="none"/>
        </w:rPr>
      </w:pPr>
      <w:r>
        <w:rPr>
          <w:rFonts w:hint="eastAsia" w:ascii="新宋体" w:hAnsi="新宋体" w:eastAsia="新宋体"/>
          <w:b/>
          <w:color w:val="auto"/>
          <w:sz w:val="22"/>
          <w:highlight w:val="none"/>
          <w:u w:val="single"/>
        </w:rPr>
        <w:t xml:space="preserve"> </w:t>
      </w: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jc w:val="center"/>
        <w:outlineLvl w:val="0"/>
        <w:rPr>
          <w:rFonts w:hint="eastAsia" w:ascii="新宋体" w:hAnsi="新宋体" w:eastAsia="新宋体"/>
          <w:b/>
          <w:bCs/>
          <w:color w:val="auto"/>
          <w:sz w:val="52"/>
          <w:szCs w:val="52"/>
          <w:highlight w:val="none"/>
        </w:rPr>
      </w:pPr>
      <w:r>
        <w:rPr>
          <w:rFonts w:hint="eastAsia" w:ascii="新宋体" w:hAnsi="新宋体" w:eastAsia="新宋体"/>
          <w:b/>
          <w:bCs/>
          <w:color w:val="auto"/>
          <w:sz w:val="52"/>
          <w:szCs w:val="52"/>
          <w:highlight w:val="none"/>
        </w:rPr>
        <w:t>第一册</w:t>
      </w:r>
    </w:p>
    <w:p>
      <w:pPr>
        <w:rPr>
          <w:rFonts w:hint="eastAsia" w:ascii="新宋体" w:hAnsi="新宋体" w:eastAsia="新宋体"/>
          <w:b/>
          <w:bCs/>
          <w:color w:val="auto"/>
          <w:sz w:val="48"/>
          <w:highlight w:val="none"/>
        </w:rPr>
      </w:pPr>
    </w:p>
    <w:p>
      <w:pPr>
        <w:jc w:val="center"/>
        <w:outlineLvl w:val="1"/>
        <w:rPr>
          <w:rFonts w:hint="eastAsia" w:ascii="新宋体" w:hAnsi="新宋体" w:eastAsia="新宋体"/>
          <w:b/>
          <w:bCs/>
          <w:color w:val="auto"/>
          <w:sz w:val="48"/>
          <w:highlight w:val="none"/>
        </w:rPr>
      </w:pPr>
      <w:r>
        <w:rPr>
          <w:rFonts w:hint="eastAsia" w:ascii="新宋体" w:hAnsi="新宋体" w:eastAsia="新宋体"/>
          <w:b/>
          <w:bCs/>
          <w:color w:val="auto"/>
          <w:sz w:val="48"/>
          <w:highlight w:val="none"/>
        </w:rPr>
        <w:t>通  用  文  本</w:t>
      </w: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spacing w:line="360" w:lineRule="auto"/>
        <w:jc w:val="center"/>
        <w:rPr>
          <w:rFonts w:hint="eastAsia" w:ascii="新宋体" w:hAnsi="新宋体" w:eastAsia="新宋体"/>
          <w:b/>
          <w:color w:val="auto"/>
          <w:sz w:val="22"/>
          <w:szCs w:val="22"/>
          <w:highlight w:val="none"/>
        </w:rPr>
      </w:pPr>
    </w:p>
    <w:p>
      <w:pPr>
        <w:pStyle w:val="2"/>
        <w:rPr>
          <w:rFonts w:hint="eastAsia"/>
          <w:color w:val="auto"/>
          <w:highlight w:val="none"/>
        </w:rPr>
      </w:pPr>
    </w:p>
    <w:p>
      <w:pPr>
        <w:spacing w:line="360" w:lineRule="auto"/>
        <w:jc w:val="center"/>
        <w:rPr>
          <w:rFonts w:hint="eastAsia" w:ascii="新宋体" w:hAnsi="新宋体" w:eastAsia="新宋体"/>
          <w:b/>
          <w:color w:val="auto"/>
          <w:sz w:val="22"/>
          <w:szCs w:val="22"/>
          <w:highlight w:val="none"/>
        </w:rPr>
      </w:pPr>
    </w:p>
    <w:p>
      <w:pPr>
        <w:pStyle w:val="22"/>
        <w:spacing w:line="460" w:lineRule="exact"/>
        <w:ind w:left="433" w:leftChars="206" w:firstLine="0" w:firstLineChars="0"/>
        <w:jc w:val="center"/>
        <w:outlineLvl w:val="0"/>
        <w:rPr>
          <w:rFonts w:hint="eastAsia" w:ascii="新宋体" w:hAnsi="新宋体" w:eastAsia="新宋体"/>
          <w:b/>
          <w:color w:val="auto"/>
          <w:sz w:val="30"/>
          <w:highlight w:val="none"/>
        </w:rPr>
      </w:pPr>
      <w:bookmarkStart w:id="0" w:name="_Toc84779266"/>
      <w:r>
        <w:rPr>
          <w:rFonts w:hint="eastAsia" w:ascii="新宋体" w:hAnsi="新宋体" w:eastAsia="新宋体"/>
          <w:b/>
          <w:color w:val="auto"/>
          <w:sz w:val="30"/>
          <w:highlight w:val="none"/>
        </w:rPr>
        <w:t>投标邀请函</w:t>
      </w:r>
      <w:bookmarkEnd w:id="0"/>
    </w:p>
    <w:p>
      <w:pPr>
        <w:spacing w:line="400" w:lineRule="exact"/>
        <w:rPr>
          <w:rFonts w:hint="eastAsia" w:ascii="新宋体" w:hAnsi="新宋体" w:eastAsia="新宋体"/>
          <w:color w:val="auto"/>
          <w:sz w:val="22"/>
          <w:highlight w:val="none"/>
        </w:rPr>
      </w:pPr>
      <w:r>
        <w:rPr>
          <w:rFonts w:hint="eastAsia" w:ascii="新宋体" w:hAnsi="新宋体" w:eastAsia="新宋体"/>
          <w:color w:val="auto"/>
          <w:sz w:val="22"/>
          <w:highlight w:val="none"/>
          <w:u w:val="single"/>
        </w:rPr>
        <w:t xml:space="preserve">                      </w:t>
      </w:r>
      <w:r>
        <w:rPr>
          <w:rFonts w:hint="eastAsia" w:ascii="新宋体" w:hAnsi="新宋体" w:eastAsia="新宋体"/>
          <w:color w:val="auto"/>
          <w:sz w:val="22"/>
          <w:highlight w:val="none"/>
        </w:rPr>
        <w:t>：</w:t>
      </w:r>
    </w:p>
    <w:p>
      <w:pPr>
        <w:keepNext w:val="0"/>
        <w:keepLines w:val="0"/>
        <w:pageBreakBefore w:val="0"/>
        <w:kinsoku/>
        <w:wordWrap/>
        <w:overflowPunct/>
        <w:topLinePunct w:val="0"/>
        <w:bidi w:val="0"/>
        <w:adjustRightInd/>
        <w:snapToGrid/>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温州历程招标有限公司受浙江省温州市中级人民法院委托，就</w:t>
      </w:r>
      <w:r>
        <w:rPr>
          <w:rFonts w:hint="eastAsia" w:ascii="新宋体" w:hAnsi="新宋体" w:eastAsia="新宋体"/>
          <w:color w:val="auto"/>
          <w:sz w:val="22"/>
          <w:highlight w:val="none"/>
          <w:lang w:eastAsia="zh-CN"/>
        </w:rPr>
        <w:t>电子卷宗随案生成及审判系统升级项目（软件部分）</w:t>
      </w:r>
      <w:r>
        <w:rPr>
          <w:rFonts w:hint="eastAsia" w:ascii="新宋体" w:hAnsi="新宋体" w:eastAsia="新宋体"/>
          <w:color w:val="auto"/>
          <w:sz w:val="22"/>
          <w:highlight w:val="none"/>
        </w:rPr>
        <w:t>进行公开招标，我们诚恳地邀请贵单位参加投标，并请按招标文件的要求认真准备按时前来投标。</w:t>
      </w:r>
    </w:p>
    <w:p>
      <w:pPr>
        <w:keepNext w:val="0"/>
        <w:keepLines w:val="0"/>
        <w:pageBreakBefore w:val="0"/>
        <w:kinsoku/>
        <w:wordWrap/>
        <w:overflowPunct/>
        <w:topLinePunct w:val="0"/>
        <w:bidi w:val="0"/>
        <w:adjustRightInd/>
        <w:snapToGrid/>
        <w:spacing w:line="44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1、项目编号：WZLCZB-SZS-2019-09156     </w:t>
      </w:r>
    </w:p>
    <w:p>
      <w:pPr>
        <w:keepNext w:val="0"/>
        <w:keepLines w:val="0"/>
        <w:pageBreakBefore w:val="0"/>
        <w:kinsoku/>
        <w:wordWrap/>
        <w:overflowPunct/>
        <w:topLinePunct w:val="0"/>
        <w:bidi w:val="0"/>
        <w:adjustRightInd/>
        <w:snapToGrid/>
        <w:spacing w:line="440" w:lineRule="exact"/>
        <w:ind w:firstLine="550" w:firstLineChars="250"/>
        <w:rPr>
          <w:rFonts w:hint="eastAsia" w:ascii="新宋体" w:hAnsi="新宋体" w:eastAsia="新宋体" w:cs="宋体"/>
          <w:color w:val="auto"/>
          <w:kern w:val="0"/>
          <w:sz w:val="22"/>
          <w:szCs w:val="22"/>
          <w:highlight w:val="none"/>
          <w:lang w:eastAsia="zh-CN"/>
        </w:rPr>
      </w:pPr>
      <w:r>
        <w:rPr>
          <w:rFonts w:hint="eastAsia" w:ascii="新宋体" w:hAnsi="新宋体" w:eastAsia="新宋体"/>
          <w:color w:val="auto"/>
          <w:sz w:val="22"/>
          <w:highlight w:val="none"/>
        </w:rPr>
        <w:t>2、项目名称：</w:t>
      </w:r>
      <w:r>
        <w:rPr>
          <w:rFonts w:hint="eastAsia" w:ascii="新宋体" w:hAnsi="新宋体" w:eastAsia="新宋体"/>
          <w:color w:val="auto"/>
          <w:sz w:val="22"/>
          <w:highlight w:val="none"/>
          <w:lang w:eastAsia="zh-CN"/>
        </w:rPr>
        <w:t>电子卷宗随案生成及审判系统升级项目（软件部分）</w:t>
      </w:r>
    </w:p>
    <w:p>
      <w:pPr>
        <w:keepNext w:val="0"/>
        <w:keepLines w:val="0"/>
        <w:pageBreakBefore w:val="0"/>
        <w:kinsoku/>
        <w:wordWrap/>
        <w:overflowPunct/>
        <w:topLinePunct w:val="0"/>
        <w:bidi w:val="0"/>
        <w:adjustRightInd/>
        <w:snapToGrid/>
        <w:spacing w:line="44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3、招标内容：详见招标文件</w:t>
      </w:r>
    </w:p>
    <w:p>
      <w:pPr>
        <w:keepNext w:val="0"/>
        <w:keepLines w:val="0"/>
        <w:pageBreakBefore w:val="0"/>
        <w:kinsoku/>
        <w:wordWrap/>
        <w:overflowPunct/>
        <w:topLinePunct w:val="0"/>
        <w:bidi w:val="0"/>
        <w:adjustRightInd/>
        <w:snapToGrid/>
        <w:spacing w:line="44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4、招标文件发售时间： 2019年 </w:t>
      </w:r>
      <w:r>
        <w:rPr>
          <w:rFonts w:hint="eastAsia" w:ascii="新宋体" w:hAnsi="新宋体" w:eastAsia="新宋体"/>
          <w:color w:val="auto"/>
          <w:sz w:val="22"/>
          <w:highlight w:val="none"/>
          <w:lang w:val="en-US" w:eastAsia="zh-CN"/>
        </w:rPr>
        <w:t>10</w:t>
      </w:r>
      <w:r>
        <w:rPr>
          <w:rFonts w:hint="eastAsia" w:ascii="新宋体" w:hAnsi="新宋体" w:eastAsia="新宋体"/>
          <w:color w:val="auto"/>
          <w:sz w:val="22"/>
          <w:highlight w:val="none"/>
        </w:rPr>
        <w:t xml:space="preserve"> 月 </w:t>
      </w:r>
      <w:r>
        <w:rPr>
          <w:rFonts w:hint="eastAsia" w:ascii="新宋体" w:hAnsi="新宋体" w:eastAsia="新宋体"/>
          <w:color w:val="auto"/>
          <w:sz w:val="22"/>
          <w:highlight w:val="none"/>
          <w:lang w:val="en-US" w:eastAsia="zh-CN"/>
        </w:rPr>
        <w:t>10</w:t>
      </w:r>
      <w:r>
        <w:rPr>
          <w:rFonts w:hint="eastAsia" w:ascii="新宋体" w:hAnsi="新宋体" w:eastAsia="新宋体"/>
          <w:color w:val="auto"/>
          <w:sz w:val="22"/>
          <w:highlight w:val="none"/>
        </w:rPr>
        <w:t xml:space="preserve"> 日至2019年  </w:t>
      </w:r>
      <w:r>
        <w:rPr>
          <w:rFonts w:hint="eastAsia" w:ascii="新宋体" w:hAnsi="新宋体" w:eastAsia="新宋体"/>
          <w:color w:val="auto"/>
          <w:sz w:val="22"/>
          <w:highlight w:val="none"/>
          <w:lang w:val="en-US" w:eastAsia="zh-CN"/>
        </w:rPr>
        <w:t>10</w:t>
      </w:r>
      <w:r>
        <w:rPr>
          <w:rFonts w:hint="eastAsia" w:ascii="新宋体" w:hAnsi="新宋体" w:eastAsia="新宋体"/>
          <w:color w:val="auto"/>
          <w:sz w:val="22"/>
          <w:highlight w:val="none"/>
        </w:rPr>
        <w:t xml:space="preserve"> 月 </w:t>
      </w:r>
      <w:r>
        <w:rPr>
          <w:rFonts w:hint="eastAsia" w:ascii="新宋体" w:hAnsi="新宋体" w:eastAsia="新宋体"/>
          <w:color w:val="auto"/>
          <w:sz w:val="22"/>
          <w:highlight w:val="none"/>
          <w:lang w:val="en-US" w:eastAsia="zh-CN"/>
        </w:rPr>
        <w:t>17</w:t>
      </w:r>
      <w:r>
        <w:rPr>
          <w:rFonts w:hint="eastAsia" w:ascii="新宋体" w:hAnsi="新宋体" w:eastAsia="新宋体"/>
          <w:color w:val="auto"/>
          <w:sz w:val="22"/>
          <w:highlight w:val="none"/>
        </w:rPr>
        <w:t xml:space="preserve"> 日止（上午9：00-11：30，下午2：00-5：00</w:t>
      </w:r>
      <w:r>
        <w:rPr>
          <w:rFonts w:ascii="新宋体" w:hAnsi="新宋体" w:eastAsia="新宋体"/>
          <w:color w:val="auto"/>
          <w:sz w:val="22"/>
          <w:highlight w:val="none"/>
        </w:rPr>
        <w:t>，法定休息日除外）(递交投标文件截止</w:t>
      </w:r>
      <w:r>
        <w:rPr>
          <w:rFonts w:hint="eastAsia" w:ascii="新宋体" w:hAnsi="新宋体" w:eastAsia="新宋体"/>
          <w:color w:val="auto"/>
          <w:sz w:val="22"/>
          <w:highlight w:val="none"/>
        </w:rPr>
        <w:t>之前购买招标文件均有效，未购买招标文件的潜在投标人拒绝参加投标</w:t>
      </w:r>
      <w:r>
        <w:rPr>
          <w:rFonts w:ascii="新宋体" w:hAnsi="新宋体" w:eastAsia="新宋体"/>
          <w:color w:val="auto"/>
          <w:sz w:val="22"/>
          <w:highlight w:val="none"/>
        </w:rPr>
        <w:t>)</w:t>
      </w:r>
    </w:p>
    <w:p>
      <w:pPr>
        <w:keepNext w:val="0"/>
        <w:keepLines w:val="0"/>
        <w:pageBreakBefore w:val="0"/>
        <w:widowControl/>
        <w:tabs>
          <w:tab w:val="left" w:pos="-360"/>
        </w:tabs>
        <w:kinsoku/>
        <w:wordWrap/>
        <w:overflowPunct/>
        <w:topLinePunct w:val="0"/>
        <w:autoSpaceDE w:val="0"/>
        <w:autoSpaceDN w:val="0"/>
        <w:bidi w:val="0"/>
        <w:adjustRightInd/>
        <w:snapToGrid/>
        <w:spacing w:line="440" w:lineRule="exact"/>
        <w:ind w:right="-34"/>
        <w:textAlignment w:val="bottom"/>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招标文件发售地点： 温州市鹿城区汤家桥路大自然家园三期2号楼B单元2901室</w:t>
      </w:r>
    </w:p>
    <w:p>
      <w:pPr>
        <w:keepNext w:val="0"/>
        <w:keepLines w:val="0"/>
        <w:pageBreakBefore w:val="0"/>
        <w:widowControl/>
        <w:tabs>
          <w:tab w:val="left" w:pos="-360"/>
        </w:tabs>
        <w:kinsoku/>
        <w:wordWrap/>
        <w:overflowPunct/>
        <w:topLinePunct w:val="0"/>
        <w:autoSpaceDE w:val="0"/>
        <w:autoSpaceDN w:val="0"/>
        <w:bidi w:val="0"/>
        <w:adjustRightInd/>
        <w:snapToGrid/>
        <w:spacing w:line="440" w:lineRule="exact"/>
        <w:ind w:right="-34" w:firstLine="880" w:firstLineChars="400"/>
        <w:textAlignment w:val="bottom"/>
        <w:rPr>
          <w:rFonts w:hint="eastAsia" w:ascii="新宋体" w:hAnsi="新宋体" w:eastAsia="新宋体"/>
          <w:color w:val="auto"/>
          <w:sz w:val="22"/>
          <w:highlight w:val="none"/>
        </w:rPr>
      </w:pPr>
      <w:r>
        <w:rPr>
          <w:rFonts w:hint="eastAsia" w:ascii="新宋体" w:hAnsi="新宋体" w:eastAsia="新宋体"/>
          <w:color w:val="auto"/>
          <w:sz w:val="22"/>
          <w:highlight w:val="none"/>
        </w:rPr>
        <w:t>招标文件发售价格：人民币500元（售后不退）</w:t>
      </w:r>
    </w:p>
    <w:p>
      <w:pPr>
        <w:keepNext w:val="0"/>
        <w:keepLines w:val="0"/>
        <w:pageBreakBefore w:val="0"/>
        <w:kinsoku/>
        <w:wordWrap/>
        <w:overflowPunct/>
        <w:topLinePunct w:val="0"/>
        <w:bidi w:val="0"/>
        <w:adjustRightInd/>
        <w:snapToGrid/>
        <w:spacing w:line="44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5、投标文件递交截止时间：2019年  </w:t>
      </w:r>
      <w:r>
        <w:rPr>
          <w:rFonts w:hint="eastAsia" w:ascii="新宋体" w:hAnsi="新宋体" w:eastAsia="新宋体"/>
          <w:color w:val="auto"/>
          <w:sz w:val="22"/>
          <w:highlight w:val="none"/>
          <w:lang w:val="en-US" w:eastAsia="zh-CN"/>
        </w:rPr>
        <w:t>11</w:t>
      </w:r>
      <w:r>
        <w:rPr>
          <w:rFonts w:hint="eastAsia" w:ascii="新宋体" w:hAnsi="新宋体" w:eastAsia="新宋体"/>
          <w:color w:val="auto"/>
          <w:sz w:val="22"/>
          <w:highlight w:val="none"/>
        </w:rPr>
        <w:t xml:space="preserve"> 月  </w:t>
      </w:r>
      <w:r>
        <w:rPr>
          <w:rFonts w:hint="eastAsia" w:ascii="新宋体" w:hAnsi="新宋体" w:eastAsia="新宋体"/>
          <w:color w:val="auto"/>
          <w:sz w:val="22"/>
          <w:highlight w:val="none"/>
          <w:lang w:val="en-US" w:eastAsia="zh-CN"/>
        </w:rPr>
        <w:t>1</w:t>
      </w:r>
      <w:r>
        <w:rPr>
          <w:rFonts w:hint="eastAsia" w:ascii="新宋体" w:hAnsi="新宋体" w:eastAsia="新宋体"/>
          <w:color w:val="auto"/>
          <w:sz w:val="22"/>
          <w:highlight w:val="none"/>
        </w:rPr>
        <w:t xml:space="preserve"> 日09:30分整；</w:t>
      </w:r>
    </w:p>
    <w:p>
      <w:pPr>
        <w:keepNext w:val="0"/>
        <w:keepLines w:val="0"/>
        <w:pageBreakBefore w:val="0"/>
        <w:widowControl/>
        <w:tabs>
          <w:tab w:val="left" w:pos="-360"/>
        </w:tabs>
        <w:kinsoku/>
        <w:wordWrap/>
        <w:overflowPunct/>
        <w:topLinePunct w:val="0"/>
        <w:autoSpaceDE w:val="0"/>
        <w:autoSpaceDN w:val="0"/>
        <w:bidi w:val="0"/>
        <w:adjustRightInd/>
        <w:snapToGrid/>
        <w:spacing w:line="440" w:lineRule="exact"/>
        <w:ind w:right="-34"/>
        <w:textAlignment w:val="bottom"/>
        <w:rPr>
          <w:rFonts w:hint="eastAsia" w:ascii="新宋体" w:hAnsi="新宋体" w:eastAsia="新宋体"/>
          <w:color w:val="auto"/>
          <w:spacing w:val="-3"/>
          <w:sz w:val="22"/>
          <w:highlight w:val="none"/>
        </w:rPr>
      </w:pPr>
      <w:r>
        <w:rPr>
          <w:rFonts w:hint="eastAsia" w:ascii="新宋体" w:hAnsi="新宋体" w:eastAsia="新宋体"/>
          <w:color w:val="auto"/>
          <w:sz w:val="22"/>
          <w:highlight w:val="none"/>
        </w:rPr>
        <w:t xml:space="preserve">      </w:t>
      </w:r>
      <w:r>
        <w:rPr>
          <w:rFonts w:hint="eastAsia" w:ascii="新宋体" w:hAnsi="新宋体" w:eastAsia="新宋体"/>
          <w:color w:val="auto"/>
          <w:spacing w:val="-3"/>
          <w:sz w:val="22"/>
          <w:highlight w:val="none"/>
        </w:rPr>
        <w:t xml:space="preserve"> 递交地点：温州市行政审批与公共资源交易服务管理中心</w:t>
      </w:r>
      <w:r>
        <w:rPr>
          <w:rFonts w:hint="eastAsia" w:ascii="新宋体" w:hAnsi="新宋体" w:eastAsia="新宋体"/>
          <w:b/>
          <w:bCs/>
          <w:color w:val="auto"/>
          <w:spacing w:val="-3"/>
          <w:sz w:val="22"/>
          <w:highlight w:val="none"/>
        </w:rPr>
        <w:t>（温州市鹿城区会展路1268号温州市民中心A座3楼公共资源交易受理区）</w:t>
      </w:r>
      <w:r>
        <w:rPr>
          <w:rFonts w:hint="eastAsia" w:ascii="新宋体" w:hAnsi="新宋体" w:eastAsia="新宋体"/>
          <w:color w:val="auto"/>
          <w:spacing w:val="-3"/>
          <w:sz w:val="22"/>
          <w:highlight w:val="none"/>
        </w:rPr>
        <w:t>。</w:t>
      </w:r>
    </w:p>
    <w:p>
      <w:pPr>
        <w:keepNext w:val="0"/>
        <w:keepLines w:val="0"/>
        <w:pageBreakBefore w:val="0"/>
        <w:kinsoku/>
        <w:wordWrap/>
        <w:overflowPunct/>
        <w:topLinePunct w:val="0"/>
        <w:bidi w:val="0"/>
        <w:adjustRightInd/>
        <w:snapToGrid/>
        <w:spacing w:line="440" w:lineRule="exact"/>
        <w:ind w:left="439" w:leftChars="209" w:firstLine="110" w:firstLineChars="5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6、开标时间：2019年 </w:t>
      </w:r>
      <w:r>
        <w:rPr>
          <w:rFonts w:hint="eastAsia" w:ascii="新宋体" w:hAnsi="新宋体" w:eastAsia="新宋体"/>
          <w:color w:val="auto"/>
          <w:sz w:val="22"/>
          <w:highlight w:val="none"/>
          <w:lang w:val="en-US" w:eastAsia="zh-CN"/>
        </w:rPr>
        <w:t>11</w:t>
      </w:r>
      <w:r>
        <w:rPr>
          <w:rFonts w:hint="eastAsia" w:ascii="新宋体" w:hAnsi="新宋体" w:eastAsia="新宋体"/>
          <w:color w:val="auto"/>
          <w:sz w:val="22"/>
          <w:highlight w:val="none"/>
        </w:rPr>
        <w:t xml:space="preserve">月 </w:t>
      </w:r>
      <w:r>
        <w:rPr>
          <w:rFonts w:hint="eastAsia" w:ascii="新宋体" w:hAnsi="新宋体" w:eastAsia="新宋体"/>
          <w:color w:val="auto"/>
          <w:sz w:val="22"/>
          <w:highlight w:val="none"/>
          <w:lang w:val="en-US" w:eastAsia="zh-CN"/>
        </w:rPr>
        <w:t>1</w:t>
      </w:r>
      <w:r>
        <w:rPr>
          <w:rFonts w:hint="eastAsia" w:ascii="新宋体" w:hAnsi="新宋体" w:eastAsia="新宋体"/>
          <w:color w:val="auto"/>
          <w:sz w:val="22"/>
          <w:highlight w:val="none"/>
        </w:rPr>
        <w:t xml:space="preserve">   日09:30分整；</w:t>
      </w:r>
    </w:p>
    <w:p>
      <w:pPr>
        <w:keepNext w:val="0"/>
        <w:keepLines w:val="0"/>
        <w:pageBreakBefore w:val="0"/>
        <w:kinsoku/>
        <w:wordWrap/>
        <w:overflowPunct/>
        <w:topLinePunct w:val="0"/>
        <w:bidi w:val="0"/>
        <w:adjustRightInd/>
        <w:snapToGrid/>
        <w:spacing w:line="440" w:lineRule="exact"/>
        <w:ind w:firstLine="880" w:firstLineChars="400"/>
        <w:rPr>
          <w:rFonts w:hint="eastAsia" w:ascii="新宋体" w:hAnsi="新宋体" w:eastAsia="新宋体"/>
          <w:color w:val="auto"/>
          <w:sz w:val="22"/>
          <w:highlight w:val="none"/>
        </w:rPr>
      </w:pPr>
      <w:r>
        <w:rPr>
          <w:rFonts w:hint="eastAsia" w:ascii="新宋体" w:hAnsi="新宋体" w:eastAsia="新宋体"/>
          <w:color w:val="auto"/>
          <w:sz w:val="22"/>
          <w:highlight w:val="none"/>
        </w:rPr>
        <w:t>开标地点：</w:t>
      </w:r>
      <w:r>
        <w:rPr>
          <w:rFonts w:hint="eastAsia" w:ascii="新宋体" w:hAnsi="新宋体" w:eastAsia="新宋体"/>
          <w:color w:val="auto"/>
          <w:spacing w:val="-3"/>
          <w:sz w:val="22"/>
          <w:highlight w:val="none"/>
        </w:rPr>
        <w:t>温州市行政审批与公共资源交易服务管理中心</w:t>
      </w:r>
      <w:r>
        <w:rPr>
          <w:rFonts w:hint="eastAsia" w:ascii="新宋体" w:hAnsi="新宋体" w:eastAsia="新宋体"/>
          <w:b/>
          <w:bCs/>
          <w:color w:val="auto"/>
          <w:spacing w:val="-3"/>
          <w:sz w:val="22"/>
          <w:highlight w:val="none"/>
        </w:rPr>
        <w:t>（温州市鹿城区会展路1268号温州市民中心A座3楼公共资源交易</w:t>
      </w:r>
      <w:r>
        <w:rPr>
          <w:rFonts w:hint="eastAsia" w:ascii="新宋体" w:hAnsi="新宋体" w:eastAsia="新宋体"/>
          <w:b/>
          <w:bCs/>
          <w:color w:val="auto"/>
          <w:spacing w:val="-3"/>
          <w:sz w:val="22"/>
          <w:highlight w:val="none"/>
          <w:lang w:val="en-US" w:eastAsia="zh-CN"/>
        </w:rPr>
        <w:t>开标区</w:t>
      </w:r>
      <w:r>
        <w:rPr>
          <w:rFonts w:hint="eastAsia" w:ascii="新宋体" w:hAnsi="新宋体" w:eastAsia="新宋体"/>
          <w:b/>
          <w:bCs/>
          <w:color w:val="auto"/>
          <w:spacing w:val="-3"/>
          <w:sz w:val="22"/>
          <w:highlight w:val="none"/>
        </w:rPr>
        <w:t>）</w:t>
      </w:r>
      <w:r>
        <w:rPr>
          <w:rFonts w:hint="eastAsia" w:ascii="新宋体" w:hAnsi="新宋体" w:eastAsia="新宋体"/>
          <w:color w:val="auto"/>
          <w:sz w:val="22"/>
          <w:highlight w:val="none"/>
        </w:rPr>
        <w:t>。</w:t>
      </w:r>
    </w:p>
    <w:p>
      <w:pPr>
        <w:keepNext w:val="0"/>
        <w:keepLines w:val="0"/>
        <w:pageBreakBefore w:val="0"/>
        <w:kinsoku/>
        <w:wordWrap/>
        <w:overflowPunct/>
        <w:topLinePunct w:val="0"/>
        <w:bidi w:val="0"/>
        <w:adjustRightInd/>
        <w:snapToGrid/>
        <w:spacing w:line="44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7、招标人：浙江省温州市中级人民法院</w:t>
      </w:r>
    </w:p>
    <w:p>
      <w:pPr>
        <w:keepNext w:val="0"/>
        <w:keepLines w:val="0"/>
        <w:pageBreakBefore w:val="0"/>
        <w:kinsoku/>
        <w:wordWrap/>
        <w:overflowPunct/>
        <w:topLinePunct w:val="0"/>
        <w:bidi w:val="0"/>
        <w:adjustRightInd/>
        <w:snapToGrid/>
        <w:spacing w:line="440" w:lineRule="exact"/>
        <w:ind w:firstLine="880" w:firstLineChars="400"/>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w:t>
      </w:r>
      <w:bookmarkStart w:id="1" w:name="OLE_LINK10"/>
      <w:r>
        <w:rPr>
          <w:rFonts w:hint="eastAsia" w:ascii="新宋体" w:hAnsi="新宋体" w:eastAsia="新宋体"/>
          <w:color w:val="auto"/>
          <w:sz w:val="22"/>
          <w:highlight w:val="none"/>
        </w:rPr>
        <w:t xml:space="preserve">联系人：林先生 </w:t>
      </w:r>
    </w:p>
    <w:p>
      <w:pPr>
        <w:keepNext w:val="0"/>
        <w:keepLines w:val="0"/>
        <w:pageBreakBefore w:val="0"/>
        <w:kinsoku/>
        <w:wordWrap/>
        <w:overflowPunct/>
        <w:topLinePunct w:val="0"/>
        <w:bidi w:val="0"/>
        <w:adjustRightInd/>
        <w:snapToGrid/>
        <w:spacing w:line="440" w:lineRule="exact"/>
        <w:ind w:firstLine="880" w:firstLineChars="400"/>
        <w:rPr>
          <w:rFonts w:hint="eastAsia" w:ascii="新宋体" w:hAnsi="新宋体" w:eastAsia="新宋体"/>
          <w:color w:val="auto"/>
          <w:sz w:val="22"/>
          <w:highlight w:val="none"/>
        </w:rPr>
      </w:pPr>
      <w:r>
        <w:rPr>
          <w:rFonts w:hint="eastAsia" w:ascii="新宋体" w:hAnsi="新宋体" w:eastAsia="新宋体"/>
          <w:color w:val="auto"/>
          <w:sz w:val="22"/>
          <w:highlight w:val="none"/>
        </w:rPr>
        <w:t>电话：0577-</w:t>
      </w:r>
      <w:bookmarkEnd w:id="1"/>
      <w:r>
        <w:rPr>
          <w:rFonts w:hint="eastAsia" w:ascii="新宋体" w:hAnsi="新宋体" w:eastAsia="新宋体"/>
          <w:color w:val="auto"/>
          <w:sz w:val="22"/>
          <w:highlight w:val="none"/>
          <w:lang w:val="en-US" w:eastAsia="zh-CN"/>
        </w:rPr>
        <w:t>88018608</w:t>
      </w:r>
      <w:r>
        <w:rPr>
          <w:rFonts w:hint="eastAsia" w:ascii="新宋体" w:hAnsi="新宋体" w:eastAsia="新宋体"/>
          <w:color w:val="auto"/>
          <w:sz w:val="22"/>
          <w:highlight w:val="none"/>
        </w:rPr>
        <w:t xml:space="preserve">   </w:t>
      </w:r>
    </w:p>
    <w:p>
      <w:pPr>
        <w:keepNext w:val="0"/>
        <w:keepLines w:val="0"/>
        <w:pageBreakBefore w:val="0"/>
        <w:kinsoku/>
        <w:wordWrap/>
        <w:overflowPunct/>
        <w:topLinePunct w:val="0"/>
        <w:bidi w:val="0"/>
        <w:adjustRightInd/>
        <w:snapToGrid/>
        <w:spacing w:line="440" w:lineRule="exact"/>
        <w:ind w:firstLine="880" w:firstLineChars="4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招标代理公司：温州历程招标有限公司</w:t>
      </w:r>
    </w:p>
    <w:p>
      <w:pPr>
        <w:keepNext w:val="0"/>
        <w:keepLines w:val="0"/>
        <w:pageBreakBefore w:val="0"/>
        <w:kinsoku/>
        <w:wordWrap/>
        <w:overflowPunct/>
        <w:topLinePunct w:val="0"/>
        <w:bidi w:val="0"/>
        <w:adjustRightInd/>
        <w:snapToGrid/>
        <w:spacing w:line="440" w:lineRule="exact"/>
        <w:ind w:firstLine="880" w:firstLineChars="4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地点：温州市鹿城区汤家桥路大自然家园三期2号楼B单元2901室</w:t>
      </w:r>
    </w:p>
    <w:p>
      <w:pPr>
        <w:keepNext w:val="0"/>
        <w:keepLines w:val="0"/>
        <w:pageBreakBefore w:val="0"/>
        <w:kinsoku/>
        <w:wordWrap/>
        <w:overflowPunct/>
        <w:topLinePunct w:val="0"/>
        <w:bidi w:val="0"/>
        <w:adjustRightInd/>
        <w:snapToGrid/>
        <w:spacing w:line="440" w:lineRule="exact"/>
        <w:ind w:left="441" w:leftChars="210" w:firstLine="440" w:firstLineChars="200"/>
        <w:rPr>
          <w:rFonts w:ascii="新宋体" w:hAnsi="新宋体" w:eastAsia="新宋体" w:cs="新宋体"/>
          <w:color w:val="auto"/>
          <w:sz w:val="22"/>
          <w:highlight w:val="none"/>
        </w:rPr>
      </w:pPr>
      <w:r>
        <w:rPr>
          <w:rFonts w:hint="eastAsia" w:ascii="新宋体" w:hAnsi="新宋体" w:eastAsia="新宋体" w:cs="新宋体"/>
          <w:color w:val="auto"/>
          <w:sz w:val="22"/>
          <w:highlight w:val="none"/>
        </w:rPr>
        <w:t>联系人：郑永强</w:t>
      </w:r>
    </w:p>
    <w:p>
      <w:pPr>
        <w:keepNext w:val="0"/>
        <w:keepLines w:val="0"/>
        <w:pageBreakBefore w:val="0"/>
        <w:kinsoku/>
        <w:wordWrap/>
        <w:overflowPunct/>
        <w:topLinePunct w:val="0"/>
        <w:bidi w:val="0"/>
        <w:adjustRightInd/>
        <w:snapToGrid/>
        <w:spacing w:line="440" w:lineRule="exact"/>
        <w:ind w:left="441" w:leftChars="210"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电话：0577-89887255  13757727199 </w:t>
      </w:r>
    </w:p>
    <w:p>
      <w:pPr>
        <w:keepNext w:val="0"/>
        <w:keepLines w:val="0"/>
        <w:pageBreakBefore w:val="0"/>
        <w:kinsoku/>
        <w:wordWrap/>
        <w:overflowPunct/>
        <w:topLinePunct w:val="0"/>
        <w:bidi w:val="0"/>
        <w:adjustRightInd/>
        <w:snapToGrid/>
        <w:spacing w:line="440" w:lineRule="exact"/>
        <w:ind w:left="441" w:leftChars="210" w:firstLine="440" w:firstLineChars="2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传真：0577-89887255</w:t>
      </w:r>
    </w:p>
    <w:p>
      <w:pPr>
        <w:keepNext w:val="0"/>
        <w:keepLines w:val="0"/>
        <w:pageBreakBefore w:val="0"/>
        <w:kinsoku/>
        <w:wordWrap/>
        <w:overflowPunct/>
        <w:topLinePunct w:val="0"/>
        <w:bidi w:val="0"/>
        <w:adjustRightInd/>
        <w:snapToGrid/>
        <w:spacing w:line="440" w:lineRule="exact"/>
        <w:ind w:firstLine="759" w:firstLineChars="3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8、同级采购监督部门：温州市财政局政府采购监管处</w:t>
      </w:r>
    </w:p>
    <w:p>
      <w:pPr>
        <w:keepNext w:val="0"/>
        <w:keepLines w:val="0"/>
        <w:pageBreakBefore w:val="0"/>
        <w:kinsoku/>
        <w:wordWrap/>
        <w:overflowPunct/>
        <w:topLinePunct w:val="0"/>
        <w:bidi w:val="0"/>
        <w:adjustRightInd/>
        <w:snapToGrid/>
        <w:spacing w:line="440" w:lineRule="exact"/>
        <w:ind w:firstLine="880" w:firstLineChars="4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联系人：陈先生、马女士</w:t>
      </w:r>
    </w:p>
    <w:p>
      <w:pPr>
        <w:keepNext w:val="0"/>
        <w:keepLines w:val="0"/>
        <w:pageBreakBefore w:val="0"/>
        <w:kinsoku/>
        <w:wordWrap/>
        <w:overflowPunct/>
        <w:topLinePunct w:val="0"/>
        <w:bidi w:val="0"/>
        <w:adjustRightInd/>
        <w:snapToGrid/>
        <w:spacing w:line="440" w:lineRule="exact"/>
        <w:ind w:firstLine="880" w:firstLineChars="4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 xml:space="preserve">电话：0577-88506788、0577-88523909 </w:t>
      </w:r>
    </w:p>
    <w:p>
      <w:pPr>
        <w:spacing w:line="440" w:lineRule="exact"/>
        <w:ind w:left="441" w:leftChars="210" w:firstLine="2200" w:firstLineChars="1000"/>
        <w:rPr>
          <w:rFonts w:hint="eastAsia" w:ascii="新宋体" w:hAnsi="新宋体" w:eastAsia="新宋体"/>
          <w:color w:val="auto"/>
          <w:kern w:val="0"/>
          <w:sz w:val="22"/>
          <w:highlight w:val="none"/>
        </w:rPr>
      </w:pPr>
      <w:r>
        <w:rPr>
          <w:rFonts w:hint="eastAsia" w:ascii="新宋体" w:hAnsi="新宋体" w:eastAsia="新宋体"/>
          <w:color w:val="auto"/>
          <w:sz w:val="22"/>
          <w:highlight w:val="none"/>
        </w:rPr>
        <w:t xml:space="preserve">                                       浙江省温州市中级人民法院</w:t>
      </w:r>
    </w:p>
    <w:p>
      <w:pPr>
        <w:spacing w:line="400" w:lineRule="exact"/>
        <w:jc w:val="right"/>
        <w:rPr>
          <w:rFonts w:hint="eastAsia" w:ascii="新宋体" w:hAnsi="新宋体" w:eastAsia="新宋体"/>
          <w:color w:val="auto"/>
          <w:sz w:val="22"/>
          <w:highlight w:val="none"/>
        </w:rPr>
      </w:pPr>
      <w:r>
        <w:rPr>
          <w:rFonts w:hint="eastAsia" w:ascii="新宋体" w:hAnsi="新宋体" w:eastAsia="新宋体"/>
          <w:color w:val="auto"/>
          <w:sz w:val="22"/>
          <w:highlight w:val="none"/>
        </w:rPr>
        <w:t>温州历程招标有限公司</w:t>
      </w:r>
    </w:p>
    <w:p>
      <w:pPr>
        <w:spacing w:line="460" w:lineRule="exact"/>
        <w:jc w:val="center"/>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                                                               2019年  </w:t>
      </w:r>
      <w:r>
        <w:rPr>
          <w:rFonts w:hint="eastAsia" w:ascii="新宋体" w:hAnsi="新宋体" w:eastAsia="新宋体"/>
          <w:color w:val="auto"/>
          <w:sz w:val="22"/>
          <w:highlight w:val="none"/>
          <w:lang w:val="en-US" w:eastAsia="zh-CN"/>
        </w:rPr>
        <w:t>10</w:t>
      </w:r>
      <w:r>
        <w:rPr>
          <w:rFonts w:hint="eastAsia" w:ascii="新宋体" w:hAnsi="新宋体" w:eastAsia="新宋体"/>
          <w:color w:val="auto"/>
          <w:sz w:val="22"/>
          <w:highlight w:val="none"/>
        </w:rPr>
        <w:t>月</w:t>
      </w:r>
    </w:p>
    <w:p>
      <w:pPr>
        <w:pStyle w:val="22"/>
        <w:spacing w:line="460" w:lineRule="exact"/>
        <w:ind w:left="433" w:leftChars="206" w:firstLine="0" w:firstLineChars="0"/>
        <w:jc w:val="center"/>
        <w:outlineLvl w:val="0"/>
        <w:rPr>
          <w:rFonts w:hint="eastAsia" w:ascii="新宋体" w:hAnsi="新宋体" w:eastAsia="新宋体"/>
          <w:b/>
          <w:color w:val="auto"/>
          <w:sz w:val="30"/>
          <w:highlight w:val="none"/>
        </w:rPr>
      </w:pPr>
      <w:r>
        <w:rPr>
          <w:rFonts w:hint="eastAsia" w:ascii="新宋体" w:hAnsi="新宋体" w:eastAsia="新宋体"/>
          <w:b/>
          <w:color w:val="auto"/>
          <w:sz w:val="30"/>
          <w:highlight w:val="none"/>
        </w:rPr>
        <w:t>第一部分    投标人须知</w:t>
      </w:r>
    </w:p>
    <w:p>
      <w:pPr>
        <w:spacing w:before="100" w:beforeAutospacing="1" w:after="100" w:afterAutospacing="1" w:line="460" w:lineRule="exact"/>
        <w:jc w:val="center"/>
        <w:outlineLvl w:val="1"/>
        <w:rPr>
          <w:rFonts w:hint="eastAsia" w:ascii="新宋体" w:hAnsi="新宋体" w:eastAsia="新宋体"/>
          <w:b/>
          <w:bCs/>
          <w:color w:val="auto"/>
          <w:sz w:val="32"/>
          <w:szCs w:val="32"/>
          <w:highlight w:val="none"/>
        </w:rPr>
      </w:pPr>
      <w:r>
        <w:rPr>
          <w:rFonts w:hint="eastAsia" w:ascii="新宋体" w:hAnsi="新宋体" w:eastAsia="新宋体"/>
          <w:b/>
          <w:bCs/>
          <w:color w:val="auto"/>
          <w:sz w:val="26"/>
          <w:szCs w:val="26"/>
          <w:highlight w:val="none"/>
        </w:rPr>
        <w:t>一、 说   明</w:t>
      </w:r>
    </w:p>
    <w:p>
      <w:pPr>
        <w:tabs>
          <w:tab w:val="left" w:pos="360"/>
        </w:tabs>
        <w:spacing w:line="460" w:lineRule="exact"/>
        <w:ind w:firstLine="550" w:firstLineChars="250"/>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1、本次招标是按照《中华人民共和国政府采购法》、《政府采购货物和服务招标投标管理办法》、《中华人民共和国政府采购法实施条例》和《关于进一步规范政府采购活动的若干意见》等法律及有关法规组织和实施的。</w:t>
      </w:r>
    </w:p>
    <w:p>
      <w:pPr>
        <w:tabs>
          <w:tab w:val="left" w:pos="360"/>
        </w:tabs>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w:t>
      </w:r>
      <w:r>
        <w:rPr>
          <w:rFonts w:hint="eastAsia" w:ascii="新宋体" w:hAnsi="新宋体" w:eastAsia="新宋体"/>
          <w:color w:val="auto"/>
          <w:sz w:val="22"/>
          <w:szCs w:val="22"/>
          <w:highlight w:val="none"/>
        </w:rPr>
        <w:t>招标内容：</w:t>
      </w:r>
    </w:p>
    <w:p>
      <w:pPr>
        <w:spacing w:line="460" w:lineRule="exact"/>
        <w:ind w:firstLine="539" w:firstLineChars="245"/>
        <w:rPr>
          <w:rFonts w:hint="eastAsia" w:ascii="新宋体" w:hAnsi="新宋体" w:eastAsia="新宋体"/>
          <w:b/>
          <w:color w:val="auto"/>
          <w:sz w:val="22"/>
          <w:szCs w:val="22"/>
          <w:highlight w:val="none"/>
          <w:lang w:eastAsia="zh-CN"/>
        </w:rPr>
      </w:pPr>
      <w:r>
        <w:rPr>
          <w:rFonts w:hint="eastAsia" w:ascii="新宋体" w:hAnsi="新宋体" w:eastAsia="新宋体" w:cs="新宋体"/>
          <w:color w:val="auto"/>
          <w:sz w:val="22"/>
          <w:szCs w:val="22"/>
          <w:highlight w:val="none"/>
          <w:lang w:eastAsia="zh-CN"/>
        </w:rPr>
        <w:t>电子卷宗随案生成及审判系统升级项目（软件部分）</w:t>
      </w:r>
    </w:p>
    <w:p>
      <w:pPr>
        <w:spacing w:line="460" w:lineRule="exact"/>
        <w:ind w:firstLine="541" w:firstLineChars="245"/>
        <w:rPr>
          <w:rFonts w:hint="eastAsia" w:ascii="新宋体" w:hAnsi="新宋体" w:eastAsia="新宋体"/>
          <w:b/>
          <w:bCs w:val="0"/>
          <w:color w:val="auto"/>
          <w:sz w:val="22"/>
          <w:szCs w:val="22"/>
          <w:highlight w:val="none"/>
        </w:rPr>
      </w:pPr>
      <w:r>
        <w:rPr>
          <w:rFonts w:hint="eastAsia" w:ascii="新宋体" w:hAnsi="新宋体" w:eastAsia="新宋体"/>
          <w:b/>
          <w:bCs w:val="0"/>
          <w:color w:val="auto"/>
          <w:sz w:val="22"/>
          <w:szCs w:val="22"/>
          <w:highlight w:val="none"/>
        </w:rPr>
        <w:t>财政预算:</w:t>
      </w:r>
      <w:r>
        <w:rPr>
          <w:rFonts w:hint="eastAsia" w:ascii="新宋体" w:hAnsi="新宋体" w:eastAsia="新宋体" w:cs="新宋体"/>
          <w:b/>
          <w:bCs w:val="0"/>
          <w:color w:val="auto"/>
          <w:sz w:val="22"/>
          <w:szCs w:val="22"/>
          <w:highlight w:val="none"/>
        </w:rPr>
        <w:t>人民币伍佰玖拾陆万伍仟元整（¥5965000 .00元）</w:t>
      </w:r>
    </w:p>
    <w:p>
      <w:pPr>
        <w:tabs>
          <w:tab w:val="left" w:pos="360"/>
        </w:tabs>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3、合格投标人</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3.</w:t>
      </w:r>
      <w:r>
        <w:rPr>
          <w:rFonts w:ascii="新宋体" w:hAnsi="新宋体" w:eastAsia="新宋体"/>
          <w:color w:val="auto"/>
          <w:sz w:val="22"/>
          <w:szCs w:val="22"/>
          <w:highlight w:val="none"/>
        </w:rPr>
        <w:t>1</w:t>
      </w:r>
      <w:r>
        <w:rPr>
          <w:rFonts w:hint="eastAsia" w:ascii="新宋体" w:hAnsi="新宋体" w:eastAsia="新宋体"/>
          <w:color w:val="auto"/>
          <w:sz w:val="22"/>
          <w:szCs w:val="22"/>
          <w:highlight w:val="none"/>
        </w:rPr>
        <w:t>符合《中华人民共和国政府采购法》第22条规定的投标人资格条件</w:t>
      </w:r>
      <w:r>
        <w:rPr>
          <w:rFonts w:ascii="新宋体" w:hAnsi="新宋体" w:eastAsia="新宋体"/>
          <w:color w:val="auto"/>
          <w:sz w:val="22"/>
          <w:szCs w:val="22"/>
          <w:highlight w:val="none"/>
        </w:rPr>
        <w:t>；</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3.2</w:t>
      </w:r>
      <w:r>
        <w:rPr>
          <w:rFonts w:ascii="新宋体" w:hAnsi="新宋体" w:eastAsia="新宋体"/>
          <w:color w:val="auto"/>
          <w:sz w:val="22"/>
          <w:szCs w:val="22"/>
          <w:highlight w:val="none"/>
        </w:rPr>
        <w:t>本项目不接受联合体</w:t>
      </w:r>
      <w:r>
        <w:rPr>
          <w:rFonts w:hint="eastAsia" w:ascii="新宋体" w:hAnsi="新宋体" w:eastAsia="新宋体"/>
          <w:color w:val="auto"/>
          <w:sz w:val="22"/>
          <w:szCs w:val="22"/>
          <w:highlight w:val="none"/>
        </w:rPr>
        <w:t>投标。</w:t>
      </w:r>
    </w:p>
    <w:p>
      <w:pPr>
        <w:spacing w:line="46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szCs w:val="22"/>
          <w:highlight w:val="none"/>
        </w:rPr>
        <w:t>3.3</w:t>
      </w:r>
      <w:r>
        <w:rPr>
          <w:rFonts w:hint="eastAsia" w:ascii="新宋体" w:hAnsi="新宋体" w:eastAsia="新宋体"/>
          <w:color w:val="auto"/>
          <w:sz w:val="22"/>
          <w:highlight w:val="none"/>
        </w:rPr>
        <w:t>单位负责人为同一人或者存在直接控股、管理关系的不同供应商，不得参加同一合同项下的政府采购活动。违反该款规定的，相关投标均无效。</w:t>
      </w:r>
    </w:p>
    <w:p>
      <w:pPr>
        <w:spacing w:line="460" w:lineRule="exact"/>
        <w:ind w:firstLine="539" w:firstLineChars="245"/>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除单一来源采购项目外，为采购项目提供整体设计、规范编制或者项目管理、监理、检测等服务的供应商，不得再参加该采购项目的其他采购活动。</w:t>
      </w:r>
    </w:p>
    <w:p>
      <w:pPr>
        <w:tabs>
          <w:tab w:val="left" w:pos="360"/>
        </w:tabs>
        <w:spacing w:line="46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color w:val="auto"/>
          <w:sz w:val="22"/>
          <w:szCs w:val="22"/>
          <w:highlight w:val="none"/>
        </w:rPr>
        <w:t>4、投标人代表</w:t>
      </w:r>
    </w:p>
    <w:p>
      <w:pPr>
        <w:tabs>
          <w:tab w:val="left" w:pos="360"/>
        </w:tabs>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4.1指全权代表投标人参加投标活动并签署投标文件的人，如果投标人代表不是法定代表人，须持有《法定代表人授权书》（见附件）。</w:t>
      </w:r>
    </w:p>
    <w:p>
      <w:pPr>
        <w:tabs>
          <w:tab w:val="left" w:pos="360"/>
        </w:tabs>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highlight w:val="none"/>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5、投标费用</w:t>
      </w:r>
    </w:p>
    <w:p>
      <w:pPr>
        <w:spacing w:line="46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color w:val="auto"/>
          <w:sz w:val="22"/>
          <w:szCs w:val="22"/>
          <w:highlight w:val="none"/>
        </w:rPr>
        <w:t>5.1</w:t>
      </w:r>
      <w:r>
        <w:rPr>
          <w:rFonts w:hint="eastAsia" w:ascii="新宋体" w:hAnsi="新宋体" w:eastAsia="新宋体"/>
          <w:color w:val="auto"/>
          <w:sz w:val="22"/>
          <w:szCs w:val="22"/>
          <w:highlight w:val="none"/>
        </w:rPr>
        <w:t>投标人应承担所有与准备和参加投标有关费用，不论投标的结果如何，招标人或招标代理公司均无义务和责任承担这些费用。</w:t>
      </w:r>
    </w:p>
    <w:p>
      <w:pPr>
        <w:spacing w:before="100" w:beforeAutospacing="1" w:after="100" w:afterAutospacing="1" w:line="460" w:lineRule="exact"/>
        <w:jc w:val="center"/>
        <w:outlineLvl w:val="1"/>
        <w:rPr>
          <w:rFonts w:hint="eastAsia"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二、 招标文件</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1、招标文件由招标文件目录所列内容及相关资料组成。</w:t>
      </w:r>
    </w:p>
    <w:p>
      <w:pPr>
        <w:tabs>
          <w:tab w:val="left" w:pos="360"/>
        </w:tabs>
        <w:spacing w:line="460" w:lineRule="exact"/>
        <w:ind w:firstLine="552" w:firstLineChars="250"/>
        <w:rPr>
          <w:rFonts w:hint="eastAsia" w:ascii="新宋体" w:hAnsi="新宋体" w:eastAsia="新宋体"/>
          <w:b/>
          <w:color w:val="auto"/>
          <w:sz w:val="22"/>
          <w:highlight w:val="none"/>
        </w:rPr>
      </w:pPr>
      <w:r>
        <w:rPr>
          <w:rFonts w:hint="eastAsia" w:ascii="新宋体" w:hAnsi="新宋体" w:eastAsia="新宋体"/>
          <w:b/>
          <w:color w:val="auto"/>
          <w:sz w:val="22"/>
          <w:highlight w:val="none"/>
        </w:rPr>
        <w:t>2、招标文件的澄清</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2.1 任何要求对招标文件进行澄清的投标人，均应以书面形式（信函、传真，下同）通知，但该通知在知道或应知道其权益受到损害之日起七个工作日内以使招标人或招标代理机构收到，招标人或招标代理机构将以书面形式予以答复。如有必要，可将不说明问题来源的答复发给各投标文件收受人或召开答疑会。如果招标文件澄清期内未收到有关澄清要求，视为投标人完全同意招标文件所有条款，且对于招标文件有关表述以及未尽事宜如有异议，以招标人或招标代理机构解释为准。</w:t>
      </w:r>
    </w:p>
    <w:p>
      <w:pPr>
        <w:tabs>
          <w:tab w:val="left" w:pos="360"/>
        </w:tabs>
        <w:spacing w:line="460" w:lineRule="exact"/>
        <w:ind w:firstLine="552" w:firstLineChars="250"/>
        <w:rPr>
          <w:rFonts w:hint="eastAsia" w:ascii="新宋体" w:hAnsi="新宋体" w:eastAsia="新宋体"/>
          <w:b/>
          <w:color w:val="auto"/>
          <w:sz w:val="22"/>
          <w:highlight w:val="none"/>
        </w:rPr>
      </w:pPr>
      <w:r>
        <w:rPr>
          <w:rFonts w:hint="eastAsia" w:ascii="新宋体" w:hAnsi="新宋体" w:eastAsia="新宋体"/>
          <w:b/>
          <w:color w:val="auto"/>
          <w:sz w:val="22"/>
          <w:highlight w:val="none"/>
        </w:rPr>
        <w:t>3、招标文件的修改</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3.1招标人或招标代理机构对已发出的招标文件进行必要的澄清或者修改的，应当在招标文件要求递交投标文件截止时间十五日前，在财政部门指定的政府采购信息发布媒体上发布更正公告，并以书面形式通知所有招标文件收受人。该澄清或修改内容为招标文件的组成部分。招标文件收受人收到该书面通知后，应立即书面回复确认已收到该通知。</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highlight w:val="none"/>
        </w:rPr>
        <w:t>3.2招标人、招标代理机构可以视采购的具体情况决定是否延长投标截止时间和开标时间，并在招标文件要求递交投标文件的截止时间三日前，将变更时间书面通知所有招标文件收受人，同时在财政部门指定的政府采购信息发布媒体上发布变更公告。招标文件收受人收到变更时间的书面通知后，应立即书面回复确认已收到该通知</w:t>
      </w:r>
      <w:r>
        <w:rPr>
          <w:rFonts w:hint="eastAsia" w:ascii="新宋体" w:hAnsi="新宋体" w:eastAsia="新宋体"/>
          <w:color w:val="auto"/>
          <w:sz w:val="22"/>
          <w:szCs w:val="22"/>
          <w:highlight w:val="none"/>
        </w:rPr>
        <w:t>。</w:t>
      </w:r>
    </w:p>
    <w:p>
      <w:pPr>
        <w:spacing w:before="100" w:beforeAutospacing="1" w:after="100" w:afterAutospacing="1" w:line="460" w:lineRule="exact"/>
        <w:jc w:val="center"/>
        <w:outlineLvl w:val="1"/>
        <w:rPr>
          <w:rFonts w:hint="eastAsia"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三、 投标文件的编制</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1、投标人应认真阅读招标文件中所有事项、格式、条款和技术规范等。</w:t>
      </w:r>
      <w:r>
        <w:rPr>
          <w:rFonts w:hint="eastAsia" w:ascii="新宋体" w:hAnsi="新宋体" w:eastAsia="新宋体"/>
          <w:b/>
          <w:color w:val="auto"/>
          <w:sz w:val="22"/>
          <w:highlight w:val="none"/>
        </w:rPr>
        <w:t>投标人没有按照招标文件要求提交全部资料，或者没有对招标文件各个方面做出实质性响应，导致投标被否决的风险由投标人自行承担。</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highlight w:val="none"/>
        </w:rPr>
        <w:t>2、投标人应保证所提供文件资料的真实性，所有文件资料必须是针对本次投标的。如发现投标人提供了虚假文件资料，其投标将被否决，并自行承担相应的法律责任。</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3、</w:t>
      </w:r>
      <w:r>
        <w:rPr>
          <w:rFonts w:hint="eastAsia" w:ascii="新宋体" w:hAnsi="新宋体" w:eastAsia="新宋体"/>
          <w:b/>
          <w:bCs/>
          <w:color w:val="auto"/>
          <w:sz w:val="22"/>
          <w:szCs w:val="22"/>
          <w:highlight w:val="none"/>
        </w:rPr>
        <w:t>投标文件的构成：</w:t>
      </w:r>
    </w:p>
    <w:p>
      <w:pPr>
        <w:spacing w:line="46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color w:val="auto"/>
          <w:sz w:val="22"/>
          <w:szCs w:val="22"/>
          <w:highlight w:val="none"/>
        </w:rPr>
        <w:t>3.1</w:t>
      </w:r>
      <w:r>
        <w:rPr>
          <w:rFonts w:hint="eastAsia" w:ascii="新宋体" w:hAnsi="新宋体" w:eastAsia="新宋体"/>
          <w:color w:val="auto"/>
          <w:sz w:val="22"/>
          <w:szCs w:val="22"/>
          <w:highlight w:val="none"/>
        </w:rPr>
        <w:t>投标文件由技术标和商务标两部分构成：</w:t>
      </w:r>
    </w:p>
    <w:p>
      <w:pPr>
        <w:numPr>
          <w:ilvl w:val="0"/>
          <w:numId w:val="1"/>
        </w:num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技术标</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9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序号</w:t>
            </w:r>
          </w:p>
        </w:tc>
        <w:tc>
          <w:tcPr>
            <w:tcW w:w="7913"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内容</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w:t>
            </w:r>
          </w:p>
        </w:tc>
        <w:tc>
          <w:tcPr>
            <w:tcW w:w="7913" w:type="dxa"/>
            <w:noWrap w:val="0"/>
            <w:vAlign w:val="center"/>
          </w:tcPr>
          <w:p>
            <w:pPr>
              <w:spacing w:line="400" w:lineRule="exact"/>
              <w:outlineLvl w:val="2"/>
              <w:rPr>
                <w:rFonts w:hint="eastAsia" w:ascii="新宋体" w:hAnsi="新宋体" w:eastAsia="新宋体" w:cs="新宋体"/>
                <w:bCs/>
                <w:color w:val="auto"/>
                <w:sz w:val="22"/>
                <w:szCs w:val="22"/>
                <w:highlight w:val="none"/>
              </w:rPr>
            </w:pPr>
            <w:r>
              <w:rPr>
                <w:rFonts w:hint="eastAsia" w:ascii="新宋体" w:hAnsi="新宋体" w:eastAsia="新宋体"/>
                <w:bCs/>
                <w:color w:val="auto"/>
                <w:sz w:val="22"/>
                <w:szCs w:val="22"/>
                <w:highlight w:val="none"/>
                <w:lang w:val="zh-CN"/>
              </w:rPr>
              <w:t>投标函</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w:t>
            </w:r>
          </w:p>
        </w:tc>
        <w:tc>
          <w:tcPr>
            <w:tcW w:w="7913" w:type="dxa"/>
            <w:noWrap w:val="0"/>
            <w:vAlign w:val="center"/>
          </w:tcPr>
          <w:p>
            <w:pPr>
              <w:spacing w:line="460" w:lineRule="exact"/>
              <w:rPr>
                <w:rFonts w:hint="eastAsia" w:ascii="新宋体" w:hAnsi="新宋体" w:eastAsia="新宋体" w:cs="新宋体"/>
                <w:bCs/>
                <w:color w:val="auto"/>
                <w:sz w:val="22"/>
                <w:szCs w:val="22"/>
                <w:highlight w:val="none"/>
                <w:lang w:val="zh-CN"/>
              </w:rPr>
            </w:pPr>
            <w:r>
              <w:rPr>
                <w:rFonts w:hint="eastAsia" w:ascii="新宋体" w:hAnsi="新宋体" w:eastAsia="新宋体"/>
                <w:bCs/>
                <w:color w:val="auto"/>
                <w:sz w:val="22"/>
                <w:szCs w:val="22"/>
                <w:highlight w:val="none"/>
                <w:lang w:val="zh-CN"/>
              </w:rPr>
              <w:t>资格证明文件</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2.1</w:t>
            </w:r>
          </w:p>
        </w:tc>
        <w:tc>
          <w:tcPr>
            <w:tcW w:w="7913" w:type="dxa"/>
            <w:noWrap w:val="0"/>
            <w:vAlign w:val="center"/>
          </w:tcPr>
          <w:p>
            <w:pPr>
              <w:spacing w:line="460" w:lineRule="exact"/>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法定代表人授权书</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2.2</w:t>
            </w:r>
          </w:p>
        </w:tc>
        <w:tc>
          <w:tcPr>
            <w:tcW w:w="7913" w:type="dxa"/>
            <w:noWrap w:val="0"/>
            <w:vAlign w:val="center"/>
          </w:tcPr>
          <w:p>
            <w:pPr>
              <w:spacing w:line="460" w:lineRule="exact"/>
              <w:outlineLvl w:val="3"/>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投标人情况表</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2.3</w:t>
            </w:r>
          </w:p>
        </w:tc>
        <w:tc>
          <w:tcPr>
            <w:tcW w:w="7913" w:type="dxa"/>
            <w:noWrap w:val="0"/>
            <w:vAlign w:val="center"/>
          </w:tcPr>
          <w:p>
            <w:pPr>
              <w:spacing w:line="460" w:lineRule="exact"/>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企业法人有效营业执照</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2.4</w:t>
            </w:r>
          </w:p>
        </w:tc>
        <w:tc>
          <w:tcPr>
            <w:tcW w:w="7913" w:type="dxa"/>
            <w:noWrap w:val="0"/>
            <w:vAlign w:val="center"/>
          </w:tcPr>
          <w:p>
            <w:pPr>
              <w:spacing w:line="460" w:lineRule="exact"/>
              <w:outlineLvl w:val="3"/>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无行贿犯罪记录相关档案查询结果证明材料</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2.5</w:t>
            </w:r>
          </w:p>
        </w:tc>
        <w:tc>
          <w:tcPr>
            <w:tcW w:w="7913" w:type="dxa"/>
            <w:noWrap w:val="0"/>
            <w:vAlign w:val="center"/>
          </w:tcPr>
          <w:p>
            <w:pPr>
              <w:spacing w:line="460" w:lineRule="exact"/>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监狱企业的相关证明材料</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2.6</w:t>
            </w:r>
          </w:p>
        </w:tc>
        <w:tc>
          <w:tcPr>
            <w:tcW w:w="7913" w:type="dxa"/>
            <w:noWrap w:val="0"/>
            <w:vAlign w:val="center"/>
          </w:tcPr>
          <w:p>
            <w:pPr>
              <w:spacing w:line="460" w:lineRule="exact"/>
              <w:rPr>
                <w:rFonts w:hint="eastAsia" w:ascii="新宋体" w:hAnsi="新宋体" w:eastAsia="新宋体"/>
                <w:bCs/>
                <w:color w:val="auto"/>
                <w:sz w:val="22"/>
                <w:szCs w:val="22"/>
                <w:highlight w:val="none"/>
              </w:rPr>
            </w:pPr>
            <w:r>
              <w:rPr>
                <w:rFonts w:hint="eastAsia" w:ascii="新宋体" w:hAnsi="新宋体" w:eastAsia="新宋体" w:cs="新宋体"/>
                <w:bCs/>
                <w:color w:val="auto"/>
                <w:sz w:val="22"/>
                <w:szCs w:val="22"/>
                <w:highlight w:val="none"/>
              </w:rPr>
              <w:t>中小企业声明函</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2.7</w:t>
            </w:r>
          </w:p>
        </w:tc>
        <w:tc>
          <w:tcPr>
            <w:tcW w:w="7913" w:type="dxa"/>
            <w:noWrap w:val="0"/>
            <w:vAlign w:val="center"/>
          </w:tcPr>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中小企业资格确认意见书</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2.8</w:t>
            </w:r>
          </w:p>
        </w:tc>
        <w:tc>
          <w:tcPr>
            <w:tcW w:w="7913" w:type="dxa"/>
            <w:noWrap w:val="0"/>
            <w:vAlign w:val="center"/>
          </w:tcPr>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投标供应商“信用中国”(www.creditchina.gov.cn)；“中国政府采购网”（http://www.ccgp.gov.cn/）信用记录网页截图（招标公告发布之日至投标截止时间前）</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w:t>
            </w:r>
          </w:p>
        </w:tc>
        <w:tc>
          <w:tcPr>
            <w:tcW w:w="7913" w:type="dxa"/>
            <w:noWrap w:val="0"/>
            <w:vAlign w:val="center"/>
          </w:tcPr>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bCs/>
                <w:color w:val="auto"/>
                <w:sz w:val="22"/>
                <w:szCs w:val="22"/>
                <w:highlight w:val="none"/>
                <w:lang w:val="zh-CN"/>
              </w:rPr>
              <w:t>偏离表</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w:t>
            </w:r>
          </w:p>
        </w:tc>
        <w:tc>
          <w:tcPr>
            <w:tcW w:w="7913" w:type="dxa"/>
            <w:noWrap w:val="0"/>
            <w:vAlign w:val="center"/>
          </w:tcPr>
          <w:p>
            <w:pPr>
              <w:spacing w:line="460" w:lineRule="exact"/>
              <w:outlineLvl w:val="2"/>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详细系统清单一览表</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w:t>
            </w:r>
          </w:p>
        </w:tc>
        <w:tc>
          <w:tcPr>
            <w:tcW w:w="7913" w:type="dxa"/>
            <w:noWrap w:val="0"/>
            <w:vAlign w:val="center"/>
          </w:tcPr>
          <w:p>
            <w:pPr>
              <w:spacing w:line="460" w:lineRule="exact"/>
              <w:outlineLvl w:val="2"/>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备品、易损件、备件、专用工具清单</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w:t>
            </w:r>
          </w:p>
        </w:tc>
        <w:tc>
          <w:tcPr>
            <w:tcW w:w="7913" w:type="dxa"/>
            <w:noWrap w:val="0"/>
            <w:vAlign w:val="center"/>
          </w:tcPr>
          <w:p>
            <w:pPr>
              <w:outlineLvl w:val="2"/>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总体设计思路</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w:t>
            </w:r>
          </w:p>
        </w:tc>
        <w:tc>
          <w:tcPr>
            <w:tcW w:w="7913" w:type="dxa"/>
            <w:noWrap w:val="0"/>
            <w:vAlign w:val="center"/>
          </w:tcPr>
          <w:p>
            <w:pPr>
              <w:spacing w:line="560" w:lineRule="exact"/>
              <w:outlineLvl w:val="2"/>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软件系统功能设计方案</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w:t>
            </w:r>
          </w:p>
        </w:tc>
        <w:tc>
          <w:tcPr>
            <w:tcW w:w="7913" w:type="dxa"/>
            <w:noWrap w:val="0"/>
            <w:vAlign w:val="center"/>
          </w:tcPr>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项目管理方案</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9</w:t>
            </w:r>
          </w:p>
        </w:tc>
        <w:tc>
          <w:tcPr>
            <w:tcW w:w="7913" w:type="dxa"/>
            <w:noWrap w:val="0"/>
            <w:vAlign w:val="center"/>
          </w:tcPr>
          <w:p>
            <w:pPr>
              <w:spacing w:line="460" w:lineRule="exact"/>
              <w:rPr>
                <w:rFonts w:hint="eastAsia" w:ascii="新宋体" w:hAnsi="新宋体" w:eastAsia="新宋体"/>
                <w:bCs/>
                <w:color w:val="auto"/>
                <w:sz w:val="22"/>
                <w:szCs w:val="22"/>
                <w:highlight w:val="none"/>
              </w:rPr>
            </w:pPr>
            <w:r>
              <w:rPr>
                <w:rFonts w:hint="eastAsia" w:ascii="新宋体" w:hAnsi="新宋体" w:eastAsia="新宋体" w:cs="新宋体"/>
                <w:color w:val="auto"/>
                <w:sz w:val="22"/>
                <w:szCs w:val="22"/>
                <w:highlight w:val="none"/>
              </w:rPr>
              <w:t>投标人的培训及售后服务</w:t>
            </w:r>
          </w:p>
        </w:tc>
        <w:tc>
          <w:tcPr>
            <w:tcW w:w="1285" w:type="dxa"/>
            <w:noWrap w:val="0"/>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w:t>
            </w:r>
          </w:p>
        </w:tc>
        <w:tc>
          <w:tcPr>
            <w:tcW w:w="7913" w:type="dxa"/>
            <w:noWrap w:val="0"/>
            <w:vAlign w:val="center"/>
          </w:tcPr>
          <w:p>
            <w:pPr>
              <w:spacing w:line="460" w:lineRule="exact"/>
              <w:rPr>
                <w:rFonts w:hint="eastAsia" w:ascii="新宋体" w:hAnsi="新宋体" w:eastAsia="新宋体"/>
                <w:bCs/>
                <w:color w:val="auto"/>
                <w:sz w:val="22"/>
                <w:szCs w:val="22"/>
                <w:highlight w:val="none"/>
              </w:rPr>
            </w:pPr>
            <w:r>
              <w:rPr>
                <w:rFonts w:hint="eastAsia" w:ascii="新宋体" w:hAnsi="新宋体" w:eastAsia="新宋体" w:cs="新宋体"/>
                <w:color w:val="auto"/>
                <w:sz w:val="22"/>
                <w:szCs w:val="22"/>
                <w:highlight w:val="none"/>
              </w:rPr>
              <w:t>项目投入技术力量</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10.1</w:t>
            </w:r>
          </w:p>
        </w:tc>
        <w:tc>
          <w:tcPr>
            <w:tcW w:w="7913" w:type="dxa"/>
            <w:noWrap w:val="0"/>
            <w:vAlign w:val="center"/>
          </w:tcPr>
          <w:p>
            <w:pPr>
              <w:outlineLvl w:val="2"/>
              <w:rPr>
                <w:rFonts w:hint="eastAsia" w:ascii="新宋体" w:hAnsi="新宋体" w:eastAsia="新宋体"/>
                <w:bCs/>
                <w:color w:val="auto"/>
                <w:sz w:val="22"/>
                <w:szCs w:val="22"/>
                <w:highlight w:val="none"/>
              </w:rPr>
            </w:pPr>
            <w:r>
              <w:rPr>
                <w:rFonts w:hint="eastAsia" w:ascii="新宋体" w:hAnsi="新宋体" w:eastAsia="新宋体" w:cs="新宋体"/>
                <w:bCs/>
                <w:color w:val="auto"/>
                <w:sz w:val="22"/>
                <w:szCs w:val="22"/>
                <w:highlight w:val="none"/>
              </w:rPr>
              <w:t>项目负责人</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10.2</w:t>
            </w:r>
          </w:p>
        </w:tc>
        <w:tc>
          <w:tcPr>
            <w:tcW w:w="7913" w:type="dxa"/>
            <w:noWrap w:val="0"/>
            <w:vAlign w:val="center"/>
          </w:tcPr>
          <w:p>
            <w:pPr>
              <w:outlineLvl w:val="2"/>
              <w:rPr>
                <w:rFonts w:hint="eastAsia" w:ascii="新宋体" w:hAnsi="新宋体" w:eastAsia="新宋体" w:cs="新宋体"/>
                <w:bCs/>
                <w:color w:val="auto"/>
                <w:sz w:val="22"/>
                <w:szCs w:val="22"/>
                <w:highlight w:val="none"/>
              </w:rPr>
            </w:pPr>
            <w:r>
              <w:rPr>
                <w:rFonts w:hint="eastAsia" w:ascii="新宋体" w:hAnsi="新宋体" w:eastAsia="新宋体"/>
                <w:bCs/>
                <w:color w:val="auto"/>
                <w:sz w:val="22"/>
                <w:szCs w:val="22"/>
                <w:highlight w:val="none"/>
              </w:rPr>
              <w:t>项目实施人员</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11</w:t>
            </w:r>
          </w:p>
        </w:tc>
        <w:tc>
          <w:tcPr>
            <w:tcW w:w="7913" w:type="dxa"/>
            <w:noWrap w:val="0"/>
            <w:vAlign w:val="center"/>
          </w:tcPr>
          <w:p>
            <w:pPr>
              <w:spacing w:line="560" w:lineRule="exact"/>
              <w:outlineLvl w:val="2"/>
              <w:rPr>
                <w:rFonts w:hint="eastAsia" w:ascii="新宋体" w:hAnsi="新宋体" w:eastAsia="新宋体"/>
                <w:bCs/>
                <w:color w:val="auto"/>
                <w:sz w:val="22"/>
                <w:szCs w:val="22"/>
                <w:highlight w:val="none"/>
              </w:rPr>
            </w:pPr>
            <w:r>
              <w:rPr>
                <w:rFonts w:hint="eastAsia" w:ascii="新宋体" w:hAnsi="新宋体" w:eastAsia="新宋体" w:cs="新宋体"/>
                <w:color w:val="auto"/>
                <w:sz w:val="22"/>
                <w:szCs w:val="22"/>
                <w:highlight w:val="none"/>
              </w:rPr>
              <w:t>投标人情况</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12</w:t>
            </w:r>
          </w:p>
        </w:tc>
        <w:tc>
          <w:tcPr>
            <w:tcW w:w="7913" w:type="dxa"/>
            <w:noWrap w:val="0"/>
            <w:vAlign w:val="center"/>
          </w:tcPr>
          <w:p>
            <w:pPr>
              <w:outlineLvl w:val="2"/>
              <w:rPr>
                <w:rFonts w:hint="eastAsia" w:ascii="新宋体" w:hAnsi="新宋体" w:eastAsia="新宋体"/>
                <w:bCs/>
                <w:color w:val="auto"/>
                <w:sz w:val="22"/>
                <w:szCs w:val="22"/>
                <w:highlight w:val="none"/>
              </w:rPr>
            </w:pPr>
            <w:r>
              <w:rPr>
                <w:rFonts w:hint="eastAsia" w:ascii="新宋体" w:hAnsi="新宋体" w:eastAsia="新宋体" w:cs="新宋体"/>
                <w:color w:val="auto"/>
                <w:sz w:val="22"/>
                <w:szCs w:val="22"/>
                <w:highlight w:val="none"/>
              </w:rPr>
              <w:t>业绩</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附件十四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atLeast"/>
        </w:trPr>
        <w:tc>
          <w:tcPr>
            <w:tcW w:w="656" w:type="dxa"/>
            <w:noWrap w:val="0"/>
            <w:vAlign w:val="center"/>
          </w:tcPr>
          <w:p>
            <w:pPr>
              <w:spacing w:line="460" w:lineRule="exact"/>
              <w:jc w:val="center"/>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13</w:t>
            </w:r>
          </w:p>
        </w:tc>
        <w:tc>
          <w:tcPr>
            <w:tcW w:w="7913" w:type="dxa"/>
            <w:noWrap w:val="0"/>
            <w:vAlign w:val="center"/>
          </w:tcPr>
          <w:p>
            <w:pPr>
              <w:spacing w:line="460" w:lineRule="exact"/>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投标人认为需要提供的其他技术资料</w:t>
            </w:r>
          </w:p>
        </w:tc>
        <w:tc>
          <w:tcPr>
            <w:tcW w:w="1285" w:type="dxa"/>
            <w:noWrap w:val="0"/>
            <w:vAlign w:val="center"/>
          </w:tcPr>
          <w:p>
            <w:pPr>
              <w:spacing w:line="460" w:lineRule="exact"/>
              <w:jc w:val="center"/>
              <w:rPr>
                <w:rFonts w:hint="eastAsia" w:ascii="新宋体" w:hAnsi="新宋体" w:eastAsia="新宋体" w:cs="新宋体"/>
                <w:bCs/>
                <w:color w:val="auto"/>
                <w:sz w:val="22"/>
                <w:szCs w:val="22"/>
                <w:highlight w:val="none"/>
              </w:rPr>
            </w:pPr>
          </w:p>
        </w:tc>
      </w:tr>
    </w:tbl>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 商务（报价）标</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9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56" w:type="dxa"/>
            <w:noWrap w:val="0"/>
            <w:vAlign w:val="center"/>
          </w:tcPr>
          <w:p>
            <w:pPr>
              <w:spacing w:line="460" w:lineRule="exact"/>
              <w:jc w:val="center"/>
              <w:rPr>
                <w:rFonts w:hint="eastAsia" w:cs="楷体"/>
                <w:bCs/>
                <w:color w:val="auto"/>
                <w:sz w:val="22"/>
                <w:szCs w:val="22"/>
                <w:highlight w:val="none"/>
              </w:rPr>
            </w:pPr>
            <w:r>
              <w:rPr>
                <w:rFonts w:hint="eastAsia" w:cs="楷体"/>
                <w:bCs/>
                <w:color w:val="auto"/>
                <w:sz w:val="22"/>
                <w:szCs w:val="22"/>
                <w:highlight w:val="none"/>
              </w:rPr>
              <w:t>序号</w:t>
            </w:r>
          </w:p>
        </w:tc>
        <w:tc>
          <w:tcPr>
            <w:tcW w:w="7913" w:type="dxa"/>
            <w:noWrap w:val="0"/>
            <w:vAlign w:val="center"/>
          </w:tcPr>
          <w:p>
            <w:pPr>
              <w:spacing w:line="460" w:lineRule="exact"/>
              <w:jc w:val="center"/>
              <w:rPr>
                <w:rFonts w:hint="eastAsia" w:cs="楷体"/>
                <w:bCs/>
                <w:color w:val="auto"/>
                <w:sz w:val="22"/>
                <w:szCs w:val="22"/>
                <w:highlight w:val="none"/>
              </w:rPr>
            </w:pPr>
            <w:r>
              <w:rPr>
                <w:rFonts w:hint="eastAsia" w:cs="楷体"/>
                <w:bCs/>
                <w:color w:val="auto"/>
                <w:sz w:val="22"/>
                <w:szCs w:val="22"/>
                <w:highlight w:val="none"/>
              </w:rPr>
              <w:t>内容</w:t>
            </w:r>
          </w:p>
        </w:tc>
        <w:tc>
          <w:tcPr>
            <w:tcW w:w="1285" w:type="dxa"/>
            <w:noWrap w:val="0"/>
            <w:vAlign w:val="center"/>
          </w:tcPr>
          <w:p>
            <w:pPr>
              <w:spacing w:line="460" w:lineRule="exact"/>
              <w:jc w:val="center"/>
              <w:rPr>
                <w:rFonts w:hint="eastAsia" w:cs="楷体"/>
                <w:bCs/>
                <w:color w:val="auto"/>
                <w:sz w:val="22"/>
                <w:szCs w:val="22"/>
                <w:highlight w:val="none"/>
              </w:rPr>
            </w:pPr>
            <w:r>
              <w:rPr>
                <w:rFonts w:hint="eastAsia" w:cs="楷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56" w:type="dxa"/>
            <w:noWrap w:val="0"/>
            <w:vAlign w:val="center"/>
          </w:tcPr>
          <w:p>
            <w:pPr>
              <w:spacing w:line="460" w:lineRule="exact"/>
              <w:jc w:val="center"/>
              <w:rPr>
                <w:rFonts w:hint="eastAsia" w:cs="楷体"/>
                <w:bCs/>
                <w:color w:val="auto"/>
                <w:sz w:val="22"/>
                <w:szCs w:val="22"/>
                <w:highlight w:val="none"/>
              </w:rPr>
            </w:pPr>
            <w:r>
              <w:rPr>
                <w:rFonts w:hint="eastAsia" w:cs="楷体"/>
                <w:bCs/>
                <w:color w:val="auto"/>
                <w:sz w:val="22"/>
                <w:szCs w:val="22"/>
                <w:highlight w:val="none"/>
              </w:rPr>
              <w:t>1</w:t>
            </w:r>
          </w:p>
        </w:tc>
        <w:tc>
          <w:tcPr>
            <w:tcW w:w="7913" w:type="dxa"/>
            <w:noWrap w:val="0"/>
            <w:vAlign w:val="center"/>
          </w:tcPr>
          <w:p>
            <w:pPr>
              <w:spacing w:line="460" w:lineRule="exact"/>
              <w:rPr>
                <w:rFonts w:hint="eastAsia" w:cs="楷体"/>
                <w:bCs/>
                <w:color w:val="auto"/>
                <w:sz w:val="22"/>
                <w:szCs w:val="22"/>
                <w:highlight w:val="none"/>
              </w:rPr>
            </w:pPr>
            <w:r>
              <w:rPr>
                <w:rFonts w:hint="eastAsia" w:cs="楷体"/>
                <w:bCs/>
                <w:color w:val="auto"/>
                <w:sz w:val="22"/>
                <w:szCs w:val="22"/>
                <w:highlight w:val="none"/>
                <w:lang w:val="zh-CN"/>
              </w:rPr>
              <w:t>投标报价一览表</w:t>
            </w:r>
          </w:p>
        </w:tc>
        <w:tc>
          <w:tcPr>
            <w:tcW w:w="1285" w:type="dxa"/>
            <w:noWrap w:val="0"/>
            <w:vAlign w:val="center"/>
          </w:tcPr>
          <w:p>
            <w:pPr>
              <w:spacing w:line="460" w:lineRule="exact"/>
              <w:jc w:val="center"/>
              <w:rPr>
                <w:rFonts w:hint="eastAsia" w:cs="楷体"/>
                <w:bCs/>
                <w:color w:val="auto"/>
                <w:sz w:val="22"/>
                <w:szCs w:val="22"/>
                <w:highlight w:val="none"/>
              </w:rPr>
            </w:pPr>
            <w:r>
              <w:rPr>
                <w:rFonts w:hint="eastAsia" w:cs="楷体"/>
                <w:bCs/>
                <w:color w:val="auto"/>
                <w:sz w:val="22"/>
                <w:szCs w:val="22"/>
                <w:highlight w:val="none"/>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trPr>
        <w:tc>
          <w:tcPr>
            <w:tcW w:w="656" w:type="dxa"/>
            <w:noWrap w:val="0"/>
            <w:vAlign w:val="center"/>
          </w:tcPr>
          <w:p>
            <w:pPr>
              <w:spacing w:line="460" w:lineRule="exact"/>
              <w:jc w:val="center"/>
              <w:rPr>
                <w:rFonts w:hint="eastAsia" w:cs="楷体"/>
                <w:bCs/>
                <w:color w:val="auto"/>
                <w:sz w:val="22"/>
                <w:szCs w:val="22"/>
                <w:highlight w:val="none"/>
              </w:rPr>
            </w:pPr>
            <w:r>
              <w:rPr>
                <w:rFonts w:hint="eastAsia" w:cs="楷体"/>
                <w:bCs/>
                <w:color w:val="auto"/>
                <w:sz w:val="22"/>
                <w:szCs w:val="22"/>
                <w:highlight w:val="none"/>
              </w:rPr>
              <w:t>2</w:t>
            </w:r>
          </w:p>
        </w:tc>
        <w:tc>
          <w:tcPr>
            <w:tcW w:w="7913" w:type="dxa"/>
            <w:noWrap w:val="0"/>
            <w:vAlign w:val="center"/>
          </w:tcPr>
          <w:p>
            <w:pPr>
              <w:spacing w:line="460" w:lineRule="exact"/>
              <w:rPr>
                <w:rFonts w:hint="eastAsia" w:cs="楷体"/>
                <w:bCs/>
                <w:color w:val="auto"/>
                <w:sz w:val="22"/>
                <w:szCs w:val="22"/>
                <w:highlight w:val="none"/>
              </w:rPr>
            </w:pPr>
            <w:r>
              <w:rPr>
                <w:rFonts w:hint="eastAsia" w:cs="楷体"/>
                <w:bCs/>
                <w:color w:val="auto"/>
                <w:sz w:val="22"/>
                <w:szCs w:val="22"/>
                <w:highlight w:val="none"/>
              </w:rPr>
              <w:t>投标分项报价表</w:t>
            </w:r>
          </w:p>
        </w:tc>
        <w:tc>
          <w:tcPr>
            <w:tcW w:w="1285" w:type="dxa"/>
            <w:noWrap w:val="0"/>
            <w:vAlign w:val="center"/>
          </w:tcPr>
          <w:p>
            <w:pPr>
              <w:spacing w:line="460" w:lineRule="exact"/>
              <w:jc w:val="center"/>
              <w:rPr>
                <w:rFonts w:hint="eastAsia" w:cs="楷体"/>
                <w:bCs/>
                <w:color w:val="auto"/>
                <w:sz w:val="22"/>
                <w:szCs w:val="22"/>
                <w:highlight w:val="none"/>
              </w:rPr>
            </w:pPr>
            <w:r>
              <w:rPr>
                <w:rFonts w:hint="eastAsia" w:cs="楷体"/>
                <w:bCs/>
                <w:color w:val="auto"/>
                <w:sz w:val="22"/>
                <w:szCs w:val="22"/>
                <w:highlight w:val="none"/>
              </w:rPr>
              <w:t>附件三</w:t>
            </w:r>
          </w:p>
        </w:tc>
      </w:tr>
    </w:tbl>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3.2 投标文件格式</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投标人应根据招标文件中所提供的格式，内容按顺序填写并装订成册，分别装于技术标和商务标内。</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4、投标报价</w:t>
      </w:r>
    </w:p>
    <w:p>
      <w:pPr>
        <w:spacing w:line="46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4.1投标报价是指统建系统部署及实施费用（3人驻场），含论证、设备安装、集成、调试、验收、招标代理、第三方测评等、培训、售后服务、利润、不可预见费、税金、劳动保险费、技术培训费等完成合同所需的一切本身和不可或缺的所有工作开支、政策性文件规定及合同包含的所有风险、责任等各项全部费用，供应商应根据上述因素自行考虑含入投标报价。</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4.2投标人必须按附件中的投标报价一览表、投标分项报价表（均统一格式）内容填写价格，并由投标人代表签署。</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4.3</w:t>
      </w:r>
      <w:r>
        <w:rPr>
          <w:rFonts w:hint="eastAsia" w:ascii="新宋体" w:hAnsi="新宋体" w:eastAsia="新宋体"/>
          <w:b/>
          <w:color w:val="auto"/>
          <w:sz w:val="22"/>
          <w:highlight w:val="none"/>
        </w:rPr>
        <w:t>投标货币以人民币进行投标</w:t>
      </w:r>
      <w:r>
        <w:rPr>
          <w:rFonts w:hint="eastAsia" w:ascii="新宋体" w:hAnsi="新宋体" w:eastAsia="新宋体"/>
          <w:b/>
          <w:color w:val="auto"/>
          <w:sz w:val="22"/>
          <w:szCs w:val="22"/>
          <w:highlight w:val="none"/>
        </w:rPr>
        <w:t>。</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4.4</w:t>
      </w:r>
      <w:r>
        <w:rPr>
          <w:rFonts w:hint="eastAsia" w:ascii="新宋体" w:hAnsi="新宋体" w:eastAsia="新宋体"/>
          <w:b/>
          <w:color w:val="auto"/>
          <w:sz w:val="22"/>
          <w:highlight w:val="none"/>
        </w:rPr>
        <w:t>招标人和招标代理机构不接受任何选择投标，对任何服务只允许一个价格。</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4.5招标人和</w:t>
      </w:r>
      <w:r>
        <w:rPr>
          <w:rFonts w:hint="eastAsia" w:ascii="新宋体" w:hAnsi="新宋体" w:eastAsia="新宋体"/>
          <w:color w:val="auto"/>
          <w:sz w:val="22"/>
          <w:highlight w:val="none"/>
        </w:rPr>
        <w:t>招标代理机构</w:t>
      </w:r>
      <w:r>
        <w:rPr>
          <w:rFonts w:hint="eastAsia" w:ascii="新宋体" w:hAnsi="新宋体" w:eastAsia="新宋体"/>
          <w:color w:val="auto"/>
          <w:sz w:val="22"/>
          <w:szCs w:val="22"/>
          <w:highlight w:val="none"/>
        </w:rPr>
        <w:t>要求分类报价是为了方便评标，但在任何情况下不限制招标人以其认为最合适的条款、条件签订合同的权利。</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4.6投标报价报出后，投标人不得以任何理由予以变更。任何包含价格调整的要求，将被认为是非实质性响应投标而予以否决。</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4.7最低报价不能作为中标的保证。</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5、投标有效期</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5.1自开标之日起</w:t>
      </w:r>
      <w:r>
        <w:rPr>
          <w:rFonts w:hint="eastAsia" w:ascii="新宋体" w:hAnsi="新宋体" w:eastAsia="新宋体"/>
          <w:b/>
          <w:bCs/>
          <w:color w:val="auto"/>
          <w:sz w:val="22"/>
          <w:szCs w:val="22"/>
          <w:highlight w:val="none"/>
        </w:rPr>
        <w:t xml:space="preserve"> 120 </w:t>
      </w:r>
      <w:r>
        <w:rPr>
          <w:rFonts w:hint="eastAsia" w:ascii="新宋体" w:hAnsi="新宋体" w:eastAsia="新宋体"/>
          <w:b/>
          <w:color w:val="auto"/>
          <w:sz w:val="22"/>
          <w:szCs w:val="22"/>
          <w:highlight w:val="none"/>
        </w:rPr>
        <w:t>天内投标应保持有效。</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5.2特殊情况下，在原投标有效期截止前，招标人、招标代理机构可与投标人协商延长投标有效期，这种要求和答复均以书面形式进行。投标人可拒绝接受延期要求。同意延长投标有效期的投标人不得修改投标文件。</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6、投标文件的签署和规定</w:t>
      </w:r>
    </w:p>
    <w:p>
      <w:pPr>
        <w:tabs>
          <w:tab w:val="left" w:pos="360"/>
        </w:tabs>
        <w:spacing w:line="460" w:lineRule="exact"/>
        <w:ind w:firstLine="552" w:firstLineChars="25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6.1投标人应提供技术标、商务标各一式六份的投标文件，分别装订成册。其中正本一份、副本五份，每套投标文件的封面应清楚标明“正本”或“副本”字样，若“正本”与“副本”不符，以“正本”为准</w:t>
      </w:r>
      <w:r>
        <w:rPr>
          <w:rFonts w:hint="eastAsia" w:ascii="新宋体" w:hAnsi="新宋体" w:eastAsia="新宋体"/>
          <w:color w:val="auto"/>
          <w:sz w:val="22"/>
          <w:szCs w:val="22"/>
          <w:highlight w:val="none"/>
        </w:rPr>
        <w:t>。</w:t>
      </w:r>
    </w:p>
    <w:p>
      <w:pPr>
        <w:tabs>
          <w:tab w:val="left" w:pos="360"/>
        </w:tabs>
        <w:spacing w:line="460" w:lineRule="exact"/>
        <w:ind w:firstLine="550" w:firstLineChars="250"/>
        <w:rPr>
          <w:rFonts w:hint="eastAsia"/>
          <w:color w:val="auto"/>
          <w:sz w:val="22"/>
          <w:highlight w:val="none"/>
        </w:rPr>
      </w:pPr>
      <w:r>
        <w:rPr>
          <w:rFonts w:hint="eastAsia"/>
          <w:color w:val="auto"/>
          <w:sz w:val="22"/>
          <w:highlight w:val="none"/>
        </w:rPr>
        <w:t>6.2投标文件的正本必须打印或用不褪色的墨水书写，并由投标人代表签署，副本可用正本的复印。</w:t>
      </w:r>
    </w:p>
    <w:p>
      <w:pPr>
        <w:tabs>
          <w:tab w:val="left" w:pos="360"/>
        </w:tabs>
        <w:spacing w:line="460" w:lineRule="exact"/>
        <w:ind w:firstLine="552" w:firstLineChars="25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6.3 投标文件如有修改和增删必须由投标人代表在修改和增删处旁签署或盖章，方才有效。</w:t>
      </w:r>
    </w:p>
    <w:p>
      <w:pPr>
        <w:tabs>
          <w:tab w:val="left" w:pos="360"/>
        </w:tabs>
        <w:spacing w:line="460" w:lineRule="exact"/>
        <w:ind w:firstLine="550" w:firstLineChars="250"/>
        <w:rPr>
          <w:rFonts w:hint="eastAsia"/>
          <w:color w:val="auto"/>
          <w:sz w:val="22"/>
          <w:highlight w:val="none"/>
        </w:rPr>
      </w:pPr>
      <w:r>
        <w:rPr>
          <w:rFonts w:hint="eastAsia"/>
          <w:color w:val="auto"/>
          <w:sz w:val="22"/>
          <w:highlight w:val="none"/>
        </w:rPr>
        <w:t>6.4 投标文件因字迹模糊或在关键的技术、商务条款上表述不清楚，将可能导致其投标被否决。</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7、投标文件的密封及标记</w:t>
      </w:r>
    </w:p>
    <w:p>
      <w:pPr>
        <w:spacing w:line="460" w:lineRule="exact"/>
        <w:ind w:firstLine="541" w:firstLineChars="245"/>
        <w:rPr>
          <w:rFonts w:hint="eastAsia" w:ascii="新宋体" w:hAnsi="新宋体" w:eastAsia="新宋体"/>
          <w:color w:val="auto"/>
          <w:sz w:val="22"/>
          <w:highlight w:val="none"/>
        </w:rPr>
      </w:pPr>
      <w:r>
        <w:rPr>
          <w:rFonts w:hint="eastAsia" w:ascii="新宋体" w:hAnsi="新宋体" w:eastAsia="新宋体"/>
          <w:b/>
          <w:color w:val="auto"/>
          <w:sz w:val="22"/>
          <w:szCs w:val="22"/>
          <w:highlight w:val="none"/>
        </w:rPr>
        <w:t>7.1投标人必须将投标文件的“技术标”“商务标”分别单独密封，且在各自的密封袋上标明“技术标”和“商务标”字样。</w:t>
      </w:r>
      <w:r>
        <w:rPr>
          <w:rFonts w:hint="eastAsia" w:ascii="新宋体" w:hAnsi="新宋体" w:eastAsia="新宋体"/>
          <w:color w:val="auto"/>
          <w:sz w:val="22"/>
          <w:highlight w:val="none"/>
        </w:rPr>
        <w:t>封口处贴上封条，骑缝处加盖投标人公章或由投标人代表签字。封皮上写明投标项目名称、编号、投标人名称、电话联系人，并注明“开标时启封”字样。</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7.2如果投标人未按上述要求密封及加写标记，招标机构对投标文件的误投和提前启封不负责任。</w:t>
      </w:r>
    </w:p>
    <w:p>
      <w:pPr>
        <w:spacing w:before="100" w:beforeAutospacing="1" w:after="100" w:afterAutospacing="1" w:line="440" w:lineRule="exact"/>
        <w:jc w:val="center"/>
        <w:outlineLvl w:val="1"/>
        <w:rPr>
          <w:rFonts w:hint="eastAsia"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四、 投标文件的递交</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1、投标文件的递交</w:t>
      </w:r>
    </w:p>
    <w:p>
      <w:pPr>
        <w:spacing w:line="460" w:lineRule="exact"/>
        <w:ind w:firstLine="541" w:firstLineChars="245"/>
        <w:rPr>
          <w:rFonts w:hint="eastAsia" w:ascii="新宋体" w:hAnsi="新宋体" w:eastAsia="新宋体"/>
          <w:b/>
          <w:color w:val="auto"/>
          <w:sz w:val="22"/>
          <w:highlight w:val="none"/>
        </w:rPr>
      </w:pPr>
      <w:r>
        <w:rPr>
          <w:rFonts w:hint="eastAsia" w:ascii="新宋体" w:hAnsi="新宋体" w:eastAsia="新宋体"/>
          <w:b/>
          <w:bCs/>
          <w:color w:val="auto"/>
          <w:sz w:val="22"/>
          <w:szCs w:val="22"/>
          <w:highlight w:val="none"/>
        </w:rPr>
        <w:t>1.1</w:t>
      </w:r>
      <w:r>
        <w:rPr>
          <w:rFonts w:hint="eastAsia" w:ascii="新宋体" w:hAnsi="新宋体" w:eastAsia="新宋体"/>
          <w:b/>
          <w:color w:val="auto"/>
          <w:sz w:val="22"/>
          <w:highlight w:val="none"/>
        </w:rPr>
        <w:t>投标文件必须在规定的投标截止时间前送达到指定的收标地点，并同时递交法定代表人授权书和投标人代表有效身份证件和企业营业执照（以上证明文件复印件加盖公章，需提供原件备查），由评标委员会确认投标资格。</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2、投标文件的修改和撤回</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2.1在投标截止时间前，投标人可以用书面形式提出修改或撤回其投标并送达到招标人，但不得影响开标活动的正常进行。</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2.2</w:t>
      </w:r>
      <w:r>
        <w:rPr>
          <w:rFonts w:ascii="新宋体" w:hAnsi="新宋体" w:eastAsia="新宋体"/>
          <w:color w:val="auto"/>
          <w:sz w:val="22"/>
          <w:highlight w:val="none"/>
        </w:rPr>
        <w:t>“</w:t>
      </w:r>
      <w:r>
        <w:rPr>
          <w:rFonts w:hint="eastAsia" w:ascii="新宋体" w:hAnsi="新宋体" w:eastAsia="新宋体"/>
          <w:color w:val="auto"/>
          <w:sz w:val="22"/>
          <w:highlight w:val="none"/>
        </w:rPr>
        <w:t>投标文件修改</w:t>
      </w:r>
      <w:r>
        <w:rPr>
          <w:rFonts w:ascii="新宋体" w:hAnsi="新宋体" w:eastAsia="新宋体"/>
          <w:color w:val="auto"/>
          <w:sz w:val="22"/>
          <w:highlight w:val="none"/>
        </w:rPr>
        <w:t>”</w:t>
      </w:r>
      <w:r>
        <w:rPr>
          <w:rFonts w:hint="eastAsia" w:ascii="新宋体" w:hAnsi="新宋体" w:eastAsia="新宋体"/>
          <w:color w:val="auto"/>
          <w:sz w:val="22"/>
          <w:highlight w:val="none"/>
        </w:rPr>
        <w:t>或“投标文件撤回通知”都应密封并在密封袋上写明投标项目名称、编号、投标人名称，并注明“投标文件修改”或“投标文件撤回通知”字样。</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highlight w:val="none"/>
        </w:rPr>
        <w:t>2.3  从投标截止日期起至投标有效期满这段时间内，投标人不得撤回其投标。</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3、</w:t>
      </w:r>
      <w:r>
        <w:rPr>
          <w:rFonts w:hint="eastAsia" w:ascii="新宋体" w:hAnsi="新宋体" w:eastAsia="新宋体"/>
          <w:b/>
          <w:color w:val="auto"/>
          <w:sz w:val="22"/>
          <w:highlight w:val="none"/>
        </w:rPr>
        <w:t>发生下列情况之一的投标文件将拒收:</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3.1 在投标截止时间以后送达的投标文件；</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3.2 未密封的投标文件；</w:t>
      </w:r>
    </w:p>
    <w:p>
      <w:pPr>
        <w:tabs>
          <w:tab w:val="left" w:pos="360"/>
        </w:tabs>
        <w:spacing w:line="460" w:lineRule="exact"/>
        <w:ind w:firstLine="552" w:firstLineChars="250"/>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3.3 由于包装不妥在送达途中严重破损或失散的投标文件；</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3.4 以电讯形式递交的投标文件。</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u w:val="single"/>
        </w:rPr>
        <w:t>4、组织供应商签署不存在影响公平竞争的《政府采购活动现场确认声明书》。</w:t>
      </w:r>
    </w:p>
    <w:p>
      <w:pPr>
        <w:spacing w:before="100" w:beforeAutospacing="1" w:after="100" w:afterAutospacing="1" w:line="460" w:lineRule="exact"/>
        <w:jc w:val="center"/>
        <w:outlineLvl w:val="1"/>
        <w:rPr>
          <w:rFonts w:hint="eastAsia"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五、 开标和评标</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1、评标委员会</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bCs/>
          <w:color w:val="auto"/>
          <w:sz w:val="22"/>
          <w:szCs w:val="22"/>
          <w:highlight w:val="none"/>
        </w:rPr>
        <w:t>1.1招标人和招标代理机构组建评标委员会。评标委员会的成员在评标过程中必须严格遵守《政府采购法》等有关法律、法规的规定。</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bCs/>
          <w:color w:val="auto"/>
          <w:sz w:val="22"/>
          <w:szCs w:val="22"/>
          <w:highlight w:val="none"/>
        </w:rPr>
        <w:t>2、评标过程的保密性</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2.1开标后直至向中标人授予合同时止，凡与评审有关的资料均不得向投标人及与评标无关人员透露。如果投标人在评标过程中试图向招标人和招标代理机构施加影响，其投标将被拒绝。</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3、开标、评标</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3.1 开标时邀请所有投标人代表参加，参加开标的代表应准时出席并签名报到以证明其出席。</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3.2 开标时，应当由投标人推选的代表检查投标文件的密封情况；经确认无误后，由招标代理机构工作人员当众拆封，宣布投标人名称、投标价格和招标文件规定的需要宣布的其他内容。</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投标人不足3家的，不得开标。</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开标过程应当由招标人或者招标代理机构负责记录，由参加开标的各投标人代表和相关工作人员签字确认后随采购文件一并存档。</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投标人代表对开标过程和开标记录有疑义，以及认为招标人、招标代理机构相关工作人员有需要回避的情形的，应当场提出询问或者回避申请。</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投标人未参加开标的，视同认可开标结果。</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3.3 开标结束后，招标人依法对投标人的资格进行审查，合格投标人不足3家的，不得评标。</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3.4 评标委员会对符合资格的投标人的投标文件进行符合性审查，以确定其是否满足招标文件的实质性要求。</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3.5 没有满足招标文件的实质性要求的投标作无效标处理。评标委员会决定投标的实质性要求只根据投标文件本身的内容，而不寻求外部的证据。投标人不得通过修正或撤消不合要求的偏离或保留从而使其投标成为实质上响应的投标。</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3.6 评标委员按照招标文件中规定的评标方法和标准，对投标文件进行商务和技术评估，综合比较与评价。</w:t>
      </w:r>
    </w:p>
    <w:p>
      <w:pPr>
        <w:spacing w:line="460" w:lineRule="exact"/>
        <w:ind w:firstLine="541" w:firstLineChars="245"/>
        <w:rPr>
          <w:rFonts w:hint="eastAsia" w:ascii="新宋体" w:hAnsi="新宋体" w:eastAsia="新宋体"/>
          <w:bCs/>
          <w:color w:val="auto"/>
          <w:sz w:val="22"/>
          <w:szCs w:val="22"/>
          <w:highlight w:val="none"/>
          <w:u w:val="single"/>
        </w:rPr>
      </w:pPr>
      <w:r>
        <w:rPr>
          <w:rFonts w:hint="eastAsia" w:ascii="新宋体" w:hAnsi="新宋体" w:eastAsia="新宋体"/>
          <w:b/>
          <w:color w:val="auto"/>
          <w:sz w:val="22"/>
          <w:szCs w:val="22"/>
          <w:highlight w:val="none"/>
          <w:u w:val="single"/>
        </w:rPr>
        <w:t>3.7 投标人存在下列情况之一的，投标无效：</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（1）投标文件未按招标文件要求签署、盖章的；</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 xml:space="preserve">（2）不具备招标文件中规定的资格要求的； </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（3）明显不符合招标文件中主要技术规格、技术标准的；</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（4）投标文件内容不全或关键字迹模糊无法辨认的；</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（5）报价超过招标文件中规定的预算金额或者最高限价的；</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（6）投标人代表没有法定代表人 合法、有效委托的；</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（7）投标文件含有采购人不能接受的附加条件的；</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（8）法律、法规和招标文件规定的其他无效情形。</w:t>
      </w:r>
    </w:p>
    <w:p>
      <w:pPr>
        <w:spacing w:line="460" w:lineRule="exact"/>
        <w:ind w:firstLine="541" w:firstLineChars="245"/>
        <w:rPr>
          <w:rFonts w:hint="eastAsia" w:ascii="新宋体" w:hAnsi="新宋体" w:eastAsia="新宋体"/>
          <w:color w:val="auto"/>
          <w:sz w:val="22"/>
          <w:szCs w:val="22"/>
          <w:highlight w:val="none"/>
          <w:u w:val="single"/>
        </w:rPr>
      </w:pPr>
      <w:r>
        <w:rPr>
          <w:rFonts w:hint="eastAsia" w:ascii="新宋体" w:hAnsi="新宋体" w:eastAsia="新宋体"/>
          <w:b/>
          <w:bCs/>
          <w:color w:val="auto"/>
          <w:sz w:val="22"/>
          <w:szCs w:val="22"/>
          <w:highlight w:val="none"/>
          <w:u w:val="single"/>
        </w:rPr>
        <w:t>3.8有下列情形之一的，视为投标人串通投标，其投标无效</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（1）不同投标人的投标文件由同一单位或者个人编制；</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（2）不同投标人委托同一单位或者个人办理投标事宜；</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（3）不同投标人的投标文件载明的项目管理成员或者联系人员为同一人；</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（4）不同投标人的投标文件异常一致或者投标报价呈规律性差异；</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（5）不同投标人的投标文件相互混装。</w:t>
      </w:r>
    </w:p>
    <w:p>
      <w:pPr>
        <w:spacing w:line="460" w:lineRule="exact"/>
        <w:ind w:firstLine="541" w:firstLineChars="245"/>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3.9 投标文件报价出现前后不一致的，按照下列规定修正：</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（1）投标文件中开标一览表（报价表）内容与投标文件中相应内容不一致的，以开标一览表（报价表）为准；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（2）大写金额和小写金额不一致的，以大写金额为准；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（3）单价金额小数点或者百分比有明显错位的，以开标一览表的总价为准，并修改单价；</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（4）总价金额与按单价汇总金额不一致的，以单价金额计算结果为准。</w:t>
      </w:r>
    </w:p>
    <w:p>
      <w:pPr>
        <w:spacing w:line="460" w:lineRule="exact"/>
        <w:ind w:firstLine="539" w:firstLineChars="245"/>
        <w:rPr>
          <w:color w:val="auto"/>
          <w:highlight w:val="none"/>
        </w:rPr>
      </w:pPr>
      <w:r>
        <w:rPr>
          <w:rFonts w:hint="eastAsia" w:ascii="新宋体" w:hAnsi="新宋体" w:eastAsia="新宋体"/>
          <w:color w:val="auto"/>
          <w:sz w:val="22"/>
          <w:szCs w:val="22"/>
          <w:highlight w:val="none"/>
        </w:rPr>
        <w:t>同时出现两种以上不一致的，按照前款规定的顺序修正。修正后的报价按照本小节第4.1条第二款的规定经投标人确认后产生约束力，投标人不确认的，其投标无效。</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3.10 投标的评定</w:t>
      </w:r>
    </w:p>
    <w:p>
      <w:pPr>
        <w:tabs>
          <w:tab w:val="left" w:pos="1365"/>
        </w:tabs>
        <w:spacing w:line="460" w:lineRule="exact"/>
        <w:ind w:left="638" w:leftChars="104" w:hanging="420" w:hangingChars="200"/>
        <w:rPr>
          <w:rFonts w:ascii="新宋体" w:hAnsi="新宋体" w:eastAsia="新宋体"/>
          <w:color w:val="auto"/>
          <w:szCs w:val="21"/>
          <w:highlight w:val="none"/>
        </w:rPr>
      </w:pPr>
      <w:r>
        <w:rPr>
          <w:rFonts w:hint="eastAsia" w:ascii="新宋体" w:hAnsi="新宋体" w:eastAsia="新宋体"/>
          <w:color w:val="auto"/>
          <w:szCs w:val="21"/>
          <w:highlight w:val="none"/>
        </w:rPr>
        <w:t xml:space="preserve">   </w:t>
      </w:r>
      <w:r>
        <w:rPr>
          <w:rFonts w:hint="eastAsia" w:ascii="新宋体" w:hAnsi="新宋体" w:eastAsia="新宋体"/>
          <w:color w:val="auto"/>
          <w:sz w:val="22"/>
          <w:szCs w:val="22"/>
          <w:highlight w:val="none"/>
        </w:rPr>
        <w:t xml:space="preserve"> 评标委员会除考虑投标人的投标报价的竞争有利性外，同时还应考虑以下几方面：</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（1）交货及完工时间的满足性；</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（2）与合同条款规定的付款方式和条件的偏差；</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（3）质量保证措施的可行性；</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（4）产品的质量水平、先进性和设备配套的齐全性；</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（5）投标人在甲方所在地为用户提供售后服务的保障措施；</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（6）投标人针对本项目安排的工程技术人员的业绩、素质、能力和信誉；</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（7）投标人的经营信誉、资信和实力；</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（8）投标人的同类业绩；</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（9）投标人提出的使招标人满意的优惠条款。</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3.11 标委员会成员对需要共同认定的事项存在争议的，应当按照少数服从多数的原则作出结论。持不同意见的评标委员会成员应当在评标报告上签署不同意见及理由，否则视为同意评标报告。</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4、投标文件的澄清</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4.1在评标期间，评标委员会可要求投标人对于投标文件中含义不明确、同类问题表述不一致或者有明显文字和计算错误的内容，评标委员会应当以书面形式要求投标人作出必要的澄清、说明或者补正。</w:t>
      </w:r>
    </w:p>
    <w:p>
      <w:pPr>
        <w:spacing w:line="460" w:lineRule="exact"/>
        <w:ind w:firstLine="759" w:firstLineChars="3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投标人的澄清、说明或者补正应当采用书面形式，并加盖公章，或者由法定代表人 或其授权的代表签字。投标人的澄清、说明或者补正不得超出投标文件的范围或者改变投标文件的实质性内容。</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拒不按要求对其投标文件进行澄清，说明或补正的投标人，评标委员会可以否决其投标。</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4.2</w:t>
      </w:r>
      <w:r>
        <w:rPr>
          <w:rFonts w:hint="eastAsia" w:ascii="新宋体" w:hAnsi="新宋体" w:eastAsia="新宋体"/>
          <w:b/>
          <w:color w:val="auto"/>
          <w:sz w:val="22"/>
          <w:szCs w:val="22"/>
          <w:highlight w:val="none"/>
        </w:rPr>
        <w:t>经澄清后，若偏差仍存在，且不可接受，投标人则被认为是“没有实质性响应招标文件要求”，其投标将被拒绝。</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5</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确定中标候选人</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5.1由评标委员会确定中标候选人。</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5.2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6、确定中标人</w:t>
      </w:r>
    </w:p>
    <w:p>
      <w:pPr>
        <w:spacing w:line="460" w:lineRule="exact"/>
        <w:rPr>
          <w:rFonts w:hint="eastAsia" w:ascii="新宋体" w:hAnsi="新宋体"/>
          <w:b/>
          <w:bCs/>
          <w:color w:val="auto"/>
          <w:sz w:val="22"/>
          <w:szCs w:val="22"/>
          <w:highlight w:val="none"/>
        </w:rPr>
      </w:pPr>
      <w:r>
        <w:rPr>
          <w:rFonts w:hint="eastAsia" w:ascii="新宋体" w:hAnsi="新宋体" w:eastAsia="新宋体"/>
          <w:b/>
          <w:bCs/>
          <w:color w:val="auto"/>
          <w:sz w:val="22"/>
          <w:szCs w:val="22"/>
          <w:highlight w:val="none"/>
        </w:rPr>
        <w:t xml:space="preserve">     6.1招标人按照评标报告中推荐的中标候选供应商顺序确定中标人；也可以事先授权评标委员会按照推荐的中标候选供应商顺序直接确定中标人。中标候选人并列的，采取随机抽取的方式确定。</w:t>
      </w:r>
    </w:p>
    <w:p>
      <w:pPr>
        <w:spacing w:line="460" w:lineRule="exact"/>
        <w:ind w:firstLine="539" w:firstLineChars="245"/>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6.2</w:t>
      </w:r>
      <w:r>
        <w:rPr>
          <w:rFonts w:ascii="新宋体" w:hAnsi="新宋体" w:eastAsia="新宋体"/>
          <w:color w:val="auto"/>
          <w:sz w:val="22"/>
          <w:szCs w:val="22"/>
          <w:highlight w:val="none"/>
        </w:rPr>
        <w:t>如中标人放弃中标</w:t>
      </w:r>
      <w:r>
        <w:rPr>
          <w:rFonts w:hint="eastAsia" w:ascii="新宋体" w:hAnsi="新宋体" w:eastAsia="新宋体"/>
          <w:color w:val="auto"/>
          <w:sz w:val="22"/>
          <w:szCs w:val="22"/>
          <w:highlight w:val="none"/>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或</w:t>
      </w:r>
      <w:r>
        <w:rPr>
          <w:rFonts w:ascii="新宋体" w:hAnsi="新宋体" w:eastAsia="新宋体"/>
          <w:color w:val="auto"/>
          <w:sz w:val="22"/>
          <w:szCs w:val="22"/>
          <w:highlight w:val="none"/>
        </w:rPr>
        <w:t>重新组织招标。</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w:t>
      </w:r>
      <w:r>
        <w:rPr>
          <w:rFonts w:hint="eastAsia" w:ascii="新宋体" w:hAnsi="新宋体" w:eastAsia="新宋体" w:cs="宋体"/>
          <w:color w:val="auto"/>
          <w:kern w:val="0"/>
          <w:sz w:val="22"/>
          <w:szCs w:val="22"/>
          <w:highlight w:val="none"/>
        </w:rPr>
        <w:t>、</w:t>
      </w:r>
      <w:r>
        <w:rPr>
          <w:rFonts w:hint="eastAsia" w:ascii="新宋体" w:hAnsi="新宋体" w:eastAsia="新宋体"/>
          <w:color w:val="auto"/>
          <w:sz w:val="22"/>
          <w:szCs w:val="22"/>
          <w:highlight w:val="none"/>
        </w:rPr>
        <w:t>中标人确定后，招标人将在政府指定媒体公告中标结果，招标人向中标人发出中标通知书。</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8、</w:t>
      </w:r>
      <w:r>
        <w:rPr>
          <w:rFonts w:hint="eastAsia" w:ascii="新宋体" w:hAnsi="新宋体" w:eastAsia="新宋体"/>
          <w:b/>
          <w:color w:val="auto"/>
          <w:sz w:val="22"/>
          <w:szCs w:val="22"/>
          <w:highlight w:val="none"/>
        </w:rPr>
        <w:t>招标人对决标结果不做任何解释，也不保证最低价中标。</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9、评标细则详见“评标原则及方法”。</w:t>
      </w:r>
    </w:p>
    <w:p>
      <w:pPr>
        <w:spacing w:before="100" w:beforeAutospacing="1" w:after="100" w:afterAutospacing="1" w:line="440" w:lineRule="exact"/>
        <w:jc w:val="center"/>
        <w:outlineLvl w:val="1"/>
        <w:rPr>
          <w:rFonts w:hint="eastAsia" w:ascii="新宋体" w:hAnsi="新宋体" w:eastAsia="新宋体"/>
          <w:b/>
          <w:bCs/>
          <w:color w:val="auto"/>
          <w:sz w:val="26"/>
          <w:szCs w:val="26"/>
          <w:highlight w:val="none"/>
        </w:rPr>
      </w:pPr>
      <w:r>
        <w:rPr>
          <w:rFonts w:hint="eastAsia" w:ascii="新宋体" w:hAnsi="新宋体" w:eastAsia="新宋体"/>
          <w:b/>
          <w:bCs/>
          <w:color w:val="auto"/>
          <w:sz w:val="26"/>
          <w:szCs w:val="26"/>
          <w:highlight w:val="none"/>
        </w:rPr>
        <w:t>六、 授予合同</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highlight w:val="none"/>
        </w:rPr>
        <w:t>1、中标通知书</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1.1</w:t>
      </w:r>
      <w:r>
        <w:rPr>
          <w:rFonts w:hint="eastAsia" w:ascii="新宋体" w:hAnsi="新宋体" w:eastAsia="新宋体"/>
          <w:color w:val="auto"/>
          <w:sz w:val="22"/>
          <w:szCs w:val="22"/>
          <w:highlight w:val="none"/>
        </w:rPr>
        <w:t xml:space="preserve">中标人确定后，招标人将向中标人发出中标通知书。 </w:t>
      </w:r>
    </w:p>
    <w:p>
      <w:pPr>
        <w:spacing w:line="46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1.2</w:t>
      </w:r>
      <w:r>
        <w:rPr>
          <w:rFonts w:hint="eastAsia" w:ascii="新宋体" w:hAnsi="新宋体" w:eastAsia="新宋体"/>
          <w:color w:val="auto"/>
          <w:sz w:val="22"/>
          <w:szCs w:val="22"/>
          <w:highlight w:val="none"/>
        </w:rPr>
        <w:t>中标通知书是合同的一个组成部分,对招标人和中标人均具有同等法律效力。</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highlight w:val="none"/>
        </w:rPr>
        <w:t>2、授标时更改采购货物数量的权力</w:t>
      </w:r>
    </w:p>
    <w:p>
      <w:pPr>
        <w:spacing w:line="460" w:lineRule="exact"/>
        <w:ind w:firstLine="539" w:firstLineChars="245"/>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2.1招标人在授予合同时有权对采购货物的数量和服务在一定幅度范围内予以增加或减少,但不得对单价和其他的条款和条件作任何改变。</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highlight w:val="none"/>
        </w:rPr>
        <w:t>3、签订合同</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bCs/>
          <w:color w:val="auto"/>
          <w:sz w:val="22"/>
          <w:szCs w:val="22"/>
          <w:highlight w:val="none"/>
        </w:rPr>
        <w:t>3.1中标人应按中标通知书规定的时间、地点与招标人签订合同，同时提交履约保证金。</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3.2</w:t>
      </w:r>
      <w:r>
        <w:rPr>
          <w:rFonts w:hint="eastAsia" w:ascii="新宋体" w:hAnsi="新宋体" w:eastAsia="新宋体"/>
          <w:b/>
          <w:color w:val="auto"/>
          <w:spacing w:val="6"/>
          <w:sz w:val="22"/>
          <w:szCs w:val="22"/>
          <w:highlight w:val="none"/>
        </w:rPr>
        <w:t>在签订合同前，招标人有权在中标总价不变的前提下要求中标人对商务报价中的不平衡报价和缺漏项进行调整，如果中标人无合理理由拒绝调整，其中投标资格将被取消，保证金将不予退还，且将导致其它进一步的赔偿和处罚。</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3.3招标文件、中标人的投标文件、投标修改文件、评标过程中有关澄清文件及经投标人和评委双方签字的询标纪要和中标通知书均作为合同附件。</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3.4拒签合同的违约责任</w:t>
      </w:r>
    </w:p>
    <w:p>
      <w:pPr>
        <w:spacing w:line="460" w:lineRule="exact"/>
        <w:ind w:firstLine="571" w:firstLineChars="245"/>
        <w:rPr>
          <w:rFonts w:hint="eastAsia" w:ascii="新宋体" w:hAnsi="新宋体" w:eastAsia="新宋体"/>
          <w:b/>
          <w:color w:val="auto"/>
          <w:sz w:val="22"/>
          <w:szCs w:val="22"/>
          <w:highlight w:val="none"/>
        </w:rPr>
      </w:pPr>
      <w:r>
        <w:rPr>
          <w:rFonts w:hint="eastAsia" w:ascii="新宋体" w:hAnsi="新宋体" w:eastAsia="新宋体"/>
          <w:b/>
          <w:color w:val="auto"/>
          <w:spacing w:val="6"/>
          <w:sz w:val="22"/>
          <w:szCs w:val="22"/>
          <w:highlight w:val="none"/>
        </w:rPr>
        <w:t>中标人接到中标通知书后，在规定时间内借故否认已经承诺的条件而拒签合同的，以违约处理。</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4、履约保证金</w:t>
      </w:r>
    </w:p>
    <w:p>
      <w:pPr>
        <w:spacing w:line="460" w:lineRule="exact"/>
        <w:ind w:firstLine="568" w:firstLineChars="245"/>
        <w:rPr>
          <w:rFonts w:hint="eastAsia" w:ascii="新宋体" w:hAnsi="新宋体" w:eastAsia="新宋体"/>
          <w:color w:val="auto"/>
          <w:spacing w:val="6"/>
          <w:sz w:val="22"/>
          <w:szCs w:val="22"/>
          <w:highlight w:val="none"/>
        </w:rPr>
      </w:pPr>
      <w:r>
        <w:rPr>
          <w:rFonts w:hint="eastAsia" w:ascii="新宋体" w:hAnsi="新宋体" w:eastAsia="新宋体"/>
          <w:color w:val="auto"/>
          <w:spacing w:val="6"/>
          <w:sz w:val="22"/>
          <w:szCs w:val="22"/>
          <w:highlight w:val="none"/>
        </w:rPr>
        <w:t>4.1中标人在收到中标通知书后，向招标人提交合同总价10%的履约保证金。</w:t>
      </w:r>
    </w:p>
    <w:p>
      <w:pPr>
        <w:spacing w:line="460" w:lineRule="exact"/>
        <w:ind w:firstLine="568" w:firstLineChars="245"/>
        <w:rPr>
          <w:rFonts w:hint="eastAsia" w:ascii="新宋体" w:hAnsi="新宋体" w:eastAsia="新宋体"/>
          <w:b/>
          <w:color w:val="auto"/>
          <w:sz w:val="22"/>
          <w:szCs w:val="22"/>
          <w:highlight w:val="none"/>
        </w:rPr>
      </w:pPr>
      <w:r>
        <w:rPr>
          <w:rFonts w:hint="eastAsia" w:ascii="新宋体" w:hAnsi="新宋体" w:eastAsia="新宋体"/>
          <w:color w:val="auto"/>
          <w:spacing w:val="6"/>
          <w:sz w:val="22"/>
          <w:szCs w:val="22"/>
          <w:highlight w:val="none"/>
        </w:rPr>
        <w:t>4.2履约保证金用于补偿招标人因中标人不能履行其合同义务而蒙受的损失。</w:t>
      </w:r>
    </w:p>
    <w:p>
      <w:pPr>
        <w:spacing w:line="460" w:lineRule="exact"/>
        <w:ind w:firstLine="568" w:firstLineChars="245"/>
        <w:rPr>
          <w:rFonts w:hint="eastAsia" w:ascii="新宋体" w:hAnsi="新宋体" w:eastAsia="新宋体"/>
          <w:bCs/>
          <w:color w:val="auto"/>
          <w:sz w:val="22"/>
          <w:highlight w:val="none"/>
        </w:rPr>
      </w:pPr>
      <w:r>
        <w:rPr>
          <w:rFonts w:hint="eastAsia" w:ascii="新宋体" w:hAnsi="新宋体" w:eastAsia="新宋体"/>
          <w:color w:val="auto"/>
          <w:spacing w:val="6"/>
          <w:sz w:val="22"/>
          <w:szCs w:val="22"/>
          <w:highlight w:val="none"/>
        </w:rPr>
        <w:t>4.3</w:t>
      </w:r>
      <w:r>
        <w:rPr>
          <w:rFonts w:hint="eastAsia" w:ascii="新宋体" w:hAnsi="新宋体" w:eastAsia="新宋体"/>
          <w:color w:val="auto"/>
          <w:sz w:val="22"/>
          <w:highlight w:val="none"/>
        </w:rPr>
        <w:t>履约保证金自合同签订之日起至履约完毕止有效。有效期满后，招标人应及时将履约保证金无息退还给中标人。</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highlight w:val="none"/>
        </w:rPr>
        <w:t>5、质疑与投诉</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highlight w:val="none"/>
        </w:rPr>
        <w:t>5.1投标人认为招标文件、采购过程、中标和成交结果使自己的合法权益受到损害的，可以在知道或应知道其权益受到损害之日起七个工作日内以书面形式向招标人或招标代理机构提出质疑。</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highlight w:val="none"/>
        </w:rPr>
        <w:t>5.2招标人或招标代理机构在收到投标人的书面质疑后七个工作日内作出答复，但答复的内容不得涉及商业秘密。质疑投标人对招标人或招标代理机构的答复不满意，可以在答复期满后十五个工作日内向同级政府采购监督管理部门投诉。</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highlight w:val="none"/>
        </w:rPr>
        <w:t>5.3投诉人投诉时，应提交投诉书，投诉书应当由本人并由法定代表人 签字盖公章，投诉书应说明具体的投诉事项及事实依据。投诉人对投诉书的真实性负责，恶意投诉将承当相应的法律和民事责任。</w:t>
      </w:r>
    </w:p>
    <w:p>
      <w:pPr>
        <w:spacing w:line="460" w:lineRule="exact"/>
        <w:ind w:firstLine="440" w:firstLineChars="200"/>
        <w:rPr>
          <w:rFonts w:hint="eastAsia" w:ascii="新宋体" w:hAnsi="新宋体" w:eastAsia="新宋体"/>
          <w:color w:val="auto"/>
          <w:sz w:val="22"/>
          <w:highlight w:val="none"/>
        </w:rPr>
      </w:pPr>
      <w:r>
        <w:rPr>
          <w:rFonts w:hint="eastAsia" w:ascii="新宋体" w:hAnsi="新宋体" w:eastAsia="新宋体"/>
          <w:color w:val="auto"/>
          <w:sz w:val="22"/>
          <w:highlight w:val="none"/>
        </w:rPr>
        <w:t>5.4监管单位是温州市财政局政府采购监管处，</w:t>
      </w:r>
    </w:p>
    <w:p>
      <w:pPr>
        <w:spacing w:line="460" w:lineRule="exact"/>
        <w:ind w:firstLine="660" w:firstLineChars="300"/>
        <w:rPr>
          <w:rFonts w:hint="eastAsia" w:ascii="新宋体" w:hAnsi="新宋体" w:eastAsia="新宋体" w:cs="新宋体"/>
          <w:color w:val="auto"/>
          <w:sz w:val="22"/>
          <w:highlight w:val="none"/>
        </w:rPr>
      </w:pPr>
      <w:r>
        <w:rPr>
          <w:rFonts w:hint="eastAsia" w:ascii="新宋体" w:hAnsi="新宋体" w:eastAsia="新宋体" w:cs="新宋体"/>
          <w:color w:val="auto"/>
          <w:sz w:val="22"/>
          <w:highlight w:val="none"/>
        </w:rPr>
        <w:t>联系人：陈先生、马女士</w:t>
      </w:r>
    </w:p>
    <w:p>
      <w:pPr>
        <w:spacing w:line="440" w:lineRule="exact"/>
        <w:ind w:firstLine="660" w:firstLineChars="300"/>
        <w:rPr>
          <w:rFonts w:hint="eastAsia" w:ascii="新宋体" w:hAnsi="新宋体" w:eastAsia="新宋体"/>
          <w:color w:val="auto"/>
          <w:sz w:val="22"/>
          <w:highlight w:val="none"/>
        </w:rPr>
      </w:pPr>
      <w:r>
        <w:rPr>
          <w:rFonts w:hint="eastAsia" w:ascii="新宋体" w:hAnsi="新宋体" w:eastAsia="新宋体" w:cs="新宋体"/>
          <w:color w:val="auto"/>
          <w:sz w:val="22"/>
          <w:highlight w:val="none"/>
        </w:rPr>
        <w:t xml:space="preserve">电话：0577-88506788、0577-88523909 </w:t>
      </w:r>
    </w:p>
    <w:p>
      <w:pPr>
        <w:spacing w:line="46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6、招标代理服务费</w:t>
      </w:r>
    </w:p>
    <w:p>
      <w:pPr>
        <w:spacing w:line="46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6.1</w:t>
      </w:r>
      <w:r>
        <w:rPr>
          <w:rFonts w:hint="eastAsia" w:ascii="新宋体" w:hAnsi="新宋体" w:eastAsia="新宋体"/>
          <w:bCs/>
          <w:color w:val="auto"/>
          <w:sz w:val="22"/>
          <w:highlight w:val="none"/>
        </w:rPr>
        <w:t>招标代理服务</w:t>
      </w:r>
      <w:r>
        <w:rPr>
          <w:rFonts w:hint="eastAsia" w:ascii="新宋体" w:hAnsi="新宋体" w:eastAsia="新宋体"/>
          <w:bCs/>
          <w:color w:val="auto"/>
          <w:sz w:val="22"/>
          <w:highlight w:val="none"/>
        </w:rPr>
        <w:t>费</w:t>
      </w:r>
      <w:bookmarkStart w:id="2" w:name="OLE_LINK1"/>
      <w:r>
        <w:rPr>
          <w:rFonts w:hint="eastAsia" w:ascii="新宋体" w:hAnsi="新宋体" w:eastAsia="新宋体"/>
          <w:bCs/>
          <w:color w:val="auto"/>
          <w:sz w:val="22"/>
          <w:highlight w:val="none"/>
        </w:rPr>
        <w:t>：人民币</w:t>
      </w:r>
      <w:r>
        <w:rPr>
          <w:rFonts w:hint="eastAsia" w:ascii="新宋体" w:hAnsi="新宋体" w:eastAsia="新宋体"/>
          <w:bCs/>
          <w:color w:val="auto"/>
          <w:sz w:val="22"/>
          <w:highlight w:val="none"/>
        </w:rPr>
        <w:fldChar w:fldCharType="begin"/>
      </w:r>
      <w:r>
        <w:rPr>
          <w:rFonts w:hint="eastAsia" w:ascii="新宋体" w:hAnsi="新宋体" w:eastAsia="新宋体"/>
          <w:bCs/>
          <w:color w:val="auto"/>
          <w:sz w:val="22"/>
          <w:highlight w:val="none"/>
        </w:rPr>
        <w:instrText xml:space="preserve"> = 23800 \* CHINESENUM4 \* MERGEFORMAT </w:instrText>
      </w:r>
      <w:r>
        <w:rPr>
          <w:rFonts w:hint="eastAsia" w:ascii="新宋体" w:hAnsi="新宋体" w:eastAsia="新宋体"/>
          <w:bCs/>
          <w:color w:val="auto"/>
          <w:sz w:val="22"/>
          <w:highlight w:val="none"/>
        </w:rPr>
        <w:fldChar w:fldCharType="separate"/>
      </w:r>
      <w:r>
        <w:rPr>
          <w:rFonts w:hint="eastAsia" w:ascii="新宋体" w:hAnsi="新宋体" w:eastAsia="新宋体"/>
          <w:bCs/>
          <w:color w:val="auto"/>
          <w:sz w:val="22"/>
          <w:highlight w:val="none"/>
        </w:rPr>
        <w:t>贰万叁仟捌佰元整</w:t>
      </w:r>
      <w:r>
        <w:rPr>
          <w:rFonts w:hint="eastAsia" w:ascii="新宋体" w:hAnsi="新宋体" w:eastAsia="新宋体"/>
          <w:bCs/>
          <w:color w:val="auto"/>
          <w:sz w:val="22"/>
          <w:highlight w:val="none"/>
        </w:rPr>
        <w:fldChar w:fldCharType="end"/>
      </w:r>
      <w:r>
        <w:rPr>
          <w:rFonts w:hint="eastAsia" w:ascii="新宋体" w:hAnsi="新宋体" w:eastAsia="新宋体"/>
          <w:bCs/>
          <w:color w:val="auto"/>
          <w:sz w:val="22"/>
          <w:highlight w:val="none"/>
        </w:rPr>
        <w:t>（¥2</w:t>
      </w:r>
      <w:r>
        <w:rPr>
          <w:rFonts w:hint="eastAsia" w:ascii="新宋体" w:hAnsi="新宋体" w:eastAsia="新宋体"/>
          <w:bCs/>
          <w:color w:val="auto"/>
          <w:sz w:val="22"/>
          <w:highlight w:val="none"/>
          <w:lang w:val="en-US" w:eastAsia="zh-CN"/>
        </w:rPr>
        <w:t>38</w:t>
      </w:r>
      <w:r>
        <w:rPr>
          <w:rFonts w:hint="eastAsia" w:ascii="新宋体" w:hAnsi="新宋体" w:eastAsia="新宋体"/>
          <w:bCs/>
          <w:color w:val="auto"/>
          <w:sz w:val="22"/>
          <w:highlight w:val="none"/>
        </w:rPr>
        <w:t>00.00元）</w:t>
      </w:r>
      <w:bookmarkEnd w:id="2"/>
      <w:r>
        <w:rPr>
          <w:rFonts w:hint="eastAsia" w:ascii="新宋体" w:hAnsi="新宋体" w:eastAsia="新宋体"/>
          <w:bCs/>
          <w:color w:val="auto"/>
          <w:sz w:val="22"/>
          <w:highlight w:val="none"/>
        </w:rPr>
        <w:t>，由中</w:t>
      </w:r>
      <w:r>
        <w:rPr>
          <w:rFonts w:hint="eastAsia" w:ascii="新宋体" w:hAnsi="新宋体" w:eastAsia="新宋体"/>
          <w:color w:val="auto"/>
          <w:sz w:val="22"/>
          <w:highlight w:val="none"/>
        </w:rPr>
        <w:t>标人在领取中标通知书时支付。</w:t>
      </w:r>
    </w:p>
    <w:p>
      <w:pPr>
        <w:spacing w:line="46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6.2 招标代理服务费可以是现金、支票或汇票。</w:t>
      </w:r>
    </w:p>
    <w:p>
      <w:pPr>
        <w:keepNext/>
        <w:keepLines/>
        <w:rPr>
          <w:rFonts w:hint="eastAsia" w:ascii="新宋体" w:hAnsi="新宋体" w:eastAsia="新宋体"/>
          <w:color w:val="auto"/>
          <w:sz w:val="22"/>
          <w:highlight w:val="none"/>
        </w:rPr>
      </w:pPr>
    </w:p>
    <w:p>
      <w:pPr>
        <w:spacing w:line="46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户   名：温州历程招标有限公司</w:t>
      </w:r>
    </w:p>
    <w:p>
      <w:pPr>
        <w:spacing w:line="46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 xml:space="preserve">税   号：91330302MA2CQY4283 </w:t>
      </w:r>
    </w:p>
    <w:p>
      <w:pPr>
        <w:spacing w:line="46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账   号：33050162870409101001</w:t>
      </w:r>
    </w:p>
    <w:p>
      <w:pPr>
        <w:spacing w:line="460" w:lineRule="exact"/>
        <w:ind w:firstLine="539" w:firstLineChars="245"/>
        <w:rPr>
          <w:rFonts w:hint="eastAsia" w:ascii="新宋体" w:hAnsi="新宋体" w:eastAsia="新宋体"/>
          <w:color w:val="auto"/>
          <w:sz w:val="22"/>
          <w:highlight w:val="none"/>
        </w:rPr>
      </w:pPr>
      <w:r>
        <w:rPr>
          <w:rFonts w:hint="eastAsia" w:ascii="新宋体" w:hAnsi="新宋体" w:eastAsia="新宋体"/>
          <w:color w:val="auto"/>
          <w:sz w:val="22"/>
          <w:highlight w:val="none"/>
        </w:rPr>
        <w:t>开户行：中国建设银行温州黎明支行</w:t>
      </w:r>
    </w:p>
    <w:p>
      <w:pPr>
        <w:spacing w:line="460" w:lineRule="exact"/>
        <w:ind w:firstLine="539" w:firstLineChars="245"/>
        <w:rPr>
          <w:rFonts w:hint="eastAsia" w:ascii="新宋体" w:hAnsi="新宋体" w:eastAsia="新宋体"/>
          <w:color w:val="auto"/>
          <w:sz w:val="22"/>
          <w:highlight w:val="none"/>
        </w:rPr>
      </w:pPr>
    </w:p>
    <w:p>
      <w:pPr>
        <w:pStyle w:val="2"/>
        <w:rPr>
          <w:rFonts w:hint="eastAsia" w:ascii="新宋体" w:hAnsi="新宋体" w:eastAsia="新宋体"/>
          <w:color w:val="auto"/>
          <w:sz w:val="22"/>
          <w:highlight w:val="none"/>
        </w:rPr>
      </w:pPr>
    </w:p>
    <w:p>
      <w:pPr>
        <w:rPr>
          <w:rFonts w:hint="eastAsia"/>
          <w:color w:val="auto"/>
          <w:highlight w:val="none"/>
        </w:rPr>
      </w:pPr>
    </w:p>
    <w:p>
      <w:pPr>
        <w:spacing w:line="460" w:lineRule="exact"/>
        <w:ind w:firstLine="539" w:firstLineChars="245"/>
        <w:rPr>
          <w:rFonts w:hint="eastAsia" w:ascii="新宋体" w:hAnsi="新宋体" w:eastAsia="新宋体"/>
          <w:color w:val="auto"/>
          <w:sz w:val="22"/>
          <w:highlight w:val="none"/>
        </w:rPr>
      </w:pPr>
    </w:p>
    <w:p>
      <w:pPr>
        <w:spacing w:line="460" w:lineRule="exact"/>
        <w:ind w:firstLine="539" w:firstLineChars="245"/>
        <w:rPr>
          <w:rFonts w:hint="eastAsia" w:ascii="新宋体" w:hAnsi="新宋体" w:eastAsia="新宋体"/>
          <w:color w:val="auto"/>
          <w:sz w:val="22"/>
          <w:highlight w:val="none"/>
        </w:rPr>
      </w:pPr>
    </w:p>
    <w:p>
      <w:pPr>
        <w:spacing w:line="460" w:lineRule="exact"/>
        <w:ind w:firstLine="539" w:firstLineChars="245"/>
        <w:rPr>
          <w:rFonts w:hint="eastAsia" w:ascii="新宋体" w:hAnsi="新宋体" w:eastAsia="新宋体"/>
          <w:color w:val="auto"/>
          <w:sz w:val="22"/>
          <w:highlight w:val="none"/>
        </w:rPr>
      </w:pPr>
    </w:p>
    <w:p>
      <w:pPr>
        <w:spacing w:line="460" w:lineRule="exact"/>
        <w:ind w:firstLine="539" w:firstLineChars="245"/>
        <w:rPr>
          <w:rFonts w:hint="eastAsia" w:ascii="新宋体" w:hAnsi="新宋体" w:eastAsia="新宋体"/>
          <w:color w:val="auto"/>
          <w:sz w:val="22"/>
          <w:highlight w:val="none"/>
        </w:rPr>
      </w:pPr>
    </w:p>
    <w:p>
      <w:pPr>
        <w:spacing w:line="460" w:lineRule="exact"/>
        <w:ind w:firstLine="539" w:firstLineChars="245"/>
        <w:rPr>
          <w:rFonts w:hint="eastAsia" w:ascii="新宋体" w:hAnsi="新宋体" w:eastAsia="新宋体"/>
          <w:color w:val="auto"/>
          <w:sz w:val="22"/>
          <w:highlight w:val="none"/>
        </w:rPr>
      </w:pPr>
    </w:p>
    <w:p>
      <w:pPr>
        <w:spacing w:line="460" w:lineRule="exact"/>
        <w:ind w:firstLine="539" w:firstLineChars="245"/>
        <w:rPr>
          <w:rFonts w:hint="eastAsia" w:ascii="新宋体" w:hAnsi="新宋体" w:eastAsia="新宋体"/>
          <w:color w:val="auto"/>
          <w:sz w:val="22"/>
          <w:highlight w:val="none"/>
        </w:rPr>
      </w:pPr>
    </w:p>
    <w:p>
      <w:pPr>
        <w:spacing w:line="460" w:lineRule="exact"/>
        <w:ind w:firstLine="539" w:firstLineChars="245"/>
        <w:rPr>
          <w:rFonts w:hint="eastAsia" w:ascii="新宋体" w:hAnsi="新宋体" w:eastAsia="新宋体"/>
          <w:color w:val="auto"/>
          <w:sz w:val="22"/>
          <w:highlight w:val="none"/>
        </w:rPr>
      </w:pPr>
    </w:p>
    <w:p>
      <w:pPr>
        <w:spacing w:line="460" w:lineRule="exact"/>
        <w:ind w:firstLine="539" w:firstLineChars="245"/>
        <w:rPr>
          <w:rFonts w:hint="eastAsia" w:ascii="新宋体" w:hAnsi="新宋体" w:eastAsia="新宋体"/>
          <w:color w:val="auto"/>
          <w:sz w:val="22"/>
          <w:highlight w:val="none"/>
        </w:rPr>
      </w:pPr>
    </w:p>
    <w:p>
      <w:pPr>
        <w:spacing w:line="460" w:lineRule="exact"/>
        <w:ind w:firstLine="539" w:firstLineChars="245"/>
        <w:rPr>
          <w:rFonts w:hint="eastAsia" w:ascii="新宋体" w:hAnsi="新宋体" w:eastAsia="新宋体"/>
          <w:color w:val="auto"/>
          <w:sz w:val="22"/>
          <w:highlight w:val="none"/>
        </w:rPr>
      </w:pPr>
    </w:p>
    <w:p>
      <w:pPr>
        <w:rPr>
          <w:rFonts w:hint="eastAsia"/>
          <w:color w:val="auto"/>
          <w:highlight w:val="none"/>
        </w:rPr>
      </w:pPr>
    </w:p>
    <w:p>
      <w:pPr>
        <w:pStyle w:val="22"/>
        <w:spacing w:line="460" w:lineRule="exact"/>
        <w:ind w:left="430" w:leftChars="205" w:firstLine="0" w:firstLineChars="0"/>
        <w:jc w:val="center"/>
        <w:outlineLvl w:val="0"/>
        <w:rPr>
          <w:rFonts w:hint="eastAsia" w:ascii="新宋体" w:hAnsi="新宋体" w:eastAsia="新宋体"/>
          <w:b/>
          <w:color w:val="auto"/>
          <w:sz w:val="30"/>
          <w:highlight w:val="none"/>
        </w:rPr>
      </w:pPr>
      <w:r>
        <w:rPr>
          <w:rFonts w:hint="eastAsia" w:ascii="新宋体" w:hAnsi="新宋体" w:eastAsia="新宋体"/>
          <w:b/>
          <w:color w:val="auto"/>
          <w:sz w:val="30"/>
          <w:highlight w:val="none"/>
        </w:rPr>
        <w:t>第二部分    合同主要条款</w:t>
      </w:r>
    </w:p>
    <w:p>
      <w:pPr>
        <w:widowControl/>
        <w:snapToGrid w:val="0"/>
        <w:spacing w:line="420" w:lineRule="atLeast"/>
        <w:jc w:val="left"/>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项目合同编号：</w:t>
      </w:r>
      <w:r>
        <w:rPr>
          <w:rFonts w:ascii="新宋体" w:hAnsi="新宋体" w:eastAsia="新宋体"/>
          <w:color w:val="auto"/>
          <w:kern w:val="0"/>
          <w:sz w:val="22"/>
          <w:szCs w:val="22"/>
          <w:highlight w:val="none"/>
        </w:rPr>
        <w:t xml:space="preserve">                       </w:t>
      </w:r>
      <w:r>
        <w:rPr>
          <w:rFonts w:hint="eastAsia" w:ascii="新宋体" w:hAnsi="新宋体" w:eastAsia="新宋体"/>
          <w:color w:val="auto"/>
          <w:kern w:val="0"/>
          <w:sz w:val="22"/>
          <w:szCs w:val="22"/>
          <w:highlight w:val="none"/>
        </w:rPr>
        <w:t xml:space="preserve">                      </w:t>
      </w:r>
      <w:r>
        <w:rPr>
          <w:rFonts w:ascii="新宋体" w:hAnsi="新宋体" w:eastAsia="新宋体"/>
          <w:color w:val="auto"/>
          <w:kern w:val="0"/>
          <w:sz w:val="22"/>
          <w:szCs w:val="22"/>
          <w:highlight w:val="none"/>
        </w:rPr>
        <w:t xml:space="preserve">  </w:t>
      </w:r>
      <w:r>
        <w:rPr>
          <w:rFonts w:hint="eastAsia" w:ascii="新宋体" w:hAnsi="新宋体" w:eastAsia="新宋体" w:cs="宋体"/>
          <w:color w:val="auto"/>
          <w:kern w:val="0"/>
          <w:sz w:val="22"/>
          <w:szCs w:val="22"/>
          <w:highlight w:val="none"/>
        </w:rPr>
        <w:t>密级：</w:t>
      </w:r>
    </w:p>
    <w:p>
      <w:pPr>
        <w:widowControl/>
        <w:snapToGrid w:val="0"/>
        <w:spacing w:line="420" w:lineRule="atLeast"/>
        <w:jc w:val="left"/>
        <w:rPr>
          <w:rFonts w:cs="宋体"/>
          <w:color w:val="auto"/>
          <w:kern w:val="0"/>
          <w:sz w:val="32"/>
          <w:highlight w:val="none"/>
        </w:rPr>
      </w:pPr>
    </w:p>
    <w:p>
      <w:pPr>
        <w:widowControl/>
        <w:snapToGrid w:val="0"/>
        <w:spacing w:line="420" w:lineRule="atLeast"/>
        <w:jc w:val="left"/>
        <w:rPr>
          <w:rFonts w:cs="宋体"/>
          <w:color w:val="auto"/>
          <w:kern w:val="0"/>
          <w:sz w:val="32"/>
          <w:highlight w:val="none"/>
        </w:rPr>
      </w:pPr>
    </w:p>
    <w:p>
      <w:pPr>
        <w:widowControl/>
        <w:snapToGrid w:val="0"/>
        <w:spacing w:line="420" w:lineRule="atLeast"/>
        <w:jc w:val="left"/>
        <w:rPr>
          <w:rFonts w:cs="宋体"/>
          <w:color w:val="auto"/>
          <w:kern w:val="0"/>
          <w:sz w:val="32"/>
          <w:highlight w:val="none"/>
        </w:rPr>
      </w:pPr>
    </w:p>
    <w:p>
      <w:pPr>
        <w:widowControl/>
        <w:snapToGrid w:val="0"/>
        <w:spacing w:line="420" w:lineRule="atLeast"/>
        <w:jc w:val="center"/>
        <w:rPr>
          <w:rFonts w:hint="eastAsia" w:ascii="‘Times New Roman‘" w:eastAsia="黑体" w:cs="宋体"/>
          <w:color w:val="auto"/>
          <w:kern w:val="0"/>
          <w:sz w:val="72"/>
          <w:highlight w:val="none"/>
        </w:rPr>
      </w:pPr>
      <w:r>
        <w:rPr>
          <w:rFonts w:hint="eastAsia" w:ascii="‘Times New Roman‘" w:eastAsia="黑体" w:cs="宋体"/>
          <w:color w:val="auto"/>
          <w:kern w:val="0"/>
          <w:sz w:val="72"/>
          <w:highlight w:val="none"/>
        </w:rPr>
        <w:t>浙江省温州市中级人民法院</w:t>
      </w:r>
    </w:p>
    <w:p>
      <w:pPr>
        <w:widowControl/>
        <w:snapToGrid w:val="0"/>
        <w:spacing w:line="420" w:lineRule="atLeast"/>
        <w:jc w:val="center"/>
        <w:rPr>
          <w:rFonts w:eastAsia="黑体" w:cs="宋体"/>
          <w:color w:val="auto"/>
          <w:kern w:val="0"/>
          <w:sz w:val="44"/>
          <w:highlight w:val="none"/>
        </w:rPr>
      </w:pPr>
      <w:r>
        <w:rPr>
          <w:rFonts w:hint="eastAsia" w:ascii="‘Times New Roman‘" w:eastAsia="黑体" w:cs="宋体"/>
          <w:color w:val="auto"/>
          <w:kern w:val="0"/>
          <w:sz w:val="72"/>
          <w:highlight w:val="none"/>
        </w:rPr>
        <w:t>采购合同</w:t>
      </w:r>
    </w:p>
    <w:p>
      <w:pPr>
        <w:widowControl/>
        <w:snapToGrid w:val="0"/>
        <w:spacing w:line="420" w:lineRule="atLeast"/>
        <w:jc w:val="left"/>
        <w:rPr>
          <w:rFonts w:cs="宋体"/>
          <w:color w:val="auto"/>
          <w:kern w:val="0"/>
          <w:sz w:val="32"/>
          <w:highlight w:val="none"/>
        </w:rPr>
      </w:pPr>
    </w:p>
    <w:p>
      <w:pPr>
        <w:widowControl/>
        <w:snapToGrid w:val="0"/>
        <w:spacing w:line="360" w:lineRule="auto"/>
        <w:jc w:val="left"/>
        <w:rPr>
          <w:rFonts w:ascii="黑体" w:eastAsia="黑体" w:cs="宋体"/>
          <w:color w:val="auto"/>
          <w:kern w:val="0"/>
          <w:sz w:val="36"/>
          <w:highlight w:val="none"/>
        </w:rPr>
      </w:pPr>
    </w:p>
    <w:p>
      <w:pPr>
        <w:widowControl/>
        <w:snapToGrid w:val="0"/>
        <w:spacing w:line="360" w:lineRule="auto"/>
        <w:ind w:firstLine="720" w:firstLineChars="200"/>
        <w:jc w:val="left"/>
        <w:rPr>
          <w:rFonts w:hint="eastAsia" w:ascii="黑体" w:eastAsia="黑体" w:cs="宋体"/>
          <w:color w:val="auto"/>
          <w:kern w:val="0"/>
          <w:sz w:val="36"/>
          <w:highlight w:val="none"/>
          <w:u w:val="single"/>
        </w:rPr>
      </w:pPr>
      <w:r>
        <w:rPr>
          <w:rFonts w:hint="eastAsia" w:ascii="黑体" w:eastAsia="黑体" w:cs="宋体"/>
          <w:color w:val="auto"/>
          <w:kern w:val="0"/>
          <w:sz w:val="36"/>
          <w:highlight w:val="none"/>
        </w:rPr>
        <w:t>项目名称：</w:t>
      </w:r>
      <w:r>
        <w:rPr>
          <w:rFonts w:hint="eastAsia" w:ascii="黑体" w:eastAsia="黑体" w:cs="宋体"/>
          <w:color w:val="auto"/>
          <w:kern w:val="0"/>
          <w:sz w:val="36"/>
          <w:highlight w:val="none"/>
          <w:u w:val="single"/>
        </w:rPr>
        <w:t xml:space="preserve">                           </w:t>
      </w:r>
    </w:p>
    <w:p>
      <w:pPr>
        <w:widowControl/>
        <w:snapToGrid w:val="0"/>
        <w:spacing w:line="360" w:lineRule="auto"/>
        <w:ind w:firstLine="720" w:firstLineChars="200"/>
        <w:jc w:val="left"/>
        <w:rPr>
          <w:rFonts w:hint="eastAsia" w:ascii="黑体" w:eastAsia="黑体" w:cs="宋体"/>
          <w:color w:val="auto"/>
          <w:kern w:val="0"/>
          <w:sz w:val="36"/>
          <w:highlight w:val="none"/>
          <w:u w:val="single"/>
        </w:rPr>
      </w:pPr>
    </w:p>
    <w:p>
      <w:pPr>
        <w:widowControl/>
        <w:snapToGrid w:val="0"/>
        <w:spacing w:line="720" w:lineRule="auto"/>
        <w:ind w:firstLine="720" w:firstLineChars="200"/>
        <w:jc w:val="left"/>
        <w:rPr>
          <w:rFonts w:hint="eastAsia" w:ascii="黑体" w:eastAsia="黑体" w:cs="宋体"/>
          <w:color w:val="auto"/>
          <w:kern w:val="0"/>
          <w:sz w:val="36"/>
          <w:highlight w:val="none"/>
        </w:rPr>
      </w:pPr>
      <w:r>
        <w:rPr>
          <w:rFonts w:hint="eastAsia" w:ascii="黑体" w:eastAsia="黑体" w:cs="宋体"/>
          <w:color w:val="auto"/>
          <w:kern w:val="0"/>
          <w:sz w:val="36"/>
          <w:highlight w:val="none"/>
        </w:rPr>
        <w:t>买方（盖章）：</w:t>
      </w:r>
      <w:r>
        <w:rPr>
          <w:rFonts w:hint="eastAsia" w:ascii="黑体" w:eastAsia="黑体" w:cs="宋体"/>
          <w:color w:val="auto"/>
          <w:kern w:val="0"/>
          <w:sz w:val="36"/>
          <w:highlight w:val="none"/>
          <w:u w:val="single"/>
        </w:rPr>
        <w:t xml:space="preserve">   浙江省温州市中级人民法院</w:t>
      </w:r>
      <w:r>
        <w:rPr>
          <w:rFonts w:hint="eastAsia" w:ascii="黑体" w:eastAsia="黑体" w:cs="宋体"/>
          <w:color w:val="auto"/>
          <w:kern w:val="0"/>
          <w:sz w:val="36"/>
          <w:highlight w:val="none"/>
          <w:u w:val="single"/>
          <w:lang w:val="en-US" w:eastAsia="zh-CN"/>
        </w:rPr>
        <w:t xml:space="preserve">    </w:t>
      </w:r>
      <w:r>
        <w:rPr>
          <w:rFonts w:hint="eastAsia" w:ascii="黑体" w:eastAsia="黑体" w:cs="宋体"/>
          <w:color w:val="auto"/>
          <w:kern w:val="0"/>
          <w:sz w:val="36"/>
          <w:highlight w:val="none"/>
          <w:u w:val="none"/>
          <w:lang w:val="en-US" w:eastAsia="zh-CN"/>
        </w:rPr>
        <w:t xml:space="preserve">    </w:t>
      </w:r>
      <w:r>
        <w:rPr>
          <w:rFonts w:hint="eastAsia" w:ascii="黑体" w:eastAsia="黑体" w:cs="宋体"/>
          <w:color w:val="auto"/>
          <w:kern w:val="0"/>
          <w:sz w:val="36"/>
          <w:highlight w:val="none"/>
          <w:u w:val="none"/>
        </w:rPr>
        <w:t xml:space="preserve">   </w:t>
      </w:r>
      <w:r>
        <w:rPr>
          <w:rFonts w:hint="eastAsia" w:ascii="黑体" w:eastAsia="黑体" w:cs="宋体"/>
          <w:color w:val="auto"/>
          <w:kern w:val="0"/>
          <w:sz w:val="36"/>
          <w:highlight w:val="none"/>
          <w:u w:val="single"/>
        </w:rPr>
        <w:t xml:space="preserve">     </w:t>
      </w:r>
    </w:p>
    <w:p>
      <w:pPr>
        <w:widowControl/>
        <w:snapToGrid w:val="0"/>
        <w:spacing w:line="720" w:lineRule="auto"/>
        <w:ind w:firstLine="720" w:firstLineChars="200"/>
        <w:jc w:val="left"/>
        <w:rPr>
          <w:rFonts w:hint="eastAsia" w:ascii="黑体" w:eastAsia="黑体" w:cs="宋体"/>
          <w:color w:val="auto"/>
          <w:kern w:val="0"/>
          <w:sz w:val="36"/>
          <w:highlight w:val="none"/>
          <w:u w:val="single"/>
        </w:rPr>
      </w:pPr>
      <w:r>
        <w:rPr>
          <w:rFonts w:hint="eastAsia" w:ascii="黑体" w:eastAsia="黑体" w:cs="宋体"/>
          <w:color w:val="auto"/>
          <w:kern w:val="0"/>
          <w:sz w:val="36"/>
          <w:highlight w:val="none"/>
        </w:rPr>
        <w:t>卖方（盖章）：</w:t>
      </w:r>
      <w:r>
        <w:rPr>
          <w:rFonts w:hint="eastAsia" w:ascii="黑体" w:eastAsia="黑体" w:cs="宋体"/>
          <w:color w:val="auto"/>
          <w:kern w:val="0"/>
          <w:sz w:val="36"/>
          <w:highlight w:val="none"/>
          <w:u w:val="single"/>
        </w:rPr>
        <w:t xml:space="preserve">                          </w:t>
      </w:r>
    </w:p>
    <w:p>
      <w:pPr>
        <w:widowControl/>
        <w:snapToGrid w:val="0"/>
        <w:spacing w:line="720" w:lineRule="auto"/>
        <w:ind w:firstLine="720" w:firstLineChars="200"/>
        <w:jc w:val="left"/>
        <w:rPr>
          <w:rFonts w:hint="eastAsia" w:ascii="黑体" w:eastAsia="黑体" w:cs="宋体"/>
          <w:color w:val="auto"/>
          <w:kern w:val="0"/>
          <w:sz w:val="36"/>
          <w:highlight w:val="none"/>
          <w:u w:val="single"/>
        </w:rPr>
      </w:pPr>
      <w:r>
        <w:rPr>
          <w:rFonts w:hint="eastAsia" w:ascii="黑体" w:eastAsia="黑体" w:cs="宋体"/>
          <w:color w:val="auto"/>
          <w:kern w:val="0"/>
          <w:sz w:val="36"/>
          <w:highlight w:val="none"/>
        </w:rPr>
        <w:t>签署时间：</w:t>
      </w:r>
      <w:r>
        <w:rPr>
          <w:rFonts w:hint="eastAsia" w:ascii="黑体" w:eastAsia="黑体" w:cs="宋体"/>
          <w:color w:val="auto"/>
          <w:kern w:val="0"/>
          <w:sz w:val="36"/>
          <w:highlight w:val="none"/>
          <w:u w:val="single"/>
        </w:rPr>
        <w:t xml:space="preserve">              年    月         </w:t>
      </w:r>
    </w:p>
    <w:p>
      <w:pPr>
        <w:widowControl/>
        <w:snapToGrid w:val="0"/>
        <w:spacing w:line="720" w:lineRule="auto"/>
        <w:ind w:firstLine="720" w:firstLineChars="200"/>
        <w:jc w:val="left"/>
        <w:rPr>
          <w:rFonts w:hint="eastAsia" w:ascii="黑体" w:eastAsia="黑体" w:cs="宋体"/>
          <w:color w:val="auto"/>
          <w:kern w:val="0"/>
          <w:sz w:val="36"/>
          <w:highlight w:val="none"/>
          <w:u w:val="single"/>
        </w:rPr>
      </w:pPr>
      <w:r>
        <w:rPr>
          <w:rFonts w:hint="eastAsia" w:ascii="黑体" w:eastAsia="黑体" w:cs="宋体"/>
          <w:color w:val="auto"/>
          <w:kern w:val="0"/>
          <w:sz w:val="36"/>
          <w:highlight w:val="none"/>
        </w:rPr>
        <w:t>签署地点：</w:t>
      </w:r>
      <w:r>
        <w:rPr>
          <w:rFonts w:hint="eastAsia" w:ascii="黑体" w:eastAsia="黑体" w:cs="宋体"/>
          <w:color w:val="auto"/>
          <w:kern w:val="0"/>
          <w:sz w:val="36"/>
          <w:highlight w:val="none"/>
          <w:u w:val="single"/>
        </w:rPr>
        <w:t xml:space="preserve">              温州市             </w:t>
      </w:r>
    </w:p>
    <w:p>
      <w:pPr>
        <w:widowControl/>
        <w:snapToGrid w:val="0"/>
        <w:spacing w:line="720" w:lineRule="auto"/>
        <w:jc w:val="left"/>
        <w:rPr>
          <w:rFonts w:hint="eastAsia" w:ascii="黑体" w:eastAsia="黑体" w:cs="宋体"/>
          <w:color w:val="auto"/>
          <w:kern w:val="0"/>
          <w:sz w:val="36"/>
          <w:highlight w:val="none"/>
        </w:rPr>
      </w:pPr>
    </w:p>
    <w:p>
      <w:pPr>
        <w:widowControl/>
        <w:snapToGrid w:val="0"/>
        <w:spacing w:line="720" w:lineRule="auto"/>
        <w:jc w:val="left"/>
        <w:rPr>
          <w:rFonts w:hint="eastAsia" w:ascii="黑体" w:eastAsia="黑体" w:cs="宋体"/>
          <w:color w:val="auto"/>
          <w:kern w:val="0"/>
          <w:sz w:val="36"/>
          <w:highlight w:val="none"/>
        </w:rPr>
      </w:pPr>
    </w:p>
    <w:p>
      <w:pPr>
        <w:spacing w:line="440" w:lineRule="exact"/>
        <w:ind w:firstLine="541" w:firstLineChars="245"/>
        <w:rPr>
          <w:rFonts w:hint="eastAsia" w:ascii="新宋体" w:hAnsi="新宋体" w:eastAsia="新宋体"/>
          <w:b/>
          <w:color w:val="auto"/>
          <w:sz w:val="22"/>
          <w:highlight w:val="none"/>
        </w:rPr>
      </w:pPr>
    </w:p>
    <w:p>
      <w:pPr>
        <w:spacing w:line="440" w:lineRule="exact"/>
        <w:ind w:firstLine="541" w:firstLineChars="245"/>
        <w:rPr>
          <w:rFonts w:hint="eastAsia" w:ascii="新宋体" w:hAnsi="新宋体" w:eastAsia="新宋体"/>
          <w:b/>
          <w:color w:val="auto"/>
          <w:sz w:val="22"/>
          <w:highlight w:val="none"/>
        </w:rPr>
      </w:pPr>
    </w:p>
    <w:p>
      <w:pPr>
        <w:spacing w:line="440" w:lineRule="exact"/>
        <w:ind w:firstLine="541" w:firstLineChars="245"/>
        <w:rPr>
          <w:rFonts w:hint="eastAsia" w:ascii="新宋体" w:hAnsi="新宋体" w:eastAsia="新宋体"/>
          <w:b/>
          <w:color w:val="auto"/>
          <w:sz w:val="22"/>
          <w:highlight w:val="none"/>
        </w:rPr>
      </w:pPr>
    </w:p>
    <w:p>
      <w:pPr>
        <w:spacing w:line="440" w:lineRule="exact"/>
        <w:ind w:firstLine="541" w:firstLineChars="245"/>
        <w:rPr>
          <w:rFonts w:hint="eastAsia" w:ascii="新宋体" w:hAnsi="新宋体" w:eastAsia="新宋体"/>
          <w:b/>
          <w:color w:val="auto"/>
          <w:sz w:val="22"/>
          <w:highlight w:val="none"/>
        </w:rPr>
      </w:pPr>
    </w:p>
    <w:p>
      <w:pPr>
        <w:spacing w:line="440" w:lineRule="exact"/>
        <w:ind w:firstLine="541" w:firstLineChars="245"/>
        <w:rPr>
          <w:rFonts w:hint="eastAsia" w:ascii="新宋体" w:hAnsi="新宋体" w:eastAsia="新宋体"/>
          <w:b/>
          <w:color w:val="auto"/>
          <w:sz w:val="22"/>
          <w:highlight w:val="none"/>
        </w:rPr>
      </w:pP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1</w:t>
      </w:r>
      <w:r>
        <w:rPr>
          <w:rFonts w:ascii="新宋体" w:hAnsi="新宋体" w:eastAsia="新宋体"/>
          <w:b/>
          <w:color w:val="auto"/>
          <w:sz w:val="22"/>
          <w:highlight w:val="none"/>
        </w:rPr>
        <w:t>、</w:t>
      </w:r>
      <w:r>
        <w:rPr>
          <w:rFonts w:hint="eastAsia" w:ascii="新宋体" w:hAnsi="新宋体" w:eastAsia="新宋体"/>
          <w:b/>
          <w:color w:val="auto"/>
          <w:sz w:val="22"/>
          <w:highlight w:val="none"/>
        </w:rPr>
        <w:t xml:space="preserve"> 总则</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2</w:t>
      </w:r>
      <w:r>
        <w:rPr>
          <w:rFonts w:ascii="新宋体" w:hAnsi="新宋体" w:eastAsia="新宋体"/>
          <w:b/>
          <w:color w:val="auto"/>
          <w:sz w:val="22"/>
          <w:highlight w:val="none"/>
        </w:rPr>
        <w:t>、</w:t>
      </w:r>
      <w:r>
        <w:rPr>
          <w:rFonts w:hint="eastAsia" w:ascii="新宋体" w:hAnsi="新宋体" w:eastAsia="新宋体"/>
          <w:b/>
          <w:color w:val="auto"/>
          <w:sz w:val="22"/>
          <w:highlight w:val="none"/>
        </w:rPr>
        <w:t xml:space="preserve"> 买方责任</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3</w:t>
      </w:r>
      <w:r>
        <w:rPr>
          <w:rFonts w:ascii="新宋体" w:hAnsi="新宋体" w:eastAsia="新宋体"/>
          <w:b/>
          <w:color w:val="auto"/>
          <w:sz w:val="22"/>
          <w:highlight w:val="none"/>
        </w:rPr>
        <w:t>、</w:t>
      </w:r>
      <w:r>
        <w:rPr>
          <w:rFonts w:hint="eastAsia" w:ascii="新宋体" w:hAnsi="新宋体" w:eastAsia="新宋体"/>
          <w:b/>
          <w:color w:val="auto"/>
          <w:sz w:val="22"/>
          <w:highlight w:val="none"/>
        </w:rPr>
        <w:t xml:space="preserve"> 卖方责任</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4</w:t>
      </w:r>
      <w:r>
        <w:rPr>
          <w:rFonts w:ascii="新宋体" w:hAnsi="新宋体" w:eastAsia="新宋体"/>
          <w:b/>
          <w:color w:val="auto"/>
          <w:sz w:val="22"/>
          <w:highlight w:val="none"/>
        </w:rPr>
        <w:t>、</w:t>
      </w:r>
      <w:r>
        <w:rPr>
          <w:rFonts w:hint="eastAsia" w:ascii="新宋体" w:hAnsi="新宋体" w:eastAsia="新宋体"/>
          <w:b/>
          <w:color w:val="auto"/>
          <w:sz w:val="22"/>
          <w:highlight w:val="none"/>
        </w:rPr>
        <w:t xml:space="preserve"> 售后服务和技术培训</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5</w:t>
      </w:r>
      <w:r>
        <w:rPr>
          <w:rFonts w:ascii="新宋体" w:hAnsi="新宋体" w:eastAsia="新宋体"/>
          <w:b/>
          <w:color w:val="auto"/>
          <w:sz w:val="22"/>
          <w:highlight w:val="none"/>
        </w:rPr>
        <w:t>、</w:t>
      </w:r>
      <w:r>
        <w:rPr>
          <w:rFonts w:hint="eastAsia" w:ascii="新宋体" w:hAnsi="新宋体" w:eastAsia="新宋体"/>
          <w:b/>
          <w:color w:val="auto"/>
          <w:sz w:val="22"/>
          <w:highlight w:val="none"/>
        </w:rPr>
        <w:t> 项目合同金额</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6</w:t>
      </w:r>
      <w:r>
        <w:rPr>
          <w:rFonts w:ascii="新宋体" w:hAnsi="新宋体" w:eastAsia="新宋体"/>
          <w:b/>
          <w:color w:val="auto"/>
          <w:sz w:val="22"/>
          <w:highlight w:val="none"/>
        </w:rPr>
        <w:t>、</w:t>
      </w:r>
      <w:r>
        <w:rPr>
          <w:rFonts w:hint="eastAsia" w:ascii="新宋体" w:hAnsi="新宋体" w:eastAsia="新宋体"/>
          <w:b/>
          <w:color w:val="auto"/>
          <w:sz w:val="22"/>
          <w:highlight w:val="none"/>
        </w:rPr>
        <w:t> 项目合同支付条款</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7</w:t>
      </w:r>
      <w:r>
        <w:rPr>
          <w:rFonts w:ascii="新宋体" w:hAnsi="新宋体" w:eastAsia="新宋体"/>
          <w:b/>
          <w:color w:val="auto"/>
          <w:sz w:val="22"/>
          <w:highlight w:val="none"/>
        </w:rPr>
        <w:t>、</w:t>
      </w:r>
      <w:r>
        <w:rPr>
          <w:rFonts w:hint="eastAsia" w:ascii="新宋体" w:hAnsi="新宋体" w:eastAsia="新宋体"/>
          <w:b/>
          <w:color w:val="auto"/>
          <w:sz w:val="22"/>
          <w:highlight w:val="none"/>
        </w:rPr>
        <w:t> 项目合同修改</w:t>
      </w:r>
    </w:p>
    <w:p>
      <w:pPr>
        <w:spacing w:line="44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8</w:t>
      </w:r>
      <w:r>
        <w:rPr>
          <w:rFonts w:ascii="新宋体" w:hAnsi="新宋体" w:eastAsia="新宋体"/>
          <w:b/>
          <w:color w:val="auto"/>
          <w:sz w:val="22"/>
          <w:highlight w:val="none"/>
        </w:rPr>
        <w:t>、</w:t>
      </w:r>
      <w:r>
        <w:rPr>
          <w:rFonts w:hint="eastAsia" w:ascii="新宋体" w:hAnsi="新宋体" w:eastAsia="新宋体"/>
          <w:b/>
          <w:color w:val="auto"/>
          <w:sz w:val="22"/>
          <w:highlight w:val="none"/>
        </w:rPr>
        <w:t> 违约责任</w:t>
      </w:r>
    </w:p>
    <w:p>
      <w:pPr>
        <w:spacing w:line="44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9、 项目合同终止</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10、不可抗力</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11</w:t>
      </w:r>
      <w:r>
        <w:rPr>
          <w:rFonts w:ascii="新宋体" w:hAnsi="新宋体" w:eastAsia="新宋体"/>
          <w:b/>
          <w:color w:val="auto"/>
          <w:sz w:val="22"/>
          <w:highlight w:val="none"/>
        </w:rPr>
        <w:t>、</w:t>
      </w:r>
      <w:r>
        <w:rPr>
          <w:rFonts w:hint="eastAsia" w:ascii="新宋体" w:hAnsi="新宋体" w:eastAsia="新宋体"/>
          <w:b/>
          <w:color w:val="auto"/>
          <w:sz w:val="22"/>
          <w:highlight w:val="none"/>
        </w:rPr>
        <w:t>项目知识产权</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12</w:t>
      </w:r>
      <w:r>
        <w:rPr>
          <w:rFonts w:ascii="新宋体" w:hAnsi="新宋体" w:eastAsia="新宋体"/>
          <w:b/>
          <w:color w:val="auto"/>
          <w:sz w:val="22"/>
          <w:highlight w:val="none"/>
        </w:rPr>
        <w:t>、</w:t>
      </w:r>
      <w:r>
        <w:rPr>
          <w:rFonts w:hint="eastAsia" w:ascii="新宋体" w:hAnsi="新宋体" w:eastAsia="新宋体"/>
          <w:b/>
          <w:color w:val="auto"/>
          <w:sz w:val="22"/>
          <w:highlight w:val="none"/>
        </w:rPr>
        <w:t>项目保密</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13</w:t>
      </w:r>
      <w:r>
        <w:rPr>
          <w:rFonts w:ascii="新宋体" w:hAnsi="新宋体" w:eastAsia="新宋体"/>
          <w:b/>
          <w:color w:val="auto"/>
          <w:sz w:val="22"/>
          <w:highlight w:val="none"/>
        </w:rPr>
        <w:t>、</w:t>
      </w:r>
      <w:r>
        <w:rPr>
          <w:rFonts w:hint="eastAsia" w:ascii="新宋体" w:hAnsi="新宋体" w:eastAsia="新宋体"/>
          <w:b/>
          <w:color w:val="auto"/>
          <w:sz w:val="22"/>
          <w:highlight w:val="none"/>
        </w:rPr>
        <w:t>仲裁</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14</w:t>
      </w:r>
      <w:r>
        <w:rPr>
          <w:rFonts w:ascii="新宋体" w:hAnsi="新宋体" w:eastAsia="新宋体"/>
          <w:b/>
          <w:color w:val="auto"/>
          <w:sz w:val="22"/>
          <w:highlight w:val="none"/>
        </w:rPr>
        <w:t>、</w:t>
      </w:r>
      <w:r>
        <w:rPr>
          <w:rFonts w:hint="eastAsia" w:ascii="新宋体" w:hAnsi="新宋体" w:eastAsia="新宋体"/>
          <w:b/>
          <w:color w:val="auto"/>
          <w:sz w:val="22"/>
          <w:highlight w:val="none"/>
        </w:rPr>
        <w:t>项目合同附件清单</w:t>
      </w:r>
    </w:p>
    <w:p>
      <w:pPr>
        <w:spacing w:line="440" w:lineRule="exact"/>
        <w:ind w:firstLine="541" w:firstLineChars="245"/>
        <w:rPr>
          <w:rFonts w:ascii="新宋体" w:hAnsi="新宋体" w:eastAsia="新宋体"/>
          <w:b/>
          <w:color w:val="auto"/>
          <w:sz w:val="22"/>
          <w:highlight w:val="none"/>
        </w:rPr>
      </w:pPr>
      <w:r>
        <w:rPr>
          <w:rFonts w:hint="eastAsia" w:ascii="新宋体" w:hAnsi="新宋体" w:eastAsia="新宋体"/>
          <w:b/>
          <w:color w:val="auto"/>
          <w:sz w:val="22"/>
          <w:highlight w:val="none"/>
        </w:rPr>
        <w:t>15</w:t>
      </w:r>
      <w:r>
        <w:rPr>
          <w:rFonts w:ascii="新宋体" w:hAnsi="新宋体" w:eastAsia="新宋体"/>
          <w:b/>
          <w:color w:val="auto"/>
          <w:sz w:val="22"/>
          <w:highlight w:val="none"/>
        </w:rPr>
        <w:t>、</w:t>
      </w:r>
      <w:r>
        <w:rPr>
          <w:rFonts w:hint="eastAsia" w:ascii="新宋体" w:hAnsi="新宋体" w:eastAsia="新宋体"/>
          <w:b/>
          <w:color w:val="auto"/>
          <w:sz w:val="22"/>
          <w:highlight w:val="none"/>
        </w:rPr>
        <w:t>项目合同生效及其它争议解决</w:t>
      </w:r>
    </w:p>
    <w:p>
      <w:pPr>
        <w:spacing w:line="440" w:lineRule="exact"/>
        <w:ind w:firstLine="541" w:firstLineChars="245"/>
        <w:rPr>
          <w:rFonts w:hint="eastAsia" w:ascii="新宋体" w:hAnsi="新宋体" w:eastAsia="新宋体"/>
          <w:b/>
          <w:color w:val="auto"/>
          <w:sz w:val="22"/>
          <w:highlight w:val="none"/>
        </w:rPr>
      </w:pPr>
      <w:r>
        <w:rPr>
          <w:rFonts w:hint="eastAsia" w:ascii="新宋体" w:hAnsi="新宋体" w:eastAsia="新宋体"/>
          <w:b/>
          <w:color w:val="auto"/>
          <w:sz w:val="22"/>
          <w:highlight w:val="none"/>
        </w:rPr>
        <w:t>16</w:t>
      </w:r>
      <w:r>
        <w:rPr>
          <w:rFonts w:ascii="新宋体" w:hAnsi="新宋体" w:eastAsia="新宋体"/>
          <w:b/>
          <w:color w:val="auto"/>
          <w:sz w:val="22"/>
          <w:highlight w:val="none"/>
        </w:rPr>
        <w:t>、</w:t>
      </w:r>
      <w:r>
        <w:rPr>
          <w:rFonts w:hint="eastAsia" w:ascii="新宋体" w:hAnsi="新宋体" w:eastAsia="新宋体"/>
          <w:b/>
          <w:color w:val="auto"/>
          <w:sz w:val="22"/>
          <w:highlight w:val="none"/>
        </w:rPr>
        <w:t>项目合同签章</w:t>
      </w: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500" w:lineRule="exact"/>
        <w:jc w:val="center"/>
        <w:rPr>
          <w:rFonts w:hint="eastAsia" w:ascii="新宋体" w:hAnsi="新宋体" w:eastAsia="新宋体"/>
          <w:b/>
          <w:bCs/>
          <w:color w:val="auto"/>
          <w:sz w:val="32"/>
          <w:szCs w:val="32"/>
          <w:highlight w:val="none"/>
        </w:rPr>
      </w:pP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1、总则</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年</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月</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日委托温州历程招标有限公司进行的公开招标（项目编号：</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）中，买方接受卖方对本次</w:t>
      </w:r>
      <w:r>
        <w:rPr>
          <w:rFonts w:hint="eastAsia" w:ascii="新宋体" w:hAnsi="新宋体" w:eastAsia="新宋体"/>
          <w:color w:val="auto"/>
          <w:sz w:val="22"/>
          <w:szCs w:val="22"/>
          <w:highlight w:val="none"/>
          <w:u w:val="single"/>
        </w:rPr>
        <w:t xml:space="preserve">                    </w:t>
      </w:r>
      <w:r>
        <w:rPr>
          <w:rFonts w:hint="eastAsia" w:ascii="新宋体" w:hAnsi="新宋体" w:eastAsia="新宋体" w:cs="宋体"/>
          <w:color w:val="auto"/>
          <w:kern w:val="0"/>
          <w:sz w:val="22"/>
          <w:szCs w:val="22"/>
          <w:highlight w:val="none"/>
        </w:rPr>
        <w:t>项目的投标，买卖双方根据《中华人民共和国合同法》、《中华人民共和国采购法》等法规和本合同的招标文件、投标文件及其．投标中的承诺，经双方协商，同意按下述条款和条件签订本合同，共同遵守。</w:t>
      </w:r>
    </w:p>
    <w:p>
      <w:pPr>
        <w:spacing w:line="460" w:lineRule="exact"/>
        <w:ind w:firstLine="541" w:firstLineChars="245"/>
        <w:rPr>
          <w:rFonts w:ascii="新宋体" w:hAnsi="新宋体" w:eastAsia="新宋体"/>
          <w:b/>
          <w:color w:val="auto"/>
          <w:sz w:val="22"/>
          <w:szCs w:val="22"/>
          <w:highlight w:val="none"/>
        </w:rPr>
      </w:pPr>
      <w:r>
        <w:rPr>
          <w:rFonts w:ascii="新宋体" w:hAnsi="新宋体" w:eastAsia="新宋体"/>
          <w:b/>
          <w:color w:val="auto"/>
          <w:sz w:val="22"/>
          <w:szCs w:val="22"/>
          <w:highlight w:val="none"/>
        </w:rPr>
        <w:t>2</w:t>
      </w:r>
      <w:r>
        <w:rPr>
          <w:rFonts w:hint="eastAsia" w:ascii="新宋体" w:hAnsi="新宋体" w:eastAsia="新宋体"/>
          <w:b/>
          <w:color w:val="auto"/>
          <w:sz w:val="22"/>
          <w:szCs w:val="22"/>
          <w:highlight w:val="none"/>
        </w:rPr>
        <w:t>、买方责任</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 xml:space="preserve">2.1买方提出项目建设任务和需求，负责项目的总体组织工作，并保留根据实际工作需求，提出对项目建设方案进行适当修改的权利。 </w:t>
      </w:r>
    </w:p>
    <w:p>
      <w:pPr>
        <w:spacing w:line="460" w:lineRule="exact"/>
        <w:ind w:firstLine="539" w:firstLineChars="245"/>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2.2买方应为调研、安装、测试、调试等卖方工作提供必要的工作环境及协助人员。</w:t>
      </w:r>
    </w:p>
    <w:p>
      <w:pPr>
        <w:spacing w:line="460" w:lineRule="exact"/>
        <w:ind w:firstLine="539" w:firstLineChars="245"/>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2.3买方负责组织由卖方提供的技术培训工作。</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2.4</w:t>
      </w:r>
      <w:r>
        <w:rPr>
          <w:rFonts w:hint="eastAsia" w:ascii="新宋体" w:hAnsi="新宋体" w:eastAsia="新宋体" w:cs="宋体"/>
          <w:color w:val="auto"/>
          <w:kern w:val="0"/>
          <w:sz w:val="22"/>
          <w:szCs w:val="22"/>
          <w:highlight w:val="none"/>
        </w:rPr>
        <w:t>买方</w:t>
      </w:r>
      <w:r>
        <w:rPr>
          <w:rFonts w:ascii="新宋体" w:hAnsi="新宋体" w:eastAsia="新宋体" w:cs="宋体"/>
          <w:color w:val="auto"/>
          <w:kern w:val="0"/>
          <w:sz w:val="22"/>
          <w:szCs w:val="22"/>
          <w:highlight w:val="none"/>
        </w:rPr>
        <w:t>负责协调最终用户和卖方的关系，并提供最终用户的联系方式。</w:t>
      </w:r>
    </w:p>
    <w:p>
      <w:pPr>
        <w:spacing w:line="460" w:lineRule="exact"/>
        <w:ind w:firstLine="539" w:firstLineChars="245"/>
        <w:rPr>
          <w:rFonts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2.5买方</w:t>
      </w:r>
      <w:r>
        <w:rPr>
          <w:rFonts w:hint="eastAsia" w:ascii="新宋体" w:hAnsi="新宋体" w:eastAsia="新宋体" w:cs="宋体"/>
          <w:color w:val="auto"/>
          <w:kern w:val="0"/>
          <w:sz w:val="22"/>
          <w:szCs w:val="22"/>
          <w:highlight w:val="none"/>
        </w:rPr>
        <w:t>对</w:t>
      </w:r>
      <w:r>
        <w:rPr>
          <w:rFonts w:ascii="新宋体" w:hAnsi="新宋体" w:eastAsia="新宋体" w:cs="宋体"/>
          <w:color w:val="auto"/>
          <w:kern w:val="0"/>
          <w:sz w:val="22"/>
          <w:szCs w:val="22"/>
          <w:highlight w:val="none"/>
        </w:rPr>
        <w:t>卖方向买方提供的内部资料予以保密，</w:t>
      </w:r>
      <w:r>
        <w:rPr>
          <w:rFonts w:hint="eastAsia" w:ascii="新宋体" w:hAnsi="新宋体" w:eastAsia="新宋体" w:cs="宋体"/>
          <w:color w:val="auto"/>
          <w:kern w:val="0"/>
          <w:sz w:val="22"/>
          <w:szCs w:val="22"/>
          <w:highlight w:val="none"/>
        </w:rPr>
        <w:t>且</w:t>
      </w:r>
      <w:r>
        <w:rPr>
          <w:rFonts w:ascii="新宋体" w:hAnsi="新宋体" w:eastAsia="新宋体" w:cs="宋体"/>
          <w:color w:val="auto"/>
          <w:kern w:val="0"/>
          <w:sz w:val="22"/>
          <w:szCs w:val="22"/>
          <w:highlight w:val="none"/>
        </w:rPr>
        <w:t>不向任何第三方泄露卖方的商业机密和技术机密。</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3、卖方责任</w:t>
      </w:r>
    </w:p>
    <w:p>
      <w:pPr>
        <w:spacing w:line="460" w:lineRule="exact"/>
        <w:ind w:firstLine="541" w:firstLineChars="245"/>
        <w:rPr>
          <w:rFonts w:hint="eastAsia" w:ascii="新宋体" w:hAnsi="新宋体" w:eastAsia="新宋体" w:cs="宋体"/>
          <w:color w:val="auto"/>
          <w:kern w:val="0"/>
          <w:sz w:val="22"/>
          <w:szCs w:val="22"/>
          <w:highlight w:val="none"/>
        </w:rPr>
      </w:pPr>
      <w:r>
        <w:rPr>
          <w:rFonts w:ascii="新宋体" w:hAnsi="新宋体" w:eastAsia="新宋体"/>
          <w:b/>
          <w:color w:val="auto"/>
          <w:sz w:val="22"/>
          <w:szCs w:val="22"/>
          <w:highlight w:val="none"/>
        </w:rPr>
        <w:t>3.1卖方</w:t>
      </w:r>
      <w:r>
        <w:rPr>
          <w:rFonts w:hint="eastAsia" w:ascii="新宋体" w:hAnsi="新宋体" w:eastAsia="新宋体"/>
          <w:b/>
          <w:color w:val="auto"/>
          <w:sz w:val="22"/>
          <w:szCs w:val="22"/>
          <w:highlight w:val="none"/>
        </w:rPr>
        <w:t>必须</w:t>
      </w:r>
      <w:r>
        <w:rPr>
          <w:rFonts w:ascii="新宋体" w:hAnsi="新宋体" w:eastAsia="新宋体" w:cs="宋体"/>
          <w:color w:val="auto"/>
          <w:kern w:val="0"/>
          <w:sz w:val="22"/>
          <w:szCs w:val="22"/>
          <w:highlight w:val="none"/>
        </w:rPr>
        <w:t>根据项目</w:t>
      </w:r>
      <w:r>
        <w:rPr>
          <w:rFonts w:hint="eastAsia" w:ascii="新宋体" w:hAnsi="新宋体" w:eastAsia="新宋体" w:cs="宋体"/>
          <w:color w:val="auto"/>
          <w:kern w:val="0"/>
          <w:sz w:val="22"/>
          <w:szCs w:val="22"/>
          <w:highlight w:val="none"/>
        </w:rPr>
        <w:t>招标文件</w:t>
      </w:r>
      <w:r>
        <w:rPr>
          <w:rFonts w:ascii="新宋体" w:hAnsi="新宋体" w:eastAsia="新宋体" w:cs="宋体"/>
          <w:color w:val="auto"/>
          <w:kern w:val="0"/>
          <w:sz w:val="22"/>
          <w:szCs w:val="22"/>
          <w:highlight w:val="none"/>
        </w:rPr>
        <w:t>中《</w:t>
      </w:r>
      <w:r>
        <w:rPr>
          <w:rFonts w:hint="eastAsia" w:ascii="新宋体" w:hAnsi="新宋体" w:eastAsia="新宋体" w:cs="宋体"/>
          <w:color w:val="auto"/>
          <w:kern w:val="0"/>
          <w:sz w:val="22"/>
          <w:szCs w:val="22"/>
          <w:highlight w:val="none"/>
        </w:rPr>
        <w:t>招标内容及要求</w:t>
      </w:r>
      <w:r>
        <w:rPr>
          <w:rFonts w:ascii="新宋体" w:hAnsi="新宋体" w:eastAsia="新宋体" w:cs="宋体"/>
          <w:color w:val="auto"/>
          <w:kern w:val="0"/>
          <w:sz w:val="22"/>
          <w:szCs w:val="22"/>
          <w:highlight w:val="none"/>
        </w:rPr>
        <w:t>》细化项目建设需求，并</w:t>
      </w:r>
      <w:r>
        <w:rPr>
          <w:rFonts w:hint="eastAsia" w:ascii="新宋体" w:hAnsi="新宋体" w:eastAsia="新宋体" w:cs="宋体"/>
          <w:color w:val="auto"/>
          <w:kern w:val="0"/>
          <w:sz w:val="22"/>
          <w:szCs w:val="22"/>
          <w:highlight w:val="none"/>
        </w:rPr>
        <w:t>按照投标文件</w:t>
      </w:r>
      <w:r>
        <w:rPr>
          <w:rFonts w:ascii="新宋体" w:hAnsi="新宋体" w:eastAsia="新宋体" w:cs="宋体"/>
          <w:color w:val="auto"/>
          <w:kern w:val="0"/>
          <w:sz w:val="22"/>
          <w:szCs w:val="22"/>
          <w:highlight w:val="none"/>
        </w:rPr>
        <w:t>中的</w:t>
      </w:r>
      <w:r>
        <w:rPr>
          <w:rFonts w:hint="eastAsia" w:ascii="新宋体" w:hAnsi="新宋体" w:eastAsia="新宋体" w:cs="宋体"/>
          <w:color w:val="auto"/>
          <w:kern w:val="0"/>
          <w:sz w:val="22"/>
          <w:szCs w:val="22"/>
          <w:highlight w:val="none"/>
        </w:rPr>
        <w:t>规定进行项目</w:t>
      </w:r>
      <w:r>
        <w:rPr>
          <w:rFonts w:ascii="新宋体" w:hAnsi="新宋体" w:eastAsia="新宋体" w:cs="宋体"/>
          <w:color w:val="auto"/>
          <w:kern w:val="0"/>
          <w:sz w:val="22"/>
          <w:szCs w:val="22"/>
          <w:highlight w:val="none"/>
        </w:rPr>
        <w:t>建设</w:t>
      </w:r>
      <w:r>
        <w:rPr>
          <w:rFonts w:hint="eastAsia" w:ascii="新宋体" w:hAnsi="新宋体" w:eastAsia="新宋体" w:cs="宋体"/>
          <w:color w:val="auto"/>
          <w:kern w:val="0"/>
          <w:sz w:val="22"/>
          <w:szCs w:val="22"/>
          <w:highlight w:val="none"/>
        </w:rPr>
        <w:t>和</w:t>
      </w:r>
      <w:r>
        <w:rPr>
          <w:rFonts w:ascii="新宋体" w:hAnsi="新宋体" w:eastAsia="新宋体" w:cs="宋体"/>
          <w:color w:val="auto"/>
          <w:kern w:val="0"/>
          <w:sz w:val="22"/>
          <w:szCs w:val="22"/>
          <w:highlight w:val="none"/>
        </w:rPr>
        <w:t>具体实施工作。</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3.2卖方根据</w:t>
      </w:r>
      <w:r>
        <w:rPr>
          <w:rFonts w:hint="eastAsia" w:ascii="新宋体" w:hAnsi="新宋体" w:eastAsia="新宋体" w:cs="宋体"/>
          <w:color w:val="auto"/>
          <w:kern w:val="0"/>
          <w:sz w:val="22"/>
          <w:szCs w:val="22"/>
          <w:highlight w:val="none"/>
        </w:rPr>
        <w:t>招标文件</w:t>
      </w:r>
      <w:r>
        <w:rPr>
          <w:rFonts w:ascii="新宋体" w:hAnsi="新宋体" w:eastAsia="新宋体" w:cs="宋体"/>
          <w:color w:val="auto"/>
          <w:kern w:val="0"/>
          <w:sz w:val="22"/>
          <w:szCs w:val="22"/>
          <w:highlight w:val="none"/>
        </w:rPr>
        <w:t>的基本技术要求与买方共同确定项目所需的系统软件、硬件的数量及规格要求。</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3.3卖方保证按合同规定时间完工，并在工程结束时提交完整的相应技术文档及用户手册，并积极配合买方对工程项目进行验收。</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3.4卖方向买方</w:t>
      </w:r>
      <w:r>
        <w:rPr>
          <w:rFonts w:hint="eastAsia" w:ascii="新宋体" w:hAnsi="新宋体" w:eastAsia="新宋体" w:cs="宋体"/>
          <w:color w:val="auto"/>
          <w:kern w:val="0"/>
          <w:sz w:val="22"/>
          <w:szCs w:val="22"/>
          <w:highlight w:val="none"/>
        </w:rPr>
        <w:t>提供</w:t>
      </w:r>
      <w:r>
        <w:rPr>
          <w:rFonts w:ascii="新宋体" w:hAnsi="新宋体" w:eastAsia="新宋体" w:cs="宋体"/>
          <w:color w:val="auto"/>
          <w:kern w:val="0"/>
          <w:sz w:val="22"/>
          <w:szCs w:val="22"/>
          <w:highlight w:val="none"/>
        </w:rPr>
        <w:t>提供</w:t>
      </w:r>
      <w:r>
        <w:rPr>
          <w:rFonts w:hint="eastAsia" w:ascii="新宋体" w:hAnsi="新宋体" w:eastAsia="新宋体" w:cs="宋体"/>
          <w:color w:val="auto"/>
          <w:kern w:val="0"/>
          <w:sz w:val="22"/>
          <w:szCs w:val="22"/>
          <w:highlight w:val="none"/>
          <w:u w:val="single"/>
        </w:rPr>
        <w:t xml:space="preserve">  3 </w:t>
      </w:r>
      <w:r>
        <w:rPr>
          <w:rFonts w:ascii="新宋体" w:hAnsi="新宋体" w:eastAsia="新宋体" w:cs="宋体"/>
          <w:color w:val="auto"/>
          <w:kern w:val="0"/>
          <w:sz w:val="22"/>
          <w:szCs w:val="22"/>
          <w:highlight w:val="none"/>
        </w:rPr>
        <w:t>年</w:t>
      </w:r>
      <w:r>
        <w:rPr>
          <w:rFonts w:hint="eastAsia" w:ascii="新宋体" w:hAnsi="新宋体" w:eastAsia="新宋体" w:cs="宋体"/>
          <w:color w:val="auto"/>
          <w:kern w:val="0"/>
          <w:sz w:val="22"/>
          <w:szCs w:val="22"/>
          <w:highlight w:val="none"/>
        </w:rPr>
        <w:t>免费的</w:t>
      </w:r>
      <w:r>
        <w:rPr>
          <w:rFonts w:ascii="新宋体" w:hAnsi="新宋体" w:eastAsia="新宋体" w:cs="宋体"/>
          <w:color w:val="auto"/>
          <w:kern w:val="0"/>
          <w:sz w:val="22"/>
          <w:szCs w:val="22"/>
          <w:highlight w:val="none"/>
        </w:rPr>
        <w:t>软件升级</w:t>
      </w:r>
      <w:r>
        <w:rPr>
          <w:rFonts w:hint="eastAsia" w:ascii="新宋体" w:hAnsi="新宋体" w:eastAsia="新宋体" w:cs="宋体"/>
          <w:color w:val="auto"/>
          <w:kern w:val="0"/>
          <w:sz w:val="22"/>
          <w:szCs w:val="22"/>
          <w:highlight w:val="none"/>
        </w:rPr>
        <w:t>、</w:t>
      </w:r>
      <w:r>
        <w:rPr>
          <w:rFonts w:ascii="新宋体" w:hAnsi="新宋体" w:eastAsia="新宋体" w:cs="宋体"/>
          <w:color w:val="auto"/>
          <w:kern w:val="0"/>
          <w:sz w:val="22"/>
          <w:szCs w:val="22"/>
          <w:highlight w:val="none"/>
        </w:rPr>
        <w:t>技术升级与支持服务</w:t>
      </w:r>
      <w:r>
        <w:rPr>
          <w:rFonts w:hint="eastAsia" w:ascii="新宋体" w:hAnsi="新宋体" w:eastAsia="新宋体" w:cs="宋体"/>
          <w:color w:val="auto"/>
          <w:kern w:val="0"/>
          <w:sz w:val="22"/>
          <w:szCs w:val="22"/>
          <w:highlight w:val="none"/>
        </w:rPr>
        <w:t>,</w:t>
      </w:r>
      <w:r>
        <w:rPr>
          <w:rFonts w:hint="eastAsia"/>
          <w:color w:val="auto"/>
          <w:highlight w:val="none"/>
        </w:rPr>
        <w:t xml:space="preserve"> 其中第</w:t>
      </w:r>
      <w:r>
        <w:rPr>
          <w:rFonts w:hint="eastAsia"/>
          <w:color w:val="auto"/>
          <w:highlight w:val="none"/>
          <w:u w:val="single"/>
        </w:rPr>
        <w:t xml:space="preserve"> </w:t>
      </w:r>
      <w:r>
        <w:rPr>
          <w:color w:val="auto"/>
          <w:highlight w:val="none"/>
          <w:u w:val="single"/>
        </w:rPr>
        <w:t>1</w:t>
      </w:r>
      <w:r>
        <w:rPr>
          <w:rFonts w:hint="eastAsia"/>
          <w:color w:val="auto"/>
          <w:highlight w:val="none"/>
          <w:u w:val="single"/>
        </w:rPr>
        <w:t xml:space="preserve">  </w:t>
      </w:r>
      <w:r>
        <w:rPr>
          <w:rFonts w:hint="eastAsia"/>
          <w:color w:val="auto"/>
          <w:highlight w:val="none"/>
        </w:rPr>
        <w:t>年为驻场服务。</w:t>
      </w:r>
      <w:r>
        <w:rPr>
          <w:rFonts w:hint="eastAsia" w:ascii="新宋体" w:hAnsi="新宋体" w:eastAsia="新宋体" w:cs="宋体"/>
          <w:color w:val="auto"/>
          <w:kern w:val="0"/>
          <w:sz w:val="22"/>
          <w:szCs w:val="22"/>
          <w:highlight w:val="none"/>
        </w:rPr>
        <w:t xml:space="preserve"> </w:t>
      </w:r>
      <w:r>
        <w:rPr>
          <w:rFonts w:hint="eastAsia" w:ascii="新宋体" w:hAnsi="新宋体" w:eastAsia="新宋体" w:cs="宋体"/>
          <w:color w:val="auto"/>
          <w:kern w:val="0"/>
          <w:sz w:val="22"/>
          <w:szCs w:val="22"/>
          <w:highlight w:val="none"/>
          <w:u w:val="single"/>
        </w:rPr>
        <w:t xml:space="preserve"> 1 </w:t>
      </w:r>
      <w:r>
        <w:rPr>
          <w:rFonts w:ascii="新宋体" w:hAnsi="新宋体" w:eastAsia="新宋体" w:cs="宋体"/>
          <w:color w:val="auto"/>
          <w:kern w:val="0"/>
          <w:sz w:val="22"/>
          <w:szCs w:val="22"/>
          <w:highlight w:val="none"/>
        </w:rPr>
        <w:t>年的时间从</w:t>
      </w:r>
      <w:r>
        <w:rPr>
          <w:rFonts w:hint="eastAsia" w:ascii="新宋体" w:hAnsi="新宋体" w:eastAsia="新宋体" w:cs="宋体"/>
          <w:color w:val="auto"/>
          <w:kern w:val="0"/>
          <w:sz w:val="22"/>
          <w:szCs w:val="22"/>
          <w:highlight w:val="none"/>
        </w:rPr>
        <w:t>项目通过验收之日（即验收报告核准时间）次日</w:t>
      </w:r>
      <w:r>
        <w:rPr>
          <w:rFonts w:ascii="新宋体" w:hAnsi="新宋体" w:eastAsia="新宋体" w:cs="宋体"/>
          <w:color w:val="auto"/>
          <w:kern w:val="0"/>
          <w:sz w:val="22"/>
          <w:szCs w:val="22"/>
          <w:highlight w:val="none"/>
        </w:rPr>
        <w:t>起</w:t>
      </w:r>
      <w:r>
        <w:rPr>
          <w:rFonts w:hint="eastAsia" w:ascii="新宋体" w:hAnsi="新宋体" w:eastAsia="新宋体" w:cs="宋体"/>
          <w:color w:val="auto"/>
          <w:kern w:val="0"/>
          <w:sz w:val="22"/>
          <w:szCs w:val="22"/>
          <w:highlight w:val="none"/>
        </w:rPr>
        <w:t>开始</w:t>
      </w:r>
      <w:r>
        <w:rPr>
          <w:rFonts w:ascii="新宋体" w:hAnsi="新宋体" w:eastAsia="新宋体" w:cs="宋体"/>
          <w:color w:val="auto"/>
          <w:kern w:val="0"/>
          <w:sz w:val="22"/>
          <w:szCs w:val="22"/>
          <w:highlight w:val="none"/>
        </w:rPr>
        <w:t>计算</w:t>
      </w:r>
      <w:r>
        <w:rPr>
          <w:rFonts w:hint="eastAsia" w:ascii="新宋体" w:hAnsi="新宋体" w:eastAsia="新宋体" w:cs="宋体"/>
          <w:color w:val="auto"/>
          <w:kern w:val="0"/>
          <w:sz w:val="22"/>
          <w:szCs w:val="22"/>
          <w:highlight w:val="none"/>
        </w:rPr>
        <w:t>。</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3.5</w:t>
      </w:r>
      <w:r>
        <w:rPr>
          <w:rFonts w:ascii="新宋体" w:hAnsi="新宋体" w:eastAsia="新宋体" w:cs="宋体"/>
          <w:color w:val="auto"/>
          <w:kern w:val="0"/>
          <w:sz w:val="22"/>
          <w:szCs w:val="22"/>
          <w:highlight w:val="none"/>
        </w:rPr>
        <w:t>卖方为买方提供项目的</w:t>
      </w:r>
      <w:r>
        <w:rPr>
          <w:rFonts w:hint="eastAsia" w:ascii="新宋体" w:hAnsi="新宋体" w:eastAsia="新宋体" w:cs="宋体"/>
          <w:color w:val="auto"/>
          <w:kern w:val="0"/>
          <w:sz w:val="22"/>
          <w:szCs w:val="22"/>
          <w:highlight w:val="none"/>
        </w:rPr>
        <w:t>所有</w:t>
      </w:r>
      <w:r>
        <w:rPr>
          <w:rFonts w:ascii="新宋体" w:hAnsi="新宋体" w:eastAsia="新宋体" w:cs="宋体"/>
          <w:color w:val="auto"/>
          <w:kern w:val="0"/>
          <w:sz w:val="22"/>
          <w:szCs w:val="22"/>
          <w:highlight w:val="none"/>
        </w:rPr>
        <w:t>软、硬件设备使用、管理及维护等方面的培训</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rPr>
        <w:t>6</w:t>
      </w:r>
      <w:r>
        <w:rPr>
          <w:rFonts w:ascii="新宋体" w:hAnsi="新宋体" w:eastAsia="新宋体" w:cs="宋体"/>
          <w:color w:val="auto"/>
          <w:kern w:val="0"/>
          <w:sz w:val="22"/>
          <w:szCs w:val="22"/>
          <w:highlight w:val="none"/>
        </w:rPr>
        <w:t>未经买方书面授权或同意，卖方不得以任何方式将项目转交第三方或由第三方提供相关服务。</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rPr>
        <w:t>7合同签订后</w:t>
      </w:r>
      <w:r>
        <w:rPr>
          <w:rFonts w:hint="eastAsia" w:ascii="新宋体" w:hAnsi="新宋体" w:eastAsia="新宋体" w:cs="宋体"/>
          <w:color w:val="auto"/>
          <w:kern w:val="0"/>
          <w:sz w:val="22"/>
          <w:szCs w:val="22"/>
          <w:highlight w:val="none"/>
          <w:u w:val="single"/>
        </w:rPr>
        <w:t xml:space="preserve">  </w:t>
      </w:r>
      <w:r>
        <w:rPr>
          <w:rFonts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u w:val="single"/>
        </w:rPr>
        <w:t>4</w:t>
      </w:r>
      <w:r>
        <w:rPr>
          <w:rFonts w:ascii="新宋体" w:hAnsi="新宋体" w:eastAsia="新宋体" w:cs="宋体"/>
          <w:color w:val="auto"/>
          <w:kern w:val="0"/>
          <w:sz w:val="22"/>
          <w:szCs w:val="22"/>
          <w:highlight w:val="none"/>
        </w:rPr>
        <w:t>个月内完成系统基本信息项目的研发，达到试运行效果；</w:t>
      </w:r>
      <w:r>
        <w:rPr>
          <w:rFonts w:hint="eastAsia" w:ascii="新宋体" w:hAnsi="新宋体" w:eastAsia="新宋体" w:cs="宋体"/>
          <w:color w:val="auto"/>
          <w:kern w:val="0"/>
          <w:sz w:val="22"/>
          <w:szCs w:val="22"/>
          <w:highlight w:val="none"/>
          <w:u w:val="single"/>
        </w:rPr>
        <w:t xml:space="preserve"> 4 </w:t>
      </w:r>
      <w:r>
        <w:rPr>
          <w:rFonts w:ascii="新宋体" w:hAnsi="新宋体" w:eastAsia="新宋体" w:cs="宋体"/>
          <w:color w:val="auto"/>
          <w:kern w:val="0"/>
          <w:sz w:val="22"/>
          <w:szCs w:val="22"/>
          <w:highlight w:val="none"/>
        </w:rPr>
        <w:t>个月内完成需求中所有功能，达到上线运行效果</w:t>
      </w:r>
      <w:r>
        <w:rPr>
          <w:rFonts w:hint="eastAsia" w:ascii="新宋体" w:hAnsi="新宋体" w:eastAsia="新宋体" w:cs="宋体"/>
          <w:color w:val="auto"/>
          <w:kern w:val="0"/>
          <w:sz w:val="22"/>
          <w:szCs w:val="22"/>
          <w:highlight w:val="none"/>
        </w:rPr>
        <w:t>。</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4、售后服务和技术培训</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卖方应按附件《技术支持和售后服务方案》的内容为买方提供技术</w:t>
      </w:r>
      <w:r>
        <w:rPr>
          <w:rFonts w:hint="eastAsia" w:ascii="新宋体" w:hAnsi="新宋体" w:eastAsia="新宋体" w:cs="宋体"/>
          <w:color w:val="auto"/>
          <w:kern w:val="0"/>
          <w:sz w:val="22"/>
          <w:szCs w:val="22"/>
          <w:highlight w:val="none"/>
        </w:rPr>
        <w:t>支持</w:t>
      </w:r>
      <w:r>
        <w:rPr>
          <w:rFonts w:ascii="新宋体" w:hAnsi="新宋体" w:eastAsia="新宋体" w:cs="宋体"/>
          <w:color w:val="auto"/>
          <w:kern w:val="0"/>
          <w:sz w:val="22"/>
          <w:szCs w:val="22"/>
          <w:highlight w:val="none"/>
        </w:rPr>
        <w:t>和售后服务。</w:t>
      </w:r>
    </w:p>
    <w:p>
      <w:pPr>
        <w:spacing w:line="460" w:lineRule="exact"/>
        <w:ind w:firstLine="541" w:firstLineChars="245"/>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5、项目合同总金额</w:t>
      </w:r>
    </w:p>
    <w:p>
      <w:pPr>
        <w:spacing w:line="460" w:lineRule="exact"/>
        <w:ind w:firstLine="539" w:firstLineChars="245"/>
        <w:rPr>
          <w:rFonts w:hint="eastAsia" w:ascii="新宋体" w:hAnsi="新宋体" w:eastAsia="新宋体" w:cs="宋体"/>
          <w:b/>
          <w:color w:val="auto"/>
          <w:kern w:val="0"/>
          <w:sz w:val="22"/>
          <w:szCs w:val="22"/>
          <w:highlight w:val="none"/>
          <w:u w:val="single"/>
        </w:rPr>
      </w:pPr>
      <w:r>
        <w:rPr>
          <w:rFonts w:ascii="新宋体" w:hAnsi="新宋体" w:eastAsia="新宋体" w:cs="宋体"/>
          <w:color w:val="auto"/>
          <w:kern w:val="0"/>
          <w:sz w:val="22"/>
          <w:szCs w:val="22"/>
          <w:highlight w:val="none"/>
        </w:rPr>
        <w:t>合同总金额为：</w:t>
      </w:r>
      <w:r>
        <w:rPr>
          <w:rFonts w:hint="eastAsia" w:ascii="新宋体" w:hAnsi="新宋体" w:eastAsia="新宋体" w:cs="宋体"/>
          <w:b/>
          <w:color w:val="auto"/>
          <w:kern w:val="0"/>
          <w:sz w:val="22"/>
          <w:szCs w:val="22"/>
          <w:highlight w:val="none"/>
          <w:u w:val="single"/>
        </w:rPr>
        <w:t>RMB￥                              ；</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大写：</w:t>
      </w:r>
      <w:r>
        <w:rPr>
          <w:rFonts w:hint="eastAsia" w:ascii="新宋体" w:hAnsi="新宋体" w:eastAsia="新宋体" w:cs="宋体"/>
          <w:color w:val="auto"/>
          <w:kern w:val="0"/>
          <w:sz w:val="22"/>
          <w:szCs w:val="22"/>
          <w:highlight w:val="none"/>
          <w:u w:val="single"/>
        </w:rPr>
        <w:t xml:space="preserve">                                           </w:t>
      </w:r>
      <w:r>
        <w:rPr>
          <w:rFonts w:ascii="新宋体" w:hAnsi="新宋体" w:eastAsia="新宋体" w:cs="宋体"/>
          <w:color w:val="auto"/>
          <w:kern w:val="0"/>
          <w:sz w:val="22"/>
          <w:szCs w:val="22"/>
          <w:highlight w:val="none"/>
        </w:rPr>
        <w:t>元整；</w:t>
      </w:r>
    </w:p>
    <w:p>
      <w:pPr>
        <w:spacing w:line="460" w:lineRule="exact"/>
        <w:ind w:firstLine="541" w:firstLineChars="245"/>
        <w:rPr>
          <w:rFonts w:hint="eastAsia" w:ascii="新宋体" w:hAnsi="新宋体" w:eastAsia="新宋体" w:cs="宋体"/>
          <w:b/>
          <w:bCs/>
          <w:color w:val="auto"/>
          <w:kern w:val="0"/>
          <w:sz w:val="22"/>
          <w:szCs w:val="22"/>
          <w:highlight w:val="none"/>
        </w:rPr>
      </w:pPr>
      <w:r>
        <w:rPr>
          <w:rFonts w:hint="eastAsia" w:ascii="新宋体" w:hAnsi="新宋体" w:eastAsia="新宋体" w:cs="宋体"/>
          <w:b/>
          <w:bCs/>
          <w:color w:val="auto"/>
          <w:kern w:val="0"/>
          <w:sz w:val="22"/>
          <w:szCs w:val="22"/>
          <w:highlight w:val="none"/>
        </w:rPr>
        <w:t>详细价格清单</w:t>
      </w:r>
    </w:p>
    <w:tbl>
      <w:tblPr>
        <w:tblStyle w:val="5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340"/>
        <w:gridCol w:w="720"/>
        <w:gridCol w:w="144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265"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软件模块名称</w:t>
            </w:r>
          </w:p>
        </w:tc>
        <w:tc>
          <w:tcPr>
            <w:tcW w:w="2340"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说明</w:t>
            </w:r>
          </w:p>
        </w:tc>
        <w:tc>
          <w:tcPr>
            <w:tcW w:w="720"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440"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单价</w:t>
            </w:r>
          </w:p>
        </w:tc>
        <w:tc>
          <w:tcPr>
            <w:tcW w:w="1440"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总价</w:t>
            </w:r>
          </w:p>
        </w:tc>
        <w:tc>
          <w:tcPr>
            <w:tcW w:w="1260" w:type="dxa"/>
            <w:noWrap w:val="0"/>
            <w:vAlign w:val="center"/>
          </w:tcPr>
          <w:p>
            <w:pPr>
              <w:widowControl/>
              <w:spacing w:line="460" w:lineRule="exact"/>
              <w:jc w:val="center"/>
              <w:rPr>
                <w:rFonts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atLeast"/>
        </w:trPr>
        <w:tc>
          <w:tcPr>
            <w:tcW w:w="2265" w:type="dxa"/>
            <w:noWrap w:val="0"/>
            <w:vAlign w:val="center"/>
          </w:tcPr>
          <w:p>
            <w:pPr>
              <w:spacing w:line="460" w:lineRule="exact"/>
              <w:rPr>
                <w:rFonts w:hint="eastAsia" w:ascii="新宋体" w:hAnsi="新宋体" w:eastAsia="新宋体" w:cs="Arial"/>
                <w:b/>
                <w:bCs/>
                <w:color w:val="auto"/>
                <w:sz w:val="22"/>
                <w:szCs w:val="22"/>
                <w:highlight w:val="none"/>
              </w:rPr>
            </w:pPr>
          </w:p>
        </w:tc>
        <w:tc>
          <w:tcPr>
            <w:tcW w:w="2340" w:type="dxa"/>
            <w:noWrap w:val="0"/>
            <w:vAlign w:val="center"/>
          </w:tcPr>
          <w:p>
            <w:pPr>
              <w:topLinePunct/>
              <w:adjustRightInd w:val="0"/>
              <w:spacing w:line="460" w:lineRule="exact"/>
              <w:rPr>
                <w:rFonts w:ascii="新宋体" w:hAnsi="新宋体" w:eastAsia="新宋体" w:cs="Arial"/>
                <w:color w:val="auto"/>
                <w:sz w:val="22"/>
                <w:szCs w:val="22"/>
                <w:highlight w:val="none"/>
              </w:rPr>
            </w:pPr>
          </w:p>
        </w:tc>
        <w:tc>
          <w:tcPr>
            <w:tcW w:w="720" w:type="dxa"/>
            <w:noWrap w:val="0"/>
            <w:vAlign w:val="center"/>
          </w:tcPr>
          <w:p>
            <w:pPr>
              <w:spacing w:line="460" w:lineRule="exact"/>
              <w:jc w:val="center"/>
              <w:rPr>
                <w:rFonts w:hint="eastAsia" w:ascii="新宋体" w:hAnsi="新宋体" w:eastAsia="新宋体" w:cs="Arial"/>
                <w:b/>
                <w:bCs/>
                <w:color w:val="auto"/>
                <w:sz w:val="22"/>
                <w:szCs w:val="22"/>
                <w:highlight w:val="none"/>
              </w:rPr>
            </w:pPr>
          </w:p>
        </w:tc>
        <w:tc>
          <w:tcPr>
            <w:tcW w:w="1440" w:type="dxa"/>
            <w:noWrap w:val="0"/>
            <w:vAlign w:val="center"/>
          </w:tcPr>
          <w:p>
            <w:pPr>
              <w:spacing w:line="460" w:lineRule="exact"/>
              <w:jc w:val="right"/>
              <w:rPr>
                <w:rFonts w:hint="eastAsia" w:ascii="新宋体" w:hAnsi="新宋体" w:eastAsia="新宋体" w:cs="Arial"/>
                <w:b/>
                <w:bCs/>
                <w:color w:val="auto"/>
                <w:sz w:val="22"/>
                <w:szCs w:val="22"/>
                <w:highlight w:val="none"/>
              </w:rPr>
            </w:pPr>
          </w:p>
        </w:tc>
        <w:tc>
          <w:tcPr>
            <w:tcW w:w="1440" w:type="dxa"/>
            <w:noWrap w:val="0"/>
            <w:vAlign w:val="center"/>
          </w:tcPr>
          <w:p>
            <w:pPr>
              <w:spacing w:line="460" w:lineRule="exact"/>
              <w:jc w:val="right"/>
              <w:rPr>
                <w:rFonts w:hint="eastAsia" w:ascii="新宋体" w:hAnsi="新宋体" w:eastAsia="新宋体" w:cs="Arial"/>
                <w:b/>
                <w:bCs/>
                <w:color w:val="auto"/>
                <w:sz w:val="22"/>
                <w:szCs w:val="22"/>
                <w:highlight w:val="none"/>
              </w:rPr>
            </w:pPr>
          </w:p>
        </w:tc>
        <w:tc>
          <w:tcPr>
            <w:tcW w:w="1260" w:type="dxa"/>
            <w:noWrap w:val="0"/>
            <w:vAlign w:val="center"/>
          </w:tcPr>
          <w:p>
            <w:pPr>
              <w:pStyle w:val="27"/>
              <w:tabs>
                <w:tab w:val="left" w:pos="8540"/>
              </w:tabs>
              <w:spacing w:line="460" w:lineRule="exact"/>
              <w:jc w:val="center"/>
              <w:rPr>
                <w:rFonts w:hint="eastAsia" w:ascii="新宋体" w:hAnsi="新宋体" w:eastAsia="新宋体" w:cs="Arial"/>
                <w:b w:val="0"/>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45" w:hRule="atLeast"/>
        </w:trPr>
        <w:tc>
          <w:tcPr>
            <w:tcW w:w="2265" w:type="dxa"/>
            <w:noWrap w:val="0"/>
            <w:vAlign w:val="center"/>
          </w:tcPr>
          <w:p>
            <w:pPr>
              <w:spacing w:line="460" w:lineRule="exact"/>
              <w:rPr>
                <w:rFonts w:hint="eastAsia" w:ascii="新宋体" w:hAnsi="新宋体" w:eastAsia="新宋体" w:cs="Arial"/>
                <w:b/>
                <w:bCs/>
                <w:color w:val="auto"/>
                <w:sz w:val="22"/>
                <w:szCs w:val="22"/>
                <w:highlight w:val="none"/>
              </w:rPr>
            </w:pPr>
          </w:p>
        </w:tc>
        <w:tc>
          <w:tcPr>
            <w:tcW w:w="2340" w:type="dxa"/>
            <w:noWrap w:val="0"/>
            <w:vAlign w:val="center"/>
          </w:tcPr>
          <w:p>
            <w:pPr>
              <w:topLinePunct/>
              <w:adjustRightInd w:val="0"/>
              <w:spacing w:line="460" w:lineRule="exact"/>
              <w:rPr>
                <w:rFonts w:ascii="新宋体" w:hAnsi="新宋体" w:eastAsia="新宋体" w:cs="Arial"/>
                <w:color w:val="auto"/>
                <w:sz w:val="22"/>
                <w:szCs w:val="22"/>
                <w:highlight w:val="none"/>
              </w:rPr>
            </w:pPr>
          </w:p>
        </w:tc>
        <w:tc>
          <w:tcPr>
            <w:tcW w:w="720" w:type="dxa"/>
            <w:noWrap w:val="0"/>
            <w:vAlign w:val="center"/>
          </w:tcPr>
          <w:p>
            <w:pPr>
              <w:spacing w:line="460" w:lineRule="exact"/>
              <w:jc w:val="center"/>
              <w:rPr>
                <w:rFonts w:hint="eastAsia" w:ascii="新宋体" w:hAnsi="新宋体" w:eastAsia="新宋体" w:cs="Arial"/>
                <w:b/>
                <w:bCs/>
                <w:color w:val="auto"/>
                <w:sz w:val="22"/>
                <w:szCs w:val="22"/>
                <w:highlight w:val="none"/>
              </w:rPr>
            </w:pPr>
          </w:p>
        </w:tc>
        <w:tc>
          <w:tcPr>
            <w:tcW w:w="1440" w:type="dxa"/>
            <w:noWrap w:val="0"/>
            <w:vAlign w:val="center"/>
          </w:tcPr>
          <w:p>
            <w:pPr>
              <w:spacing w:line="460" w:lineRule="exact"/>
              <w:jc w:val="right"/>
              <w:rPr>
                <w:rFonts w:hint="eastAsia" w:ascii="新宋体" w:hAnsi="新宋体" w:eastAsia="新宋体" w:cs="Arial"/>
                <w:b/>
                <w:bCs/>
                <w:color w:val="auto"/>
                <w:sz w:val="22"/>
                <w:szCs w:val="22"/>
                <w:highlight w:val="none"/>
              </w:rPr>
            </w:pPr>
          </w:p>
        </w:tc>
        <w:tc>
          <w:tcPr>
            <w:tcW w:w="1440" w:type="dxa"/>
            <w:noWrap w:val="0"/>
            <w:vAlign w:val="center"/>
          </w:tcPr>
          <w:p>
            <w:pPr>
              <w:spacing w:line="460" w:lineRule="exact"/>
              <w:jc w:val="right"/>
              <w:rPr>
                <w:rFonts w:hint="eastAsia" w:ascii="新宋体" w:hAnsi="新宋体" w:eastAsia="新宋体" w:cs="Arial"/>
                <w:b/>
                <w:bCs/>
                <w:color w:val="auto"/>
                <w:sz w:val="22"/>
                <w:szCs w:val="22"/>
                <w:highlight w:val="none"/>
              </w:rPr>
            </w:pPr>
          </w:p>
        </w:tc>
        <w:tc>
          <w:tcPr>
            <w:tcW w:w="1260" w:type="dxa"/>
            <w:noWrap w:val="0"/>
            <w:vAlign w:val="center"/>
          </w:tcPr>
          <w:p>
            <w:pPr>
              <w:pStyle w:val="27"/>
              <w:tabs>
                <w:tab w:val="left" w:pos="8540"/>
              </w:tabs>
              <w:spacing w:line="460" w:lineRule="exact"/>
              <w:jc w:val="center"/>
              <w:rPr>
                <w:rFonts w:hint="eastAsia" w:ascii="新宋体" w:hAnsi="新宋体" w:eastAsia="新宋体" w:cs="Arial"/>
                <w:b w:val="0"/>
                <w:bCs/>
                <w:color w:val="auto"/>
                <w:kern w:val="2"/>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0" w:hRule="atLeast"/>
        </w:trPr>
        <w:tc>
          <w:tcPr>
            <w:tcW w:w="2265" w:type="dxa"/>
            <w:noWrap w:val="0"/>
            <w:vAlign w:val="center"/>
          </w:tcPr>
          <w:p>
            <w:pPr>
              <w:widowControl/>
              <w:spacing w:line="46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合计总价</w:t>
            </w:r>
          </w:p>
        </w:tc>
        <w:tc>
          <w:tcPr>
            <w:tcW w:w="4500" w:type="dxa"/>
            <w:gridSpan w:val="3"/>
            <w:noWrap w:val="0"/>
            <w:vAlign w:val="center"/>
          </w:tcPr>
          <w:p>
            <w:pPr>
              <w:widowControl/>
              <w:spacing w:line="46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（大写）    整</w:t>
            </w:r>
          </w:p>
        </w:tc>
        <w:tc>
          <w:tcPr>
            <w:tcW w:w="2700" w:type="dxa"/>
            <w:gridSpan w:val="2"/>
            <w:noWrap w:val="0"/>
            <w:vAlign w:val="center"/>
          </w:tcPr>
          <w:p>
            <w:pPr>
              <w:pStyle w:val="27"/>
              <w:tabs>
                <w:tab w:val="left" w:pos="8540"/>
              </w:tabs>
              <w:spacing w:line="460" w:lineRule="exact"/>
              <w:jc w:val="center"/>
              <w:rPr>
                <w:rFonts w:hint="eastAsia" w:ascii="新宋体" w:hAnsi="新宋体" w:eastAsia="新宋体" w:cs="Arial"/>
                <w:b w:val="0"/>
                <w:bCs/>
                <w:color w:val="auto"/>
                <w:kern w:val="2"/>
                <w:sz w:val="22"/>
                <w:szCs w:val="22"/>
                <w:highlight w:val="none"/>
              </w:rPr>
            </w:pPr>
            <w:r>
              <w:rPr>
                <w:rFonts w:hint="eastAsia" w:ascii="新宋体" w:hAnsi="新宋体" w:eastAsia="新宋体" w:cs="Arial"/>
                <w:b w:val="0"/>
                <w:bCs/>
                <w:color w:val="auto"/>
                <w:kern w:val="2"/>
                <w:sz w:val="22"/>
                <w:szCs w:val="22"/>
                <w:highlight w:val="none"/>
              </w:rPr>
              <w:t>￥： .00</w:t>
            </w:r>
          </w:p>
        </w:tc>
      </w:tr>
    </w:tbl>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6、项目合同支付条款</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履约保证金：</w:t>
      </w:r>
      <w:r>
        <w:rPr>
          <w:rFonts w:hint="eastAsia" w:ascii="新宋体" w:hAnsi="新宋体" w:eastAsia="新宋体" w:cs="宋体"/>
          <w:color w:val="auto"/>
          <w:kern w:val="0"/>
          <w:sz w:val="22"/>
          <w:szCs w:val="22"/>
          <w:highlight w:val="none"/>
          <w:lang w:eastAsia="zh-CN"/>
        </w:rPr>
        <w:t>卖方</w:t>
      </w:r>
      <w:r>
        <w:rPr>
          <w:rFonts w:hint="eastAsia" w:ascii="新宋体" w:hAnsi="新宋体" w:eastAsia="新宋体" w:cs="宋体"/>
          <w:color w:val="auto"/>
          <w:kern w:val="0"/>
          <w:sz w:val="22"/>
          <w:szCs w:val="22"/>
          <w:highlight w:val="none"/>
        </w:rPr>
        <w:t>根据</w:t>
      </w:r>
      <w:r>
        <w:rPr>
          <w:rFonts w:hint="eastAsia" w:ascii="新宋体" w:hAnsi="新宋体" w:eastAsia="新宋体" w:cs="宋体"/>
          <w:color w:val="auto"/>
          <w:kern w:val="0"/>
          <w:sz w:val="22"/>
          <w:szCs w:val="22"/>
          <w:highlight w:val="none"/>
          <w:lang w:eastAsia="zh-CN"/>
        </w:rPr>
        <w:t>买方</w:t>
      </w:r>
      <w:r>
        <w:rPr>
          <w:rFonts w:hint="eastAsia" w:ascii="新宋体" w:hAnsi="新宋体" w:eastAsia="新宋体" w:cs="宋体"/>
          <w:color w:val="auto"/>
          <w:kern w:val="0"/>
          <w:sz w:val="22"/>
          <w:szCs w:val="22"/>
          <w:highlight w:val="none"/>
        </w:rPr>
        <w:t>双方协议，在合同签订后7个工作日内</w:t>
      </w:r>
      <w:r>
        <w:rPr>
          <w:rFonts w:hint="eastAsia" w:ascii="新宋体" w:hAnsi="新宋体" w:eastAsia="新宋体" w:cs="宋体"/>
          <w:color w:val="auto"/>
          <w:kern w:val="0"/>
          <w:sz w:val="22"/>
          <w:szCs w:val="22"/>
          <w:highlight w:val="none"/>
          <w:lang w:eastAsia="zh-CN"/>
        </w:rPr>
        <w:t>卖方</w:t>
      </w:r>
      <w:r>
        <w:rPr>
          <w:rFonts w:hint="eastAsia" w:ascii="新宋体" w:hAnsi="新宋体" w:eastAsia="新宋体" w:cs="宋体"/>
          <w:color w:val="auto"/>
          <w:kern w:val="0"/>
          <w:sz w:val="22"/>
          <w:szCs w:val="22"/>
          <w:highlight w:val="none"/>
        </w:rPr>
        <w:t>向</w:t>
      </w:r>
      <w:r>
        <w:rPr>
          <w:rFonts w:hint="eastAsia" w:ascii="新宋体" w:hAnsi="新宋体" w:eastAsia="新宋体" w:cs="宋体"/>
          <w:color w:val="auto"/>
          <w:kern w:val="0"/>
          <w:sz w:val="22"/>
          <w:szCs w:val="22"/>
          <w:highlight w:val="none"/>
          <w:lang w:eastAsia="zh-CN"/>
        </w:rPr>
        <w:t>买方</w:t>
      </w:r>
      <w:r>
        <w:rPr>
          <w:rFonts w:hint="eastAsia" w:ascii="新宋体" w:hAnsi="新宋体" w:eastAsia="新宋体" w:cs="宋体"/>
          <w:color w:val="auto"/>
          <w:kern w:val="0"/>
          <w:sz w:val="22"/>
          <w:szCs w:val="22"/>
          <w:highlight w:val="none"/>
        </w:rPr>
        <w:t>提供合同总金额的10%，即¥     （人名币    元）履约保证金，作为合同生效的必须条件；</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第一笔款：合同签订生效之后，</w:t>
      </w:r>
      <w:r>
        <w:rPr>
          <w:rFonts w:hint="eastAsia" w:ascii="新宋体" w:hAnsi="新宋体" w:eastAsia="新宋体" w:cs="宋体"/>
          <w:color w:val="auto"/>
          <w:kern w:val="0"/>
          <w:sz w:val="22"/>
          <w:szCs w:val="22"/>
          <w:highlight w:val="none"/>
          <w:lang w:eastAsia="zh-CN"/>
        </w:rPr>
        <w:t>买方</w:t>
      </w:r>
      <w:r>
        <w:rPr>
          <w:rFonts w:hint="eastAsia" w:ascii="新宋体" w:hAnsi="新宋体" w:eastAsia="新宋体" w:cs="宋体"/>
          <w:color w:val="auto"/>
          <w:kern w:val="0"/>
          <w:sz w:val="22"/>
          <w:szCs w:val="22"/>
          <w:highlight w:val="none"/>
        </w:rPr>
        <w:t>在收到</w:t>
      </w:r>
      <w:r>
        <w:rPr>
          <w:rFonts w:hint="eastAsia" w:ascii="新宋体" w:hAnsi="新宋体" w:eastAsia="新宋体" w:cs="宋体"/>
          <w:color w:val="auto"/>
          <w:kern w:val="0"/>
          <w:sz w:val="22"/>
          <w:szCs w:val="22"/>
          <w:highlight w:val="none"/>
          <w:lang w:eastAsia="zh-CN"/>
        </w:rPr>
        <w:t>卖方</w:t>
      </w:r>
      <w:r>
        <w:rPr>
          <w:rFonts w:hint="eastAsia" w:ascii="新宋体" w:hAnsi="新宋体" w:eastAsia="新宋体" w:cs="宋体"/>
          <w:color w:val="auto"/>
          <w:kern w:val="0"/>
          <w:sz w:val="22"/>
          <w:szCs w:val="22"/>
          <w:highlight w:val="none"/>
        </w:rPr>
        <w:t>提供的下列单据15个工作日内，向</w:t>
      </w:r>
      <w:r>
        <w:rPr>
          <w:rFonts w:hint="eastAsia" w:ascii="新宋体" w:hAnsi="新宋体" w:eastAsia="新宋体" w:cs="宋体"/>
          <w:color w:val="auto"/>
          <w:kern w:val="0"/>
          <w:sz w:val="22"/>
          <w:szCs w:val="22"/>
          <w:highlight w:val="none"/>
          <w:lang w:eastAsia="zh-CN"/>
        </w:rPr>
        <w:t>卖方</w:t>
      </w:r>
      <w:r>
        <w:rPr>
          <w:rFonts w:hint="eastAsia" w:ascii="新宋体" w:hAnsi="新宋体" w:eastAsia="新宋体" w:cs="宋体"/>
          <w:color w:val="auto"/>
          <w:kern w:val="0"/>
          <w:sz w:val="22"/>
          <w:szCs w:val="22"/>
          <w:highlight w:val="none"/>
        </w:rPr>
        <w:t>支付合同总价的50%，即人民币     元整（RMB￥     ），履约保证金自动转为质量保证金；</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下列单据包括：</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(1)等额商业发票一份；</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(2)履约保证金支付凭证。</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第二笔款：</w:t>
      </w:r>
      <w:r>
        <w:rPr>
          <w:rFonts w:hint="eastAsia" w:ascii="新宋体" w:hAnsi="新宋体" w:eastAsia="新宋体" w:cs="宋体"/>
          <w:color w:val="auto"/>
          <w:kern w:val="0"/>
          <w:sz w:val="22"/>
          <w:szCs w:val="22"/>
          <w:highlight w:val="none"/>
          <w:lang w:eastAsia="zh-CN"/>
        </w:rPr>
        <w:t>买方</w:t>
      </w:r>
      <w:r>
        <w:rPr>
          <w:rFonts w:hint="eastAsia" w:ascii="新宋体" w:hAnsi="新宋体" w:eastAsia="新宋体" w:cs="宋体"/>
          <w:color w:val="auto"/>
          <w:kern w:val="0"/>
          <w:sz w:val="22"/>
          <w:szCs w:val="22"/>
          <w:highlight w:val="none"/>
        </w:rPr>
        <w:t>在系统安装完毕（应该是项目全部建设完成），经试运行后      天并经验收合格后，在收到</w:t>
      </w:r>
      <w:r>
        <w:rPr>
          <w:rFonts w:hint="eastAsia" w:ascii="新宋体" w:hAnsi="新宋体" w:eastAsia="新宋体" w:cs="宋体"/>
          <w:color w:val="auto"/>
          <w:kern w:val="0"/>
          <w:sz w:val="22"/>
          <w:szCs w:val="22"/>
          <w:highlight w:val="none"/>
          <w:lang w:eastAsia="zh-CN"/>
        </w:rPr>
        <w:t>卖方</w:t>
      </w:r>
      <w:r>
        <w:rPr>
          <w:rFonts w:hint="eastAsia" w:ascii="新宋体" w:hAnsi="新宋体" w:eastAsia="新宋体" w:cs="宋体"/>
          <w:color w:val="auto"/>
          <w:kern w:val="0"/>
          <w:sz w:val="22"/>
          <w:szCs w:val="22"/>
          <w:highlight w:val="none"/>
        </w:rPr>
        <w:t>提供的下列单据15个工作日内，向</w:t>
      </w:r>
      <w:r>
        <w:rPr>
          <w:rFonts w:hint="eastAsia" w:ascii="新宋体" w:hAnsi="新宋体" w:eastAsia="新宋体" w:cs="宋体"/>
          <w:color w:val="auto"/>
          <w:kern w:val="0"/>
          <w:sz w:val="22"/>
          <w:szCs w:val="22"/>
          <w:highlight w:val="none"/>
          <w:lang w:eastAsia="zh-CN"/>
        </w:rPr>
        <w:t>卖方</w:t>
      </w:r>
      <w:r>
        <w:rPr>
          <w:rFonts w:hint="eastAsia" w:ascii="新宋体" w:hAnsi="新宋体" w:eastAsia="新宋体" w:cs="宋体"/>
          <w:color w:val="auto"/>
          <w:kern w:val="0"/>
          <w:sz w:val="22"/>
          <w:szCs w:val="22"/>
          <w:highlight w:val="none"/>
        </w:rPr>
        <w:t>支付合同总价的40%，即人民币即人民币</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元整（RMB￥</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下列单据包括：</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(1)等额商业发票一份</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(2)试运行情况报告</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(3)</w:t>
      </w:r>
      <w:r>
        <w:rPr>
          <w:rFonts w:hint="eastAsia" w:ascii="新宋体" w:hAnsi="新宋体" w:eastAsia="新宋体" w:cs="宋体"/>
          <w:color w:val="auto"/>
          <w:kern w:val="0"/>
          <w:sz w:val="22"/>
          <w:szCs w:val="22"/>
          <w:highlight w:val="none"/>
          <w:lang w:eastAsia="zh-CN"/>
        </w:rPr>
        <w:t>买方</w:t>
      </w:r>
      <w:r>
        <w:rPr>
          <w:rFonts w:hint="eastAsia" w:ascii="新宋体" w:hAnsi="新宋体" w:eastAsia="新宋体" w:cs="宋体"/>
          <w:color w:val="auto"/>
          <w:kern w:val="0"/>
          <w:sz w:val="22"/>
          <w:szCs w:val="22"/>
          <w:highlight w:val="none"/>
        </w:rPr>
        <w:t>出具的验收报告</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履约保证金的退还：在系统正常运行三年后，</w:t>
      </w:r>
      <w:r>
        <w:rPr>
          <w:rFonts w:hint="eastAsia" w:ascii="新宋体" w:hAnsi="新宋体" w:eastAsia="新宋体" w:cs="宋体"/>
          <w:color w:val="auto"/>
          <w:kern w:val="0"/>
          <w:sz w:val="22"/>
          <w:szCs w:val="22"/>
          <w:highlight w:val="none"/>
          <w:lang w:eastAsia="zh-CN"/>
        </w:rPr>
        <w:t>买方</w:t>
      </w:r>
      <w:r>
        <w:rPr>
          <w:rFonts w:hint="eastAsia" w:ascii="新宋体" w:hAnsi="新宋体" w:eastAsia="新宋体" w:cs="宋体"/>
          <w:color w:val="auto"/>
          <w:kern w:val="0"/>
          <w:sz w:val="22"/>
          <w:szCs w:val="22"/>
          <w:highlight w:val="none"/>
        </w:rPr>
        <w:t>做出系统运行良好的证明且收到</w:t>
      </w:r>
      <w:r>
        <w:rPr>
          <w:rFonts w:hint="eastAsia" w:ascii="新宋体" w:hAnsi="新宋体" w:eastAsia="新宋体" w:cs="宋体"/>
          <w:color w:val="auto"/>
          <w:kern w:val="0"/>
          <w:sz w:val="22"/>
          <w:szCs w:val="22"/>
          <w:highlight w:val="none"/>
          <w:lang w:eastAsia="zh-CN"/>
        </w:rPr>
        <w:t>卖方</w:t>
      </w:r>
      <w:r>
        <w:rPr>
          <w:rFonts w:hint="eastAsia" w:ascii="新宋体" w:hAnsi="新宋体" w:eastAsia="新宋体" w:cs="宋体"/>
          <w:color w:val="auto"/>
          <w:kern w:val="0"/>
          <w:sz w:val="22"/>
          <w:szCs w:val="22"/>
          <w:highlight w:val="none"/>
        </w:rPr>
        <w:t>提供的下列单据15个工作日内，向</w:t>
      </w:r>
      <w:r>
        <w:rPr>
          <w:rFonts w:hint="eastAsia" w:ascii="新宋体" w:hAnsi="新宋体" w:eastAsia="新宋体" w:cs="宋体"/>
          <w:color w:val="auto"/>
          <w:kern w:val="0"/>
          <w:sz w:val="22"/>
          <w:szCs w:val="22"/>
          <w:highlight w:val="none"/>
          <w:lang w:eastAsia="zh-CN"/>
        </w:rPr>
        <w:t>卖方</w:t>
      </w:r>
      <w:r>
        <w:rPr>
          <w:rFonts w:hint="eastAsia" w:ascii="新宋体" w:hAnsi="新宋体" w:eastAsia="新宋体" w:cs="宋体"/>
          <w:color w:val="auto"/>
          <w:kern w:val="0"/>
          <w:sz w:val="22"/>
          <w:szCs w:val="22"/>
          <w:highlight w:val="none"/>
        </w:rPr>
        <w:t>退还合同总价10%履约保证金，即人民币</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整（RMB￥</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下列单据包括：</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lang w:eastAsia="zh-CN"/>
        </w:rPr>
        <w:t>买方</w:t>
      </w:r>
      <w:r>
        <w:rPr>
          <w:rFonts w:hint="eastAsia" w:ascii="新宋体" w:hAnsi="新宋体" w:eastAsia="新宋体" w:cs="宋体"/>
          <w:color w:val="auto"/>
          <w:kern w:val="0"/>
          <w:sz w:val="22"/>
          <w:szCs w:val="22"/>
          <w:highlight w:val="none"/>
        </w:rPr>
        <w:t>出具的履约保证金收款凭证</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(2)用户证明</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7、项目合同修改</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除了合同条款第1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条的规定外，任何对合同的变更、修改</w:t>
      </w:r>
      <w:r>
        <w:rPr>
          <w:rFonts w:hint="eastAsia" w:ascii="新宋体" w:hAnsi="新宋体" w:eastAsia="新宋体" w:cs="宋体"/>
          <w:color w:val="auto"/>
          <w:kern w:val="0"/>
          <w:sz w:val="22"/>
          <w:szCs w:val="22"/>
          <w:highlight w:val="none"/>
        </w:rPr>
        <w:t>和补充</w:t>
      </w:r>
      <w:r>
        <w:rPr>
          <w:rFonts w:ascii="新宋体" w:hAnsi="新宋体" w:eastAsia="新宋体" w:cs="Helvetica"/>
          <w:color w:val="auto"/>
          <w:kern w:val="0"/>
          <w:sz w:val="22"/>
          <w:szCs w:val="22"/>
          <w:highlight w:val="none"/>
        </w:rPr>
        <w:t>,</w:t>
      </w:r>
      <w:r>
        <w:rPr>
          <w:rFonts w:hint="eastAsia" w:ascii="新宋体" w:hAnsi="新宋体" w:eastAsia="新宋体" w:cs="Helvetica"/>
          <w:color w:val="auto"/>
          <w:kern w:val="0"/>
          <w:sz w:val="22"/>
          <w:szCs w:val="22"/>
          <w:highlight w:val="none"/>
        </w:rPr>
        <w:t>须报院领导审批后，</w:t>
      </w:r>
      <w:r>
        <w:rPr>
          <w:rFonts w:hint="eastAsia" w:ascii="新宋体" w:hAnsi="新宋体" w:eastAsia="新宋体" w:cs="宋体"/>
          <w:color w:val="auto"/>
          <w:kern w:val="0"/>
          <w:sz w:val="22"/>
          <w:szCs w:val="22"/>
          <w:highlight w:val="none"/>
        </w:rPr>
        <w:t>只有在双方授权的代表签署书面文</w:t>
      </w:r>
      <w:r>
        <w:rPr>
          <w:rFonts w:ascii="新宋体" w:hAnsi="新宋体" w:eastAsia="新宋体" w:cs="宋体"/>
          <w:color w:val="auto"/>
          <w:kern w:val="0"/>
          <w:sz w:val="22"/>
          <w:szCs w:val="22"/>
          <w:highlight w:val="none"/>
        </w:rPr>
        <w:t>件后有效，并作为附件成为本合同不可分割的组成部分。</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8、违约责任</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w:t>
      </w:r>
      <w:r>
        <w:rPr>
          <w:rFonts w:ascii="新宋体" w:hAnsi="新宋体" w:eastAsia="新宋体" w:cs="宋体"/>
          <w:color w:val="auto"/>
          <w:kern w:val="0"/>
          <w:sz w:val="22"/>
          <w:szCs w:val="22"/>
          <w:highlight w:val="none"/>
        </w:rPr>
        <w:t>.1在履行合同的过程中，如果卖方遇到将不能按照合同规定的时间完成系统实施和提供服务时，应该及时以书面形式将拖延的事实、可能拖延的时间和原因通知买方。买方在收到卖方通知后，应尽快对情况进行评价，并确定是否酌情延长交货时间和提供服务以及是否收到误期赔偿费。延期应通过修改合同的方式由双方认可。</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w:t>
      </w:r>
      <w:r>
        <w:rPr>
          <w:rFonts w:ascii="新宋体" w:hAnsi="新宋体" w:eastAsia="新宋体" w:cs="宋体"/>
          <w:color w:val="auto"/>
          <w:kern w:val="0"/>
          <w:sz w:val="22"/>
          <w:szCs w:val="22"/>
          <w:highlight w:val="none"/>
        </w:rPr>
        <w:t>.2 除了合同条款第1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条的情况外，除非延期是根据合同条款</w:t>
      </w:r>
      <w:r>
        <w:rPr>
          <w:rFonts w:hint="eastAsia" w:ascii="新宋体" w:hAnsi="新宋体" w:eastAsia="新宋体" w:cs="宋体"/>
          <w:color w:val="auto"/>
          <w:kern w:val="0"/>
          <w:sz w:val="22"/>
          <w:szCs w:val="22"/>
          <w:highlight w:val="none"/>
        </w:rPr>
        <w:t>8</w:t>
      </w:r>
      <w:r>
        <w:rPr>
          <w:rFonts w:ascii="新宋体" w:hAnsi="新宋体" w:eastAsia="新宋体" w:cs="宋体"/>
          <w:color w:val="auto"/>
          <w:kern w:val="0"/>
          <w:sz w:val="22"/>
          <w:szCs w:val="22"/>
          <w:highlight w:val="none"/>
        </w:rPr>
        <w:t>.1的规定取得买方的同意而不收取误期赔偿费之外，当卖方已经拖延交货和提供服务，买方应在不影响合同项下的其他补救措施的情况下，从合同价中扣除误期赔偿费。每延误一周的赔偿费按合同总价的百分之零点五（0.5%）计收，不足一周按一周计算，直至交货或提供服务为止。误期赔偿费的最高限额为合同价格的百分之五（5%）。一旦达到误期赔偿费的最高限额，买方有权根据合同第</w:t>
      </w:r>
      <w:r>
        <w:rPr>
          <w:rFonts w:hint="eastAsia" w:ascii="新宋体" w:hAnsi="新宋体" w:eastAsia="新宋体" w:cs="宋体"/>
          <w:color w:val="auto"/>
          <w:kern w:val="0"/>
          <w:sz w:val="22"/>
          <w:szCs w:val="22"/>
          <w:highlight w:val="none"/>
        </w:rPr>
        <w:t>9</w:t>
      </w:r>
      <w:r>
        <w:rPr>
          <w:rFonts w:ascii="新宋体" w:hAnsi="新宋体" w:eastAsia="新宋体" w:cs="宋体"/>
          <w:color w:val="auto"/>
          <w:kern w:val="0"/>
          <w:sz w:val="22"/>
          <w:szCs w:val="22"/>
          <w:highlight w:val="none"/>
        </w:rPr>
        <w:t>条款的规定终止合同。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8</w:t>
      </w:r>
      <w:r>
        <w:rPr>
          <w:rFonts w:ascii="新宋体" w:hAnsi="新宋体" w:eastAsia="新宋体" w:cs="宋体"/>
          <w:color w:val="auto"/>
          <w:kern w:val="0"/>
          <w:sz w:val="22"/>
          <w:szCs w:val="22"/>
          <w:highlight w:val="none"/>
        </w:rPr>
        <w:t>.3如果买方没有按照合同规定的时间付款，每延误一周的赔偿费按应付货款的百分之零点五（0.5%）计收，直至将应付货款付给卖方为止。误期赔偿费的最高限额为合同价格的百分之五（5%）。</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9、项目合同终止 </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由于合同一方不履行合同或严重违反合同，造成合同部分或全部无法履行时，对方除有权向违约方索赔外，并有权部分或全部终止合同。对于部分终止的合同，违约方除应承担</w:t>
      </w:r>
      <w:r>
        <w:rPr>
          <w:rFonts w:hint="eastAsia" w:ascii="新宋体" w:hAnsi="新宋体" w:eastAsia="新宋体" w:cs="宋体"/>
          <w:color w:val="auto"/>
          <w:kern w:val="0"/>
          <w:sz w:val="22"/>
          <w:szCs w:val="22"/>
          <w:highlight w:val="none"/>
        </w:rPr>
        <w:t>相应</w:t>
      </w:r>
      <w:r>
        <w:rPr>
          <w:rFonts w:ascii="新宋体" w:hAnsi="新宋体" w:eastAsia="新宋体" w:cs="宋体"/>
          <w:color w:val="auto"/>
          <w:kern w:val="0"/>
          <w:sz w:val="22"/>
          <w:szCs w:val="22"/>
          <w:highlight w:val="none"/>
        </w:rPr>
        <w:t>规定的责任外，还应继续履行合同的剩余部分。</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9</w:t>
      </w:r>
      <w:r>
        <w:rPr>
          <w:rFonts w:ascii="新宋体" w:hAnsi="新宋体" w:eastAsia="新宋体" w:cs="宋体"/>
          <w:color w:val="auto"/>
          <w:kern w:val="0"/>
          <w:sz w:val="22"/>
          <w:szCs w:val="22"/>
          <w:highlight w:val="none"/>
        </w:rPr>
        <w:t>.1违约终止合同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在买方对卖方违约而采取的任何补救措施</w:t>
      </w:r>
      <w:r>
        <w:rPr>
          <w:rFonts w:hint="eastAsia" w:ascii="新宋体" w:hAnsi="新宋体" w:eastAsia="新宋体" w:cs="宋体"/>
          <w:color w:val="auto"/>
          <w:kern w:val="0"/>
          <w:sz w:val="22"/>
          <w:szCs w:val="22"/>
          <w:highlight w:val="none"/>
        </w:rPr>
        <w:t>没有成效</w:t>
      </w:r>
      <w:r>
        <w:rPr>
          <w:rFonts w:ascii="新宋体" w:hAnsi="新宋体" w:eastAsia="新宋体" w:cs="宋体"/>
          <w:color w:val="auto"/>
          <w:kern w:val="0"/>
          <w:sz w:val="22"/>
          <w:szCs w:val="22"/>
          <w:highlight w:val="none"/>
        </w:rPr>
        <w:t>的情况下，买方可向卖方发出书面违约通知书，提出终止部分或全部合同：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（1）如果卖方未能在合同规定的期限或买方根据合同条款的规定同意延长的限期内提供部分或全部的货物或系统产品，达到合同所规定的建设需求和服务；</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（2）如果卖方未能履行合同规定的其他任何义务。</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9</w:t>
      </w:r>
      <w:r>
        <w:rPr>
          <w:rFonts w:ascii="新宋体" w:hAnsi="新宋体" w:eastAsia="新宋体" w:cs="宋体"/>
          <w:color w:val="auto"/>
          <w:kern w:val="0"/>
          <w:sz w:val="22"/>
          <w:szCs w:val="22"/>
          <w:highlight w:val="none"/>
        </w:rPr>
        <w:t>.2 因破产而终止合同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如果卖方破产或无清偿能力，买方可在任何时候以书面形式通知卖方，提出终止合同而不给卖方补偿。该终止合同将不损害或影响买方已经采取或将要采取的任何行动或补救措施的权力。</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10、不可抗力</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1本合同规定的不可抗力事件是指买卖双方在缔结合同时所不能预见的，并且它的发生及其后果是无法避免和无法克服的事件，诸如战争和严重的风灾、水灾、雪灾、地震等自然灾害，以及政策性等不由双方控制的，也包括双方同意的其他不可抗力事件。</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.2签约双方任一方由于受不可抗力事件的影响而不能执行合同时，履行合同的期限应予以延长，其延长的期限应相当于事件所影响的时间。</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0</w:t>
      </w:r>
      <w:r>
        <w:rPr>
          <w:rFonts w:ascii="新宋体" w:hAnsi="新宋体" w:eastAsia="新宋体" w:cs="宋体"/>
          <w:color w:val="auto"/>
          <w:kern w:val="0"/>
          <w:sz w:val="22"/>
          <w:szCs w:val="22"/>
          <w:highlight w:val="none"/>
        </w:rPr>
        <w:t>.3受阻一方应在不可抗力事件发生后尽快用书面方式或电报、传真通知对方，并于事件发生后14天内将有关当局出具的证明文件用特快专递或挂号信寄给对方审阅确认。一旦不可抗力事件的影响持续120天以上，双方应通过友好协商在合理的时间内达成进一步履行合同的协议，买方也可以考虑解除合同。</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11、项目知识产权</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1</w:t>
      </w: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项目</w:t>
      </w:r>
      <w:r>
        <w:rPr>
          <w:rFonts w:ascii="新宋体" w:hAnsi="新宋体" w:eastAsia="新宋体" w:cs="宋体"/>
          <w:color w:val="auto"/>
          <w:kern w:val="0"/>
          <w:sz w:val="22"/>
          <w:szCs w:val="22"/>
          <w:highlight w:val="none"/>
        </w:rPr>
        <w:t>知识产权</w:t>
      </w:r>
      <w:r>
        <w:rPr>
          <w:rFonts w:hint="eastAsia" w:ascii="新宋体" w:hAnsi="新宋体" w:eastAsia="新宋体" w:cs="宋体"/>
          <w:color w:val="auto"/>
          <w:kern w:val="0"/>
          <w:sz w:val="22"/>
          <w:szCs w:val="22"/>
          <w:highlight w:val="none"/>
        </w:rPr>
        <w:t>归</w:t>
      </w:r>
      <w:r>
        <w:rPr>
          <w:rFonts w:ascii="新宋体" w:hAnsi="新宋体" w:eastAsia="新宋体" w:cs="宋体"/>
          <w:color w:val="auto"/>
          <w:kern w:val="0"/>
          <w:sz w:val="22"/>
          <w:szCs w:val="22"/>
          <w:highlight w:val="none"/>
        </w:rPr>
        <w:t>买</w:t>
      </w:r>
      <w:r>
        <w:rPr>
          <w:rFonts w:hint="eastAsia" w:ascii="新宋体" w:hAnsi="新宋体" w:eastAsia="新宋体" w:cs="宋体"/>
          <w:color w:val="auto"/>
          <w:kern w:val="0"/>
          <w:sz w:val="22"/>
          <w:szCs w:val="22"/>
          <w:highlight w:val="none"/>
        </w:rPr>
        <w:t>方所</w:t>
      </w:r>
      <w:r>
        <w:rPr>
          <w:rFonts w:ascii="新宋体" w:hAnsi="新宋体" w:eastAsia="新宋体" w:cs="宋体"/>
          <w:color w:val="auto"/>
          <w:kern w:val="0"/>
          <w:sz w:val="22"/>
          <w:szCs w:val="22"/>
          <w:highlight w:val="none"/>
        </w:rPr>
        <w:t>有。</w:t>
      </w:r>
      <w:r>
        <w:rPr>
          <w:rFonts w:hint="eastAsia" w:ascii="新宋体" w:hAnsi="新宋体" w:eastAsia="新宋体" w:cs="宋体"/>
          <w:color w:val="auto"/>
          <w:kern w:val="0"/>
          <w:sz w:val="22"/>
          <w:szCs w:val="22"/>
          <w:highlight w:val="none"/>
        </w:rPr>
        <w:t>涉及的源代码必须遵循标准和规范，并在项目验收后无条件提交给买方，买方拥有对该系统软件源码进行后续修改、完善以及升级改造的权利。</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1</w:t>
      </w:r>
      <w:r>
        <w:rPr>
          <w:rFonts w:ascii="新宋体" w:hAnsi="新宋体" w:eastAsia="新宋体" w:cs="宋体"/>
          <w:color w:val="auto"/>
          <w:kern w:val="0"/>
          <w:sz w:val="22"/>
          <w:szCs w:val="22"/>
          <w:highlight w:val="none"/>
        </w:rPr>
        <w:t>.2卖方应保证买方在中华人民共和国使用该系统产品或系统产品的任何一部分时，免受第三方提出的侵犯其专利权、商标权或工业设计权的索赔或起诉。</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1</w:t>
      </w:r>
      <w:r>
        <w:rPr>
          <w:rFonts w:ascii="新宋体" w:hAnsi="新宋体" w:eastAsia="新宋体" w:cs="宋体"/>
          <w:color w:val="auto"/>
          <w:kern w:val="0"/>
          <w:sz w:val="22"/>
          <w:szCs w:val="22"/>
          <w:highlight w:val="none"/>
        </w:rPr>
        <w:t>.3如果买方在使用该货物或货物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1</w:t>
      </w:r>
      <w:r>
        <w:rPr>
          <w:rFonts w:ascii="新宋体" w:hAnsi="新宋体" w:eastAsia="新宋体" w:cs="宋体"/>
          <w:color w:val="auto"/>
          <w:kern w:val="0"/>
          <w:sz w:val="22"/>
          <w:szCs w:val="22"/>
          <w:highlight w:val="none"/>
        </w:rPr>
        <w:t>.4如果买方发现任何第三方在未被买方许可的范围内非法使用买方获得的知识产权，买方应立即通知卖方。卖方应在收到买方通知后</w:t>
      </w:r>
      <w:r>
        <w:rPr>
          <w:rFonts w:hint="eastAsia" w:ascii="新宋体" w:hAnsi="新宋体" w:eastAsia="新宋体" w:cs="宋体"/>
          <w:color w:val="auto"/>
          <w:kern w:val="0"/>
          <w:sz w:val="22"/>
          <w:szCs w:val="22"/>
          <w:highlight w:val="none"/>
        </w:rPr>
        <w:t>第一时间</w:t>
      </w:r>
      <w:r>
        <w:rPr>
          <w:rFonts w:ascii="新宋体" w:hAnsi="新宋体" w:eastAsia="新宋体" w:cs="宋体"/>
          <w:color w:val="auto"/>
          <w:kern w:val="0"/>
          <w:sz w:val="22"/>
          <w:szCs w:val="22"/>
          <w:highlight w:val="none"/>
        </w:rPr>
        <w:t>采取适当行动以制止非法使用行为；否则，如果买方要求，卖方应授权买方根据中国法律规定对该第三方提起诉讼，并给买方尽可能的协助。买方应负担诉讼中发生的全部费用，并有权获得判决给付的全部赔偿。如果有卖方的责任，由卖方承担相应的责任。</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12、项目保密</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2</w:t>
      </w: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买方向卖方提供的所有资料，仅供本项目小组人员参考使用，卖方须严守资料中所涉秘密、妥善保管，不得遗失、转借、复印。</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12.2卖方发现买方的保密事项已经泄露或可能泄露时，应当立即采取补救措施，并及时报告买方。</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12.3本项目完成后15天内，买方有权向卖方索回部分或全部资料。卖方应根据买方要求，如数退还。</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12.4卖方负责对项目相关人员组织进行保密教育，并在接受和退还涉密内容的资料时建立登记制度。</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12.5因卖方原因造成的泄失密事件，卖方须承担有关法律责任，并赔偿相应经济损失。</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1</w:t>
      </w:r>
      <w:r>
        <w:rPr>
          <w:rFonts w:hint="eastAsia" w:ascii="新宋体" w:hAnsi="新宋体" w:eastAsia="新宋体" w:cs="宋体"/>
          <w:color w:val="auto"/>
          <w:kern w:val="0"/>
          <w:sz w:val="22"/>
          <w:szCs w:val="22"/>
          <w:highlight w:val="none"/>
        </w:rPr>
        <w:t>2</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6</w:t>
      </w:r>
      <w:r>
        <w:rPr>
          <w:rFonts w:ascii="新宋体" w:hAnsi="新宋体" w:eastAsia="新宋体" w:cs="宋体"/>
          <w:color w:val="auto"/>
          <w:kern w:val="0"/>
          <w:sz w:val="22"/>
          <w:szCs w:val="22"/>
          <w:highlight w:val="none"/>
        </w:rPr>
        <w:t>本项目所有文档及本项目所接触的双方资料，未经对方授权代表书面许可，不得向与合同无关的其他方泄漏任何文件或与合同有关的数据，包括合同本身。</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黑体"/>
          <w:color w:val="auto"/>
          <w:kern w:val="0"/>
          <w:sz w:val="22"/>
          <w:szCs w:val="22"/>
          <w:highlight w:val="none"/>
        </w:rPr>
        <w:t>13、</w:t>
      </w:r>
      <w:r>
        <w:rPr>
          <w:rFonts w:hint="eastAsia" w:ascii="新宋体" w:hAnsi="新宋体" w:eastAsia="新宋体" w:cs="宋体"/>
          <w:color w:val="auto"/>
          <w:kern w:val="0"/>
          <w:sz w:val="22"/>
          <w:szCs w:val="22"/>
          <w:highlight w:val="none"/>
        </w:rPr>
        <w:t>仲裁</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13.1合同的实施或与合同有关的一切争端应通过双方友好协商解决。如果友好协商开始60天后还不能解决，任何一方都可依法向项目合同签署地提交仲裁委员会或人民法院解决。</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13.2仲裁费除仲裁机关另有裁决外均由败诉方负担。</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13.3在仲裁期间，除正在进行仲裁的部分以外，双方应继续执行合同的其余部分。</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13.4本合同适用中华人民共和国法律。</w:t>
      </w:r>
    </w:p>
    <w:p>
      <w:pPr>
        <w:spacing w:line="460" w:lineRule="exact"/>
        <w:ind w:firstLine="539" w:firstLineChars="245"/>
        <w:rPr>
          <w:rFonts w:hint="eastAsia" w:ascii="新宋体" w:hAnsi="新宋体" w:eastAsia="新宋体" w:cs="黑体"/>
          <w:color w:val="auto"/>
          <w:kern w:val="0"/>
          <w:sz w:val="22"/>
          <w:szCs w:val="22"/>
          <w:highlight w:val="none"/>
        </w:rPr>
      </w:pPr>
      <w:r>
        <w:rPr>
          <w:rFonts w:hint="eastAsia" w:ascii="新宋体" w:hAnsi="新宋体" w:eastAsia="新宋体" w:cs="黑体"/>
          <w:color w:val="auto"/>
          <w:kern w:val="0"/>
          <w:sz w:val="22"/>
          <w:szCs w:val="22"/>
          <w:highlight w:val="none"/>
        </w:rPr>
        <w:t>14、项目合同附件清单</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附件</w:t>
      </w:r>
      <w:r>
        <w:rPr>
          <w:rFonts w:hint="eastAsia" w:ascii="新宋体" w:hAnsi="新宋体" w:eastAsia="新宋体" w:cs="宋体"/>
          <w:color w:val="auto"/>
          <w:kern w:val="0"/>
          <w:sz w:val="22"/>
          <w:szCs w:val="22"/>
          <w:highlight w:val="none"/>
        </w:rPr>
        <w:t>一</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软件功能要求</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附件二：招标文件（项目编号：       ）</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附件</w:t>
      </w:r>
      <w:r>
        <w:rPr>
          <w:rFonts w:hint="eastAsia" w:ascii="新宋体" w:hAnsi="新宋体" w:eastAsia="新宋体" w:cs="宋体"/>
          <w:color w:val="auto"/>
          <w:kern w:val="0"/>
          <w:sz w:val="22"/>
          <w:szCs w:val="22"/>
          <w:highlight w:val="none"/>
        </w:rPr>
        <w:t>三</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卖方投标文件（项目编号：      ）</w:t>
      </w:r>
    </w:p>
    <w:p>
      <w:pPr>
        <w:spacing w:line="460" w:lineRule="exact"/>
        <w:ind w:firstLine="539" w:firstLineChars="245"/>
        <w:rPr>
          <w:rFonts w:hint="eastAsia" w:ascii="新宋体" w:hAnsi="新宋体" w:eastAsia="新宋体" w:cs="宋体"/>
          <w:color w:val="auto"/>
          <w:kern w:val="0"/>
          <w:sz w:val="22"/>
          <w:szCs w:val="22"/>
          <w:highlight w:val="none"/>
        </w:rPr>
      </w:pPr>
      <w:r>
        <w:rPr>
          <w:rFonts w:ascii="新宋体" w:hAnsi="新宋体" w:eastAsia="新宋体" w:cs="宋体"/>
          <w:color w:val="auto"/>
          <w:kern w:val="0"/>
          <w:sz w:val="22"/>
          <w:szCs w:val="22"/>
          <w:highlight w:val="none"/>
        </w:rPr>
        <w:t>附件</w:t>
      </w:r>
      <w:r>
        <w:rPr>
          <w:rFonts w:hint="eastAsia" w:ascii="新宋体" w:hAnsi="新宋体" w:eastAsia="新宋体" w:cs="宋体"/>
          <w:color w:val="auto"/>
          <w:kern w:val="0"/>
          <w:sz w:val="22"/>
          <w:szCs w:val="22"/>
          <w:highlight w:val="none"/>
        </w:rPr>
        <w:t>四</w:t>
      </w:r>
      <w:r>
        <w:rPr>
          <w:rFonts w:ascii="新宋体" w:hAnsi="新宋体" w:eastAsia="新宋体" w:cs="宋体"/>
          <w:color w:val="auto"/>
          <w:kern w:val="0"/>
          <w:sz w:val="22"/>
          <w:szCs w:val="22"/>
          <w:highlight w:val="none"/>
        </w:rPr>
        <w:t>：</w:t>
      </w:r>
      <w:r>
        <w:rPr>
          <w:rFonts w:hint="eastAsia" w:ascii="新宋体" w:hAnsi="新宋体" w:eastAsia="新宋体" w:cs="宋体"/>
          <w:color w:val="auto"/>
          <w:kern w:val="0"/>
          <w:sz w:val="22"/>
          <w:szCs w:val="22"/>
          <w:highlight w:val="none"/>
        </w:rPr>
        <w:t>其他</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15、项目合同生效及其它</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15.1合同应在双方签字盖章并在买方收到卖方提供的履约保证金后开始生效。</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15.2本合同一式柒份，双方各执叁份，合同附件及招标文件、卖方投标文件、成交通知书等是合同不可分割的一部分，具有同等法律效力。</w:t>
      </w:r>
      <w:r>
        <w:rPr>
          <w:rFonts w:hint="eastAsia" w:ascii="新宋体" w:hAnsi="新宋体" w:eastAsia="新宋体" w:cs="宋体"/>
          <w:b/>
          <w:bCs/>
          <w:color w:val="auto"/>
          <w:kern w:val="0"/>
          <w:sz w:val="22"/>
          <w:szCs w:val="22"/>
          <w:highlight w:val="none"/>
        </w:rPr>
        <w:t>壹份送招标代理公司备案。</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15.3如需修改或补充合同内容，经协商，双方应签署书面修改或补充协议，该协议将作为本合同的一个组成部分。</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15.4本合同终止日期为系统保修期的结束日期，到期后自行终止。</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 xml:space="preserve">15.5双方可就该软件系统 </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年免费维护期满后的维护与技术支持服务等内容另外签署服务合同。服务内容与合同规定的</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年期免费服务标准内容一致。</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16、项目合同签章</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买方：浙江省温州市中级人民法院                        卖方：</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法定（委托）代表人（签字）：              法定（委托）代表人（签字）：</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项目联系人：                              项目联系人：</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通信地址：                                通信地址：</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电话：                                    电话：</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传真：                                    传真：</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签字日期：     年   月   日               签字日期：   年   月   日</w:t>
      </w:r>
    </w:p>
    <w:p>
      <w:pPr>
        <w:pStyle w:val="2"/>
        <w:rPr>
          <w:rFonts w:hint="eastAsia" w:ascii="新宋体" w:hAnsi="新宋体" w:eastAsia="新宋体" w:cs="宋体"/>
          <w:color w:val="auto"/>
          <w:kern w:val="0"/>
          <w:sz w:val="22"/>
          <w:szCs w:val="22"/>
          <w:highlight w:val="none"/>
        </w:rPr>
      </w:pPr>
    </w:p>
    <w:p>
      <w:pPr>
        <w:rPr>
          <w:rFonts w:hint="eastAsia" w:ascii="新宋体" w:hAnsi="新宋体" w:eastAsia="新宋体" w:cs="宋体"/>
          <w:color w:val="auto"/>
          <w:kern w:val="0"/>
          <w:sz w:val="22"/>
          <w:szCs w:val="22"/>
          <w:highlight w:val="none"/>
        </w:rPr>
      </w:pPr>
    </w:p>
    <w:p>
      <w:pPr>
        <w:pStyle w:val="2"/>
        <w:rPr>
          <w:rFonts w:hint="eastAsia"/>
          <w:color w:val="auto"/>
          <w:highlight w:val="none"/>
        </w:rPr>
      </w:pPr>
    </w:p>
    <w:p>
      <w:pPr>
        <w:spacing w:line="460" w:lineRule="exact"/>
        <w:ind w:firstLine="539" w:firstLineChars="245"/>
        <w:rPr>
          <w:rFonts w:hint="eastAsia" w:ascii="新宋体" w:hAnsi="新宋体" w:eastAsia="新宋体" w:cs="新宋体"/>
          <w:bCs/>
          <w:color w:val="auto"/>
          <w:sz w:val="22"/>
          <w:szCs w:val="22"/>
          <w:highlight w:val="none"/>
        </w:rPr>
      </w:pPr>
    </w:p>
    <w:p>
      <w:pPr>
        <w:spacing w:line="500" w:lineRule="exact"/>
        <w:jc w:val="center"/>
        <w:outlineLvl w:val="0"/>
        <w:rPr>
          <w:rFonts w:hint="eastAsia" w:ascii="新宋体" w:hAnsi="新宋体" w:eastAsia="新宋体"/>
          <w:b/>
          <w:bCs/>
          <w:color w:val="auto"/>
          <w:sz w:val="32"/>
          <w:szCs w:val="32"/>
          <w:highlight w:val="none"/>
        </w:rPr>
      </w:pPr>
      <w:r>
        <w:rPr>
          <w:rFonts w:hint="eastAsia" w:ascii="新宋体" w:hAnsi="新宋体" w:eastAsia="新宋体"/>
          <w:b/>
          <w:bCs/>
          <w:color w:val="auto"/>
          <w:sz w:val="32"/>
          <w:szCs w:val="32"/>
          <w:highlight w:val="none"/>
        </w:rPr>
        <w:t>第三部分    合同格式</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浙江省温州市中级人民法院采购的</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（项目编号、项目名称）在国内公开招标，经评标委员会决标</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为中标人。买、卖双方同意按照下面条款和条件，签署本合同。</w:t>
      </w:r>
    </w:p>
    <w:p>
      <w:pPr>
        <w:spacing w:line="45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1、合同文件</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下列文件构成本合同的组成部分：</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(1) 合同主要条款                </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 中标通知书</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(3) 投标分项报价表               </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(4) 偏离表           </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 招标内容及要求</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(6) 合同补充条款或说明（如有的话）     </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 履约保证金</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(8) 承诺书      （含询标记录和优惠条件）       </w:t>
      </w:r>
    </w:p>
    <w:p>
      <w:pPr>
        <w:spacing w:line="45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2、合同范围和条件</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本合同范围和条件应与上述合同文件规定的内容相一致。</w:t>
      </w:r>
    </w:p>
    <w:p>
      <w:pPr>
        <w:spacing w:line="45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3、服务和期限</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本合同提供的服务及期限（详见招标内容及要求）。</w:t>
      </w:r>
    </w:p>
    <w:p>
      <w:pPr>
        <w:spacing w:line="45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4、合同总价</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本合同总价为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人民币，（分项价格详见投标分项报价表）。</w:t>
      </w:r>
    </w:p>
    <w:p>
      <w:pPr>
        <w:spacing w:line="45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5、付款方式</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本合同的付款方式在合同主要条款中已规定。</w:t>
      </w:r>
    </w:p>
    <w:p>
      <w:pPr>
        <w:spacing w:line="45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6、交货时间及地点。</w:t>
      </w:r>
    </w:p>
    <w:p>
      <w:pPr>
        <w:spacing w:line="45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rPr>
        <w:t>7、合同生效</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本合同经双方授权代表签署，买卖双方加盖印章后生效。</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买方：（印章）                        卖方：（印章）</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全权代表:（签字）                    全权代表:（签字）</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地址：                               地址：</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邮政编码：                           邮政编码：</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电话：                               电话：</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传真：                               传真：</w:t>
      </w:r>
    </w:p>
    <w:p>
      <w:pPr>
        <w:spacing w:line="45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帐号：                               帐号：</w:t>
      </w:r>
    </w:p>
    <w:p>
      <w:pPr>
        <w:tabs>
          <w:tab w:val="left" w:pos="360"/>
        </w:tabs>
        <w:spacing w:line="460" w:lineRule="exact"/>
        <w:ind w:firstLine="550" w:firstLineChars="250"/>
        <w:rPr>
          <w:rFonts w:hint="eastAsia" w:ascii="新宋体" w:hAnsi="新宋体" w:eastAsia="新宋体"/>
          <w:bCs/>
          <w:color w:val="auto"/>
          <w:sz w:val="22"/>
          <w:szCs w:val="22"/>
          <w:highlight w:val="none"/>
          <w:lang w:val="en-GB"/>
        </w:rPr>
      </w:pPr>
      <w:r>
        <w:rPr>
          <w:rFonts w:hint="eastAsia" w:ascii="新宋体" w:hAnsi="新宋体" w:eastAsia="新宋体"/>
          <w:color w:val="auto"/>
          <w:sz w:val="22"/>
          <w:szCs w:val="22"/>
          <w:highlight w:val="none"/>
        </w:rPr>
        <w:t>日期：                               日期</w:t>
      </w:r>
      <w:r>
        <w:rPr>
          <w:rFonts w:hint="eastAsia" w:ascii="新宋体" w:hAnsi="新宋体" w:eastAsia="新宋体"/>
          <w:bCs/>
          <w:color w:val="auto"/>
          <w:sz w:val="22"/>
          <w:szCs w:val="22"/>
          <w:highlight w:val="none"/>
          <w:lang w:val="en-GB"/>
        </w:rPr>
        <w:t>：</w:t>
      </w:r>
    </w:p>
    <w:p>
      <w:pPr>
        <w:pStyle w:val="22"/>
        <w:spacing w:line="460" w:lineRule="exact"/>
        <w:ind w:left="433" w:leftChars="206" w:firstLine="0" w:firstLineChars="0"/>
        <w:jc w:val="center"/>
        <w:outlineLvl w:val="0"/>
        <w:rPr>
          <w:rFonts w:hint="eastAsia" w:ascii="新宋体" w:hAnsi="新宋体" w:eastAsia="新宋体"/>
          <w:b/>
          <w:color w:val="auto"/>
          <w:sz w:val="30"/>
          <w:highlight w:val="none"/>
        </w:rPr>
      </w:pPr>
      <w:r>
        <w:rPr>
          <w:rFonts w:hint="eastAsia" w:ascii="新宋体" w:hAnsi="新宋体" w:eastAsia="新宋体"/>
          <w:b/>
          <w:color w:val="auto"/>
          <w:sz w:val="30"/>
          <w:highlight w:val="none"/>
        </w:rPr>
        <w:t>第四部分    附件</w:t>
      </w:r>
    </w:p>
    <w:p>
      <w:pPr>
        <w:spacing w:line="460" w:lineRule="exact"/>
        <w:ind w:firstLine="539" w:firstLineChars="245"/>
        <w:rPr>
          <w:rFonts w:hint="eastAsia" w:ascii="新宋体" w:hAnsi="新宋体" w:eastAsia="新宋体"/>
          <w:color w:val="auto"/>
          <w:sz w:val="22"/>
          <w:szCs w:val="22"/>
          <w:highlight w:val="none"/>
        </w:rPr>
      </w:pP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附件一</w:t>
      </w:r>
    </w:p>
    <w:p>
      <w:pPr>
        <w:spacing w:line="400" w:lineRule="exact"/>
        <w:jc w:val="center"/>
        <w:outlineLvl w:val="2"/>
        <w:rPr>
          <w:rFonts w:hint="eastAsia" w:ascii="新宋体" w:hAnsi="新宋体" w:eastAsia="新宋体"/>
          <w:b/>
          <w:bCs/>
          <w:color w:val="auto"/>
          <w:sz w:val="28"/>
          <w:szCs w:val="28"/>
          <w:highlight w:val="none"/>
          <w:lang w:val="zh-CN"/>
        </w:rPr>
      </w:pPr>
      <w:r>
        <w:rPr>
          <w:rFonts w:hint="eastAsia" w:ascii="新宋体" w:hAnsi="新宋体" w:eastAsia="新宋体"/>
          <w:b/>
          <w:bCs/>
          <w:color w:val="auto"/>
          <w:sz w:val="28"/>
          <w:szCs w:val="28"/>
          <w:highlight w:val="none"/>
          <w:lang w:val="zh-CN"/>
        </w:rPr>
        <w:t>投标函</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致：浙江省温州市中级人民法院</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根据贵方为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项目（招标编号：</w:t>
      </w:r>
      <w:r>
        <w:rPr>
          <w:rFonts w:hint="eastAsia" w:ascii="新宋体" w:hAnsi="新宋体" w:eastAsia="新宋体"/>
          <w:b/>
          <w:color w:val="auto"/>
          <w:sz w:val="22"/>
          <w:szCs w:val="22"/>
          <w:highlight w:val="none"/>
          <w:u w:val="single"/>
        </w:rPr>
        <w:t xml:space="preserve">        </w:t>
      </w:r>
      <w:r>
        <w:rPr>
          <w:rFonts w:hint="eastAsia" w:ascii="新宋体" w:hAnsi="新宋体" w:eastAsia="新宋体"/>
          <w:b/>
          <w:color w:val="auto"/>
          <w:sz w:val="22"/>
          <w:szCs w:val="22"/>
          <w:highlight w:val="none"/>
        </w:rPr>
        <w:t xml:space="preserve"> </w:t>
      </w:r>
      <w:r>
        <w:rPr>
          <w:rFonts w:hint="eastAsia" w:ascii="新宋体" w:hAnsi="新宋体" w:eastAsia="新宋体"/>
          <w:color w:val="auto"/>
          <w:sz w:val="22"/>
          <w:szCs w:val="22"/>
          <w:highlight w:val="none"/>
        </w:rPr>
        <w:t>）的投标邀请，我方</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（投标人名称）作为投标人正式授权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（授权代表全名，职务）代表我方处理有关本投标的一切事宜。</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在此提交的投标文件中，包括如下内容，并已分别单独密封装袋：</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（—）按“投标人须知”要求编制的投标文件技术标【正本一份，副本五份】；</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（二）按“投标人须知”要求编制的投标文件商务标【正本一份，副本五份】</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我方己完全明白招标文件的所有条款要求，并重申以下几点：</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（一）本投标文件的有效期自投标截止日起</w:t>
      </w:r>
      <w:r>
        <w:rPr>
          <w:rFonts w:hint="eastAsia" w:ascii="新宋体" w:hAnsi="新宋体" w:eastAsia="新宋体"/>
          <w:b/>
          <w:color w:val="auto"/>
          <w:sz w:val="22"/>
          <w:szCs w:val="22"/>
          <w:highlight w:val="none"/>
        </w:rPr>
        <w:t>120天内</w:t>
      </w:r>
      <w:r>
        <w:rPr>
          <w:rFonts w:hint="eastAsia" w:ascii="新宋体" w:hAnsi="新宋体" w:eastAsia="新宋体"/>
          <w:color w:val="auto"/>
          <w:sz w:val="22"/>
          <w:szCs w:val="22"/>
          <w:highlight w:val="none"/>
        </w:rPr>
        <w:t>有效，如中标，有效期将延至合同终止日为止；</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（二）我方已详细研究了招标文件的所有内容包括修改书（如有）和所有已提供的参考资料以及有关附件，我方完全理解并同意放弃在此方面提出含糊意见或误解的一切权力；</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（三）我方同意提供按照贵方可能要求的与投标有关的一切数据或资料；</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（四）我方理解贵方不一定接受最低报价。</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（五）我方如果中标，将保证履行招标文件以及招标文件修改书（如有）中的全部责任和义务，按质、按量、按期完成《合同书》中的全部任务。</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（六）所有与本投标有关的函件请发往下列地址：</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地址</w:t>
      </w:r>
      <w:r>
        <w:rPr>
          <w:rFonts w:hint="eastAsia" w:ascii="新宋体" w:hAnsi="新宋体" w:eastAsia="新宋体"/>
          <w:color w:val="auto"/>
          <w:sz w:val="22"/>
          <w:szCs w:val="22"/>
          <w:highlight w:val="none"/>
          <w:u w:val="single"/>
        </w:rPr>
        <w:t xml:space="preserve">                           </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电话</w:t>
      </w:r>
      <w:r>
        <w:rPr>
          <w:rFonts w:hint="eastAsia" w:ascii="新宋体" w:hAnsi="新宋体" w:eastAsia="新宋体"/>
          <w:color w:val="auto"/>
          <w:sz w:val="22"/>
          <w:szCs w:val="22"/>
          <w:highlight w:val="none"/>
          <w:u w:val="single"/>
        </w:rPr>
        <w:t xml:space="preserve">                           </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传真</w:t>
      </w:r>
      <w:r>
        <w:rPr>
          <w:rFonts w:hint="eastAsia" w:ascii="新宋体" w:hAnsi="新宋体" w:eastAsia="新宋体"/>
          <w:color w:val="auto"/>
          <w:sz w:val="22"/>
          <w:szCs w:val="22"/>
          <w:highlight w:val="none"/>
          <w:u w:val="single"/>
        </w:rPr>
        <w:t xml:space="preserve">                           </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电子邮件</w:t>
      </w:r>
      <w:r>
        <w:rPr>
          <w:rFonts w:hint="eastAsia" w:ascii="新宋体" w:hAnsi="新宋体" w:eastAsia="新宋体"/>
          <w:color w:val="auto"/>
          <w:sz w:val="22"/>
          <w:szCs w:val="22"/>
          <w:highlight w:val="none"/>
          <w:u w:val="single"/>
        </w:rPr>
        <w:t xml:space="preserve">                       </w:t>
      </w:r>
    </w:p>
    <w:p>
      <w:pPr>
        <w:spacing w:line="420" w:lineRule="exact"/>
        <w:ind w:firstLine="435"/>
        <w:rPr>
          <w:rFonts w:hint="eastAsia" w:ascii="新宋体" w:hAnsi="新宋体" w:eastAsia="新宋体"/>
          <w:color w:val="auto"/>
          <w:sz w:val="22"/>
          <w:szCs w:val="22"/>
          <w:highlight w:val="none"/>
        </w:rPr>
      </w:pPr>
    </w:p>
    <w:p>
      <w:pPr>
        <w:spacing w:line="420" w:lineRule="exact"/>
        <w:ind w:firstLine="43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投标人名称（公章）</w:t>
      </w:r>
      <w:r>
        <w:rPr>
          <w:rFonts w:hint="eastAsia" w:ascii="新宋体" w:hAnsi="新宋体" w:eastAsia="新宋体"/>
          <w:color w:val="auto"/>
          <w:sz w:val="22"/>
          <w:szCs w:val="22"/>
          <w:highlight w:val="none"/>
          <w:u w:val="single"/>
        </w:rPr>
        <w:t xml:space="preserve">                </w:t>
      </w:r>
    </w:p>
    <w:p>
      <w:pPr>
        <w:spacing w:line="420" w:lineRule="exact"/>
        <w:ind w:firstLine="43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投标人代表</w:t>
      </w:r>
      <w:r>
        <w:rPr>
          <w:rFonts w:hint="eastAsia" w:ascii="新宋体" w:hAnsi="新宋体" w:eastAsia="新宋体"/>
          <w:color w:val="auto"/>
          <w:sz w:val="22"/>
          <w:szCs w:val="22"/>
          <w:highlight w:val="none"/>
          <w:u w:val="single"/>
        </w:rPr>
        <w:t xml:space="preserve">                        </w:t>
      </w:r>
    </w:p>
    <w:p>
      <w:pPr>
        <w:spacing w:line="460" w:lineRule="exact"/>
        <w:ind w:firstLine="437"/>
        <w:jc w:val="left"/>
        <w:rPr>
          <w:rFonts w:hint="eastAsia" w:ascii="新宋体" w:hAnsi="新宋体" w:eastAsia="新宋体"/>
          <w:color w:val="auto"/>
          <w:sz w:val="22"/>
          <w:szCs w:val="22"/>
          <w:highlight w:val="none"/>
        </w:rPr>
        <w:sectPr>
          <w:footerReference r:id="rId6" w:type="first"/>
          <w:headerReference r:id="rId3" w:type="default"/>
          <w:footerReference r:id="rId4" w:type="default"/>
          <w:footerReference r:id="rId5" w:type="even"/>
          <w:pgSz w:w="11907" w:h="16840"/>
          <w:pgMar w:top="1134" w:right="1134" w:bottom="1134" w:left="1134" w:header="851" w:footer="992" w:gutter="0"/>
          <w:pgBorders w:offsetFrom="page">
            <w:top w:val="none" w:sz="0" w:space="0"/>
            <w:left w:val="none" w:sz="0" w:space="0"/>
            <w:bottom w:val="none" w:sz="0" w:space="0"/>
            <w:right w:val="none" w:sz="0" w:space="0"/>
          </w:pgBorders>
          <w:pgNumType w:start="0"/>
          <w:cols w:space="720" w:num="1"/>
          <w:titlePg/>
          <w:docGrid w:linePitch="312" w:charSpace="0"/>
        </w:sectPr>
      </w:pPr>
      <w:r>
        <w:rPr>
          <w:rFonts w:hint="eastAsia" w:ascii="新宋体" w:hAnsi="新宋体" w:eastAsia="新宋体"/>
          <w:color w:val="auto"/>
          <w:sz w:val="22"/>
          <w:szCs w:val="22"/>
          <w:highlight w:val="none"/>
        </w:rPr>
        <w:t xml:space="preserve">                                   日  期</w:t>
      </w:r>
      <w:r>
        <w:rPr>
          <w:rFonts w:hint="eastAsia" w:ascii="新宋体" w:hAnsi="新宋体" w:eastAsia="新宋体"/>
          <w:color w:val="auto"/>
          <w:sz w:val="22"/>
          <w:szCs w:val="22"/>
          <w:highlight w:val="none"/>
          <w:u w:val="single"/>
        </w:rPr>
        <w:t xml:space="preserve">                               </w:t>
      </w: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附件二</w:t>
      </w: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color w:val="auto"/>
          <w:sz w:val="22"/>
          <w:highlight w:val="none"/>
        </w:rPr>
        <w:t xml:space="preserve"> </w:t>
      </w:r>
      <w:r>
        <w:rPr>
          <w:rFonts w:hint="eastAsia" w:ascii="新宋体" w:hAnsi="新宋体" w:eastAsia="新宋体"/>
          <w:b/>
          <w:bCs/>
          <w:color w:val="auto"/>
          <w:sz w:val="22"/>
          <w:szCs w:val="22"/>
          <w:highlight w:val="none"/>
        </w:rPr>
        <w:t xml:space="preserve"> </w:t>
      </w:r>
    </w:p>
    <w:p>
      <w:pPr>
        <w:spacing w:line="400" w:lineRule="exact"/>
        <w:jc w:val="center"/>
        <w:outlineLvl w:val="2"/>
        <w:rPr>
          <w:rFonts w:hint="eastAsia" w:ascii="新宋体" w:hAnsi="新宋体" w:eastAsia="新宋体"/>
          <w:b/>
          <w:bCs/>
          <w:color w:val="auto"/>
          <w:sz w:val="28"/>
          <w:szCs w:val="28"/>
          <w:highlight w:val="none"/>
          <w:lang w:val="zh-CN"/>
        </w:rPr>
      </w:pPr>
      <w:r>
        <w:rPr>
          <w:rFonts w:hint="eastAsia" w:ascii="新宋体" w:hAnsi="新宋体" w:eastAsia="新宋体"/>
          <w:b/>
          <w:bCs/>
          <w:color w:val="auto"/>
          <w:sz w:val="28"/>
          <w:szCs w:val="28"/>
          <w:highlight w:val="none"/>
          <w:lang w:val="zh-CN"/>
        </w:rPr>
        <w:t>投标报价一览表</w:t>
      </w:r>
    </w:p>
    <w:p>
      <w:pPr>
        <w:spacing w:line="380" w:lineRule="exact"/>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 xml:space="preserve"> </w:t>
      </w:r>
    </w:p>
    <w:p>
      <w:pPr>
        <w:spacing w:line="380" w:lineRule="exact"/>
        <w:ind w:firstLine="221" w:firstLineChars="10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项目名称：                                        项目编号：</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07"/>
        <w:gridCol w:w="3516"/>
        <w:gridCol w:w="1360"/>
        <w:gridCol w:w="121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jc w:val="center"/>
        </w:trPr>
        <w:tc>
          <w:tcPr>
            <w:tcW w:w="779" w:type="dxa"/>
            <w:noWrap w:val="0"/>
            <w:vAlign w:val="center"/>
          </w:tcPr>
          <w:p>
            <w:pPr>
              <w:spacing w:line="380" w:lineRule="exact"/>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序号</w:t>
            </w:r>
          </w:p>
        </w:tc>
        <w:tc>
          <w:tcPr>
            <w:tcW w:w="1607" w:type="dxa"/>
            <w:noWrap w:val="0"/>
            <w:vAlign w:val="center"/>
          </w:tcPr>
          <w:p>
            <w:pPr>
              <w:spacing w:line="380" w:lineRule="exact"/>
              <w:jc w:val="center"/>
              <w:rPr>
                <w:rFonts w:ascii="新宋体" w:eastAsia="新宋体"/>
                <w:bCs/>
                <w:color w:val="auto"/>
                <w:sz w:val="22"/>
                <w:szCs w:val="22"/>
                <w:highlight w:val="none"/>
              </w:rPr>
            </w:pPr>
            <w:r>
              <w:rPr>
                <w:rFonts w:hint="eastAsia" w:ascii="新宋体" w:eastAsia="新宋体"/>
                <w:bCs/>
                <w:color w:val="auto"/>
                <w:sz w:val="22"/>
                <w:szCs w:val="22"/>
                <w:highlight w:val="none"/>
              </w:rPr>
              <w:t>系统名称</w:t>
            </w:r>
          </w:p>
        </w:tc>
        <w:tc>
          <w:tcPr>
            <w:tcW w:w="3516" w:type="dxa"/>
            <w:noWrap w:val="0"/>
            <w:vAlign w:val="center"/>
          </w:tcPr>
          <w:p>
            <w:pPr>
              <w:spacing w:line="380" w:lineRule="exact"/>
              <w:ind w:left="-422" w:leftChars="-201" w:firstLine="968" w:firstLineChars="440"/>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投标报价</w:t>
            </w:r>
          </w:p>
        </w:tc>
        <w:tc>
          <w:tcPr>
            <w:tcW w:w="1360" w:type="dxa"/>
            <w:noWrap w:val="0"/>
            <w:vAlign w:val="center"/>
          </w:tcPr>
          <w:p>
            <w:pPr>
              <w:spacing w:line="380" w:lineRule="exact"/>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交付期限</w:t>
            </w:r>
          </w:p>
        </w:tc>
        <w:tc>
          <w:tcPr>
            <w:tcW w:w="1213" w:type="dxa"/>
            <w:noWrap w:val="0"/>
            <w:vAlign w:val="center"/>
          </w:tcPr>
          <w:p>
            <w:pPr>
              <w:spacing w:line="380" w:lineRule="exact"/>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交付地点</w:t>
            </w:r>
          </w:p>
        </w:tc>
        <w:tc>
          <w:tcPr>
            <w:tcW w:w="1470" w:type="dxa"/>
            <w:noWrap w:val="0"/>
            <w:vAlign w:val="center"/>
          </w:tcPr>
          <w:p>
            <w:pPr>
              <w:spacing w:line="380" w:lineRule="exact"/>
              <w:jc w:val="center"/>
              <w:rPr>
                <w:rFonts w:hint="eastAsia" w:ascii="新宋体" w:eastAsia="新宋体"/>
                <w:bCs/>
                <w:color w:val="auto"/>
                <w:sz w:val="22"/>
                <w:szCs w:val="22"/>
                <w:highlight w:val="none"/>
              </w:rPr>
            </w:pPr>
            <w:r>
              <w:rPr>
                <w:rFonts w:hint="eastAsia" w:ascii="新宋体" w:eastAsia="新宋体"/>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41" w:hRule="atLeast"/>
          <w:jc w:val="center"/>
        </w:trPr>
        <w:tc>
          <w:tcPr>
            <w:tcW w:w="779" w:type="dxa"/>
            <w:vMerge w:val="restart"/>
            <w:noWrap w:val="0"/>
            <w:vAlign w:val="center"/>
          </w:tcPr>
          <w:p>
            <w:pPr>
              <w:spacing w:line="380" w:lineRule="exact"/>
              <w:jc w:val="center"/>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p>
        </w:tc>
        <w:tc>
          <w:tcPr>
            <w:tcW w:w="1607" w:type="dxa"/>
            <w:vMerge w:val="restart"/>
            <w:noWrap w:val="0"/>
            <w:vAlign w:val="top"/>
          </w:tcPr>
          <w:p>
            <w:pPr>
              <w:spacing w:line="380" w:lineRule="exact"/>
              <w:rPr>
                <w:rFonts w:hint="eastAsia" w:ascii="新宋体" w:hAnsi="新宋体" w:eastAsia="新宋体"/>
                <w:bCs/>
                <w:color w:val="auto"/>
                <w:sz w:val="22"/>
                <w:szCs w:val="22"/>
                <w:highlight w:val="none"/>
              </w:rPr>
            </w:pPr>
          </w:p>
        </w:tc>
        <w:tc>
          <w:tcPr>
            <w:tcW w:w="3516" w:type="dxa"/>
            <w:noWrap w:val="0"/>
            <w:vAlign w:val="top"/>
          </w:tcPr>
          <w:p>
            <w:pPr>
              <w:spacing w:line="380" w:lineRule="exact"/>
              <w:rPr>
                <w:rFonts w:hint="eastAsia" w:ascii="新宋体" w:eastAsia="新宋体"/>
                <w:bCs/>
                <w:color w:val="auto"/>
                <w:sz w:val="22"/>
                <w:szCs w:val="22"/>
                <w:highlight w:val="none"/>
              </w:rPr>
            </w:pPr>
            <w:r>
              <w:rPr>
                <w:rFonts w:hint="eastAsia" w:ascii="新宋体" w:eastAsia="新宋体"/>
                <w:bCs/>
                <w:color w:val="auto"/>
                <w:sz w:val="22"/>
                <w:szCs w:val="22"/>
                <w:highlight w:val="none"/>
              </w:rPr>
              <w:t>小写：</w:t>
            </w:r>
          </w:p>
        </w:tc>
        <w:tc>
          <w:tcPr>
            <w:tcW w:w="1360" w:type="dxa"/>
            <w:vMerge w:val="restart"/>
            <w:noWrap w:val="0"/>
            <w:vAlign w:val="top"/>
          </w:tcPr>
          <w:p>
            <w:pPr>
              <w:spacing w:line="380" w:lineRule="exact"/>
              <w:rPr>
                <w:rFonts w:hint="eastAsia" w:ascii="新宋体" w:eastAsia="新宋体"/>
                <w:bCs/>
                <w:color w:val="auto"/>
                <w:sz w:val="22"/>
                <w:szCs w:val="22"/>
                <w:highlight w:val="none"/>
              </w:rPr>
            </w:pPr>
          </w:p>
        </w:tc>
        <w:tc>
          <w:tcPr>
            <w:tcW w:w="1213" w:type="dxa"/>
            <w:vMerge w:val="restart"/>
            <w:noWrap w:val="0"/>
            <w:vAlign w:val="top"/>
          </w:tcPr>
          <w:p>
            <w:pPr>
              <w:spacing w:line="380" w:lineRule="exact"/>
              <w:rPr>
                <w:rFonts w:hint="eastAsia" w:ascii="新宋体" w:eastAsia="新宋体"/>
                <w:bCs/>
                <w:color w:val="auto"/>
                <w:sz w:val="22"/>
                <w:szCs w:val="22"/>
                <w:highlight w:val="none"/>
              </w:rPr>
            </w:pPr>
            <w:r>
              <w:rPr>
                <w:rFonts w:hint="eastAsia" w:ascii="新宋体" w:hAnsi="新宋体" w:eastAsia="新宋体"/>
                <w:color w:val="auto"/>
                <w:sz w:val="22"/>
                <w:szCs w:val="22"/>
                <w:highlight w:val="none"/>
              </w:rPr>
              <w:t xml:space="preserve"> </w:t>
            </w:r>
          </w:p>
        </w:tc>
        <w:tc>
          <w:tcPr>
            <w:tcW w:w="1470" w:type="dxa"/>
            <w:vMerge w:val="restart"/>
            <w:noWrap w:val="0"/>
            <w:vAlign w:val="top"/>
          </w:tcPr>
          <w:p>
            <w:pPr>
              <w:spacing w:line="380" w:lineRule="exact"/>
              <w:rPr>
                <w:rFonts w:hint="eastAsia" w:ascii="新宋体" w:eastAsia="新宋体"/>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42" w:hRule="atLeast"/>
          <w:jc w:val="center"/>
        </w:trPr>
        <w:tc>
          <w:tcPr>
            <w:tcW w:w="779" w:type="dxa"/>
            <w:vMerge w:val="continue"/>
            <w:noWrap w:val="0"/>
            <w:vAlign w:val="top"/>
          </w:tcPr>
          <w:p>
            <w:pPr>
              <w:spacing w:line="380" w:lineRule="exact"/>
              <w:rPr>
                <w:rFonts w:hint="eastAsia" w:ascii="新宋体" w:hAnsi="新宋体" w:eastAsia="新宋体"/>
                <w:bCs/>
                <w:color w:val="auto"/>
                <w:sz w:val="22"/>
                <w:szCs w:val="22"/>
                <w:highlight w:val="none"/>
              </w:rPr>
            </w:pPr>
          </w:p>
        </w:tc>
        <w:tc>
          <w:tcPr>
            <w:tcW w:w="1607" w:type="dxa"/>
            <w:vMerge w:val="continue"/>
            <w:noWrap w:val="0"/>
            <w:vAlign w:val="top"/>
          </w:tcPr>
          <w:p>
            <w:pPr>
              <w:spacing w:line="380" w:lineRule="exact"/>
              <w:rPr>
                <w:rFonts w:hint="eastAsia" w:ascii="新宋体" w:hAnsi="新宋体" w:eastAsia="新宋体"/>
                <w:bCs/>
                <w:color w:val="auto"/>
                <w:sz w:val="22"/>
                <w:szCs w:val="22"/>
                <w:highlight w:val="none"/>
              </w:rPr>
            </w:pPr>
          </w:p>
        </w:tc>
        <w:tc>
          <w:tcPr>
            <w:tcW w:w="3516" w:type="dxa"/>
            <w:noWrap w:val="0"/>
            <w:vAlign w:val="top"/>
          </w:tcPr>
          <w:p>
            <w:pPr>
              <w:spacing w:line="380" w:lineRule="exact"/>
              <w:rPr>
                <w:rFonts w:hint="eastAsia" w:ascii="新宋体" w:eastAsia="新宋体"/>
                <w:bCs/>
                <w:color w:val="auto"/>
                <w:sz w:val="22"/>
                <w:szCs w:val="22"/>
                <w:highlight w:val="none"/>
              </w:rPr>
            </w:pPr>
            <w:r>
              <w:rPr>
                <w:rFonts w:hint="eastAsia" w:ascii="新宋体" w:eastAsia="新宋体"/>
                <w:bCs/>
                <w:color w:val="auto"/>
                <w:sz w:val="22"/>
                <w:szCs w:val="22"/>
                <w:highlight w:val="none"/>
              </w:rPr>
              <w:t>大写：</w:t>
            </w:r>
          </w:p>
        </w:tc>
        <w:tc>
          <w:tcPr>
            <w:tcW w:w="1360" w:type="dxa"/>
            <w:vMerge w:val="continue"/>
            <w:noWrap w:val="0"/>
            <w:vAlign w:val="top"/>
          </w:tcPr>
          <w:p>
            <w:pPr>
              <w:spacing w:line="380" w:lineRule="exact"/>
              <w:rPr>
                <w:rFonts w:hint="eastAsia" w:ascii="新宋体" w:eastAsia="新宋体"/>
                <w:bCs/>
                <w:color w:val="auto"/>
                <w:sz w:val="22"/>
                <w:szCs w:val="22"/>
                <w:highlight w:val="none"/>
              </w:rPr>
            </w:pPr>
          </w:p>
        </w:tc>
        <w:tc>
          <w:tcPr>
            <w:tcW w:w="1213" w:type="dxa"/>
            <w:vMerge w:val="continue"/>
            <w:noWrap w:val="0"/>
            <w:vAlign w:val="top"/>
          </w:tcPr>
          <w:p>
            <w:pPr>
              <w:spacing w:line="380" w:lineRule="exact"/>
              <w:rPr>
                <w:rFonts w:hint="eastAsia" w:ascii="新宋体" w:hAnsi="新宋体" w:eastAsia="新宋体"/>
                <w:color w:val="auto"/>
                <w:sz w:val="22"/>
                <w:szCs w:val="22"/>
                <w:highlight w:val="none"/>
              </w:rPr>
            </w:pPr>
          </w:p>
        </w:tc>
        <w:tc>
          <w:tcPr>
            <w:tcW w:w="1470" w:type="dxa"/>
            <w:vMerge w:val="continue"/>
            <w:noWrap w:val="0"/>
            <w:vAlign w:val="top"/>
          </w:tcPr>
          <w:p>
            <w:pPr>
              <w:spacing w:line="380" w:lineRule="exact"/>
              <w:rPr>
                <w:rFonts w:hint="eastAsia" w:ascii="新宋体" w:eastAsia="新宋体"/>
                <w:bCs/>
                <w:color w:val="auto"/>
                <w:sz w:val="22"/>
                <w:szCs w:val="22"/>
                <w:highlight w:val="none"/>
              </w:rPr>
            </w:pPr>
          </w:p>
        </w:tc>
      </w:tr>
    </w:tbl>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说明：</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1、此栏投标报价应与附件三“分项报价表”中的总计价相一致。</w:t>
      </w:r>
    </w:p>
    <w:p>
      <w:pPr>
        <w:spacing w:line="380" w:lineRule="exact"/>
        <w:ind w:firstLine="663" w:firstLineChars="300"/>
        <w:rPr>
          <w:rFonts w:hint="eastAsia" w:ascii="新宋体" w:hAnsi="新宋体" w:eastAsia="新宋体"/>
          <w:color w:val="auto"/>
          <w:sz w:val="22"/>
          <w:szCs w:val="22"/>
          <w:highlight w:val="none"/>
        </w:rPr>
      </w:pPr>
      <w:r>
        <w:rPr>
          <w:rFonts w:hint="eastAsia" w:ascii="新宋体" w:hAnsi="新宋体" w:eastAsia="新宋体"/>
          <w:b/>
          <w:color w:val="auto"/>
          <w:sz w:val="22"/>
          <w:highlight w:val="none"/>
        </w:rPr>
        <w:t>2、投标报价是指统建系统部署及实施费用（3人驻场），含论证、设备安装、集成、调试、验收、招标代理、第三方测评等、培训、售后服务、利润、不可预见费、税金、劳动保险费、技术培训费等完成合同所需的一切本身和不可或缺的所有工作开支、政策性文件规定及合同包含的所有风险、责任等各项全部费用，供应商应根据上述因素自行考虑含入投标报价。</w:t>
      </w:r>
    </w:p>
    <w:p>
      <w:pPr>
        <w:spacing w:line="380" w:lineRule="exact"/>
        <w:rPr>
          <w:rFonts w:hint="eastAsia" w:ascii="新宋体" w:hAnsi="新宋体" w:eastAsia="新宋体"/>
          <w:color w:val="auto"/>
          <w:sz w:val="22"/>
          <w:szCs w:val="22"/>
          <w:highlight w:val="none"/>
        </w:rPr>
      </w:pPr>
    </w:p>
    <w:p>
      <w:pPr>
        <w:spacing w:line="380" w:lineRule="exact"/>
        <w:ind w:firstLine="5280" w:firstLineChars="24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5280" w:firstLineChars="24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5280" w:firstLineChars="2400"/>
        <w:rPr>
          <w:rFonts w:hint="eastAsia" w:ascii="新宋体" w:hAnsi="新宋体" w:eastAsia="新宋体"/>
          <w:color w:val="auto"/>
          <w:sz w:val="22"/>
          <w:szCs w:val="22"/>
          <w:highlight w:val="none"/>
        </w:rPr>
        <w:sectPr>
          <w:pgSz w:w="11905" w:h="16838"/>
          <w:pgMar w:top="1134" w:right="1134" w:bottom="1134" w:left="1134" w:header="851" w:footer="992" w:gutter="0"/>
          <w:pgBorders w:offsetFrom="page">
            <w:top w:val="none" w:sz="0" w:space="0"/>
            <w:left w:val="none" w:sz="0" w:space="0"/>
            <w:bottom w:val="none" w:sz="0" w:space="0"/>
            <w:right w:val="none" w:sz="0" w:space="0"/>
          </w:pgBorders>
          <w:cols w:space="720" w:num="1"/>
          <w:docGrid w:linePitch="312" w:charSpace="0"/>
        </w:sectPr>
      </w:pPr>
      <w:r>
        <w:rPr>
          <w:rFonts w:hint="eastAsia" w:ascii="新宋体" w:hAnsi="新宋体" w:eastAsia="新宋体"/>
          <w:color w:val="auto"/>
          <w:sz w:val="22"/>
          <w:szCs w:val="22"/>
          <w:highlight w:val="none"/>
        </w:rPr>
        <w:t xml:space="preserve">日   期：  </w:t>
      </w: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附件三</w:t>
      </w:r>
    </w:p>
    <w:p>
      <w:pPr>
        <w:spacing w:line="400" w:lineRule="exact"/>
        <w:jc w:val="center"/>
        <w:outlineLvl w:val="2"/>
        <w:rPr>
          <w:rFonts w:hint="eastAsia" w:ascii="新宋体" w:hAnsi="新宋体" w:eastAsia="新宋体"/>
          <w:b/>
          <w:bCs/>
          <w:color w:val="auto"/>
          <w:sz w:val="28"/>
          <w:szCs w:val="28"/>
          <w:highlight w:val="none"/>
          <w:lang w:val="zh-CN"/>
        </w:rPr>
      </w:pPr>
      <w:r>
        <w:rPr>
          <w:rFonts w:hint="eastAsia" w:ascii="新宋体" w:hAnsi="新宋体" w:eastAsia="新宋体"/>
          <w:b/>
          <w:bCs/>
          <w:color w:val="auto"/>
          <w:sz w:val="28"/>
          <w:szCs w:val="28"/>
          <w:highlight w:val="none"/>
          <w:lang w:val="zh-CN"/>
        </w:rPr>
        <w:t>投标分项报价表</w:t>
      </w:r>
    </w:p>
    <w:p>
      <w:pPr>
        <w:jc w:val="center"/>
        <w:rPr>
          <w:rFonts w:hint="eastAsia" w:ascii="新宋体" w:hAnsi="新宋体" w:eastAsia="新宋体"/>
          <w:b/>
          <w:color w:val="auto"/>
          <w:sz w:val="32"/>
          <w:szCs w:val="32"/>
          <w:highlight w:val="none"/>
        </w:rPr>
      </w:pPr>
      <w:r>
        <w:rPr>
          <w:rFonts w:hint="eastAsia" w:ascii="新宋体" w:hAnsi="新宋体" w:eastAsia="新宋体"/>
          <w:b/>
          <w:color w:val="auto"/>
          <w:sz w:val="32"/>
          <w:szCs w:val="32"/>
          <w:highlight w:val="none"/>
        </w:rPr>
        <w:t xml:space="preserve"> </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b/>
          <w:color w:val="auto"/>
          <w:sz w:val="22"/>
          <w:szCs w:val="22"/>
          <w:highlight w:val="none"/>
        </w:rPr>
        <w:t>项目名称：                                                   项目编号：</w:t>
      </w:r>
      <w:r>
        <w:rPr>
          <w:rFonts w:hint="eastAsia" w:ascii="新宋体" w:hAnsi="新宋体" w:eastAsia="新宋体"/>
          <w:color w:val="auto"/>
          <w:sz w:val="22"/>
          <w:szCs w:val="22"/>
          <w:highlight w:val="none"/>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140"/>
        <w:gridCol w:w="1350"/>
        <w:gridCol w:w="780"/>
        <w:gridCol w:w="1059"/>
        <w:gridCol w:w="87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9" w:hRule="exact"/>
        </w:trPr>
        <w:tc>
          <w:tcPr>
            <w:tcW w:w="66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p>
            <w:pPr>
              <w:spacing w:line="460" w:lineRule="exact"/>
              <w:jc w:val="center"/>
              <w:rPr>
                <w:rFonts w:hint="eastAsia" w:ascii="新宋体" w:hAnsi="新宋体" w:eastAsia="新宋体" w:cs="新宋体"/>
                <w:color w:val="auto"/>
                <w:sz w:val="22"/>
                <w:szCs w:val="22"/>
                <w:highlight w:val="none"/>
              </w:rPr>
            </w:pPr>
          </w:p>
        </w:tc>
        <w:tc>
          <w:tcPr>
            <w:tcW w:w="414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项目内容</w:t>
            </w:r>
          </w:p>
        </w:tc>
        <w:tc>
          <w:tcPr>
            <w:tcW w:w="135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系统名称</w:t>
            </w:r>
          </w:p>
        </w:tc>
        <w:tc>
          <w:tcPr>
            <w:tcW w:w="78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数量</w:t>
            </w:r>
          </w:p>
        </w:tc>
        <w:tc>
          <w:tcPr>
            <w:tcW w:w="1059"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单价 </w:t>
            </w: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合价 </w:t>
            </w:r>
          </w:p>
        </w:tc>
        <w:tc>
          <w:tcPr>
            <w:tcW w:w="84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34" w:hRule="atLeast"/>
        </w:trPr>
        <w:tc>
          <w:tcPr>
            <w:tcW w:w="66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4140"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olor w:val="auto"/>
                <w:sz w:val="22"/>
                <w:highlight w:val="none"/>
              </w:rPr>
              <w:t>系统（按系统清单逐项列出）</w:t>
            </w:r>
          </w:p>
        </w:tc>
        <w:tc>
          <w:tcPr>
            <w:tcW w:w="13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59"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4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7" w:hRule="atLeast"/>
        </w:trPr>
        <w:tc>
          <w:tcPr>
            <w:tcW w:w="66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4140"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配套系统（逐项列出）</w:t>
            </w:r>
          </w:p>
        </w:tc>
        <w:tc>
          <w:tcPr>
            <w:tcW w:w="135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78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059"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70" w:type="dxa"/>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840" w:type="dxa"/>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7" w:hRule="atLeast"/>
        </w:trPr>
        <w:tc>
          <w:tcPr>
            <w:tcW w:w="66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4140"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安装、测试和调试（含第三方检验费）</w:t>
            </w:r>
          </w:p>
        </w:tc>
        <w:tc>
          <w:tcPr>
            <w:tcW w:w="4899" w:type="dxa"/>
            <w:gridSpan w:val="5"/>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trPr>
        <w:tc>
          <w:tcPr>
            <w:tcW w:w="66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4140"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技术培训费、技术服务费 </w:t>
            </w:r>
          </w:p>
        </w:tc>
        <w:tc>
          <w:tcPr>
            <w:tcW w:w="4899" w:type="dxa"/>
            <w:gridSpan w:val="5"/>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7" w:hRule="atLeast"/>
        </w:trPr>
        <w:tc>
          <w:tcPr>
            <w:tcW w:w="66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4140"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税金</w:t>
            </w:r>
          </w:p>
        </w:tc>
        <w:tc>
          <w:tcPr>
            <w:tcW w:w="4899" w:type="dxa"/>
            <w:gridSpan w:val="5"/>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2" w:hRule="atLeast"/>
        </w:trPr>
        <w:tc>
          <w:tcPr>
            <w:tcW w:w="66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4140"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招标代理服务费</w:t>
            </w:r>
          </w:p>
        </w:tc>
        <w:tc>
          <w:tcPr>
            <w:tcW w:w="4899" w:type="dxa"/>
            <w:gridSpan w:val="5"/>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7" w:hRule="atLeast"/>
        </w:trPr>
        <w:tc>
          <w:tcPr>
            <w:tcW w:w="66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4140"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其他</w:t>
            </w:r>
          </w:p>
        </w:tc>
        <w:tc>
          <w:tcPr>
            <w:tcW w:w="4899" w:type="dxa"/>
            <w:gridSpan w:val="5"/>
            <w:noWrap w:val="0"/>
            <w:vAlign w:val="center"/>
          </w:tcPr>
          <w:p>
            <w:pPr>
              <w:spacing w:line="460" w:lineRule="exact"/>
              <w:jc w:val="center"/>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12" w:hRule="atLeast"/>
        </w:trPr>
        <w:tc>
          <w:tcPr>
            <w:tcW w:w="4800" w:type="dxa"/>
            <w:gridSpan w:val="2"/>
            <w:noWrap w:val="0"/>
            <w:vAlign w:val="top"/>
          </w:tcPr>
          <w:p>
            <w:pPr>
              <w:spacing w:line="460" w:lineRule="exact"/>
              <w:ind w:firstLine="1650" w:firstLineChars="75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总    计   价</w:t>
            </w:r>
          </w:p>
        </w:tc>
        <w:tc>
          <w:tcPr>
            <w:tcW w:w="4899" w:type="dxa"/>
            <w:gridSpan w:val="5"/>
            <w:noWrap w:val="0"/>
            <w:vAlign w:val="center"/>
          </w:tcPr>
          <w:p>
            <w:pPr>
              <w:spacing w:line="460" w:lineRule="exact"/>
              <w:jc w:val="center"/>
              <w:rPr>
                <w:rFonts w:hint="eastAsia" w:ascii="新宋体" w:hAnsi="新宋体" w:eastAsia="新宋体" w:cs="新宋体"/>
                <w:color w:val="auto"/>
                <w:sz w:val="22"/>
                <w:szCs w:val="22"/>
                <w:highlight w:val="none"/>
              </w:rPr>
            </w:pPr>
          </w:p>
        </w:tc>
      </w:tr>
    </w:tbl>
    <w:p>
      <w:pPr>
        <w:spacing w:line="460" w:lineRule="exact"/>
        <w:rPr>
          <w:rFonts w:ascii="新宋体" w:hAnsi="新宋体" w:eastAsia="新宋体"/>
          <w:b/>
          <w:bCs/>
          <w:color w:val="auto"/>
          <w:sz w:val="22"/>
          <w:szCs w:val="22"/>
          <w:highlight w:val="none"/>
        </w:rPr>
      </w:pPr>
      <w:r>
        <w:rPr>
          <w:rFonts w:hint="eastAsia" w:ascii="新宋体" w:hAnsi="新宋体" w:eastAsia="新宋体"/>
          <w:color w:val="auto"/>
          <w:sz w:val="22"/>
          <w:szCs w:val="22"/>
          <w:highlight w:val="none"/>
        </w:rPr>
        <w:t xml:space="preserve">                                        </w:t>
      </w:r>
    </w:p>
    <w:p>
      <w:pPr>
        <w:spacing w:line="460" w:lineRule="exact"/>
        <w:rPr>
          <w:rFonts w:hint="eastAsia" w:ascii="新宋体" w:hAnsi="新宋体" w:eastAsia="新宋体"/>
          <w:b/>
          <w:color w:val="auto"/>
          <w:sz w:val="22"/>
          <w:szCs w:val="22"/>
          <w:highlight w:val="none"/>
        </w:rPr>
      </w:pPr>
      <w:r>
        <w:rPr>
          <w:rFonts w:hint="eastAsia" w:ascii="新宋体" w:hAnsi="新宋体" w:eastAsia="新宋体"/>
          <w:b/>
          <w:bCs/>
          <w:color w:val="auto"/>
          <w:sz w:val="22"/>
          <w:szCs w:val="22"/>
          <w:highlight w:val="none"/>
        </w:rPr>
        <w:t>说明：</w:t>
      </w:r>
      <w:r>
        <w:rPr>
          <w:rFonts w:hint="eastAsia" w:ascii="新宋体" w:hAnsi="新宋体" w:eastAsia="新宋体"/>
          <w:b/>
          <w:color w:val="auto"/>
          <w:sz w:val="22"/>
          <w:szCs w:val="22"/>
          <w:highlight w:val="none"/>
        </w:rPr>
        <w:t>1、此表内合计总价应与附件二中“报价一览表”总报价相一致。</w:t>
      </w:r>
    </w:p>
    <w:p>
      <w:pPr>
        <w:spacing w:line="460" w:lineRule="exact"/>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2、不提供“分项报价表”的报价，视为没有实质性响应招标文件要求。</w:t>
      </w:r>
    </w:p>
    <w:p>
      <w:pPr>
        <w:spacing w:line="460" w:lineRule="exact"/>
        <w:ind w:left="325" w:hanging="325" w:hangingChars="147"/>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3、如果免费请在该备注栏内注明“免”，如果含在产品价格中则填“含”，如无此项内容则填“无”，不留空白。</w:t>
      </w:r>
    </w:p>
    <w:p>
      <w:pPr>
        <w:spacing w:line="380" w:lineRule="exact"/>
        <w:ind w:firstLine="72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投标人全称（盖章）：</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40" w:lineRule="exact"/>
        <w:rPr>
          <w:rFonts w:hint="eastAsia" w:ascii="新宋体" w:hAnsi="新宋体" w:eastAsia="新宋体"/>
          <w:b/>
          <w:bCs/>
          <w:color w:val="auto"/>
          <w:sz w:val="22"/>
          <w:szCs w:val="22"/>
          <w:highlight w:val="none"/>
        </w:rPr>
      </w:pP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附件四</w:t>
      </w:r>
    </w:p>
    <w:p>
      <w:pPr>
        <w:spacing w:line="460" w:lineRule="exact"/>
        <w:jc w:val="center"/>
        <w:outlineLvl w:val="2"/>
        <w:rPr>
          <w:rFonts w:hint="eastAsia" w:ascii="新宋体" w:hAnsi="新宋体" w:eastAsia="新宋体"/>
          <w:color w:val="auto"/>
          <w:sz w:val="28"/>
          <w:szCs w:val="28"/>
          <w:highlight w:val="none"/>
        </w:rPr>
      </w:pPr>
      <w:r>
        <w:rPr>
          <w:rFonts w:hint="eastAsia" w:ascii="新宋体" w:hAnsi="新宋体" w:eastAsia="新宋体"/>
          <w:b/>
          <w:bCs/>
          <w:color w:val="auto"/>
          <w:sz w:val="28"/>
          <w:szCs w:val="28"/>
          <w:highlight w:val="none"/>
          <w:lang w:val="zh-CN"/>
        </w:rPr>
        <w:t>资格证明文件</w:t>
      </w:r>
      <w:r>
        <w:rPr>
          <w:rFonts w:hint="eastAsia" w:ascii="新宋体" w:hAnsi="新宋体" w:eastAsia="新宋体"/>
          <w:color w:val="auto"/>
          <w:sz w:val="28"/>
          <w:szCs w:val="28"/>
          <w:highlight w:val="none"/>
        </w:rPr>
        <w:t xml:space="preserve"> </w:t>
      </w:r>
    </w:p>
    <w:p>
      <w:pPr>
        <w:spacing w:line="380" w:lineRule="exact"/>
        <w:jc w:val="center"/>
        <w:outlineLvl w:val="3"/>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（1）法定代表人 授权书</w:t>
      </w:r>
    </w:p>
    <w:p>
      <w:pPr>
        <w:spacing w:line="46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浙江省温州市中级人民法院：</w:t>
      </w:r>
    </w:p>
    <w:p>
      <w:pPr>
        <w:spacing w:line="460" w:lineRule="exact"/>
        <w:rPr>
          <w:rFonts w:hint="eastAsia" w:ascii="新宋体" w:hAnsi="新宋体" w:eastAsia="新宋体"/>
          <w:color w:val="auto"/>
          <w:sz w:val="22"/>
          <w:szCs w:val="22"/>
          <w:highlight w:val="none"/>
          <w:u w:val="single"/>
        </w:rPr>
      </w:pPr>
    </w:p>
    <w:p>
      <w:pPr>
        <w:spacing w:line="460" w:lineRule="exact"/>
        <w:ind w:firstLine="550" w:firstLine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（投标人全称）法定代表人 </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授权</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（全权代表姓名）为全权代表，参加贵处组织的（招标项目名称 </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、编号 </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 xml:space="preserve"> ）的招标活动，全权代表我方处理招标活动中的一切事宜。</w:t>
      </w:r>
    </w:p>
    <w:p>
      <w:pPr>
        <w:spacing w:line="460" w:lineRule="exact"/>
        <w:ind w:firstLine="2955"/>
        <w:rPr>
          <w:rFonts w:hint="eastAsia" w:ascii="新宋体" w:hAnsi="新宋体" w:eastAsia="新宋体"/>
          <w:color w:val="auto"/>
          <w:sz w:val="22"/>
          <w:szCs w:val="22"/>
          <w:highlight w:val="none"/>
        </w:rPr>
      </w:pPr>
    </w:p>
    <w:p>
      <w:pPr>
        <w:spacing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60" w:lineRule="exact"/>
        <w:ind w:firstLine="4081" w:firstLineChars="18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   (签字或盖章)：</w:t>
      </w:r>
    </w:p>
    <w:p>
      <w:pPr>
        <w:spacing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投标人全称（公章）：</w:t>
      </w:r>
    </w:p>
    <w:p>
      <w:pPr>
        <w:spacing w:line="460" w:lineRule="exact"/>
        <w:ind w:firstLine="295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日   期：  </w:t>
      </w: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460" w:lineRule="exact"/>
        <w:ind w:firstLine="541" w:firstLineChars="245"/>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附：</w:t>
      </w:r>
    </w:p>
    <w:p>
      <w:pPr>
        <w:spacing w:line="460" w:lineRule="exact"/>
        <w:ind w:firstLine="539" w:firstLineChars="245"/>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 xml:space="preserve">授权代表姓名：                               </w:t>
      </w:r>
    </w:p>
    <w:p>
      <w:pPr>
        <w:spacing w:line="460" w:lineRule="exact"/>
        <w:ind w:firstLine="539" w:firstLineChars="245"/>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职务：</w:t>
      </w:r>
    </w:p>
    <w:p>
      <w:pPr>
        <w:spacing w:line="460" w:lineRule="exact"/>
        <w:ind w:firstLine="539" w:firstLineChars="245"/>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详细通讯地址：</w:t>
      </w:r>
    </w:p>
    <w:p>
      <w:pPr>
        <w:spacing w:line="460" w:lineRule="exact"/>
        <w:ind w:firstLine="539" w:firstLineChars="245"/>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电话：</w:t>
      </w:r>
    </w:p>
    <w:p>
      <w:pPr>
        <w:spacing w:line="460" w:lineRule="exact"/>
        <w:ind w:firstLine="539" w:firstLineChars="245"/>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传真：</w:t>
      </w:r>
    </w:p>
    <w:p>
      <w:pPr>
        <w:spacing w:line="460" w:lineRule="exact"/>
        <w:ind w:firstLine="539" w:firstLineChars="245"/>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邮政编码:</w:t>
      </w:r>
    </w:p>
    <w:p>
      <w:pPr>
        <w:spacing w:line="380" w:lineRule="exact"/>
        <w:rPr>
          <w:rFonts w:hint="eastAsia" w:ascii="新宋体" w:hAnsi="新宋体" w:eastAsia="新宋体"/>
          <w:color w:val="auto"/>
          <w:sz w:val="22"/>
          <w:szCs w:val="22"/>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r>
        <w:rPr>
          <w:rFonts w:hint="eastAsia" w:ascii="新宋体" w:hAnsi="新宋体" w:eastAsia="新宋体"/>
          <w:color w:val="auto"/>
          <w:sz w:val="22"/>
          <w:szCs w:val="22"/>
          <w:highlight w:val="none"/>
          <w:lang w:val="zh-CN"/>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79375</wp:posOffset>
                </wp:positionV>
                <wp:extent cx="6254115" cy="3004185"/>
                <wp:effectExtent l="5080" t="4445" r="8255" b="20320"/>
                <wp:wrapNone/>
                <wp:docPr id="1" name="Text Box 2"/>
                <wp:cNvGraphicFramePr/>
                <a:graphic xmlns:a="http://schemas.openxmlformats.org/drawingml/2006/main">
                  <a:graphicData uri="http://schemas.microsoft.com/office/word/2010/wordprocessingShape">
                    <wps:wsp>
                      <wps:cNvSpPr txBox="1"/>
                      <wps:spPr>
                        <a:xfrm>
                          <a:off x="0" y="0"/>
                          <a:ext cx="6254115" cy="30041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法定代表人 身份证（正反面）：</w:t>
                            </w:r>
                          </w:p>
                        </w:txbxContent>
                      </wps:txbx>
                      <wps:bodyPr wrap="square" upright="1"/>
                    </wps:wsp>
                  </a:graphicData>
                </a:graphic>
              </wp:anchor>
            </w:drawing>
          </mc:Choice>
          <mc:Fallback>
            <w:pict>
              <v:shape id="Text Box 2" o:spid="_x0000_s1026" o:spt="202" type="#_x0000_t202" style="position:absolute;left:0pt;margin-left:8.95pt;margin-top:6.25pt;height:236.55pt;width:492.45pt;z-index:251659264;mso-width-relative:page;mso-height-relative:page;" fillcolor="#FFFFFF" filled="t" stroked="t" coordsize="21600,21600" o:gfxdata="UEsDBAoAAAAAAIdO4kAAAAAAAAAAAAAAAAAEAAAAZHJzL1BLAwQUAAAACACHTuJABHmNd9kAAAAK AQAADwAAAGRycy9kb3ducmV2LnhtbE2PzU7DMBCE70i8g7VIXBC1G9o0DXF6QALBrZSqXN14m0T4 J9huWt6e7QlOq9GMZr+pVmdr2Igh9t5JmE4EMHSN171rJWw/nu8LYDEpp5XxDiX8YIRVfX1VqVL7 k3vHcZNaRiUulkpCl9JQch6bDq2KEz+gI+/gg1WJZGi5DupE5dbwTIicW9U7+tCpAZ86bL42Ryuh mL2On/HtYb1r8oNZprvF+PIdpLy9mYpHYAnP6S8MF3xCh5qY9v7odGSG9GJJSbrZHNjFFyKjLXsJ s2KeA68r/n9C/QtQSwMEFAAAAAgAh07iQL7uwAkEAgAARAQAAA4AAABkcnMvZTJvRG9jLnhtbK1T TY/TMBC9I/EfLN9p0rBdLVHTlaCUCwKkXX7A1HESS/7C4zbpv2fslO4HHHogB2c8fn4z82a8vp+M ZkcZUDnb8OWi5Exa4Vpl+4b/fNy9u+MMI9gWtLOy4SeJ/H7z9s169LWs3OB0KwMjEov16Bs+xOjr okAxSAO4cF5aOuxcMBBpG/qiDTASu9FFVZa3xehC64MTEpG82/mQnxnDNYSu65SQWycORto4swap IVJJOCiPfJOz7Top4veuQxmZbjhVGvNKQcjep7XYrKHuA/hBiXMKcE0Kr2oyoCwFvVBtIQI7BPUX lVEiOHRdXAhnirmQrAhVsSxfafMwgJe5FpIa/UV0/H+04tvxR2CqpUngzIKhhj/KKbKPbmJVUmf0 WBPowRMsTuROyLMfyZmKnrpg0p/KYXRO2p4u2iYyQc7banWzXK44E3T2vixvlnerxFM8XfcB4xfp DEtGwwM1L2sKx68YZ+gfSIqGTqt2p7TOm9DvP+nAjkCN3uXvzP4Cpi0bG/5hVaVEgKa3o6kh03hS AG2f4724gc+Jy/z9izgltgUc5gQyQ4JBbVSUIVuDhPazbVk8eVLZ0uPiKRkjW860pLeYrIyMoPQ1 SNJOW5Iw9WjuRbLitJ+IJpl7156obyPNN5X36wCBYh58UP1AAuc+5ss0XLkT54eQpvf5Pod4evyb 3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HYE AABbQ29udGVudF9UeXBlc10ueG1sUEsBAhQACgAAAAAAh07iQAAAAAAAAAAAAAAAAAYAAAAAAAAA AAAQAAAAWAMAAF9yZWxzL1BLAQIUABQAAAAIAIdO4kCKFGY80QAAAJQBAAALAAAAAAAAAAEAIAAA AHwDAABfcmVscy8ucmVsc1BLAQIUAAoAAAAAAIdO4kAAAAAAAAAAAAAAAAAEAAAAAAAAAAAAEAAA AAAAAABkcnMvUEsBAhQAFAAAAAgAh07iQAR5jXfZAAAACgEAAA8AAAAAAAAAAQAgAAAAIgAAAGRy cy9kb3ducmV2LnhtbFBLAQIUABQAAAAIAIdO4kC+7sAJBAIAAEQEAAAOAAAAAAAAAAEAIAAAACgB AABkcnMvZTJvRG9jLnhtbFBLBQYAAAAABgAGAFkBAACeBQAAAAA= ">
                <v:fill on="t" focussize="0,0"/>
                <v:stroke color="#000000" joinstyle="miter"/>
                <v:imagedata o:title=""/>
                <o:lock v:ext="edit" aspectratio="f"/>
                <v:textbox>
                  <w:txbxContent>
                    <w:p>
                      <w:r>
                        <w:rPr>
                          <w:rFonts w:hint="eastAsia" w:ascii="新宋体" w:hAnsi="新宋体" w:eastAsia="新宋体"/>
                          <w:sz w:val="22"/>
                          <w:szCs w:val="22"/>
                        </w:rPr>
                        <w:t xml:space="preserve">  法定代表人 身份证（正反面）：</w:t>
                      </w:r>
                    </w:p>
                  </w:txbxContent>
                </v:textbox>
              </v:shape>
            </w:pict>
          </mc:Fallback>
        </mc:AlternateContent>
      </w: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p>
    <w:p>
      <w:pPr>
        <w:spacing w:line="460" w:lineRule="exact"/>
        <w:jc w:val="center"/>
        <w:rPr>
          <w:rFonts w:hint="eastAsia" w:ascii="新宋体" w:hAnsi="新宋体" w:eastAsia="新宋体"/>
          <w:b/>
          <w:bCs/>
          <w:color w:val="auto"/>
          <w:sz w:val="28"/>
          <w:szCs w:val="28"/>
          <w:highlight w:val="none"/>
        </w:rPr>
      </w:pPr>
      <w:r>
        <w:rPr>
          <w:rFonts w:hint="eastAsia" w:ascii="新宋体" w:hAnsi="新宋体" w:eastAsia="新宋体"/>
          <w:color w:val="auto"/>
          <w:sz w:val="22"/>
          <w:szCs w:val="22"/>
          <w:highlight w:val="none"/>
          <w:lang w:val="zh-CN"/>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2333625</wp:posOffset>
                </wp:positionV>
                <wp:extent cx="6303645" cy="3875405"/>
                <wp:effectExtent l="4445" t="5080" r="16510" b="5715"/>
                <wp:wrapNone/>
                <wp:docPr id="2" name="文本框 24"/>
                <wp:cNvGraphicFramePr/>
                <a:graphic xmlns:a="http://schemas.openxmlformats.org/drawingml/2006/main">
                  <a:graphicData uri="http://schemas.microsoft.com/office/word/2010/wordprocessingShape">
                    <wps:wsp>
                      <wps:cNvSpPr txBox="1"/>
                      <wps:spPr>
                        <a:xfrm>
                          <a:off x="0" y="0"/>
                          <a:ext cx="6303645" cy="38754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新宋体" w:hAnsi="新宋体" w:eastAsia="新宋体"/>
                                <w:sz w:val="22"/>
                                <w:szCs w:val="22"/>
                              </w:rPr>
                              <w:t xml:space="preserve">  授权代表身份证（正反面）：</w:t>
                            </w:r>
                          </w:p>
                        </w:txbxContent>
                      </wps:txbx>
                      <wps:bodyPr wrap="square" upright="1"/>
                    </wps:wsp>
                  </a:graphicData>
                </a:graphic>
              </wp:anchor>
            </w:drawing>
          </mc:Choice>
          <mc:Fallback>
            <w:pict>
              <v:shape id="文本框 24" o:spid="_x0000_s1026" o:spt="202" type="#_x0000_t202" style="position:absolute;left:0pt;margin-left:6.95pt;margin-top:183.75pt;height:305.15pt;width:496.35pt;z-index:251660288;mso-width-relative:page;mso-height-relative:page;" fillcolor="#FFFFFF" filled="t" stroked="t" coordsize="21600,21600" o:gfxdata="UEsDBAoAAAAAAIdO4kAAAAAAAAAAAAAAAAAEAAAAZHJzL1BLAwQUAAAACACHTuJAnKQ7NtgAAAAL AQAADwAAAGRycy9kb3ducmV2LnhtbE2Py07DMBBF90j8gzVIbBB1SiAv4nSBBIJdKQi2bjxNIuJx sN20/D3TFSyv5ujeM/XqaEcxow+DIwXLRQICqXVmoE7B+9vjdQEiRE1Gj45QwQ8GWDXnZ7WujDvQ K86b2AkuoVBpBX2MUyVlaHu0OizchMS3nfNWR46+k8brA5fbUd4kSSatHogXej3hQ4/t12ZvFRS3 z/NneEnXH222G8t4lc9P316py4tlcg8i4jH+wXDSZ3Vo2Gnr9mSCGDmnJZMK0iy/A3ECeC4DsVVQ 5nkBsqnl/x+aX1BLAwQUAAAACACHTuJAq0k2fBYCAABGBAAADgAAAGRycy9lMm9Eb2MueG1srVNL ktMwEN1TxR1U2hN7nA+DK85UQQgbCqgaOEBHlm1V6YekxM4F4Aas2LDnXDkHLTmT+cAiC7yQW1Lr db/X3cubQUmy584Loyt6Nckp4ZqZWui2ol8+b15cU+ID6Bqk0byiB+7pzer5s2VvS16YzsiaO4Ig 2pe9rWgXgi2zzLOOK/ATY7nGy8Y4BQG3rs1qBz2iK5kVeb7IeuNq6wzj3uPperykJ0R3CaBpGsH4 2rCd4jqMqI5LCEjJd8J6ukrZNg1n4WPTeB6IrCgyDWnFIGhv45qtllC2Dmwn2CkFuCSFJ5wUCI1B z1BrCEB2TvwFpQRzxpsmTJhR2UgkKYIsrvIn2tx2YHniglJ7exbd/z9Y9mH/yRFRV7SgRIPCgh9/ fD/+/H389Y0Us6hPb32JbrcWHcPw2gzYNXfnHg8j7aFxKv6REMF7VPdwVpcPgTA8XEzz6WI2p4Th 3fT65XyWzyNOdv/cOh/ecaNINCrqsHxJVdi/92F0vXOJ0byRot4IKdPGtds30pE9YKk36TuhP3KT mvQVfTUvYiKA/dtg36CpLGrgdZviPXrhHwLn6fsXcExsDb4bE0gI0Q1KJQJ3yeo41G91TcLBos4a x4vGZBSvKZEcpzFayTOAkJd4onZSo4SxRmMtohWG7YAw0dya+oB167HDkd7XHTiMubNOtB0KnOqY HmN7pUqcRiH278N9CnE//qs/UEsDBAoAAAAAAIdO4kAAAAAAAAAAAAAAAAAGAAAAX3JlbHMvUEsD BBQAAAAIAIdO4kCKFGY80QAAAJQBAAALAAAAX3JlbHMvLnJlbHOlkMFqwzAMhu+DvYPRfXGawxij Ti+j0GvpHsDYimMaW0Yy2fr28w6DZfS2o36h7xP//vCZFrUiS6RsYNf1oDA78jEHA++X49MLKKk2 e7tQRgM3FDiMjw/7My62tiOZYxHVKFkMzLWWV63FzZisdFQwt81EnGxtIwddrLvagHro+2fNvxkw bpjq5A3wyQ+gLrfSzH/YKTomoal2jpKmaYruHlUHtmWO7sg24Ru5RrMcsBrwLBoHalnXfgR9X7/7 p97TRz7jutV+h4zrj1dvuhy/AFBLAwQUAAAACACHTuJAfublIPcAAADhAQAAEwAAAFtDb250ZW50 X1R5cGVzXS54bWyVkUFOwzAQRfdI3MHyFiVOu0AIJemCtEtAqBxgZE8Si2RseUxob4+TthtEkVja M/+/J7vcHMZBTBjYOqrkKi+kQNLOWOoq+b7fZQ9ScAQyMDjCSh6R5aa+vSn3R48sUpq4kn2M/lEp 1j2OwLnzSGnSujBCTMfQKQ/6AzpU66K4V9pRRIpZnDtkXTbYwucQxfaQrk8mAQeW4um0OLMqCd4P VkNMpmoi84OSnQl5Si473FvPd0lDql8J8+Q64Jx7SU8TrEHxCiE+w5g0lAmsjPuigFP+d8lsOXLm 2tZqzJvATYq94XSxutaOa9c4/d/y7ZK6dKvlg+pvUEsBAhQAFAAAAAgAh07iQH7m5SD3AAAA4QEA ABMAAAAAAAAAAQAgAAAAhwQAAFtDb250ZW50X1R5cGVzXS54bWxQSwECFAAKAAAAAACHTuJAAAAA AAAAAAAAAAAABgAAAAAAAAAAABAAAABpAwAAX3JlbHMvUEsBAhQAFAAAAAgAh07iQIoUZjzRAAAA lAEAAAsAAAAAAAAAAQAgAAAAjQMAAF9yZWxzLy5yZWxzUEsBAhQACgAAAAAAh07iQAAAAAAAAAAA AAAAAAQAAAAAAAAAAAAQAAAAAAAAAGRycy9QSwECFAAUAAAACACHTuJAnKQ7NtgAAAALAQAADwAA AAAAAAABACAAAAAiAAAAZHJzL2Rvd25yZXYueG1sUEsBAhQAFAAAAAgAh07iQKtJNnwWAgAARgQA AA4AAAAAAAAAAQAgAAAAJwEAAGRycy9lMm9Eb2MueG1sUEsFBgAAAAAGAAYAWQEAAK8FAAAAAA== ">
                <v:fill on="t" focussize="0,0"/>
                <v:stroke color="#000000" joinstyle="miter"/>
                <v:imagedata o:title=""/>
                <o:lock v:ext="edit" aspectratio="f"/>
                <v:textbox>
                  <w:txbxContent>
                    <w:p>
                      <w:r>
                        <w:rPr>
                          <w:rFonts w:hint="eastAsia" w:ascii="新宋体" w:hAnsi="新宋体" w:eastAsia="新宋体"/>
                          <w:sz w:val="22"/>
                          <w:szCs w:val="22"/>
                        </w:rPr>
                        <w:t xml:space="preserve">  授权代表身份证（正反面）：</w:t>
                      </w:r>
                    </w:p>
                  </w:txbxContent>
                </v:textbox>
              </v:shape>
            </w:pict>
          </mc:Fallback>
        </mc:AlternateContent>
      </w:r>
    </w:p>
    <w:p>
      <w:pPr>
        <w:spacing w:line="460" w:lineRule="exact"/>
        <w:jc w:val="center"/>
        <w:rPr>
          <w:rFonts w:hint="eastAsia" w:ascii="新宋体" w:hAnsi="新宋体" w:eastAsia="新宋体"/>
          <w:b/>
          <w:bCs/>
          <w:color w:val="auto"/>
          <w:sz w:val="22"/>
          <w:szCs w:val="22"/>
          <w:highlight w:val="none"/>
        </w:rPr>
        <w:sectPr>
          <w:pgSz w:w="11907" w:h="16840"/>
          <w:pgMar w:top="1134" w:right="1134" w:bottom="1134" w:left="1134" w:header="851" w:footer="992" w:gutter="0"/>
          <w:pgBorders w:offsetFrom="page">
            <w:top w:val="none" w:sz="0" w:space="0"/>
            <w:left w:val="none" w:sz="0" w:space="0"/>
            <w:bottom w:val="none" w:sz="0" w:space="0"/>
            <w:right w:val="none" w:sz="0" w:space="0"/>
          </w:pgBorders>
          <w:cols w:space="720" w:num="1"/>
          <w:docGrid w:linePitch="312" w:charSpace="0"/>
        </w:sectPr>
      </w:pPr>
    </w:p>
    <w:p>
      <w:pPr>
        <w:spacing w:line="460" w:lineRule="exact"/>
        <w:jc w:val="center"/>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（2）投标人情况表</w:t>
      </w:r>
    </w:p>
    <w:p>
      <w:pPr>
        <w:tabs>
          <w:tab w:val="left" w:pos="780"/>
        </w:tabs>
        <w:spacing w:line="400" w:lineRule="exact"/>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项目名称：                                                                       项目编号：</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1115"/>
        <w:gridCol w:w="1689"/>
        <w:gridCol w:w="728"/>
        <w:gridCol w:w="387"/>
        <w:gridCol w:w="1100"/>
        <w:gridCol w:w="1488"/>
        <w:gridCol w:w="1488"/>
        <w:gridCol w:w="1502"/>
        <w:gridCol w:w="1488"/>
        <w:gridCol w:w="1115"/>
        <w:gridCol w:w="355"/>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单位名称（盖章）</w:t>
            </w:r>
          </w:p>
        </w:tc>
        <w:tc>
          <w:tcPr>
            <w:tcW w:w="2804" w:type="dxa"/>
            <w:gridSpan w:val="2"/>
            <w:noWrap w:val="0"/>
            <w:vAlign w:val="top"/>
          </w:tcPr>
          <w:p>
            <w:pPr>
              <w:spacing w:line="480" w:lineRule="exact"/>
              <w:rPr>
                <w:rFonts w:hint="eastAsia" w:ascii="新宋体" w:hAnsi="新宋体" w:eastAsia="新宋体"/>
                <w:color w:val="auto"/>
                <w:sz w:val="22"/>
                <w:szCs w:val="22"/>
                <w:highlight w:val="none"/>
              </w:rPr>
            </w:pPr>
          </w:p>
        </w:tc>
        <w:tc>
          <w:tcPr>
            <w:tcW w:w="1115" w:type="dxa"/>
            <w:gridSpan w:val="2"/>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电 话</w:t>
            </w:r>
          </w:p>
        </w:tc>
        <w:tc>
          <w:tcPr>
            <w:tcW w:w="2588" w:type="dxa"/>
            <w:gridSpan w:val="2"/>
            <w:noWrap w:val="0"/>
            <w:vAlign w:val="top"/>
          </w:tcPr>
          <w:p>
            <w:pPr>
              <w:spacing w:line="480" w:lineRule="exact"/>
              <w:rPr>
                <w:rFonts w:hint="eastAsia" w:ascii="新宋体" w:hAnsi="新宋体" w:eastAsia="新宋体"/>
                <w:color w:val="auto"/>
                <w:sz w:val="22"/>
                <w:szCs w:val="22"/>
                <w:highlight w:val="none"/>
              </w:rPr>
            </w:pPr>
          </w:p>
        </w:tc>
        <w:tc>
          <w:tcPr>
            <w:tcW w:w="1488" w:type="dxa"/>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主管部门</w:t>
            </w:r>
          </w:p>
        </w:tc>
        <w:tc>
          <w:tcPr>
            <w:tcW w:w="1502" w:type="dxa"/>
            <w:noWrap w:val="0"/>
            <w:vAlign w:val="top"/>
          </w:tcPr>
          <w:p>
            <w:pPr>
              <w:spacing w:line="480" w:lineRule="exact"/>
              <w:rPr>
                <w:rFonts w:hint="eastAsia" w:ascii="新宋体" w:hAnsi="新宋体" w:eastAsia="新宋体"/>
                <w:color w:val="auto"/>
                <w:sz w:val="22"/>
                <w:szCs w:val="22"/>
                <w:highlight w:val="none"/>
              </w:rPr>
            </w:pPr>
          </w:p>
        </w:tc>
        <w:tc>
          <w:tcPr>
            <w:tcW w:w="1488" w:type="dxa"/>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企业负责人</w:t>
            </w:r>
          </w:p>
        </w:tc>
        <w:tc>
          <w:tcPr>
            <w:tcW w:w="1115" w:type="dxa"/>
            <w:noWrap w:val="0"/>
            <w:vAlign w:val="top"/>
          </w:tcPr>
          <w:p>
            <w:pPr>
              <w:spacing w:line="480" w:lineRule="exact"/>
              <w:rPr>
                <w:rFonts w:hint="eastAsia" w:ascii="新宋体" w:hAnsi="新宋体" w:eastAsia="新宋体"/>
                <w:color w:val="auto"/>
                <w:sz w:val="22"/>
                <w:szCs w:val="22"/>
                <w:highlight w:val="none"/>
              </w:rPr>
            </w:pPr>
          </w:p>
        </w:tc>
        <w:tc>
          <w:tcPr>
            <w:tcW w:w="1461" w:type="dxa"/>
            <w:gridSpan w:val="2"/>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27" w:type="dxa"/>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地    址</w:t>
            </w:r>
          </w:p>
        </w:tc>
        <w:tc>
          <w:tcPr>
            <w:tcW w:w="2804" w:type="dxa"/>
            <w:gridSpan w:val="2"/>
            <w:noWrap w:val="0"/>
            <w:vAlign w:val="top"/>
          </w:tcPr>
          <w:p>
            <w:pPr>
              <w:spacing w:line="480" w:lineRule="exact"/>
              <w:rPr>
                <w:rFonts w:hint="eastAsia" w:ascii="新宋体" w:hAnsi="新宋体" w:eastAsia="新宋体"/>
                <w:color w:val="auto"/>
                <w:sz w:val="22"/>
                <w:szCs w:val="22"/>
                <w:highlight w:val="none"/>
              </w:rPr>
            </w:pPr>
          </w:p>
        </w:tc>
        <w:tc>
          <w:tcPr>
            <w:tcW w:w="1115" w:type="dxa"/>
            <w:gridSpan w:val="2"/>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传 真</w:t>
            </w:r>
          </w:p>
        </w:tc>
        <w:tc>
          <w:tcPr>
            <w:tcW w:w="2588" w:type="dxa"/>
            <w:gridSpan w:val="2"/>
            <w:noWrap w:val="0"/>
            <w:vAlign w:val="top"/>
          </w:tcPr>
          <w:p>
            <w:pPr>
              <w:spacing w:line="480" w:lineRule="exact"/>
              <w:rPr>
                <w:rFonts w:hint="eastAsia" w:ascii="新宋体" w:hAnsi="新宋体" w:eastAsia="新宋体"/>
                <w:color w:val="auto"/>
                <w:sz w:val="22"/>
                <w:szCs w:val="22"/>
                <w:highlight w:val="none"/>
              </w:rPr>
            </w:pPr>
          </w:p>
        </w:tc>
        <w:tc>
          <w:tcPr>
            <w:tcW w:w="1488" w:type="dxa"/>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企业性质</w:t>
            </w:r>
          </w:p>
        </w:tc>
        <w:tc>
          <w:tcPr>
            <w:tcW w:w="1502" w:type="dxa"/>
            <w:noWrap w:val="0"/>
            <w:vAlign w:val="top"/>
          </w:tcPr>
          <w:p>
            <w:pPr>
              <w:spacing w:line="480" w:lineRule="exact"/>
              <w:rPr>
                <w:rFonts w:hint="eastAsia" w:ascii="新宋体" w:hAnsi="新宋体" w:eastAsia="新宋体"/>
                <w:color w:val="auto"/>
                <w:sz w:val="22"/>
                <w:szCs w:val="22"/>
                <w:highlight w:val="none"/>
              </w:rPr>
            </w:pPr>
          </w:p>
        </w:tc>
        <w:tc>
          <w:tcPr>
            <w:tcW w:w="1488" w:type="dxa"/>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授权代表</w:t>
            </w:r>
          </w:p>
        </w:tc>
        <w:tc>
          <w:tcPr>
            <w:tcW w:w="1115" w:type="dxa"/>
            <w:noWrap w:val="0"/>
            <w:vAlign w:val="top"/>
          </w:tcPr>
          <w:p>
            <w:pPr>
              <w:spacing w:line="480" w:lineRule="exact"/>
              <w:rPr>
                <w:rFonts w:hint="eastAsia" w:ascii="新宋体" w:hAnsi="新宋体" w:eastAsia="新宋体"/>
                <w:color w:val="auto"/>
                <w:sz w:val="22"/>
                <w:szCs w:val="22"/>
                <w:highlight w:val="none"/>
              </w:rPr>
            </w:pPr>
          </w:p>
        </w:tc>
        <w:tc>
          <w:tcPr>
            <w:tcW w:w="1461" w:type="dxa"/>
            <w:gridSpan w:val="2"/>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1227" w:type="dxa"/>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单位简介</w:t>
            </w:r>
          </w:p>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及机构</w:t>
            </w:r>
          </w:p>
        </w:tc>
        <w:tc>
          <w:tcPr>
            <w:tcW w:w="6507" w:type="dxa"/>
            <w:gridSpan w:val="6"/>
            <w:noWrap w:val="0"/>
            <w:vAlign w:val="center"/>
          </w:tcPr>
          <w:p>
            <w:pPr>
              <w:spacing w:line="480" w:lineRule="exact"/>
              <w:jc w:val="center"/>
              <w:rPr>
                <w:rFonts w:hint="eastAsia" w:ascii="新宋体" w:hAnsi="新宋体" w:eastAsia="新宋体"/>
                <w:color w:val="auto"/>
                <w:sz w:val="22"/>
                <w:szCs w:val="22"/>
                <w:highlight w:val="none"/>
              </w:rPr>
            </w:pPr>
          </w:p>
        </w:tc>
        <w:tc>
          <w:tcPr>
            <w:tcW w:w="1488" w:type="dxa"/>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单位优势</w:t>
            </w:r>
          </w:p>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及特长</w:t>
            </w:r>
          </w:p>
        </w:tc>
        <w:tc>
          <w:tcPr>
            <w:tcW w:w="5566" w:type="dxa"/>
            <w:gridSpan w:val="5"/>
            <w:noWrap w:val="0"/>
            <w:vAlign w:val="top"/>
          </w:tcPr>
          <w:p>
            <w:pPr>
              <w:spacing w:line="480" w:lineRule="exact"/>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27" w:type="dxa"/>
            <w:vMerge w:val="restart"/>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单位概况</w:t>
            </w:r>
          </w:p>
        </w:tc>
        <w:tc>
          <w:tcPr>
            <w:tcW w:w="1115" w:type="dxa"/>
            <w:vMerge w:val="restart"/>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职工总数</w:t>
            </w:r>
          </w:p>
        </w:tc>
        <w:tc>
          <w:tcPr>
            <w:tcW w:w="1689" w:type="dxa"/>
            <w:vMerge w:val="restart"/>
            <w:noWrap w:val="0"/>
            <w:vAlign w:val="top"/>
          </w:tcPr>
          <w:p>
            <w:pPr>
              <w:spacing w:line="480" w:lineRule="exact"/>
              <w:ind w:firstLine="1540" w:firstLineChars="700"/>
              <w:rPr>
                <w:rFonts w:hint="eastAsia" w:ascii="新宋体" w:hAnsi="新宋体" w:eastAsia="新宋体"/>
                <w:color w:val="auto"/>
                <w:sz w:val="22"/>
                <w:szCs w:val="22"/>
                <w:highlight w:val="none"/>
              </w:rPr>
            </w:pPr>
          </w:p>
        </w:tc>
        <w:tc>
          <w:tcPr>
            <w:tcW w:w="3703" w:type="dxa"/>
            <w:gridSpan w:val="4"/>
            <w:vMerge w:val="restart"/>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各人员构成情况</w:t>
            </w:r>
          </w:p>
        </w:tc>
        <w:tc>
          <w:tcPr>
            <w:tcW w:w="1488" w:type="dxa"/>
            <w:vMerge w:val="restart"/>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上一年主要  经济指标</w:t>
            </w:r>
          </w:p>
        </w:tc>
        <w:tc>
          <w:tcPr>
            <w:tcW w:w="1502" w:type="dxa"/>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指标名称</w:t>
            </w:r>
          </w:p>
        </w:tc>
        <w:tc>
          <w:tcPr>
            <w:tcW w:w="1488" w:type="dxa"/>
            <w:tcBorders>
              <w:tr2bl w:val="single" w:color="auto" w:sz="4" w:space="0"/>
            </w:tcBorders>
            <w:noWrap w:val="0"/>
            <w:vAlign w:val="center"/>
          </w:tcPr>
          <w:p>
            <w:pPr>
              <w:spacing w:line="480" w:lineRule="exact"/>
              <w:jc w:val="center"/>
              <w:rPr>
                <w:rFonts w:hint="eastAsia" w:ascii="新宋体" w:hAnsi="新宋体" w:eastAsia="新宋体"/>
                <w:color w:val="auto"/>
                <w:sz w:val="22"/>
                <w:szCs w:val="22"/>
                <w:highlight w:val="none"/>
              </w:rPr>
            </w:pPr>
          </w:p>
        </w:tc>
        <w:tc>
          <w:tcPr>
            <w:tcW w:w="1470" w:type="dxa"/>
            <w:gridSpan w:val="2"/>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实际完成</w:t>
            </w:r>
          </w:p>
        </w:tc>
        <w:tc>
          <w:tcPr>
            <w:tcW w:w="1106" w:type="dxa"/>
            <w:tcBorders>
              <w:tr2bl w:val="single" w:color="auto" w:sz="4" w:space="0"/>
            </w:tcBorders>
            <w:noWrap w:val="0"/>
            <w:vAlign w:val="center"/>
          </w:tcPr>
          <w:p>
            <w:pPr>
              <w:spacing w:line="480" w:lineRule="exact"/>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227"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115"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689"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3703" w:type="dxa"/>
            <w:gridSpan w:val="4"/>
            <w:vMerge w:val="continue"/>
            <w:noWrap w:val="0"/>
            <w:vAlign w:val="top"/>
          </w:tcPr>
          <w:p>
            <w:pPr>
              <w:spacing w:line="480" w:lineRule="exact"/>
              <w:rPr>
                <w:rFonts w:hint="eastAsia" w:ascii="新宋体" w:hAnsi="新宋体" w:eastAsia="新宋体"/>
                <w:color w:val="auto"/>
                <w:sz w:val="22"/>
                <w:szCs w:val="22"/>
                <w:highlight w:val="none"/>
              </w:rPr>
            </w:pPr>
          </w:p>
        </w:tc>
        <w:tc>
          <w:tcPr>
            <w:tcW w:w="1488"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502" w:type="dxa"/>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总产值</w:t>
            </w:r>
          </w:p>
        </w:tc>
        <w:tc>
          <w:tcPr>
            <w:tcW w:w="1488" w:type="dxa"/>
            <w:noWrap w:val="0"/>
            <w:vAlign w:val="center"/>
          </w:tcPr>
          <w:p>
            <w:pPr>
              <w:spacing w:line="480" w:lineRule="exact"/>
              <w:ind w:firstLine="660" w:firstLineChars="300"/>
              <w:jc w:val="righ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万元</w:t>
            </w:r>
          </w:p>
        </w:tc>
        <w:tc>
          <w:tcPr>
            <w:tcW w:w="1470" w:type="dxa"/>
            <w:gridSpan w:val="2"/>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总产值</w:t>
            </w:r>
          </w:p>
        </w:tc>
        <w:tc>
          <w:tcPr>
            <w:tcW w:w="1106" w:type="dxa"/>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1227"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115" w:type="dxa"/>
            <w:vMerge w:val="restart"/>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流动资金</w:t>
            </w:r>
          </w:p>
        </w:tc>
        <w:tc>
          <w:tcPr>
            <w:tcW w:w="1689" w:type="dxa"/>
            <w:vMerge w:val="restart"/>
            <w:noWrap w:val="0"/>
            <w:vAlign w:val="top"/>
          </w:tcPr>
          <w:p>
            <w:pPr>
              <w:spacing w:line="480" w:lineRule="exact"/>
              <w:jc w:val="righ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80" w:lineRule="exact"/>
              <w:ind w:firstLine="660" w:firstLineChars="300"/>
              <w:jc w:val="righ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万元 </w:t>
            </w:r>
          </w:p>
        </w:tc>
        <w:tc>
          <w:tcPr>
            <w:tcW w:w="728" w:type="dxa"/>
            <w:vMerge w:val="restart"/>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资金来源</w:t>
            </w:r>
          </w:p>
        </w:tc>
        <w:tc>
          <w:tcPr>
            <w:tcW w:w="1487" w:type="dxa"/>
            <w:gridSpan w:val="2"/>
            <w:noWrap w:val="0"/>
            <w:vAlign w:val="center"/>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自有资金</w:t>
            </w:r>
          </w:p>
        </w:tc>
        <w:tc>
          <w:tcPr>
            <w:tcW w:w="1488" w:type="dxa"/>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502" w:type="dxa"/>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实现利润</w:t>
            </w:r>
          </w:p>
        </w:tc>
        <w:tc>
          <w:tcPr>
            <w:tcW w:w="1488" w:type="dxa"/>
            <w:noWrap w:val="0"/>
            <w:vAlign w:val="center"/>
          </w:tcPr>
          <w:p>
            <w:pPr>
              <w:spacing w:line="480" w:lineRule="exact"/>
              <w:ind w:firstLine="660" w:firstLineChars="300"/>
              <w:jc w:val="righ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万元</w:t>
            </w:r>
          </w:p>
        </w:tc>
        <w:tc>
          <w:tcPr>
            <w:tcW w:w="1470" w:type="dxa"/>
            <w:gridSpan w:val="2"/>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实现利润</w:t>
            </w:r>
          </w:p>
        </w:tc>
        <w:tc>
          <w:tcPr>
            <w:tcW w:w="1106" w:type="dxa"/>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27" w:type="dxa"/>
            <w:vMerge w:val="continue"/>
            <w:tcBorders>
              <w:bottom w:val="single" w:color="auto" w:sz="4" w:space="0"/>
            </w:tcBorders>
            <w:noWrap w:val="0"/>
            <w:vAlign w:val="top"/>
          </w:tcPr>
          <w:p>
            <w:pPr>
              <w:spacing w:line="480" w:lineRule="exact"/>
              <w:rPr>
                <w:rFonts w:hint="eastAsia" w:ascii="新宋体" w:hAnsi="新宋体" w:eastAsia="新宋体"/>
                <w:color w:val="auto"/>
                <w:sz w:val="22"/>
                <w:szCs w:val="22"/>
                <w:highlight w:val="none"/>
              </w:rPr>
            </w:pPr>
          </w:p>
        </w:tc>
        <w:tc>
          <w:tcPr>
            <w:tcW w:w="1115" w:type="dxa"/>
            <w:vMerge w:val="continue"/>
            <w:tcBorders>
              <w:bottom w:val="single" w:color="auto" w:sz="4" w:space="0"/>
            </w:tcBorders>
            <w:noWrap w:val="0"/>
            <w:vAlign w:val="top"/>
          </w:tcPr>
          <w:p>
            <w:pPr>
              <w:spacing w:line="480" w:lineRule="exact"/>
              <w:rPr>
                <w:rFonts w:hint="eastAsia" w:ascii="新宋体" w:hAnsi="新宋体" w:eastAsia="新宋体"/>
                <w:color w:val="auto"/>
                <w:sz w:val="22"/>
                <w:szCs w:val="22"/>
                <w:highlight w:val="none"/>
              </w:rPr>
            </w:pPr>
          </w:p>
        </w:tc>
        <w:tc>
          <w:tcPr>
            <w:tcW w:w="1689" w:type="dxa"/>
            <w:vMerge w:val="continue"/>
            <w:tcBorders>
              <w:bottom w:val="single" w:color="auto" w:sz="4" w:space="0"/>
            </w:tcBorders>
            <w:noWrap w:val="0"/>
            <w:vAlign w:val="top"/>
          </w:tcPr>
          <w:p>
            <w:pPr>
              <w:spacing w:line="480" w:lineRule="exact"/>
              <w:rPr>
                <w:rFonts w:hint="eastAsia" w:ascii="新宋体" w:hAnsi="新宋体" w:eastAsia="新宋体"/>
                <w:color w:val="auto"/>
                <w:sz w:val="22"/>
                <w:szCs w:val="22"/>
                <w:highlight w:val="none"/>
              </w:rPr>
            </w:pPr>
          </w:p>
        </w:tc>
        <w:tc>
          <w:tcPr>
            <w:tcW w:w="728" w:type="dxa"/>
            <w:vMerge w:val="continue"/>
            <w:tcBorders>
              <w:bottom w:val="single" w:color="auto" w:sz="4" w:space="0"/>
            </w:tcBorders>
            <w:noWrap w:val="0"/>
            <w:vAlign w:val="top"/>
          </w:tcPr>
          <w:p>
            <w:pPr>
              <w:spacing w:line="480" w:lineRule="exact"/>
              <w:rPr>
                <w:rFonts w:hint="eastAsia" w:ascii="新宋体" w:hAnsi="新宋体" w:eastAsia="新宋体"/>
                <w:color w:val="auto"/>
                <w:sz w:val="22"/>
                <w:szCs w:val="22"/>
                <w:highlight w:val="none"/>
              </w:rPr>
            </w:pPr>
          </w:p>
        </w:tc>
        <w:tc>
          <w:tcPr>
            <w:tcW w:w="1487" w:type="dxa"/>
            <w:gridSpan w:val="2"/>
            <w:tcBorders>
              <w:bottom w:val="single" w:color="auto" w:sz="4" w:space="0"/>
            </w:tcBorders>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银行贷款</w:t>
            </w:r>
          </w:p>
        </w:tc>
        <w:tc>
          <w:tcPr>
            <w:tcW w:w="1488" w:type="dxa"/>
            <w:tcBorders>
              <w:bottom w:val="single" w:color="auto" w:sz="4" w:space="0"/>
            </w:tcBorders>
            <w:noWrap w:val="0"/>
            <w:vAlign w:val="top"/>
          </w:tcPr>
          <w:p>
            <w:pPr>
              <w:spacing w:line="480" w:lineRule="exact"/>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万元</w:t>
            </w:r>
          </w:p>
        </w:tc>
        <w:tc>
          <w:tcPr>
            <w:tcW w:w="1488" w:type="dxa"/>
            <w:vMerge w:val="continue"/>
            <w:tcBorders>
              <w:bottom w:val="single" w:color="auto" w:sz="4" w:space="0"/>
            </w:tcBorders>
            <w:noWrap w:val="0"/>
            <w:vAlign w:val="top"/>
          </w:tcPr>
          <w:p>
            <w:pPr>
              <w:spacing w:line="480" w:lineRule="exact"/>
              <w:rPr>
                <w:rFonts w:hint="eastAsia" w:ascii="新宋体" w:hAnsi="新宋体" w:eastAsia="新宋体"/>
                <w:color w:val="auto"/>
                <w:sz w:val="22"/>
                <w:szCs w:val="22"/>
                <w:highlight w:val="none"/>
              </w:rPr>
            </w:pPr>
          </w:p>
        </w:tc>
        <w:tc>
          <w:tcPr>
            <w:tcW w:w="1502" w:type="dxa"/>
            <w:vMerge w:val="restart"/>
            <w:tcBorders>
              <w:bottom w:val="single" w:color="auto" w:sz="4" w:space="0"/>
            </w:tcBorders>
            <w:noWrap w:val="0"/>
            <w:vAlign w:val="center"/>
          </w:tcPr>
          <w:p>
            <w:pPr>
              <w:spacing w:line="4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主要业绩</w:t>
            </w:r>
          </w:p>
        </w:tc>
        <w:tc>
          <w:tcPr>
            <w:tcW w:w="4064" w:type="dxa"/>
            <w:gridSpan w:val="4"/>
            <w:vMerge w:val="restart"/>
            <w:tcBorders>
              <w:bottom w:val="single" w:color="auto" w:sz="4" w:space="0"/>
            </w:tcBorders>
            <w:noWrap w:val="0"/>
            <w:vAlign w:val="center"/>
          </w:tcPr>
          <w:p>
            <w:pPr>
              <w:spacing w:line="480" w:lineRule="exact"/>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227"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115" w:type="dxa"/>
            <w:vMerge w:val="restart"/>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固定资产</w:t>
            </w:r>
          </w:p>
        </w:tc>
        <w:tc>
          <w:tcPr>
            <w:tcW w:w="1689" w:type="dxa"/>
            <w:vMerge w:val="restart"/>
            <w:noWrap w:val="0"/>
            <w:vAlign w:val="top"/>
          </w:tcPr>
          <w:p>
            <w:pPr>
              <w:spacing w:line="480" w:lineRule="exact"/>
              <w:jc w:val="righ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原值   万元</w:t>
            </w:r>
          </w:p>
          <w:p>
            <w:pPr>
              <w:spacing w:line="480" w:lineRule="exact"/>
              <w:jc w:val="righ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净值   万元</w:t>
            </w:r>
          </w:p>
        </w:tc>
        <w:tc>
          <w:tcPr>
            <w:tcW w:w="728" w:type="dxa"/>
            <w:vMerge w:val="restart"/>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资金性质</w:t>
            </w:r>
          </w:p>
        </w:tc>
        <w:tc>
          <w:tcPr>
            <w:tcW w:w="1487" w:type="dxa"/>
            <w:gridSpan w:val="2"/>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生产性</w:t>
            </w:r>
          </w:p>
        </w:tc>
        <w:tc>
          <w:tcPr>
            <w:tcW w:w="1488" w:type="dxa"/>
            <w:noWrap w:val="0"/>
            <w:vAlign w:val="top"/>
          </w:tcPr>
          <w:p>
            <w:pPr>
              <w:spacing w:line="480" w:lineRule="exact"/>
              <w:ind w:left="220" w:hanging="220" w:hanging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502"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4064" w:type="dxa"/>
            <w:gridSpan w:val="4"/>
            <w:vMerge w:val="continue"/>
            <w:noWrap w:val="0"/>
            <w:vAlign w:val="top"/>
          </w:tcPr>
          <w:p>
            <w:pPr>
              <w:spacing w:line="480" w:lineRule="exact"/>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1227"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115"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689"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728"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487" w:type="dxa"/>
            <w:gridSpan w:val="2"/>
            <w:noWrap w:val="0"/>
            <w:vAlign w:val="top"/>
          </w:tcPr>
          <w:p>
            <w:pPr>
              <w:spacing w:line="48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非生产性</w:t>
            </w:r>
          </w:p>
        </w:tc>
        <w:tc>
          <w:tcPr>
            <w:tcW w:w="1488" w:type="dxa"/>
            <w:noWrap w:val="0"/>
            <w:vAlign w:val="top"/>
          </w:tcPr>
          <w:p>
            <w:pPr>
              <w:spacing w:line="480" w:lineRule="exact"/>
              <w:ind w:left="220" w:hanging="220" w:hanging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万元</w:t>
            </w:r>
          </w:p>
        </w:tc>
        <w:tc>
          <w:tcPr>
            <w:tcW w:w="1488"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1502" w:type="dxa"/>
            <w:vMerge w:val="continue"/>
            <w:noWrap w:val="0"/>
            <w:vAlign w:val="top"/>
          </w:tcPr>
          <w:p>
            <w:pPr>
              <w:spacing w:line="480" w:lineRule="exact"/>
              <w:rPr>
                <w:rFonts w:hint="eastAsia" w:ascii="新宋体" w:hAnsi="新宋体" w:eastAsia="新宋体"/>
                <w:color w:val="auto"/>
                <w:sz w:val="22"/>
                <w:szCs w:val="22"/>
                <w:highlight w:val="none"/>
              </w:rPr>
            </w:pPr>
          </w:p>
        </w:tc>
        <w:tc>
          <w:tcPr>
            <w:tcW w:w="4064" w:type="dxa"/>
            <w:gridSpan w:val="4"/>
            <w:vMerge w:val="continue"/>
            <w:noWrap w:val="0"/>
            <w:vAlign w:val="top"/>
          </w:tcPr>
          <w:p>
            <w:pPr>
              <w:spacing w:line="480" w:lineRule="exact"/>
              <w:rPr>
                <w:rFonts w:hint="eastAsia" w:ascii="新宋体" w:hAnsi="新宋体" w:eastAsia="新宋体"/>
                <w:color w:val="auto"/>
                <w:sz w:val="22"/>
                <w:szCs w:val="22"/>
                <w:highlight w:val="none"/>
              </w:rPr>
            </w:pPr>
          </w:p>
        </w:tc>
      </w:tr>
    </w:tbl>
    <w:p>
      <w:pPr>
        <w:numPr>
          <w:ilvl w:val="2"/>
          <w:numId w:val="2"/>
        </w:numPr>
        <w:tabs>
          <w:tab w:val="left" w:pos="0"/>
        </w:tabs>
        <w:spacing w:line="400" w:lineRule="exact"/>
        <w:ind w:left="0" w:firstLine="0"/>
        <w:rPr>
          <w:rFonts w:hint="eastAsia" w:ascii="仿宋_GB2312" w:eastAsia="仿宋_GB2312"/>
          <w:color w:val="auto"/>
          <w:szCs w:val="22"/>
          <w:highlight w:val="none"/>
        </w:rPr>
        <w:sectPr>
          <w:pgSz w:w="16838" w:h="11906" w:orient="landscape"/>
          <w:pgMar w:top="1134" w:right="1134" w:bottom="1134" w:left="1134" w:header="851" w:footer="851" w:gutter="0"/>
          <w:pgBorders w:offsetFrom="page">
            <w:top w:val="none" w:sz="0" w:space="0"/>
            <w:left w:val="none" w:sz="0" w:space="0"/>
            <w:bottom w:val="none" w:sz="0" w:space="0"/>
            <w:right w:val="none" w:sz="0" w:space="0"/>
          </w:pgBorders>
          <w:cols w:space="720" w:num="1"/>
          <w:docGrid w:linePitch="312" w:charSpace="0"/>
        </w:sectPr>
      </w:pPr>
    </w:p>
    <w:p>
      <w:pPr>
        <w:spacing w:line="460" w:lineRule="exact"/>
        <w:ind w:firstLine="541" w:firstLineChars="245"/>
        <w:rPr>
          <w:rFonts w:hint="eastAsia" w:ascii="新宋体" w:hAnsi="新宋体" w:eastAsia="新宋体"/>
          <w:b/>
          <w:bCs/>
          <w:color w:val="auto"/>
          <w:sz w:val="22"/>
          <w:szCs w:val="22"/>
          <w:highlight w:val="none"/>
        </w:rPr>
      </w:pP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（3）有效营业执照（复印件盖单位公章）</w:t>
      </w: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（4）相关资质的证明材料</w:t>
      </w:r>
    </w:p>
    <w:p>
      <w:pPr>
        <w:spacing w:line="420" w:lineRule="exact"/>
        <w:ind w:firstLine="442" w:firstLineChars="200"/>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（5）监狱企业的相关证明材料</w:t>
      </w:r>
    </w:p>
    <w:p>
      <w:pPr>
        <w:spacing w:line="460" w:lineRule="exact"/>
        <w:ind w:firstLine="571" w:firstLineChars="245"/>
        <w:rPr>
          <w:rFonts w:hint="eastAsia" w:ascii="新宋体" w:hAnsi="新宋体" w:eastAsia="新宋体"/>
          <w:b/>
          <w:bCs/>
          <w:color w:val="auto"/>
          <w:sz w:val="22"/>
          <w:szCs w:val="22"/>
          <w:highlight w:val="none"/>
          <w:u w:val="single"/>
          <w:lang w:val="zh-CN"/>
        </w:rPr>
      </w:pPr>
      <w:r>
        <w:rPr>
          <w:rFonts w:hint="eastAsia"/>
          <w:b/>
          <w:color w:val="auto"/>
          <w:spacing w:val="6"/>
          <w:sz w:val="22"/>
          <w:szCs w:val="22"/>
          <w:highlight w:val="none"/>
        </w:rPr>
        <w:t>需提供相关证明材料，</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是监狱企业的按非监狱企业处理，所提供的证明材料应为最新的最近的</w:t>
      </w:r>
      <w:r>
        <w:rPr>
          <w:rFonts w:hint="eastAsia" w:ascii="新宋体" w:hAnsi="新宋体" w:eastAsia="新宋体"/>
          <w:b/>
          <w:bCs/>
          <w:color w:val="auto"/>
          <w:sz w:val="22"/>
          <w:szCs w:val="22"/>
          <w:highlight w:val="none"/>
          <w:u w:val="single"/>
          <w:lang w:val="zh-CN"/>
        </w:rPr>
        <w:t>。</w:t>
      </w:r>
    </w:p>
    <w:p>
      <w:pPr>
        <w:adjustRightInd w:val="0"/>
        <w:snapToGrid w:val="0"/>
        <w:spacing w:line="300" w:lineRule="auto"/>
        <w:jc w:val="center"/>
        <w:rPr>
          <w:b/>
          <w:color w:val="auto"/>
          <w:spacing w:val="6"/>
          <w:sz w:val="22"/>
          <w:szCs w:val="22"/>
          <w:highlight w:val="none"/>
        </w:rPr>
      </w:pPr>
    </w:p>
    <w:p>
      <w:pPr>
        <w:adjustRightInd w:val="0"/>
        <w:snapToGrid w:val="0"/>
        <w:spacing w:line="300" w:lineRule="auto"/>
        <w:jc w:val="center"/>
        <w:rPr>
          <w:rFonts w:hint="eastAsia"/>
          <w:b/>
          <w:color w:val="auto"/>
          <w:spacing w:val="6"/>
          <w:sz w:val="22"/>
          <w:szCs w:val="22"/>
          <w:highlight w:val="none"/>
        </w:rPr>
      </w:pPr>
    </w:p>
    <w:p>
      <w:pPr>
        <w:adjustRightInd w:val="0"/>
        <w:snapToGrid w:val="0"/>
        <w:spacing w:line="300" w:lineRule="auto"/>
        <w:jc w:val="center"/>
        <w:rPr>
          <w:rFonts w:hint="eastAsia"/>
          <w:b/>
          <w:color w:val="auto"/>
          <w:spacing w:val="6"/>
          <w:sz w:val="22"/>
          <w:szCs w:val="22"/>
          <w:highlight w:val="none"/>
        </w:rPr>
      </w:pPr>
    </w:p>
    <w:p>
      <w:pPr>
        <w:adjustRightInd w:val="0"/>
        <w:snapToGrid w:val="0"/>
        <w:spacing w:line="300" w:lineRule="auto"/>
        <w:jc w:val="center"/>
        <w:rPr>
          <w:rFonts w:hint="eastAsia" w:cs="Arial"/>
          <w:color w:val="auto"/>
          <w:kern w:val="0"/>
          <w:sz w:val="22"/>
          <w:szCs w:val="22"/>
          <w:highlight w:val="none"/>
        </w:rPr>
      </w:pPr>
      <w:r>
        <w:rPr>
          <w:rFonts w:hint="eastAsia"/>
          <w:b/>
          <w:color w:val="auto"/>
          <w:spacing w:val="6"/>
          <w:sz w:val="22"/>
          <w:szCs w:val="22"/>
          <w:highlight w:val="none"/>
        </w:rPr>
        <w:t>监狱企业声明函</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【非监狱企业不用提供】</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本企业郑重声明，根据《关于政府采购支持监狱企业发展有关问题的通知》（财库[2014]68号）的规定，本企业为监狱企业。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根据上述标准，我企业属于监狱企业的理由为：</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本企业为参加（招标项目名称</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）（招标编号</w:t>
      </w:r>
      <w:r>
        <w:rPr>
          <w:rFonts w:hint="eastAsia" w:ascii="新宋体" w:hAnsi="新宋体" w:eastAsia="新宋体" w:cs="新宋体"/>
          <w:color w:val="auto"/>
          <w:spacing w:val="6"/>
          <w:sz w:val="22"/>
          <w:szCs w:val="22"/>
          <w:highlight w:val="none"/>
          <w:u w:val="single"/>
        </w:rPr>
        <w:t xml:space="preserve">：         </w:t>
      </w:r>
      <w:r>
        <w:rPr>
          <w:rFonts w:hint="eastAsia" w:ascii="新宋体" w:hAnsi="新宋体" w:eastAsia="新宋体" w:cs="新宋体"/>
          <w:color w:val="auto"/>
          <w:spacing w:val="6"/>
          <w:sz w:val="22"/>
          <w:szCs w:val="22"/>
          <w:highlight w:val="none"/>
        </w:rPr>
        <w:t xml:space="preserve">）采购活动并承担本工程。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本企业对上述声明的真实性负责。如有虚假，将依法承担相应责任。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r>
        <w:rPr>
          <w:rFonts w:hint="eastAsia" w:ascii="新宋体" w:hAnsi="新宋体" w:eastAsia="新宋体" w:cs="新宋体"/>
          <w:color w:val="auto"/>
          <w:kern w:val="0"/>
          <w:sz w:val="22"/>
          <w:szCs w:val="22"/>
          <w:highlight w:val="none"/>
        </w:rPr>
        <w:t xml:space="preserve">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xml:space="preserve">日期：    年    月   日 </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 xml:space="preserve">监狱企业参加政府采购活动时，应当提供由省级以上监狱管理局、戒毒管理局（含新疆生产建设兵团）出具的属于监狱企业的证明文件。 </w:t>
      </w:r>
    </w:p>
    <w:p>
      <w:pPr>
        <w:adjustRightInd w:val="0"/>
        <w:snapToGrid w:val="0"/>
        <w:spacing w:line="460" w:lineRule="exact"/>
        <w:ind w:firstLine="464"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pacing w:val="6"/>
          <w:sz w:val="22"/>
          <w:szCs w:val="22"/>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tabs>
          <w:tab w:val="left" w:pos="1620"/>
        </w:tabs>
        <w:spacing w:line="460" w:lineRule="exact"/>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（6）中小企业的相关证明材料</w:t>
      </w:r>
    </w:p>
    <w:p>
      <w:pPr>
        <w:snapToGrid w:val="0"/>
        <w:spacing w:line="460" w:lineRule="exact"/>
        <w:ind w:firstLine="464" w:firstLineChars="200"/>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【非</w:t>
      </w:r>
      <w:r>
        <w:rPr>
          <w:rFonts w:hint="eastAsia" w:ascii="新宋体" w:hAnsi="新宋体" w:eastAsia="新宋体" w:cs="新宋体"/>
          <w:color w:val="auto"/>
          <w:spacing w:val="6"/>
          <w:sz w:val="22"/>
          <w:szCs w:val="22"/>
          <w:highlight w:val="none"/>
          <w:lang w:val="zh-CN"/>
        </w:rPr>
        <w:t>小型、微型</w:t>
      </w:r>
      <w:r>
        <w:rPr>
          <w:rFonts w:hint="eastAsia" w:ascii="新宋体" w:hAnsi="新宋体" w:eastAsia="新宋体" w:cs="新宋体"/>
          <w:color w:val="auto"/>
          <w:spacing w:val="6"/>
          <w:sz w:val="22"/>
          <w:szCs w:val="22"/>
          <w:highlight w:val="none"/>
        </w:rPr>
        <w:t>企业不用提供】</w:t>
      </w:r>
    </w:p>
    <w:p>
      <w:pPr>
        <w:spacing w:line="380" w:lineRule="exact"/>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lang w:val="zh-CN"/>
        </w:rPr>
        <w:t>价格给予6%的扣除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541" w:firstLineChars="245"/>
        <w:rPr>
          <w:rFonts w:hint="eastAsia" w:ascii="新宋体" w:hAnsi="新宋体" w:eastAsia="新宋体"/>
          <w:color w:val="auto"/>
          <w:sz w:val="22"/>
          <w:szCs w:val="22"/>
          <w:highlight w:val="none"/>
          <w:lang w:val="zh-CN"/>
        </w:rPr>
      </w:pPr>
      <w:r>
        <w:rPr>
          <w:rFonts w:hint="eastAsia" w:ascii="新宋体" w:hAnsi="新宋体" w:eastAsia="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w:t>
      </w:r>
      <w:r>
        <w:rPr>
          <w:rFonts w:hint="eastAsia" w:ascii="新宋体" w:hAnsi="新宋体" w:eastAsia="新宋体"/>
          <w:b/>
          <w:bCs/>
          <w:color w:val="auto"/>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投标文件中必须提供《中小企业声明函》、《关于印发中小企业划型标准规定的通知》（工信部联企业〔2011〕300号）。</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必须提供</w:t>
      </w:r>
      <w:r>
        <w:rPr>
          <w:rFonts w:hint="eastAsia" w:ascii="新宋体" w:hAnsi="新宋体" w:eastAsia="新宋体"/>
          <w:b/>
          <w:bCs/>
          <w:color w:val="auto"/>
          <w:sz w:val="22"/>
          <w:szCs w:val="22"/>
          <w:highlight w:val="none"/>
          <w:u w:val="single"/>
        </w:rPr>
        <w:t>投标人、</w:t>
      </w:r>
      <w:r>
        <w:rPr>
          <w:rFonts w:hint="eastAsia" w:ascii="新宋体" w:hAnsi="新宋体" w:eastAsia="新宋体"/>
          <w:b/>
          <w:bCs/>
          <w:color w:val="auto"/>
          <w:sz w:val="22"/>
          <w:szCs w:val="22"/>
          <w:highlight w:val="none"/>
          <w:u w:val="single"/>
          <w:lang w:val="zh-CN"/>
        </w:rPr>
        <w:t>投标产品生产企业为小型、微型企业</w:t>
      </w:r>
      <w:r>
        <w:rPr>
          <w:rFonts w:hint="eastAsia" w:ascii="新宋体" w:hAnsi="新宋体" w:eastAsia="新宋体"/>
          <w:b/>
          <w:bCs/>
          <w:color w:val="auto"/>
          <w:sz w:val="22"/>
          <w:szCs w:val="22"/>
          <w:highlight w:val="none"/>
          <w:u w:val="single"/>
        </w:rPr>
        <w:t>与</w:t>
      </w:r>
      <w:r>
        <w:rPr>
          <w:rFonts w:hint="eastAsia" w:ascii="新宋体" w:hAnsi="新宋体" w:eastAsia="新宋体"/>
          <w:b/>
          <w:bCs/>
          <w:color w:val="auto"/>
          <w:sz w:val="22"/>
          <w:szCs w:val="22"/>
          <w:highlight w:val="none"/>
          <w:u w:val="single"/>
          <w:lang w:val="zh-CN"/>
        </w:rPr>
        <w:t>《关于印发中小企业划型标准规定的通知》（工信部联企业〔2011〕300号）</w:t>
      </w:r>
      <w:r>
        <w:rPr>
          <w:rFonts w:hint="eastAsia" w:ascii="新宋体" w:hAnsi="新宋体" w:eastAsia="新宋体"/>
          <w:b/>
          <w:bCs/>
          <w:color w:val="auto"/>
          <w:sz w:val="22"/>
          <w:szCs w:val="22"/>
          <w:highlight w:val="none"/>
          <w:u w:val="single"/>
        </w:rPr>
        <w:t>规定所属行业</w:t>
      </w:r>
      <w:r>
        <w:rPr>
          <w:rFonts w:hint="eastAsia" w:ascii="新宋体" w:hAnsi="新宋体" w:eastAsia="新宋体"/>
          <w:b/>
          <w:bCs/>
          <w:color w:val="auto"/>
          <w:sz w:val="22"/>
          <w:szCs w:val="22"/>
          <w:highlight w:val="none"/>
          <w:u w:val="single"/>
          <w:lang w:val="zh-CN"/>
        </w:rPr>
        <w:t>为小型、微型企业</w:t>
      </w:r>
      <w:r>
        <w:rPr>
          <w:rFonts w:hint="eastAsia" w:ascii="新宋体" w:hAnsi="新宋体" w:eastAsia="新宋体"/>
          <w:b/>
          <w:bCs/>
          <w:color w:val="auto"/>
          <w:sz w:val="22"/>
          <w:szCs w:val="22"/>
          <w:highlight w:val="none"/>
          <w:u w:val="single"/>
        </w:rPr>
        <w:t>标准要求对应的</w:t>
      </w:r>
      <w:r>
        <w:rPr>
          <w:rFonts w:hint="eastAsia" w:ascii="新宋体" w:hAnsi="新宋体" w:eastAsia="新宋体"/>
          <w:b/>
          <w:bCs/>
          <w:color w:val="auto"/>
          <w:sz w:val="22"/>
          <w:szCs w:val="22"/>
          <w:highlight w:val="none"/>
          <w:u w:val="single"/>
          <w:lang w:val="zh-CN"/>
        </w:rPr>
        <w:t>相关充分证明材料；</w:t>
      </w:r>
    </w:p>
    <w:p>
      <w:pPr>
        <w:spacing w:line="460" w:lineRule="exact"/>
        <w:ind w:firstLine="541" w:firstLineChars="245"/>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②</w:t>
      </w:r>
      <w:r>
        <w:rPr>
          <w:rFonts w:hint="eastAsia" w:ascii="新宋体" w:hAnsi="新宋体" w:eastAsia="新宋体"/>
          <w:b/>
          <w:bCs/>
          <w:color w:val="auto"/>
          <w:sz w:val="22"/>
          <w:szCs w:val="22"/>
          <w:highlight w:val="none"/>
          <w:lang w:val="zh-CN"/>
        </w:rPr>
        <w:t>投标人已通过浙江政府采购网申请注册并成为正式入库供应商</w:t>
      </w:r>
      <w:r>
        <w:rPr>
          <w:rFonts w:hint="eastAsia" w:ascii="新宋体" w:hAnsi="新宋体" w:eastAsia="新宋体"/>
          <w:b/>
          <w:bCs/>
          <w:color w:val="auto"/>
          <w:sz w:val="22"/>
          <w:szCs w:val="22"/>
          <w:highlight w:val="none"/>
          <w:u w:val="single"/>
          <w:lang w:val="zh-CN"/>
        </w:rPr>
        <w:t>并提供</w:t>
      </w:r>
      <w:r>
        <w:rPr>
          <w:rFonts w:hint="eastAsia" w:ascii="新宋体" w:hAnsi="新宋体" w:eastAsia="新宋体"/>
          <w:b/>
          <w:bCs/>
          <w:color w:val="auto"/>
          <w:sz w:val="22"/>
          <w:szCs w:val="22"/>
          <w:highlight w:val="none"/>
          <w:u w:val="single"/>
        </w:rPr>
        <w:t>注册为</w:t>
      </w:r>
      <w:r>
        <w:rPr>
          <w:rFonts w:hint="eastAsia" w:ascii="新宋体" w:hAnsi="新宋体" w:eastAsia="新宋体"/>
          <w:b/>
          <w:bCs/>
          <w:color w:val="auto"/>
          <w:sz w:val="22"/>
          <w:szCs w:val="22"/>
          <w:highlight w:val="none"/>
          <w:u w:val="single"/>
          <w:lang w:val="zh-CN"/>
        </w:rPr>
        <w:t>小型、微型企业证明材料</w:t>
      </w:r>
      <w:r>
        <w:rPr>
          <w:rFonts w:hint="eastAsia" w:ascii="新宋体" w:hAnsi="新宋体" w:eastAsia="新宋体"/>
          <w:b/>
          <w:bCs/>
          <w:color w:val="auto"/>
          <w:sz w:val="22"/>
          <w:szCs w:val="22"/>
          <w:highlight w:val="none"/>
          <w:lang w:val="zh-CN"/>
        </w:rPr>
        <w:t>。</w:t>
      </w:r>
    </w:p>
    <w:p>
      <w:pPr>
        <w:spacing w:line="460" w:lineRule="exact"/>
        <w:ind w:firstLine="541" w:firstLineChars="245"/>
        <w:rPr>
          <w:rFonts w:hint="eastAsia" w:ascii="新宋体" w:hAnsi="新宋体" w:eastAsia="新宋体"/>
          <w:b/>
          <w:bCs/>
          <w:color w:val="auto"/>
          <w:sz w:val="22"/>
          <w:szCs w:val="22"/>
          <w:highlight w:val="none"/>
        </w:rPr>
      </w:pP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rPr>
        <w:t>注：</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w:t>
      </w:r>
      <w:r>
        <w:rPr>
          <w:rFonts w:hint="eastAsia" w:ascii="新宋体" w:hAnsi="新宋体" w:eastAsia="新宋体"/>
          <w:b/>
          <w:bCs/>
          <w:color w:val="auto"/>
          <w:sz w:val="22"/>
          <w:szCs w:val="22"/>
          <w:highlight w:val="none"/>
          <w:u w:val="single"/>
          <w:lang w:val="zh-CN"/>
        </w:rPr>
        <w:t>小型、微型企业</w:t>
      </w:r>
      <w:r>
        <w:rPr>
          <w:rFonts w:hint="eastAsia" w:ascii="新宋体" w:hAnsi="新宋体" w:eastAsia="新宋体"/>
          <w:b/>
          <w:bCs/>
          <w:color w:val="auto"/>
          <w:sz w:val="22"/>
          <w:szCs w:val="22"/>
          <w:highlight w:val="none"/>
          <w:u w:val="single"/>
        </w:rPr>
        <w:t>的按非小型或</w:t>
      </w:r>
      <w:r>
        <w:rPr>
          <w:rFonts w:hint="eastAsia" w:ascii="新宋体" w:hAnsi="新宋体" w:eastAsia="新宋体"/>
          <w:b/>
          <w:bCs/>
          <w:color w:val="auto"/>
          <w:sz w:val="22"/>
          <w:szCs w:val="22"/>
          <w:highlight w:val="none"/>
          <w:u w:val="single"/>
          <w:lang w:val="zh-CN"/>
        </w:rPr>
        <w:t>微型企业</w:t>
      </w:r>
      <w:r>
        <w:rPr>
          <w:rFonts w:hint="eastAsia" w:ascii="新宋体" w:hAnsi="新宋体" w:eastAsia="新宋体"/>
          <w:b/>
          <w:bCs/>
          <w:color w:val="auto"/>
          <w:sz w:val="22"/>
          <w:szCs w:val="22"/>
          <w:highlight w:val="none"/>
          <w:u w:val="single"/>
        </w:rPr>
        <w:t>处理，所提供的证明材料应为最新的最近的</w:t>
      </w:r>
      <w:r>
        <w:rPr>
          <w:rFonts w:hint="eastAsia" w:ascii="新宋体" w:hAnsi="新宋体" w:eastAsia="新宋体"/>
          <w:b/>
          <w:bCs/>
          <w:color w:val="auto"/>
          <w:sz w:val="22"/>
          <w:szCs w:val="22"/>
          <w:highlight w:val="none"/>
          <w:u w:val="single"/>
          <w:lang w:val="zh-CN"/>
        </w:rPr>
        <w:t>。</w:t>
      </w: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tabs>
          <w:tab w:val="left" w:pos="1620"/>
        </w:tabs>
        <w:spacing w:line="46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《中小企业声明函》</w:t>
      </w:r>
    </w:p>
    <w:p>
      <w:pPr>
        <w:snapToGrid w:val="0"/>
        <w:spacing w:line="460" w:lineRule="exact"/>
        <w:jc w:val="center"/>
        <w:rPr>
          <w:rFonts w:hint="eastAsia" w:ascii="新宋体" w:hAnsi="新宋体" w:eastAsia="新宋体" w:cs="新宋体"/>
          <w:color w:val="auto"/>
          <w:sz w:val="22"/>
          <w:szCs w:val="22"/>
          <w:highlight w:val="none"/>
        </w:rPr>
      </w:pPr>
      <w:r>
        <w:rPr>
          <w:rFonts w:hint="eastAsia" w:cs="Arial"/>
          <w:color w:val="auto"/>
          <w:kern w:val="0"/>
          <w:sz w:val="22"/>
          <w:szCs w:val="22"/>
          <w:highlight w:val="none"/>
        </w:rPr>
        <w:t>【不属于中小企业单位的无需填写、递交】</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本公司郑重声明，根据《政府采购促进中小企业发展暂行办法》（财库[2011]181号）的规定，本公司为______（请填写：中型、小型、微型）企业。即，本公司同时满足以下条件：</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1.根据《工业和信息化部、国家统计局、国家发展和改革委员会、财政部关于印发中小企业划型标准规定的通知》（工信部联企业[2011]300号）规定的划分标准，本公司为______（请填写：中型、小型、微型）企业。</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新宋体" w:hAnsi="新宋体" w:eastAsia="新宋体" w:cs="新宋体"/>
          <w:color w:val="auto"/>
          <w:sz w:val="22"/>
          <w:szCs w:val="22"/>
          <w:highlight w:val="none"/>
        </w:rPr>
        <w:br w:type="textWrapping"/>
      </w:r>
      <w:r>
        <w:rPr>
          <w:rFonts w:hint="eastAsia" w:ascii="新宋体" w:hAnsi="新宋体" w:eastAsia="新宋体" w:cs="新宋体"/>
          <w:color w:val="auto"/>
          <w:sz w:val="22"/>
          <w:szCs w:val="22"/>
          <w:highlight w:val="none"/>
        </w:rPr>
        <w:t>  </w:t>
      </w:r>
    </w:p>
    <w:p>
      <w:pPr>
        <w:snapToGrid w:val="0"/>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本公司对上述声明的真实性负责。如有虚假，将依法承担相应责任。</w:t>
      </w:r>
    </w:p>
    <w:p>
      <w:pPr>
        <w:snapToGrid w:val="0"/>
        <w:spacing w:line="460" w:lineRule="exact"/>
        <w:rPr>
          <w:rFonts w:hint="eastAsia" w:ascii="新宋体" w:hAnsi="新宋体" w:eastAsia="新宋体" w:cs="新宋体"/>
          <w:color w:val="auto"/>
          <w:sz w:val="22"/>
          <w:szCs w:val="22"/>
          <w:highlight w:val="none"/>
        </w:rPr>
      </w:pPr>
    </w:p>
    <w:p>
      <w:pPr>
        <w:snapToGrid w:val="0"/>
        <w:spacing w:line="460" w:lineRule="exact"/>
        <w:rPr>
          <w:rFonts w:hint="eastAsia" w:ascii="新宋体" w:hAnsi="新宋体" w:eastAsia="新宋体" w:cs="新宋体"/>
          <w:color w:val="auto"/>
          <w:sz w:val="22"/>
          <w:szCs w:val="22"/>
          <w:highlight w:val="none"/>
        </w:rPr>
      </w:pPr>
    </w:p>
    <w:p>
      <w:pPr>
        <w:snapToGrid w:val="0"/>
        <w:spacing w:line="460" w:lineRule="exact"/>
        <w:rPr>
          <w:rFonts w:hint="eastAsia" w:ascii="新宋体" w:hAnsi="新宋体" w:eastAsia="新宋体" w:cs="新宋体"/>
          <w:color w:val="auto"/>
          <w:spacing w:val="20"/>
          <w:sz w:val="22"/>
          <w:szCs w:val="22"/>
          <w:highlight w:val="none"/>
          <w:u w:val="single"/>
        </w:rPr>
      </w:pPr>
      <w:r>
        <w:rPr>
          <w:rFonts w:hint="eastAsia" w:ascii="新宋体" w:hAnsi="新宋体" w:eastAsia="新宋体" w:cs="新宋体"/>
          <w:color w:val="auto"/>
          <w:sz w:val="22"/>
          <w:szCs w:val="22"/>
          <w:highlight w:val="none"/>
        </w:rPr>
        <w:t>法定代表人或授权委托人</w:t>
      </w:r>
      <w:r>
        <w:rPr>
          <w:rFonts w:hint="eastAsia" w:ascii="新宋体" w:hAnsi="新宋体" w:eastAsia="新宋体" w:cs="新宋体"/>
          <w:color w:val="auto"/>
          <w:spacing w:val="20"/>
          <w:sz w:val="22"/>
          <w:szCs w:val="22"/>
          <w:highlight w:val="none"/>
        </w:rPr>
        <w:t>签名：</w:t>
      </w:r>
      <w:r>
        <w:rPr>
          <w:rFonts w:hint="eastAsia" w:ascii="新宋体" w:hAnsi="新宋体" w:eastAsia="新宋体" w:cs="新宋体"/>
          <w:color w:val="auto"/>
          <w:spacing w:val="20"/>
          <w:sz w:val="22"/>
          <w:szCs w:val="22"/>
          <w:highlight w:val="none"/>
          <w:u w:val="single"/>
        </w:rPr>
        <w:t xml:space="preserve">          </w:t>
      </w:r>
    </w:p>
    <w:p>
      <w:pPr>
        <w:snapToGrid w:val="0"/>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r>
        <w:rPr>
          <w:rFonts w:hint="eastAsia" w:ascii="新宋体" w:hAnsi="新宋体" w:eastAsia="新宋体" w:cs="新宋体"/>
          <w:color w:val="auto"/>
          <w:spacing w:val="20"/>
          <w:sz w:val="22"/>
          <w:szCs w:val="22"/>
          <w:highlight w:val="none"/>
        </w:rPr>
        <w:t>投标人盖章：</w:t>
      </w:r>
      <w:r>
        <w:rPr>
          <w:rFonts w:hint="eastAsia" w:ascii="新宋体" w:hAnsi="新宋体" w:eastAsia="新宋体" w:cs="新宋体"/>
          <w:color w:val="auto"/>
          <w:spacing w:val="20"/>
          <w:sz w:val="22"/>
          <w:szCs w:val="22"/>
          <w:highlight w:val="none"/>
          <w:u w:val="single"/>
        </w:rPr>
        <w:t xml:space="preserve">               </w:t>
      </w:r>
      <w:r>
        <w:rPr>
          <w:rFonts w:hint="eastAsia" w:ascii="新宋体" w:hAnsi="新宋体" w:eastAsia="新宋体" w:cs="新宋体"/>
          <w:color w:val="auto"/>
          <w:spacing w:val="20"/>
          <w:sz w:val="22"/>
          <w:szCs w:val="22"/>
          <w:highlight w:val="none"/>
        </w:rPr>
        <w:t xml:space="preserve">           日  期：</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pStyle w:val="9"/>
        <w:rPr>
          <w:rFonts w:hint="eastAsia" w:ascii="新宋体" w:hAnsi="新宋体" w:eastAsia="新宋体" w:cs="新宋体"/>
          <w:color w:val="auto"/>
          <w:spacing w:val="20"/>
          <w:sz w:val="22"/>
          <w:szCs w:val="22"/>
          <w:highlight w:val="none"/>
        </w:rPr>
      </w:pPr>
    </w:p>
    <w:p>
      <w:pPr>
        <w:rPr>
          <w:rFonts w:hint="eastAsia"/>
          <w:color w:val="auto"/>
          <w:highlight w:val="none"/>
        </w:rPr>
      </w:pPr>
    </w:p>
    <w:p>
      <w:pPr>
        <w:spacing w:line="460" w:lineRule="exact"/>
        <w:rPr>
          <w:rFonts w:hint="eastAsia" w:ascii="新宋体" w:hAnsi="新宋体" w:eastAsia="新宋体" w:cs="新宋体"/>
          <w:color w:val="auto"/>
          <w:spacing w:val="20"/>
          <w:sz w:val="22"/>
          <w:szCs w:val="22"/>
          <w:highlight w:val="none"/>
        </w:rPr>
      </w:pPr>
    </w:p>
    <w:p>
      <w:pPr>
        <w:spacing w:line="420" w:lineRule="exact"/>
        <w:ind w:left="514" w:leftChars="245"/>
        <w:outlineLvl w:val="3"/>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（7）残疾人福利性单位的相关证明材料</w:t>
      </w:r>
    </w:p>
    <w:p>
      <w:pPr>
        <w:spacing w:line="460" w:lineRule="exact"/>
        <w:ind w:firstLine="1164" w:firstLineChars="500"/>
        <w:rPr>
          <w:rFonts w:hint="eastAsia" w:ascii="新宋体" w:hAnsi="新宋体" w:eastAsia="新宋体" w:cs="新宋体"/>
          <w:color w:val="auto"/>
          <w:spacing w:val="20"/>
          <w:sz w:val="22"/>
          <w:szCs w:val="22"/>
          <w:highlight w:val="none"/>
        </w:rPr>
      </w:pPr>
      <w:r>
        <w:rPr>
          <w:rFonts w:hint="eastAsia"/>
          <w:b/>
          <w:color w:val="auto"/>
          <w:spacing w:val="6"/>
          <w:sz w:val="22"/>
          <w:szCs w:val="22"/>
          <w:highlight w:val="none"/>
        </w:rPr>
        <w:t>需提供相关证明材料，</w:t>
      </w:r>
      <w:r>
        <w:rPr>
          <w:rFonts w:hint="eastAsia" w:ascii="新宋体" w:hAnsi="新宋体" w:eastAsia="新宋体"/>
          <w:b/>
          <w:bCs/>
          <w:color w:val="auto"/>
          <w:sz w:val="22"/>
          <w:szCs w:val="22"/>
          <w:highlight w:val="none"/>
          <w:u w:val="single"/>
          <w:lang w:val="zh-CN"/>
        </w:rPr>
        <w:t>未提供证明材料或不能清楚辨析</w:t>
      </w:r>
      <w:r>
        <w:rPr>
          <w:rFonts w:hint="eastAsia" w:ascii="新宋体" w:hAnsi="新宋体" w:eastAsia="新宋体"/>
          <w:b/>
          <w:bCs/>
          <w:color w:val="auto"/>
          <w:sz w:val="22"/>
          <w:szCs w:val="22"/>
          <w:highlight w:val="none"/>
          <w:u w:val="single"/>
        </w:rPr>
        <w:t>是残疾人福利性单位的按非残疾人福利性单位处理，所提供的证明材料应为最新的最近的</w:t>
      </w:r>
      <w:r>
        <w:rPr>
          <w:rFonts w:hint="eastAsia" w:ascii="新宋体" w:hAnsi="新宋体" w:eastAsia="新宋体"/>
          <w:b/>
          <w:bCs/>
          <w:color w:val="auto"/>
          <w:sz w:val="22"/>
          <w:szCs w:val="22"/>
          <w:highlight w:val="none"/>
          <w:u w:val="single"/>
          <w:lang w:val="zh-CN"/>
        </w:rPr>
        <w:t>。</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jc w:val="center"/>
        <w:rPr>
          <w:rFonts w:hint="eastAsia" w:ascii="新宋体" w:hAnsi="新宋体" w:eastAsia="新宋体" w:cs="新宋体"/>
          <w:color w:val="auto"/>
          <w:spacing w:val="6"/>
          <w:sz w:val="22"/>
          <w:szCs w:val="22"/>
          <w:highlight w:val="none"/>
        </w:rPr>
      </w:pPr>
      <w:r>
        <w:rPr>
          <w:rFonts w:hint="eastAsia" w:ascii="新宋体" w:hAnsi="新宋体" w:eastAsia="新宋体" w:cs="新宋体"/>
          <w:b/>
          <w:color w:val="auto"/>
          <w:spacing w:val="6"/>
          <w:sz w:val="22"/>
          <w:szCs w:val="22"/>
          <w:highlight w:val="none"/>
        </w:rPr>
        <w:t>残疾人福利性单位声明函</w:t>
      </w:r>
    </w:p>
    <w:p>
      <w:pPr>
        <w:widowControl/>
        <w:adjustRightInd w:val="0"/>
        <w:snapToGrid w:val="0"/>
        <w:spacing w:line="460" w:lineRule="exact"/>
        <w:ind w:firstLine="440" w:firstLineChars="200"/>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【不属于残疾人福利性单位的无需填写、递交】</w:t>
      </w:r>
    </w:p>
    <w:p>
      <w:pPr>
        <w:snapToGrid w:val="0"/>
        <w:spacing w:line="460" w:lineRule="exact"/>
        <w:jc w:val="center"/>
        <w:rPr>
          <w:rFonts w:hint="eastAsia" w:ascii="新宋体" w:hAnsi="新宋体" w:eastAsia="新宋体" w:cs="新宋体"/>
          <w:b/>
          <w:bCs/>
          <w:color w:val="auto"/>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本单位郑重声明，根据《财政部民政部中国残疾人联合会关于促进残疾人就业政府采购政策的通知》（财库</w:t>
      </w:r>
      <w:r>
        <w:rPr>
          <w:rFonts w:hint="eastAsia" w:ascii="新宋体" w:hAnsi="新宋体" w:eastAsia="新宋体" w:cs="新宋体"/>
          <w:color w:val="auto"/>
          <w:sz w:val="22"/>
          <w:szCs w:val="22"/>
          <w:highlight w:val="none"/>
        </w:rPr>
        <w:t>〔2017〕141</w:t>
      </w:r>
      <w:r>
        <w:rPr>
          <w:rFonts w:hint="eastAsia" w:ascii="新宋体" w:hAnsi="新宋体" w:eastAsia="新宋体" w:cs="新宋体"/>
          <w:color w:val="auto"/>
          <w:spacing w:val="6"/>
          <w:sz w:val="22"/>
          <w:szCs w:val="22"/>
          <w:highlight w:val="none"/>
        </w:rPr>
        <w:t>号）的规定，本单位为符合条件的残疾人福利性单位，且本单位参加</w:t>
      </w:r>
      <w:r>
        <w:rPr>
          <w:rFonts w:hint="eastAsia" w:ascii="新宋体" w:hAnsi="新宋体" w:eastAsia="新宋体" w:cs="新宋体"/>
          <w:color w:val="auto"/>
          <w:spacing w:val="6"/>
          <w:sz w:val="22"/>
          <w:szCs w:val="22"/>
          <w:highlight w:val="none"/>
          <w:u w:val="single"/>
        </w:rPr>
        <w:t>（招标人名称）</w:t>
      </w:r>
      <w:r>
        <w:rPr>
          <w:rFonts w:hint="eastAsia" w:ascii="新宋体" w:hAnsi="新宋体" w:eastAsia="新宋体" w:cs="新宋体"/>
          <w:color w:val="auto"/>
          <w:spacing w:val="6"/>
          <w:sz w:val="22"/>
          <w:szCs w:val="22"/>
          <w:highlight w:val="none"/>
        </w:rPr>
        <w:t>单位的</w:t>
      </w:r>
      <w:r>
        <w:rPr>
          <w:rFonts w:hint="eastAsia" w:ascii="新宋体" w:hAnsi="新宋体" w:eastAsia="新宋体" w:cs="新宋体"/>
          <w:color w:val="auto"/>
          <w:spacing w:val="6"/>
          <w:sz w:val="22"/>
          <w:szCs w:val="22"/>
          <w:highlight w:val="none"/>
          <w:u w:val="single"/>
        </w:rPr>
        <w:t>（招标项目名称）</w:t>
      </w:r>
      <w:r>
        <w:rPr>
          <w:rFonts w:hint="eastAsia" w:ascii="新宋体" w:hAnsi="新宋体" w:eastAsia="新宋体" w:cs="新宋体"/>
          <w:color w:val="auto"/>
          <w:spacing w:val="6"/>
          <w:sz w:val="22"/>
          <w:szCs w:val="22"/>
          <w:highlight w:val="none"/>
        </w:rPr>
        <w:t>项目采购活动提供本单位制造的货物（由本单位承担工程/提供服务），或者提供其他残疾人福利性单位制造的货物（不包括使用非残疾人福利性单位注册商标的货物）。</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r>
        <w:rPr>
          <w:rFonts w:hint="eastAsia" w:ascii="新宋体" w:hAnsi="新宋体" w:eastAsia="新宋体" w:cs="新宋体"/>
          <w:color w:val="auto"/>
          <w:spacing w:val="6"/>
          <w:sz w:val="22"/>
          <w:szCs w:val="22"/>
          <w:highlight w:val="none"/>
        </w:rPr>
        <w:t>本单位对上述声明的真实性负责。如有虚假，将依法承担相应责任。</w:t>
      </w: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snapToGrid w:val="0"/>
        <w:spacing w:line="460" w:lineRule="exact"/>
        <w:ind w:firstLine="464" w:firstLineChars="200"/>
        <w:rPr>
          <w:rFonts w:hint="eastAsia" w:ascii="新宋体" w:hAnsi="新宋体" w:eastAsia="新宋体" w:cs="新宋体"/>
          <w:color w:val="auto"/>
          <w:spacing w:val="6"/>
          <w:sz w:val="22"/>
          <w:szCs w:val="22"/>
          <w:highlight w:val="none"/>
        </w:rPr>
      </w:pP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u w:val="single"/>
        </w:rPr>
      </w:pPr>
      <w:r>
        <w:rPr>
          <w:rFonts w:hint="eastAsia" w:ascii="新宋体" w:hAnsi="新宋体" w:eastAsia="新宋体" w:cs="新宋体"/>
          <w:color w:val="auto"/>
          <w:kern w:val="0"/>
          <w:sz w:val="22"/>
          <w:szCs w:val="22"/>
          <w:highlight w:val="none"/>
        </w:rPr>
        <w:t>投标人全称（盖章）：</w:t>
      </w:r>
      <w:r>
        <w:rPr>
          <w:rFonts w:hint="eastAsia" w:ascii="新宋体" w:hAnsi="新宋体" w:eastAsia="新宋体" w:cs="新宋体"/>
          <w:color w:val="auto"/>
          <w:kern w:val="0"/>
          <w:sz w:val="22"/>
          <w:szCs w:val="22"/>
          <w:highlight w:val="none"/>
          <w:u w:val="single"/>
        </w:rPr>
        <w:t xml:space="preserve">                    </w:t>
      </w:r>
    </w:p>
    <w:p>
      <w:pPr>
        <w:adjustRightInd w:val="0"/>
        <w:snapToGrid w:val="0"/>
        <w:spacing w:line="460" w:lineRule="exact"/>
        <w:ind w:firstLine="440" w:firstLineChars="20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日期：    年   月  日</w:t>
      </w: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spacing w:line="460" w:lineRule="exact"/>
        <w:rPr>
          <w:rFonts w:hint="eastAsia" w:ascii="新宋体" w:hAnsi="新宋体" w:eastAsia="新宋体" w:cs="新宋体"/>
          <w:color w:val="auto"/>
          <w:spacing w:val="20"/>
          <w:sz w:val="22"/>
          <w:szCs w:val="22"/>
          <w:highlight w:val="none"/>
        </w:rPr>
      </w:pPr>
    </w:p>
    <w:p>
      <w:pPr>
        <w:tabs>
          <w:tab w:val="left" w:pos="1620"/>
        </w:tabs>
        <w:spacing w:line="460" w:lineRule="exact"/>
        <w:jc w:val="center"/>
        <w:outlineLvl w:val="3"/>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（8）投标人信用查询</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1、投标人信用信息查询的查询渠道：“信用中国”(www.creditchina.gov.cn)；“中国政府采购网”（http://www.ccgp.gov.cn/）；</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2、投标人信用信息查询截止时点：招标公告发布之日至投标截止时间前。</w:t>
      </w:r>
    </w:p>
    <w:p>
      <w:pPr>
        <w:tabs>
          <w:tab w:val="left" w:pos="360"/>
        </w:tabs>
        <w:spacing w:line="460" w:lineRule="exact"/>
        <w:ind w:firstLine="550" w:firstLineChars="250"/>
        <w:rPr>
          <w:rFonts w:hint="eastAsia" w:ascii="新宋体" w:hAnsi="新宋体" w:eastAsia="新宋体"/>
          <w:color w:val="auto"/>
          <w:sz w:val="22"/>
          <w:highlight w:val="none"/>
        </w:rPr>
      </w:pPr>
      <w:r>
        <w:rPr>
          <w:rFonts w:hint="eastAsia" w:ascii="新宋体" w:hAnsi="新宋体" w:eastAsia="新宋体"/>
          <w:color w:val="auto"/>
          <w:sz w:val="22"/>
          <w:highlight w:val="none"/>
        </w:rPr>
        <w:t>3、投标人信用信息查询记录和证据留存的具体方式：网页截图打印；</w:t>
      </w:r>
    </w:p>
    <w:p>
      <w:pPr>
        <w:tabs>
          <w:tab w:val="left" w:pos="360"/>
        </w:tabs>
        <w:spacing w:line="460" w:lineRule="exact"/>
        <w:ind w:firstLine="552" w:firstLineChars="250"/>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highlight w:val="none"/>
          <w:u w:val="single"/>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附件五</w:t>
      </w:r>
    </w:p>
    <w:p>
      <w:pPr>
        <w:spacing w:line="400" w:lineRule="exact"/>
        <w:jc w:val="center"/>
        <w:outlineLvl w:val="2"/>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 xml:space="preserve">  </w:t>
      </w:r>
      <w:r>
        <w:rPr>
          <w:rFonts w:hint="eastAsia" w:ascii="新宋体" w:hAnsi="新宋体" w:eastAsia="新宋体"/>
          <w:b/>
          <w:bCs/>
          <w:color w:val="auto"/>
          <w:sz w:val="28"/>
          <w:szCs w:val="28"/>
          <w:highlight w:val="none"/>
          <w:lang w:val="zh-CN"/>
        </w:rPr>
        <w:t>偏离表（</w:t>
      </w:r>
      <w:r>
        <w:rPr>
          <w:rFonts w:hint="eastAsia" w:ascii="新宋体" w:hAnsi="新宋体" w:eastAsia="新宋体"/>
          <w:b/>
          <w:bCs/>
          <w:color w:val="auto"/>
          <w:sz w:val="28"/>
          <w:szCs w:val="28"/>
          <w:highlight w:val="none"/>
        </w:rPr>
        <w:t>商务、技术偏离</w:t>
      </w:r>
      <w:r>
        <w:rPr>
          <w:rFonts w:hint="eastAsia" w:ascii="新宋体" w:hAnsi="新宋体" w:eastAsia="新宋体"/>
          <w:b/>
          <w:bCs/>
          <w:color w:val="auto"/>
          <w:sz w:val="28"/>
          <w:szCs w:val="28"/>
          <w:highlight w:val="none"/>
          <w:lang w:val="zh-CN"/>
        </w:rPr>
        <w:t>）</w:t>
      </w:r>
    </w:p>
    <w:p>
      <w:pPr>
        <w:spacing w:line="560" w:lineRule="exact"/>
        <w:ind w:firstLine="433" w:firstLineChars="196"/>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项目名称：                                          项目编号：</w:t>
      </w:r>
    </w:p>
    <w:tbl>
      <w:tblPr>
        <w:tblStyle w:val="5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544"/>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2" w:hRule="atLeast"/>
        </w:trPr>
        <w:tc>
          <w:tcPr>
            <w:tcW w:w="1134" w:type="dxa"/>
            <w:shd w:val="clear" w:color="auto" w:fill="FFFFFF"/>
            <w:noWrap w:val="0"/>
            <w:vAlign w:val="center"/>
          </w:tcPr>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序  号</w:t>
            </w:r>
          </w:p>
        </w:tc>
        <w:tc>
          <w:tcPr>
            <w:tcW w:w="3544" w:type="dxa"/>
            <w:shd w:val="clear" w:color="auto" w:fill="FFFFFF"/>
            <w:noWrap w:val="0"/>
            <w:vAlign w:val="center"/>
          </w:tcPr>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招标文件</w:t>
            </w:r>
          </w:p>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规格要求</w:t>
            </w:r>
          </w:p>
        </w:tc>
        <w:tc>
          <w:tcPr>
            <w:tcW w:w="3402" w:type="dxa"/>
            <w:shd w:val="clear" w:color="auto" w:fill="FFFFFF"/>
            <w:noWrap w:val="0"/>
            <w:vAlign w:val="center"/>
          </w:tcPr>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投标文件</w:t>
            </w:r>
          </w:p>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对应规格</w:t>
            </w:r>
          </w:p>
        </w:tc>
        <w:tc>
          <w:tcPr>
            <w:tcW w:w="1843" w:type="dxa"/>
            <w:shd w:val="clear" w:color="auto" w:fill="FFFFFF"/>
            <w:noWrap w:val="0"/>
            <w:vAlign w:val="center"/>
          </w:tcPr>
          <w:p>
            <w:pPr>
              <w:jc w:val="center"/>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0" w:hRule="atLeast"/>
        </w:trPr>
        <w:tc>
          <w:tcPr>
            <w:tcW w:w="1134" w:type="dxa"/>
            <w:noWrap w:val="0"/>
            <w:vAlign w:val="center"/>
          </w:tcPr>
          <w:p>
            <w:pPr>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jc w:val="center"/>
              <w:rPr>
                <w:rFonts w:hint="eastAsia" w:ascii="新宋体" w:hAnsi="新宋体" w:eastAsia="新宋体"/>
                <w:color w:val="auto"/>
                <w:sz w:val="22"/>
                <w:szCs w:val="22"/>
                <w:highlight w:val="none"/>
              </w:rPr>
            </w:pP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jc w:val="center"/>
              <w:rPr>
                <w:rFonts w:hint="eastAsia" w:ascii="新宋体" w:hAnsi="新宋体" w:eastAsia="新宋体"/>
                <w:color w:val="auto"/>
                <w:sz w:val="22"/>
                <w:szCs w:val="22"/>
                <w:highlight w:val="none"/>
              </w:rPr>
            </w:pP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jc w:val="center"/>
              <w:rPr>
                <w:rFonts w:hint="eastAsia" w:ascii="新宋体" w:hAnsi="新宋体" w:eastAsia="新宋体"/>
                <w:color w:val="auto"/>
                <w:sz w:val="22"/>
                <w:szCs w:val="22"/>
                <w:highlight w:val="none"/>
              </w:rPr>
            </w:pP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jc w:val="center"/>
              <w:rPr>
                <w:rFonts w:hint="eastAsia" w:ascii="新宋体" w:hAnsi="新宋体" w:eastAsia="新宋体"/>
                <w:color w:val="auto"/>
                <w:sz w:val="22"/>
                <w:szCs w:val="22"/>
                <w:highlight w:val="none"/>
              </w:rPr>
            </w:pP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ind w:firstLine="220" w:firstLineChars="1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jc w:val="center"/>
              <w:rPr>
                <w:rFonts w:hint="eastAsia" w:ascii="新宋体" w:hAnsi="新宋体" w:eastAsia="新宋体"/>
                <w:color w:val="auto"/>
                <w:sz w:val="22"/>
                <w:szCs w:val="22"/>
                <w:highlight w:val="none"/>
              </w:rPr>
            </w:pP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jc w:val="center"/>
              <w:rPr>
                <w:rFonts w:hint="eastAsia" w:ascii="新宋体" w:hAnsi="新宋体" w:eastAsia="新宋体"/>
                <w:color w:val="auto"/>
                <w:sz w:val="22"/>
                <w:szCs w:val="22"/>
                <w:highlight w:val="none"/>
              </w:rPr>
            </w:pP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jc w:val="center"/>
              <w:rPr>
                <w:rFonts w:hint="eastAsia" w:ascii="新宋体" w:hAnsi="新宋体" w:eastAsia="新宋体"/>
                <w:color w:val="auto"/>
                <w:sz w:val="22"/>
                <w:szCs w:val="22"/>
                <w:highlight w:val="none"/>
              </w:rPr>
            </w:pP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jc w:val="center"/>
              <w:rPr>
                <w:rFonts w:hint="eastAsia" w:ascii="新宋体" w:hAnsi="新宋体" w:eastAsia="新宋体"/>
                <w:color w:val="auto"/>
                <w:sz w:val="22"/>
                <w:szCs w:val="22"/>
                <w:highlight w:val="none"/>
              </w:rPr>
            </w:pP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71" w:hRule="atLeast"/>
        </w:trPr>
        <w:tc>
          <w:tcPr>
            <w:tcW w:w="1134" w:type="dxa"/>
            <w:noWrap w:val="0"/>
            <w:vAlign w:val="center"/>
          </w:tcPr>
          <w:p>
            <w:pPr>
              <w:jc w:val="center"/>
              <w:rPr>
                <w:rFonts w:hint="eastAsia" w:ascii="新宋体" w:hAnsi="新宋体" w:eastAsia="新宋体"/>
                <w:color w:val="auto"/>
                <w:sz w:val="22"/>
                <w:szCs w:val="22"/>
                <w:highlight w:val="none"/>
              </w:rPr>
            </w:pPr>
          </w:p>
        </w:tc>
        <w:tc>
          <w:tcPr>
            <w:tcW w:w="3544" w:type="dxa"/>
            <w:noWrap w:val="0"/>
            <w:vAlign w:val="center"/>
          </w:tcPr>
          <w:p>
            <w:pPr>
              <w:jc w:val="center"/>
              <w:rPr>
                <w:rFonts w:hint="eastAsia" w:ascii="新宋体" w:hAnsi="新宋体" w:eastAsia="新宋体"/>
                <w:color w:val="auto"/>
                <w:sz w:val="22"/>
                <w:szCs w:val="22"/>
                <w:highlight w:val="none"/>
              </w:rPr>
            </w:pPr>
          </w:p>
        </w:tc>
        <w:tc>
          <w:tcPr>
            <w:tcW w:w="3402" w:type="dxa"/>
            <w:noWrap w:val="0"/>
            <w:vAlign w:val="center"/>
          </w:tcPr>
          <w:p>
            <w:pPr>
              <w:jc w:val="center"/>
              <w:rPr>
                <w:rFonts w:hint="eastAsia" w:ascii="新宋体" w:hAnsi="新宋体" w:eastAsia="新宋体"/>
                <w:color w:val="auto"/>
                <w:sz w:val="22"/>
                <w:szCs w:val="22"/>
                <w:highlight w:val="none"/>
              </w:rPr>
            </w:pPr>
          </w:p>
        </w:tc>
        <w:tc>
          <w:tcPr>
            <w:tcW w:w="1843" w:type="dxa"/>
            <w:noWrap w:val="0"/>
            <w:vAlign w:val="center"/>
          </w:tcPr>
          <w:p>
            <w:pPr>
              <w:jc w:val="center"/>
              <w:rPr>
                <w:rFonts w:hint="eastAsia" w:ascii="新宋体" w:hAnsi="新宋体" w:eastAsia="新宋体"/>
                <w:color w:val="auto"/>
                <w:sz w:val="22"/>
                <w:szCs w:val="22"/>
                <w:highlight w:val="none"/>
              </w:rPr>
            </w:pPr>
          </w:p>
        </w:tc>
      </w:tr>
    </w:tbl>
    <w:p>
      <w:pP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w:t>
      </w:r>
      <w:r>
        <w:rPr>
          <w:rFonts w:hint="eastAsia" w:ascii="新宋体" w:hAnsi="新宋体" w:eastAsia="新宋体"/>
          <w:b/>
          <w:bCs/>
          <w:color w:val="auto"/>
          <w:sz w:val="22"/>
          <w:szCs w:val="22"/>
          <w:highlight w:val="none"/>
        </w:rPr>
        <w:t>注： 如有偏离，必须在偏离表中进行详细对比说明并注明正偏离和负偏离，如不说明偏离情况，视为完全响应采购文件要求无偏离</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460" w:lineRule="exact"/>
        <w:ind w:firstLine="4400" w:firstLineChars="2000"/>
        <w:rPr>
          <w:rFonts w:hint="eastAsia" w:ascii="新宋体" w:hAnsi="新宋体" w:eastAsia="新宋体"/>
          <w:color w:val="auto"/>
          <w:sz w:val="22"/>
          <w:szCs w:val="22"/>
          <w:highlight w:val="none"/>
        </w:rPr>
      </w:pPr>
    </w:p>
    <w:p>
      <w:pPr>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附件六</w:t>
      </w:r>
    </w:p>
    <w:p>
      <w:pPr>
        <w:jc w:val="center"/>
        <w:outlineLvl w:val="2"/>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详细系统清单一览表</w:t>
      </w:r>
      <w:r>
        <w:rPr>
          <w:rFonts w:hint="eastAsia"/>
          <w:b/>
          <w:color w:val="auto"/>
          <w:sz w:val="28"/>
          <w:szCs w:val="28"/>
          <w:highlight w:val="none"/>
        </w:rPr>
        <w:t xml:space="preserve"> </w:t>
      </w:r>
    </w:p>
    <w:p>
      <w:pPr>
        <w:spacing w:line="480" w:lineRule="exact"/>
        <w:rPr>
          <w:rFonts w:hint="eastAsia" w:ascii="新宋体" w:hAnsi="新宋体" w:eastAsia="新宋体"/>
          <w:b/>
          <w:bCs/>
          <w:color w:val="auto"/>
          <w:sz w:val="22"/>
          <w:szCs w:val="22"/>
          <w:highlight w:val="none"/>
        </w:rPr>
      </w:pPr>
      <w:r>
        <w:rPr>
          <w:rFonts w:hint="eastAsia" w:ascii="新宋体" w:hAnsi="新宋体" w:eastAsia="新宋体"/>
          <w:b/>
          <w:color w:val="auto"/>
          <w:sz w:val="22"/>
          <w:szCs w:val="22"/>
          <w:highlight w:val="none"/>
        </w:rPr>
        <w:t>项目名称：                                                       项目编号：</w:t>
      </w:r>
    </w:p>
    <w:tbl>
      <w:tblPr>
        <w:tblStyle w:val="50"/>
        <w:tblpPr w:leftFromText="180" w:rightFromText="180" w:vertAnchor="text" w:horzAnchor="margin"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2"/>
        <w:gridCol w:w="2880"/>
        <w:gridCol w:w="1661"/>
        <w:gridCol w:w="126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8" w:hRule="atLeast"/>
        </w:trPr>
        <w:tc>
          <w:tcPr>
            <w:tcW w:w="828"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1692"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系统名称</w:t>
            </w:r>
          </w:p>
        </w:tc>
        <w:tc>
          <w:tcPr>
            <w:tcW w:w="2880"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规格及技术参数</w:t>
            </w:r>
          </w:p>
        </w:tc>
        <w:tc>
          <w:tcPr>
            <w:tcW w:w="1661"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原产地</w:t>
            </w:r>
          </w:p>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（生产厂家）/品牌</w:t>
            </w:r>
          </w:p>
        </w:tc>
        <w:tc>
          <w:tcPr>
            <w:tcW w:w="1260"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数量</w:t>
            </w:r>
          </w:p>
        </w:tc>
        <w:tc>
          <w:tcPr>
            <w:tcW w:w="1219" w:type="dxa"/>
            <w:shd w:val="clear" w:color="auto" w:fill="FFFFFF"/>
            <w:noWrap w:val="0"/>
            <w:vAlign w:val="center"/>
          </w:tcPr>
          <w:p>
            <w:pPr>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rPr>
            </w:pPr>
          </w:p>
        </w:tc>
        <w:tc>
          <w:tcPr>
            <w:tcW w:w="2880" w:type="dxa"/>
            <w:noWrap w:val="0"/>
            <w:vAlign w:val="top"/>
          </w:tcPr>
          <w:p>
            <w:pPr>
              <w:spacing w:line="360" w:lineRule="auto"/>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top"/>
          </w:tcPr>
          <w:p>
            <w:pPr>
              <w:spacing w:line="360" w:lineRule="auto"/>
              <w:rPr>
                <w:rFonts w:hint="eastAsia" w:ascii="新宋体" w:hAnsi="新宋体" w:eastAsia="新宋体"/>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rPr>
            </w:pPr>
          </w:p>
        </w:tc>
        <w:tc>
          <w:tcPr>
            <w:tcW w:w="2880" w:type="dxa"/>
            <w:noWrap w:val="0"/>
            <w:vAlign w:val="top"/>
          </w:tcPr>
          <w:p>
            <w:pPr>
              <w:spacing w:line="360" w:lineRule="auto"/>
              <w:rPr>
                <w:rFonts w:hint="eastAsia" w:ascii="新宋体" w:hAnsi="新宋体" w:eastAsia="新宋体"/>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color w:val="auto"/>
                <w:sz w:val="22"/>
                <w:szCs w:val="22"/>
                <w:highlight w:val="none"/>
              </w:rPr>
            </w:pPr>
          </w:p>
        </w:tc>
        <w:tc>
          <w:tcPr>
            <w:tcW w:w="2880" w:type="dxa"/>
            <w:noWrap w:val="0"/>
            <w:vAlign w:val="top"/>
          </w:tcPr>
          <w:p>
            <w:pPr>
              <w:spacing w:line="360" w:lineRule="auto"/>
              <w:rPr>
                <w:rFonts w:hint="eastAsia" w:ascii="新宋体" w:hAnsi="新宋体" w:eastAsia="新宋体"/>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bCs/>
                <w:color w:val="auto"/>
                <w:sz w:val="22"/>
                <w:szCs w:val="22"/>
                <w:highlight w:val="none"/>
              </w:rPr>
            </w:pPr>
          </w:p>
        </w:tc>
        <w:tc>
          <w:tcPr>
            <w:tcW w:w="1692" w:type="dxa"/>
            <w:noWrap w:val="0"/>
            <w:vAlign w:val="center"/>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center"/>
          </w:tcPr>
          <w:p>
            <w:pPr>
              <w:spacing w:line="360" w:lineRule="auto"/>
              <w:rPr>
                <w:rFonts w:hint="eastAsia" w:ascii="新宋体" w:hAnsi="新宋体" w:eastAsia="新宋体"/>
                <w:b/>
                <w:bCs/>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color w:val="auto"/>
                <w:sz w:val="22"/>
                <w:szCs w:val="22"/>
                <w:highlight w:val="none"/>
              </w:rPr>
            </w:pPr>
          </w:p>
        </w:tc>
        <w:tc>
          <w:tcPr>
            <w:tcW w:w="1692" w:type="dxa"/>
            <w:noWrap w:val="0"/>
            <w:vAlign w:val="center"/>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rPr>
                <w:rFonts w:hint="eastAsia" w:ascii="新宋体" w:hAnsi="新宋体" w:eastAsia="新宋体"/>
                <w:color w:val="auto"/>
                <w:sz w:val="22"/>
                <w:szCs w:val="22"/>
                <w:highlight w:val="none"/>
              </w:rPr>
            </w:pPr>
          </w:p>
        </w:tc>
        <w:tc>
          <w:tcPr>
            <w:tcW w:w="1692" w:type="dxa"/>
            <w:noWrap w:val="0"/>
            <w:vAlign w:val="center"/>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397" w:hRule="exact"/>
        </w:trPr>
        <w:tc>
          <w:tcPr>
            <w:tcW w:w="828"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92" w:type="dxa"/>
            <w:noWrap w:val="0"/>
            <w:vAlign w:val="top"/>
          </w:tcPr>
          <w:p>
            <w:pPr>
              <w:spacing w:line="360" w:lineRule="auto"/>
              <w:rPr>
                <w:rFonts w:hint="eastAsia" w:ascii="新宋体" w:hAnsi="新宋体" w:eastAsia="新宋体"/>
                <w:color w:val="auto"/>
                <w:sz w:val="22"/>
                <w:szCs w:val="22"/>
                <w:highlight w:val="none"/>
              </w:rPr>
            </w:pPr>
          </w:p>
        </w:tc>
        <w:tc>
          <w:tcPr>
            <w:tcW w:w="288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661"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60" w:type="dxa"/>
            <w:noWrap w:val="0"/>
            <w:vAlign w:val="center"/>
          </w:tcPr>
          <w:p>
            <w:pPr>
              <w:spacing w:line="360" w:lineRule="auto"/>
              <w:jc w:val="center"/>
              <w:rPr>
                <w:rFonts w:hint="eastAsia" w:ascii="新宋体" w:hAnsi="新宋体" w:eastAsia="新宋体"/>
                <w:b/>
                <w:bCs/>
                <w:color w:val="auto"/>
                <w:sz w:val="22"/>
                <w:szCs w:val="22"/>
                <w:highlight w:val="none"/>
              </w:rPr>
            </w:pPr>
          </w:p>
        </w:tc>
        <w:tc>
          <w:tcPr>
            <w:tcW w:w="1219" w:type="dxa"/>
            <w:noWrap w:val="0"/>
            <w:vAlign w:val="top"/>
          </w:tcPr>
          <w:p>
            <w:pPr>
              <w:rPr>
                <w:rFonts w:hint="eastAsia" w:ascii="新宋体" w:hAnsi="新宋体" w:eastAsia="新宋体"/>
                <w:color w:val="auto"/>
                <w:sz w:val="22"/>
                <w:szCs w:val="22"/>
                <w:highlight w:val="none"/>
              </w:rPr>
            </w:pPr>
          </w:p>
        </w:tc>
      </w:tr>
    </w:tbl>
    <w:p>
      <w:pPr>
        <w:spacing w:line="460" w:lineRule="exact"/>
        <w:ind w:firstLine="5060" w:firstLineChars="2300"/>
        <w:rPr>
          <w:rFonts w:hint="eastAsia" w:ascii="新宋体" w:hAnsi="新宋体" w:eastAsia="新宋体"/>
          <w:color w:val="auto"/>
          <w:sz w:val="22"/>
          <w:szCs w:val="22"/>
          <w:highlight w:val="none"/>
        </w:rPr>
      </w:pPr>
    </w:p>
    <w:p>
      <w:pPr>
        <w:spacing w:line="460" w:lineRule="exact"/>
        <w:ind w:firstLine="5060" w:firstLineChars="2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5060" w:firstLineChars="2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5060" w:firstLineChars="2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380" w:lineRule="exact"/>
        <w:ind w:firstLine="5060" w:firstLineChars="2300"/>
        <w:rPr>
          <w:rFonts w:hint="eastAsia" w:ascii="新宋体" w:hAnsi="新宋体" w:eastAsia="新宋体" w:cs="新宋体"/>
          <w:bCs/>
          <w:color w:val="auto"/>
          <w:sz w:val="22"/>
          <w:szCs w:val="22"/>
          <w:highlight w:val="none"/>
        </w:rPr>
      </w:pPr>
    </w:p>
    <w:p>
      <w:pPr>
        <w:spacing w:line="380" w:lineRule="exact"/>
        <w:ind w:firstLine="5060" w:firstLineChars="2300"/>
        <w:rPr>
          <w:rFonts w:hint="eastAsia" w:ascii="新宋体" w:hAnsi="新宋体" w:eastAsia="新宋体" w:cs="新宋体"/>
          <w:color w:val="auto"/>
          <w:sz w:val="22"/>
          <w:szCs w:val="22"/>
          <w:highlight w:val="none"/>
        </w:rPr>
      </w:pPr>
    </w:p>
    <w:p>
      <w:pPr>
        <w:spacing w:line="380" w:lineRule="exact"/>
        <w:ind w:firstLine="5060" w:firstLineChars="2300"/>
        <w:rPr>
          <w:rFonts w:hint="eastAsia" w:ascii="新宋体" w:hAnsi="新宋体" w:eastAsia="新宋体" w:cs="新宋体"/>
          <w:color w:val="auto"/>
          <w:sz w:val="22"/>
          <w:szCs w:val="22"/>
          <w:highlight w:val="none"/>
        </w:rPr>
      </w:pPr>
    </w:p>
    <w:p>
      <w:pPr>
        <w:spacing w:line="380" w:lineRule="exact"/>
        <w:outlineLvl w:val="1"/>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附件七</w:t>
      </w:r>
    </w:p>
    <w:p>
      <w:pPr>
        <w:rPr>
          <w:rFonts w:hint="eastAsia" w:ascii="新宋体" w:hAnsi="新宋体" w:eastAsia="新宋体" w:cs="新宋体"/>
          <w:b/>
          <w:bCs/>
          <w:color w:val="auto"/>
          <w:sz w:val="22"/>
          <w:szCs w:val="22"/>
          <w:highlight w:val="none"/>
        </w:rPr>
      </w:pPr>
    </w:p>
    <w:p>
      <w:pPr>
        <w:spacing w:line="400" w:lineRule="exact"/>
        <w:jc w:val="center"/>
        <w:outlineLvl w:val="2"/>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rPr>
        <w:t>备品、易损件、备件、专用工具清单</w:t>
      </w:r>
    </w:p>
    <w:p>
      <w:pPr>
        <w:spacing w:line="400" w:lineRule="exact"/>
        <w:ind w:left="139" w:leftChars="66" w:firstLine="166" w:firstLineChars="7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项目名称：                                                  项目编号：</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240"/>
        <w:gridCol w:w="1404"/>
        <w:gridCol w:w="796"/>
        <w:gridCol w:w="3704"/>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8" w:hRule="atLeast"/>
          <w:jc w:val="center"/>
        </w:trPr>
        <w:tc>
          <w:tcPr>
            <w:tcW w:w="956"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序号</w:t>
            </w:r>
          </w:p>
        </w:tc>
        <w:tc>
          <w:tcPr>
            <w:tcW w:w="1240"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名  称</w:t>
            </w:r>
          </w:p>
        </w:tc>
        <w:tc>
          <w:tcPr>
            <w:tcW w:w="1404"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规格型号</w:t>
            </w:r>
          </w:p>
        </w:tc>
        <w:tc>
          <w:tcPr>
            <w:tcW w:w="796"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数量</w:t>
            </w:r>
          </w:p>
        </w:tc>
        <w:tc>
          <w:tcPr>
            <w:tcW w:w="3704"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原产地/制造商</w:t>
            </w:r>
          </w:p>
        </w:tc>
        <w:tc>
          <w:tcPr>
            <w:tcW w:w="1568" w:type="dxa"/>
            <w:shd w:val="clear" w:color="auto" w:fill="FFFFFF"/>
            <w:noWrap w:val="0"/>
            <w:vAlign w:val="center"/>
          </w:tcPr>
          <w:p>
            <w:pPr>
              <w:spacing w:line="400" w:lineRule="exact"/>
              <w:jc w:val="center"/>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956" w:type="dxa"/>
            <w:noWrap w:val="0"/>
            <w:vAlign w:val="center"/>
          </w:tcPr>
          <w:p>
            <w:pPr>
              <w:spacing w:line="400" w:lineRule="exact"/>
              <w:jc w:val="center"/>
              <w:rPr>
                <w:rFonts w:hint="eastAsia" w:ascii="新宋体" w:hAnsi="新宋体" w:eastAsia="新宋体" w:cs="新宋体"/>
                <w:color w:val="auto"/>
                <w:sz w:val="22"/>
                <w:szCs w:val="22"/>
                <w:highlight w:val="none"/>
              </w:rPr>
            </w:pPr>
          </w:p>
        </w:tc>
        <w:tc>
          <w:tcPr>
            <w:tcW w:w="1240" w:type="dxa"/>
            <w:noWrap w:val="0"/>
            <w:vAlign w:val="top"/>
          </w:tcPr>
          <w:p>
            <w:pPr>
              <w:spacing w:line="400" w:lineRule="exact"/>
              <w:rPr>
                <w:rFonts w:hint="eastAsia" w:ascii="新宋体" w:hAnsi="新宋体" w:eastAsia="新宋体" w:cs="新宋体"/>
                <w:color w:val="auto"/>
                <w:sz w:val="22"/>
                <w:szCs w:val="22"/>
                <w:highlight w:val="none"/>
              </w:rPr>
            </w:pPr>
          </w:p>
        </w:tc>
        <w:tc>
          <w:tcPr>
            <w:tcW w:w="1404" w:type="dxa"/>
            <w:noWrap w:val="0"/>
            <w:vAlign w:val="top"/>
          </w:tcPr>
          <w:p>
            <w:pPr>
              <w:spacing w:line="400" w:lineRule="exact"/>
              <w:rPr>
                <w:rFonts w:hint="eastAsia" w:ascii="新宋体" w:hAnsi="新宋体" w:eastAsia="新宋体" w:cs="新宋体"/>
                <w:color w:val="auto"/>
                <w:sz w:val="22"/>
                <w:szCs w:val="22"/>
                <w:highlight w:val="none"/>
              </w:rPr>
            </w:pPr>
          </w:p>
        </w:tc>
        <w:tc>
          <w:tcPr>
            <w:tcW w:w="796" w:type="dxa"/>
            <w:noWrap w:val="0"/>
            <w:vAlign w:val="top"/>
          </w:tcPr>
          <w:p>
            <w:pPr>
              <w:spacing w:line="400" w:lineRule="exact"/>
              <w:rPr>
                <w:rFonts w:hint="eastAsia" w:ascii="新宋体" w:hAnsi="新宋体" w:eastAsia="新宋体" w:cs="新宋体"/>
                <w:color w:val="auto"/>
                <w:sz w:val="22"/>
                <w:szCs w:val="22"/>
                <w:highlight w:val="none"/>
              </w:rPr>
            </w:pPr>
          </w:p>
        </w:tc>
        <w:tc>
          <w:tcPr>
            <w:tcW w:w="3704" w:type="dxa"/>
            <w:noWrap w:val="0"/>
            <w:vAlign w:val="top"/>
          </w:tcPr>
          <w:p>
            <w:pPr>
              <w:spacing w:line="400" w:lineRule="exact"/>
              <w:rPr>
                <w:rFonts w:hint="eastAsia" w:ascii="新宋体" w:hAnsi="新宋体" w:eastAsia="新宋体" w:cs="新宋体"/>
                <w:color w:val="auto"/>
                <w:sz w:val="22"/>
                <w:szCs w:val="22"/>
                <w:highlight w:val="none"/>
              </w:rPr>
            </w:pPr>
          </w:p>
        </w:tc>
        <w:tc>
          <w:tcPr>
            <w:tcW w:w="1568" w:type="dxa"/>
            <w:noWrap w:val="0"/>
            <w:vAlign w:val="top"/>
          </w:tcPr>
          <w:p>
            <w:pPr>
              <w:spacing w:line="400" w:lineRule="exact"/>
              <w:rPr>
                <w:rFonts w:hint="eastAsia" w:ascii="新宋体" w:hAnsi="新宋体" w:eastAsia="新宋体" w:cs="新宋体"/>
                <w:color w:val="auto"/>
                <w:sz w:val="22"/>
                <w:szCs w:val="22"/>
                <w:highlight w:val="none"/>
              </w:rPr>
            </w:pPr>
          </w:p>
        </w:tc>
      </w:tr>
    </w:tbl>
    <w:p>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说明：  1、此表仅提供了表格形式，投标人可按此表格复制。</w:t>
      </w:r>
    </w:p>
    <w:p>
      <w:pPr>
        <w:tabs>
          <w:tab w:val="left" w:pos="360"/>
        </w:tabs>
        <w:spacing w:line="460" w:lineRule="exact"/>
        <w:ind w:firstLine="552" w:firstLineChars="250"/>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2、如果无此内容，投标时需说明。</w:t>
      </w:r>
    </w:p>
    <w:p>
      <w:pPr>
        <w:spacing w:line="400" w:lineRule="exact"/>
        <w:ind w:firstLine="4620" w:firstLineChars="2100"/>
        <w:rPr>
          <w:rFonts w:hint="eastAsia" w:ascii="新宋体" w:hAnsi="新宋体" w:eastAsia="新宋体" w:cs="新宋体"/>
          <w:color w:val="auto"/>
          <w:sz w:val="22"/>
          <w:szCs w:val="22"/>
          <w:highlight w:val="none"/>
        </w:rPr>
      </w:pPr>
    </w:p>
    <w:p>
      <w:pPr>
        <w:spacing w:line="400" w:lineRule="exact"/>
        <w:ind w:firstLine="5280" w:firstLineChars="24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投标人全称（盖章）：</w:t>
      </w:r>
    </w:p>
    <w:p>
      <w:pPr>
        <w:spacing w:line="40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投标人代表（签字）：</w:t>
      </w:r>
    </w:p>
    <w:p>
      <w:pPr>
        <w:spacing w:line="38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                                                日    期：</w:t>
      </w: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附件八</w:t>
      </w:r>
    </w:p>
    <w:p>
      <w:pPr>
        <w:spacing w:line="560" w:lineRule="exact"/>
        <w:ind w:firstLine="435"/>
        <w:jc w:val="center"/>
        <w:outlineLvl w:val="2"/>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总体设计思路</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项目名称：                                                 项目编号：</w:t>
      </w:r>
      <w:r>
        <w:rPr>
          <w:rFonts w:hint="eastAsia" w:ascii="新宋体" w:hAnsi="新宋体" w:eastAsia="新宋体" w:cs="新宋体"/>
          <w:color w:val="auto"/>
          <w:sz w:val="22"/>
          <w:szCs w:val="22"/>
          <w:highlight w:val="none"/>
        </w:rPr>
        <w:t xml:space="preserve"> </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7333" w:hRule="atLeast"/>
          <w:jc w:val="center"/>
        </w:trPr>
        <w:tc>
          <w:tcPr>
            <w:tcW w:w="9576" w:type="dxa"/>
            <w:noWrap w:val="0"/>
            <w:vAlign w:val="center"/>
          </w:tcPr>
          <w:p>
            <w:pPr>
              <w:spacing w:line="460" w:lineRule="exact"/>
              <w:jc w:val="center"/>
              <w:rPr>
                <w:rFonts w:hint="eastAsia" w:ascii="新宋体" w:hAnsi="新宋体" w:eastAsia="新宋体" w:cs="新宋体"/>
                <w:b/>
                <w:bCs/>
                <w:color w:val="auto"/>
                <w:sz w:val="22"/>
                <w:szCs w:val="22"/>
                <w:highlight w:val="none"/>
              </w:rPr>
            </w:pPr>
          </w:p>
        </w:tc>
      </w:tr>
    </w:tbl>
    <w:p>
      <w:pPr>
        <w:pStyle w:val="313"/>
        <w:widowControl w:val="0"/>
        <w:pBdr>
          <w:left w:val="none" w:color="auto" w:sz="0" w:space="0"/>
          <w:bottom w:val="none" w:color="auto" w:sz="0" w:space="0"/>
          <w:right w:val="none" w:color="auto" w:sz="0" w:space="0"/>
        </w:pBdr>
        <w:spacing w:before="0" w:beforeAutospacing="0" w:after="0" w:afterAutospacing="0" w:line="460" w:lineRule="exact"/>
        <w:textAlignment w:val="auto"/>
        <w:rPr>
          <w:rFonts w:hint="eastAsia" w:ascii="新宋体" w:hAnsi="新宋体" w:eastAsia="新宋体" w:cs="新宋体"/>
          <w:color w:val="auto"/>
          <w:kern w:val="2"/>
          <w:sz w:val="22"/>
          <w:highlight w:val="none"/>
        </w:rPr>
      </w:pP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spacing w:line="380" w:lineRule="exact"/>
        <w:rPr>
          <w:rFonts w:hint="eastAsia" w:ascii="新宋体" w:hAnsi="新宋体" w:eastAsia="新宋体"/>
          <w:color w:val="auto"/>
          <w:sz w:val="22"/>
          <w:szCs w:val="22"/>
          <w:highlight w:val="none"/>
        </w:rPr>
      </w:pP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附件九</w:t>
      </w:r>
    </w:p>
    <w:p>
      <w:pPr>
        <w:spacing w:line="560" w:lineRule="exact"/>
        <w:ind w:firstLine="435"/>
        <w:jc w:val="center"/>
        <w:outlineLvl w:val="2"/>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软件系统功能设计方案</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项目名称：                                                 项目编号：</w:t>
      </w:r>
      <w:r>
        <w:rPr>
          <w:rFonts w:hint="eastAsia" w:ascii="新宋体" w:hAnsi="新宋体" w:eastAsia="新宋体" w:cs="新宋体"/>
          <w:color w:val="auto"/>
          <w:sz w:val="22"/>
          <w:szCs w:val="22"/>
          <w:highlight w:val="none"/>
        </w:rPr>
        <w:t xml:space="preserve"> </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7333" w:hRule="atLeast"/>
          <w:jc w:val="center"/>
        </w:trPr>
        <w:tc>
          <w:tcPr>
            <w:tcW w:w="9576" w:type="dxa"/>
            <w:noWrap w:val="0"/>
            <w:vAlign w:val="center"/>
          </w:tcPr>
          <w:p>
            <w:pPr>
              <w:spacing w:line="460" w:lineRule="exact"/>
              <w:jc w:val="center"/>
              <w:rPr>
                <w:rFonts w:hint="eastAsia" w:ascii="新宋体" w:hAnsi="新宋体" w:eastAsia="新宋体" w:cs="新宋体"/>
                <w:b/>
                <w:bCs/>
                <w:color w:val="auto"/>
                <w:sz w:val="22"/>
                <w:szCs w:val="22"/>
                <w:highlight w:val="none"/>
              </w:rPr>
            </w:pPr>
          </w:p>
        </w:tc>
      </w:tr>
    </w:tbl>
    <w:p>
      <w:pPr>
        <w:pStyle w:val="313"/>
        <w:widowControl w:val="0"/>
        <w:pBdr>
          <w:left w:val="none" w:color="auto" w:sz="0" w:space="0"/>
          <w:bottom w:val="none" w:color="auto" w:sz="0" w:space="0"/>
          <w:right w:val="none" w:color="auto" w:sz="0" w:space="0"/>
        </w:pBdr>
        <w:spacing w:before="0" w:beforeAutospacing="0" w:after="0" w:afterAutospacing="0" w:line="460" w:lineRule="exact"/>
        <w:textAlignment w:val="auto"/>
        <w:rPr>
          <w:rFonts w:hint="eastAsia" w:ascii="新宋体" w:hAnsi="新宋体" w:eastAsia="新宋体" w:cs="新宋体"/>
          <w:color w:val="auto"/>
          <w:kern w:val="2"/>
          <w:sz w:val="22"/>
          <w:highlight w:val="none"/>
        </w:rPr>
      </w:pP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before="120" w:beforeLines="50" w:after="120" w:afterLines="50"/>
        <w:ind w:right="-10"/>
        <w:rPr>
          <w:rFonts w:ascii="Arial" w:hAnsi="Arial" w:cs="Arial"/>
          <w:color w:val="auto"/>
          <w:szCs w:val="21"/>
          <w:highlight w:val="none"/>
        </w:rPr>
      </w:pPr>
    </w:p>
    <w:p>
      <w:pPr>
        <w:spacing w:before="120" w:beforeLines="50" w:after="120" w:afterLines="50"/>
        <w:ind w:right="-10"/>
        <w:rPr>
          <w:rFonts w:ascii="Arial" w:hAnsi="Arial" w:cs="Arial"/>
          <w:color w:val="auto"/>
          <w:szCs w:val="21"/>
          <w:highlight w:val="none"/>
        </w:rPr>
      </w:pPr>
    </w:p>
    <w:p>
      <w:pPr>
        <w:spacing w:before="120" w:beforeLines="50" w:after="120" w:afterLines="50"/>
        <w:ind w:right="-10"/>
        <w:rPr>
          <w:rFonts w:ascii="Arial" w:hAnsi="Arial" w:cs="Arial"/>
          <w:color w:val="auto"/>
          <w:szCs w:val="21"/>
          <w:highlight w:val="none"/>
        </w:rPr>
      </w:pPr>
    </w:p>
    <w:p>
      <w:pPr>
        <w:spacing w:before="120" w:beforeLines="50" w:after="120" w:afterLines="50"/>
        <w:ind w:right="-10"/>
        <w:rPr>
          <w:rFonts w:ascii="Arial" w:hAnsi="Arial" w:cs="Arial"/>
          <w:color w:val="auto"/>
          <w:szCs w:val="21"/>
          <w:highlight w:val="none"/>
        </w:rPr>
      </w:pPr>
    </w:p>
    <w:p>
      <w:pPr>
        <w:spacing w:before="120" w:beforeLines="50" w:after="120" w:afterLines="50"/>
        <w:ind w:right="-10"/>
        <w:rPr>
          <w:rFonts w:ascii="Arial" w:hAnsi="Arial" w:cs="Arial"/>
          <w:color w:val="auto"/>
          <w:szCs w:val="21"/>
          <w:highlight w:val="none"/>
        </w:rPr>
      </w:pPr>
    </w:p>
    <w:p>
      <w:pPr>
        <w:spacing w:before="120" w:beforeLines="50" w:after="120" w:afterLines="50"/>
        <w:ind w:right="-10"/>
        <w:rPr>
          <w:rFonts w:ascii="Arial" w:hAnsi="Arial" w:cs="Arial"/>
          <w:color w:val="auto"/>
          <w:szCs w:val="21"/>
          <w:highlight w:val="none"/>
        </w:rPr>
      </w:pPr>
    </w:p>
    <w:p>
      <w:pPr>
        <w:spacing w:before="120" w:beforeLines="50" w:after="120" w:afterLines="50"/>
        <w:ind w:right="-10"/>
        <w:rPr>
          <w:rFonts w:ascii="Arial" w:hAnsi="Arial" w:cs="Arial"/>
          <w:color w:val="auto"/>
          <w:szCs w:val="21"/>
          <w:highlight w:val="none"/>
        </w:rPr>
      </w:pPr>
    </w:p>
    <w:p>
      <w:pPr>
        <w:spacing w:before="120" w:beforeLines="50" w:after="120" w:afterLines="50"/>
        <w:ind w:right="-10"/>
        <w:rPr>
          <w:rFonts w:ascii="Arial" w:hAnsi="Arial" w:cs="Arial"/>
          <w:color w:val="auto"/>
          <w:szCs w:val="21"/>
          <w:highlight w:val="none"/>
        </w:rPr>
      </w:pPr>
    </w:p>
    <w:p>
      <w:pPr>
        <w:spacing w:before="120" w:beforeLines="50" w:after="120" w:afterLines="50"/>
        <w:ind w:right="-10"/>
        <w:rPr>
          <w:rFonts w:ascii="Arial" w:hAnsi="Arial" w:cs="Arial"/>
          <w:color w:val="auto"/>
          <w:szCs w:val="21"/>
          <w:highlight w:val="none"/>
        </w:rPr>
      </w:pPr>
    </w:p>
    <w:p>
      <w:pPr>
        <w:spacing w:before="120" w:beforeLines="50" w:after="120" w:afterLines="50"/>
        <w:ind w:right="-10"/>
        <w:rPr>
          <w:rFonts w:ascii="Arial" w:hAnsi="Arial" w:cs="Arial"/>
          <w:color w:val="auto"/>
          <w:szCs w:val="21"/>
          <w:highlight w:val="none"/>
        </w:rPr>
      </w:pP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附件十</w:t>
      </w:r>
    </w:p>
    <w:p>
      <w:pPr>
        <w:spacing w:line="560" w:lineRule="exact"/>
        <w:ind w:firstLine="435"/>
        <w:jc w:val="center"/>
        <w:outlineLvl w:val="2"/>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项目管理方案</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项目名称：                                                 项目编号：</w:t>
      </w:r>
      <w:r>
        <w:rPr>
          <w:rFonts w:hint="eastAsia" w:ascii="新宋体" w:hAnsi="新宋体" w:eastAsia="新宋体" w:cs="新宋体"/>
          <w:color w:val="auto"/>
          <w:sz w:val="22"/>
          <w:szCs w:val="22"/>
          <w:highlight w:val="none"/>
        </w:rPr>
        <w:t xml:space="preserve"> </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cantSplit/>
          <w:trHeight w:val="7333" w:hRule="atLeast"/>
          <w:jc w:val="center"/>
        </w:trPr>
        <w:tc>
          <w:tcPr>
            <w:tcW w:w="9576" w:type="dxa"/>
            <w:noWrap w:val="0"/>
            <w:vAlign w:val="center"/>
          </w:tcPr>
          <w:p>
            <w:pPr>
              <w:spacing w:line="460" w:lineRule="exact"/>
              <w:jc w:val="center"/>
              <w:rPr>
                <w:rFonts w:hint="eastAsia" w:ascii="新宋体" w:hAnsi="新宋体" w:eastAsia="新宋体" w:cs="新宋体"/>
                <w:b/>
                <w:bCs/>
                <w:color w:val="auto"/>
                <w:sz w:val="22"/>
                <w:szCs w:val="22"/>
                <w:highlight w:val="none"/>
              </w:rPr>
            </w:pPr>
          </w:p>
        </w:tc>
      </w:tr>
    </w:tbl>
    <w:p>
      <w:pPr>
        <w:pStyle w:val="313"/>
        <w:widowControl w:val="0"/>
        <w:pBdr>
          <w:left w:val="none" w:color="auto" w:sz="0" w:space="0"/>
          <w:bottom w:val="none" w:color="auto" w:sz="0" w:space="0"/>
          <w:right w:val="none" w:color="auto" w:sz="0" w:space="0"/>
        </w:pBdr>
        <w:spacing w:before="0" w:beforeAutospacing="0" w:after="0" w:afterAutospacing="0" w:line="460" w:lineRule="exact"/>
        <w:textAlignment w:val="auto"/>
        <w:rPr>
          <w:rFonts w:hint="eastAsia" w:ascii="新宋体" w:hAnsi="新宋体" w:eastAsia="新宋体" w:cs="新宋体"/>
          <w:color w:val="auto"/>
          <w:kern w:val="2"/>
          <w:sz w:val="22"/>
          <w:highlight w:val="none"/>
        </w:rPr>
      </w:pP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pStyle w:val="22"/>
        <w:spacing w:line="460" w:lineRule="exact"/>
        <w:ind w:left="433" w:hanging="433" w:hangingChars="196"/>
        <w:outlineLvl w:val="1"/>
        <w:rPr>
          <w:rFonts w:ascii="新宋体" w:hAnsi="新宋体" w:eastAsia="新宋体"/>
          <w:b/>
          <w:color w:val="auto"/>
          <w:sz w:val="22"/>
          <w:highlight w:val="none"/>
        </w:rPr>
      </w:pPr>
      <w:r>
        <w:rPr>
          <w:rFonts w:hint="eastAsia" w:ascii="新宋体" w:hAnsi="新宋体" w:eastAsia="新宋体"/>
          <w:b/>
          <w:color w:val="auto"/>
          <w:sz w:val="22"/>
          <w:highlight w:val="none"/>
        </w:rPr>
        <w:t>附件十一</w:t>
      </w:r>
    </w:p>
    <w:p>
      <w:pPr>
        <w:spacing w:line="560" w:lineRule="exact"/>
        <w:ind w:firstLine="435"/>
        <w:jc w:val="center"/>
        <w:outlineLvl w:val="2"/>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投标人的培训及售后服务</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项目名称：                                                 项目编号：</w:t>
      </w:r>
      <w:r>
        <w:rPr>
          <w:rFonts w:hint="eastAsia" w:ascii="新宋体" w:hAnsi="新宋体" w:eastAsia="新宋体" w:cs="新宋体"/>
          <w:color w:val="auto"/>
          <w:sz w:val="22"/>
          <w:szCs w:val="22"/>
          <w:highlight w:val="none"/>
        </w:rPr>
        <w:t xml:space="preserve"> </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7333" w:hRule="atLeast"/>
          <w:jc w:val="center"/>
        </w:trPr>
        <w:tc>
          <w:tcPr>
            <w:tcW w:w="9576" w:type="dxa"/>
            <w:noWrap w:val="0"/>
            <w:vAlign w:val="center"/>
          </w:tcPr>
          <w:p>
            <w:pPr>
              <w:spacing w:line="460" w:lineRule="exact"/>
              <w:jc w:val="center"/>
              <w:rPr>
                <w:rFonts w:hint="eastAsia" w:ascii="新宋体" w:hAnsi="新宋体" w:eastAsia="新宋体" w:cs="新宋体"/>
                <w:b/>
                <w:bCs/>
                <w:color w:val="auto"/>
                <w:sz w:val="22"/>
                <w:szCs w:val="22"/>
                <w:highlight w:val="none"/>
              </w:rPr>
            </w:pPr>
          </w:p>
        </w:tc>
      </w:tr>
    </w:tbl>
    <w:p>
      <w:pPr>
        <w:pStyle w:val="313"/>
        <w:widowControl w:val="0"/>
        <w:pBdr>
          <w:left w:val="none" w:color="auto" w:sz="0" w:space="0"/>
          <w:bottom w:val="none" w:color="auto" w:sz="0" w:space="0"/>
          <w:right w:val="none" w:color="auto" w:sz="0" w:space="0"/>
        </w:pBdr>
        <w:spacing w:before="0" w:beforeAutospacing="0" w:after="0" w:afterAutospacing="0" w:line="460" w:lineRule="exact"/>
        <w:textAlignment w:val="auto"/>
        <w:rPr>
          <w:rFonts w:hint="eastAsia" w:ascii="新宋体" w:hAnsi="新宋体" w:eastAsia="新宋体" w:cs="新宋体"/>
          <w:color w:val="auto"/>
          <w:kern w:val="2"/>
          <w:sz w:val="22"/>
          <w:highlight w:val="none"/>
        </w:rPr>
      </w:pP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附件十二</w:t>
      </w:r>
    </w:p>
    <w:p>
      <w:pPr>
        <w:spacing w:line="560" w:lineRule="exact"/>
        <w:ind w:firstLine="435"/>
        <w:jc w:val="center"/>
        <w:outlineLvl w:val="2"/>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项目投入技术力量</w:t>
      </w:r>
    </w:p>
    <w:p>
      <w:pPr>
        <w:pStyle w:val="27"/>
        <w:spacing w:line="400" w:lineRule="atLeast"/>
        <w:jc w:val="center"/>
        <w:outlineLvl w:val="3"/>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（1）</w:t>
      </w:r>
      <w:r>
        <w:rPr>
          <w:rFonts w:hint="eastAsia" w:ascii="新宋体" w:hAnsi="新宋体" w:eastAsia="新宋体" w:cs="新宋体"/>
          <w:bCs/>
          <w:color w:val="auto"/>
          <w:sz w:val="22"/>
          <w:szCs w:val="22"/>
          <w:highlight w:val="none"/>
        </w:rPr>
        <w:t>项目负责人</w:t>
      </w:r>
    </w:p>
    <w:p>
      <w:pPr>
        <w:pStyle w:val="27"/>
        <w:spacing w:line="400" w:lineRule="atLeast"/>
        <w:ind w:left="2629"/>
        <w:rPr>
          <w:rFonts w:hint="eastAsia" w:ascii="新宋体" w:hAnsi="新宋体" w:eastAsia="新宋体"/>
          <w:color w:val="auto"/>
          <w:highlight w:val="none"/>
        </w:rPr>
      </w:pPr>
    </w:p>
    <w:p>
      <w:pPr>
        <w:pStyle w:val="27"/>
        <w:spacing w:line="400" w:lineRule="atLeast"/>
        <w:ind w:left="663" w:hanging="663" w:hangingChars="300"/>
        <w:rPr>
          <w:rFonts w:hint="eastAsia" w:ascii="新宋体" w:hAnsi="新宋体" w:eastAsia="新宋体"/>
          <w:bCs/>
          <w:color w:val="auto"/>
          <w:sz w:val="22"/>
          <w:highlight w:val="none"/>
        </w:rPr>
      </w:pPr>
      <w:r>
        <w:rPr>
          <w:rFonts w:hint="eastAsia" w:ascii="新宋体" w:hAnsi="新宋体" w:eastAsia="新宋体"/>
          <w:bCs/>
          <w:color w:val="auto"/>
          <w:sz w:val="22"/>
          <w:highlight w:val="none"/>
        </w:rPr>
        <w:t>项目名称：                                            项目编号：</w:t>
      </w:r>
    </w:p>
    <w:tbl>
      <w:tblPr>
        <w:tblStyle w:val="5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exact"/>
        </w:trPr>
        <w:tc>
          <w:tcPr>
            <w:tcW w:w="1619" w:type="dxa"/>
            <w:tcBorders>
              <w:top w:val="single" w:color="auto" w:sz="12" w:space="0"/>
              <w:left w:val="single" w:color="auto" w:sz="12"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姓 名</w:t>
            </w:r>
          </w:p>
        </w:tc>
        <w:tc>
          <w:tcPr>
            <w:tcW w:w="1652" w:type="dxa"/>
            <w:tcBorders>
              <w:top w:val="single" w:color="auto" w:sz="12"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648" w:type="dxa"/>
            <w:tcBorders>
              <w:top w:val="single" w:color="auto" w:sz="12"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性 别</w:t>
            </w:r>
          </w:p>
        </w:tc>
        <w:tc>
          <w:tcPr>
            <w:tcW w:w="1761" w:type="dxa"/>
            <w:tcBorders>
              <w:top w:val="single" w:color="auto" w:sz="12"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576" w:type="dxa"/>
            <w:tcBorders>
              <w:top w:val="single" w:color="auto" w:sz="12"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年 龄</w:t>
            </w:r>
          </w:p>
        </w:tc>
        <w:tc>
          <w:tcPr>
            <w:tcW w:w="1693" w:type="dxa"/>
            <w:tcBorders>
              <w:top w:val="single" w:color="auto" w:sz="12" w:space="0"/>
              <w:left w:val="single" w:color="auto" w:sz="6" w:space="0"/>
              <w:bottom w:val="single" w:color="auto" w:sz="6" w:space="0"/>
              <w:right w:val="single" w:color="auto" w:sz="12"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exact"/>
        </w:trPr>
        <w:tc>
          <w:tcPr>
            <w:tcW w:w="1619" w:type="dxa"/>
            <w:tcBorders>
              <w:top w:val="single" w:color="auto" w:sz="6" w:space="0"/>
              <w:left w:val="single" w:color="auto" w:sz="12"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学 历</w:t>
            </w:r>
          </w:p>
        </w:tc>
        <w:tc>
          <w:tcPr>
            <w:tcW w:w="1652"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648"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职 称</w:t>
            </w:r>
          </w:p>
        </w:tc>
        <w:tc>
          <w:tcPr>
            <w:tcW w:w="1761"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576"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职 务</w:t>
            </w:r>
          </w:p>
        </w:tc>
        <w:tc>
          <w:tcPr>
            <w:tcW w:w="1693" w:type="dxa"/>
            <w:tcBorders>
              <w:top w:val="single" w:color="auto" w:sz="6" w:space="0"/>
              <w:left w:val="single" w:color="auto" w:sz="6" w:space="0"/>
              <w:bottom w:val="single" w:color="auto" w:sz="6" w:space="0"/>
              <w:right w:val="single" w:color="auto" w:sz="12"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9" w:hRule="exact"/>
        </w:trPr>
        <w:tc>
          <w:tcPr>
            <w:tcW w:w="1619" w:type="dxa"/>
            <w:tcBorders>
              <w:top w:val="single" w:color="auto" w:sz="6" w:space="0"/>
              <w:left w:val="single" w:color="auto" w:sz="12"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p>
        </w:tc>
        <w:tc>
          <w:tcPr>
            <w:tcW w:w="1761" w:type="dxa"/>
            <w:tcBorders>
              <w:top w:val="single" w:color="auto" w:sz="6" w:space="0"/>
              <w:left w:val="single" w:color="auto" w:sz="6" w:space="0"/>
              <w:bottom w:val="single" w:color="auto" w:sz="6" w:space="0"/>
              <w:right w:val="single" w:color="auto" w:sz="6"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noWrap w:val="0"/>
            <w:vAlign w:val="center"/>
          </w:tcPr>
          <w:p>
            <w:pPr>
              <w:pStyle w:val="27"/>
              <w:spacing w:line="400" w:lineRule="atLeast"/>
              <w:ind w:left="660" w:hanging="660" w:hangingChars="300"/>
              <w:jc w:val="center"/>
              <w:rPr>
                <w:rFonts w:hint="eastAsia" w:ascii="新宋体" w:hAnsi="新宋体" w:eastAsia="新宋体"/>
                <w:b w:val="0"/>
                <w:color w:val="auto"/>
                <w:kern w:val="2"/>
                <w:sz w:val="22"/>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83" w:hRule="atLeast"/>
        </w:trPr>
        <w:tc>
          <w:tcPr>
            <w:tcW w:w="9949" w:type="dxa"/>
            <w:gridSpan w:val="6"/>
            <w:tcBorders>
              <w:top w:val="single" w:color="auto" w:sz="6" w:space="0"/>
              <w:left w:val="single" w:color="auto" w:sz="12" w:space="0"/>
              <w:bottom w:val="single" w:color="auto" w:sz="12" w:space="0"/>
              <w:right w:val="single" w:color="auto" w:sz="12" w:space="0"/>
            </w:tcBorders>
            <w:noWrap w:val="0"/>
            <w:vAlign w:val="top"/>
          </w:tcPr>
          <w:p>
            <w:pPr>
              <w:pStyle w:val="27"/>
              <w:spacing w:line="400" w:lineRule="atLeast"/>
              <w:ind w:left="660" w:hanging="660" w:hangingChars="300"/>
              <w:rPr>
                <w:rFonts w:hint="eastAsia" w:ascii="新宋体" w:hAnsi="新宋体" w:eastAsia="新宋体"/>
                <w:b w:val="0"/>
                <w:color w:val="auto"/>
                <w:kern w:val="2"/>
                <w:sz w:val="22"/>
                <w:szCs w:val="20"/>
                <w:highlight w:val="none"/>
              </w:rPr>
            </w:pPr>
            <w:r>
              <w:rPr>
                <w:rFonts w:hint="eastAsia" w:ascii="新宋体" w:hAnsi="新宋体" w:eastAsia="新宋体"/>
                <w:b w:val="0"/>
                <w:color w:val="auto"/>
                <w:kern w:val="2"/>
                <w:sz w:val="22"/>
                <w:szCs w:val="20"/>
                <w:highlight w:val="none"/>
              </w:rPr>
              <w:t>近五年从事相关工作经历及经验：</w:t>
            </w:r>
          </w:p>
        </w:tc>
      </w:tr>
    </w:tbl>
    <w:p>
      <w:pPr>
        <w:pStyle w:val="27"/>
        <w:spacing w:line="340" w:lineRule="exact"/>
        <w:ind w:left="663" w:hanging="663" w:hangingChars="300"/>
        <w:rPr>
          <w:rFonts w:hint="eastAsia" w:ascii="新宋体" w:hAnsi="新宋体" w:eastAsia="新宋体"/>
          <w:bCs/>
          <w:color w:val="auto"/>
          <w:sz w:val="22"/>
          <w:highlight w:val="none"/>
        </w:rPr>
      </w:pPr>
      <w:r>
        <w:rPr>
          <w:rFonts w:hint="eastAsia" w:ascii="新宋体" w:hAnsi="新宋体" w:eastAsia="新宋体"/>
          <w:color w:val="auto"/>
          <w:sz w:val="22"/>
          <w:highlight w:val="none"/>
        </w:rPr>
        <w:t xml:space="preserve"> </w:t>
      </w:r>
      <w:r>
        <w:rPr>
          <w:rFonts w:hint="eastAsia" w:ascii="新宋体" w:hAnsi="新宋体" w:eastAsia="新宋体"/>
          <w:bCs/>
          <w:color w:val="auto"/>
          <w:sz w:val="22"/>
          <w:highlight w:val="none"/>
        </w:rPr>
        <w:t xml:space="preserve"> 注:1、</w:t>
      </w:r>
      <w:r>
        <w:rPr>
          <w:rFonts w:hint="eastAsia" w:ascii="新宋体" w:hAnsi="新宋体" w:eastAsia="新宋体"/>
          <w:color w:val="auto"/>
          <w:sz w:val="22"/>
          <w:szCs w:val="22"/>
          <w:highlight w:val="none"/>
        </w:rPr>
        <w:t>本表应附学历证书、职称证书、经验证明等复印件；</w:t>
      </w:r>
    </w:p>
    <w:p>
      <w:pPr>
        <w:pStyle w:val="27"/>
        <w:spacing w:line="340" w:lineRule="exact"/>
        <w:ind w:left="663" w:hanging="663" w:hangingChars="300"/>
        <w:rPr>
          <w:rFonts w:hint="eastAsia" w:ascii="新宋体" w:hAnsi="新宋体" w:eastAsia="新宋体"/>
          <w:color w:val="auto"/>
          <w:sz w:val="22"/>
          <w:highlight w:val="none"/>
        </w:rPr>
      </w:pPr>
      <w:r>
        <w:rPr>
          <w:rFonts w:hint="eastAsia" w:ascii="新宋体" w:hAnsi="新宋体" w:eastAsia="新宋体" w:cs="新宋体"/>
          <w:bCs/>
          <w:snapToGrid w:val="0"/>
          <w:color w:val="auto"/>
          <w:sz w:val="22"/>
          <w:szCs w:val="22"/>
          <w:highlight w:val="none"/>
        </w:rPr>
        <w:t xml:space="preserve">  </w:t>
      </w:r>
      <w:r>
        <w:rPr>
          <w:rFonts w:hint="eastAsia" w:ascii="新宋体" w:hAnsi="新宋体" w:eastAsia="新宋体" w:cs="新宋体"/>
          <w:snapToGrid w:val="0"/>
          <w:color w:val="auto"/>
          <w:sz w:val="22"/>
          <w:szCs w:val="22"/>
          <w:highlight w:val="none"/>
        </w:rPr>
        <w:t xml:space="preserve">   2、不得随意更换项目负责人，如不经招标人同意擅自更换，则招标人有权解除合同。</w:t>
      </w:r>
      <w:r>
        <w:rPr>
          <w:rFonts w:hint="eastAsia" w:ascii="新宋体" w:hAnsi="新宋体" w:eastAsia="新宋体" w:cs="新宋体"/>
          <w:color w:val="auto"/>
          <w:sz w:val="22"/>
          <w:highlight w:val="none"/>
        </w:rPr>
        <w:t xml:space="preserve"> </w:t>
      </w:r>
      <w:r>
        <w:rPr>
          <w:rFonts w:hint="eastAsia" w:ascii="新宋体" w:hAnsi="新宋体" w:eastAsia="新宋体"/>
          <w:color w:val="auto"/>
          <w:sz w:val="22"/>
          <w:highlight w:val="none"/>
        </w:rPr>
        <w:t xml:space="preserve">       </w:t>
      </w:r>
    </w:p>
    <w:p>
      <w:pPr>
        <w:pStyle w:val="27"/>
        <w:spacing w:line="340" w:lineRule="exact"/>
        <w:ind w:left="663" w:hanging="663" w:hangingChars="300"/>
        <w:rPr>
          <w:rFonts w:hint="eastAsia" w:ascii="新宋体" w:hAnsi="新宋体" w:eastAsia="新宋体"/>
          <w:color w:val="auto"/>
          <w:sz w:val="22"/>
          <w:highlight w:val="none"/>
        </w:rPr>
      </w:pPr>
    </w:p>
    <w:p>
      <w:pPr>
        <w:pStyle w:val="27"/>
        <w:spacing w:line="340" w:lineRule="exact"/>
        <w:ind w:left="663" w:hanging="663" w:hangingChars="300"/>
        <w:rPr>
          <w:rFonts w:hint="eastAsia" w:ascii="新宋体" w:hAnsi="新宋体" w:eastAsia="新宋体"/>
          <w:color w:val="auto"/>
          <w:sz w:val="22"/>
          <w:highlight w:val="none"/>
        </w:rPr>
      </w:pPr>
    </w:p>
    <w:p>
      <w:pPr>
        <w:pStyle w:val="27"/>
        <w:spacing w:line="400" w:lineRule="atLeast"/>
        <w:ind w:left="630" w:leftChars="300" w:firstLine="4748" w:firstLineChars="2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pStyle w:val="27"/>
        <w:spacing w:line="400" w:lineRule="atLeast"/>
        <w:ind w:left="630" w:leftChars="300" w:firstLine="4748" w:firstLineChars="2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pStyle w:val="27"/>
        <w:spacing w:line="400" w:lineRule="atLeast"/>
        <w:ind w:left="630" w:leftChars="300" w:firstLine="4748" w:firstLineChars="2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日   期：   </w:t>
      </w: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tabs>
          <w:tab w:val="left" w:pos="0"/>
          <w:tab w:val="left" w:pos="540"/>
        </w:tabs>
        <w:spacing w:line="340" w:lineRule="exact"/>
        <w:rPr>
          <w:rFonts w:hint="eastAsia" w:ascii="新宋体" w:hAnsi="新宋体" w:eastAsia="新宋体"/>
          <w:color w:val="auto"/>
          <w:sz w:val="22"/>
          <w:highlight w:val="none"/>
        </w:rPr>
      </w:pPr>
    </w:p>
    <w:p>
      <w:pPr>
        <w:pStyle w:val="27"/>
        <w:spacing w:line="400" w:lineRule="atLeast"/>
        <w:jc w:val="center"/>
        <w:outlineLvl w:val="3"/>
        <w:rPr>
          <w:rFonts w:hint="eastAsia" w:ascii="新宋体" w:hAnsi="新宋体" w:eastAsia="新宋体"/>
          <w:bCs/>
          <w:color w:val="auto"/>
          <w:sz w:val="22"/>
          <w:szCs w:val="22"/>
          <w:highlight w:val="none"/>
        </w:rPr>
      </w:pPr>
      <w:r>
        <w:rPr>
          <w:rFonts w:hint="eastAsia" w:ascii="新宋体" w:hAnsi="新宋体" w:eastAsia="新宋体"/>
          <w:bCs/>
          <w:color w:val="auto"/>
          <w:sz w:val="22"/>
          <w:szCs w:val="22"/>
          <w:highlight w:val="none"/>
        </w:rPr>
        <w:t>（2）项目实施人员</w:t>
      </w:r>
    </w:p>
    <w:p>
      <w:pPr>
        <w:rPr>
          <w:rFonts w:hint="eastAsia" w:ascii="新宋体" w:hAnsi="新宋体" w:eastAsia="新宋体"/>
          <w:color w:val="auto"/>
          <w:sz w:val="22"/>
          <w:highlight w:val="none"/>
        </w:rPr>
      </w:pPr>
      <w:r>
        <w:rPr>
          <w:rFonts w:hint="eastAsia" w:ascii="新宋体" w:hAnsi="新宋体" w:eastAsia="新宋体"/>
          <w:b/>
          <w:color w:val="auto"/>
          <w:sz w:val="24"/>
          <w:highlight w:val="none"/>
        </w:rPr>
        <w:t>项目名称：</w:t>
      </w:r>
      <w:r>
        <w:rPr>
          <w:rFonts w:hint="eastAsia" w:ascii="新宋体" w:hAnsi="新宋体" w:eastAsia="新宋体"/>
          <w:b/>
          <w:color w:val="auto"/>
          <w:sz w:val="22"/>
          <w:highlight w:val="none"/>
        </w:rPr>
        <w:t xml:space="preserve">                                         项目编号：</w:t>
      </w:r>
      <w:r>
        <w:rPr>
          <w:rFonts w:hint="eastAsia" w:ascii="新宋体" w:hAnsi="新宋体" w:eastAsia="新宋体"/>
          <w:color w:val="auto"/>
          <w:sz w:val="22"/>
          <w:highlight w:val="none"/>
        </w:rPr>
        <w:t xml:space="preserve"> </w:t>
      </w:r>
    </w:p>
    <w:tbl>
      <w:tblPr>
        <w:tblStyle w:val="50"/>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815" w:hRule="atLeas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序号</w:t>
            </w: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姓名</w:t>
            </w: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性别</w:t>
            </w: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年龄</w:t>
            </w: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学历</w:t>
            </w:r>
          </w:p>
        </w:tc>
        <w:tc>
          <w:tcPr>
            <w:tcW w:w="1297" w:type="dxa"/>
            <w:noWrap w:val="0"/>
            <w:vAlign w:val="center"/>
          </w:tcPr>
          <w:p>
            <w:pPr>
              <w:spacing w:line="2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职称/职务</w:t>
            </w:r>
          </w:p>
        </w:tc>
        <w:tc>
          <w:tcPr>
            <w:tcW w:w="1284" w:type="dxa"/>
            <w:noWrap w:val="0"/>
            <w:vAlign w:val="center"/>
          </w:tcPr>
          <w:p>
            <w:pPr>
              <w:spacing w:line="280" w:lineRule="exact"/>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本工程中的岗位</w:t>
            </w:r>
          </w:p>
        </w:tc>
        <w:tc>
          <w:tcPr>
            <w:tcW w:w="1766"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从事专业年限</w:t>
            </w: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trHeight w:val="570" w:hRule="exact"/>
        </w:trPr>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927"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742" w:type="dxa"/>
            <w:noWrap w:val="0"/>
            <w:vAlign w:val="center"/>
          </w:tcPr>
          <w:p>
            <w:pPr>
              <w:spacing w:line="360" w:lineRule="auto"/>
              <w:jc w:val="center"/>
              <w:rPr>
                <w:rFonts w:hint="eastAsia" w:ascii="新宋体" w:hAnsi="新宋体" w:eastAsia="新宋体"/>
                <w:color w:val="auto"/>
                <w:sz w:val="22"/>
                <w:szCs w:val="22"/>
                <w:highlight w:val="none"/>
              </w:rPr>
            </w:pPr>
          </w:p>
        </w:tc>
        <w:tc>
          <w:tcPr>
            <w:tcW w:w="1297" w:type="dxa"/>
            <w:noWrap w:val="0"/>
            <w:vAlign w:val="center"/>
          </w:tcPr>
          <w:p>
            <w:pPr>
              <w:spacing w:line="360" w:lineRule="auto"/>
              <w:jc w:val="center"/>
              <w:rPr>
                <w:rFonts w:hint="eastAsia" w:ascii="新宋体" w:hAnsi="新宋体" w:eastAsia="新宋体"/>
                <w:color w:val="auto"/>
                <w:sz w:val="22"/>
                <w:szCs w:val="22"/>
                <w:highlight w:val="none"/>
              </w:rPr>
            </w:pPr>
          </w:p>
        </w:tc>
        <w:tc>
          <w:tcPr>
            <w:tcW w:w="1284" w:type="dxa"/>
            <w:noWrap w:val="0"/>
            <w:vAlign w:val="center"/>
          </w:tcPr>
          <w:p>
            <w:pPr>
              <w:spacing w:line="360" w:lineRule="auto"/>
              <w:jc w:val="center"/>
              <w:rPr>
                <w:rFonts w:hint="eastAsia" w:ascii="新宋体" w:hAnsi="新宋体" w:eastAsia="新宋体"/>
                <w:color w:val="auto"/>
                <w:sz w:val="22"/>
                <w:szCs w:val="22"/>
                <w:highlight w:val="none"/>
              </w:rPr>
            </w:pPr>
          </w:p>
        </w:tc>
        <w:tc>
          <w:tcPr>
            <w:tcW w:w="1766" w:type="dxa"/>
            <w:noWrap w:val="0"/>
            <w:vAlign w:val="top"/>
          </w:tcPr>
          <w:p>
            <w:pPr>
              <w:spacing w:line="360" w:lineRule="auto"/>
              <w:jc w:val="center"/>
              <w:rPr>
                <w:rFonts w:hint="eastAsia" w:ascii="新宋体" w:hAnsi="新宋体" w:eastAsia="新宋体"/>
                <w:color w:val="auto"/>
                <w:sz w:val="22"/>
                <w:szCs w:val="22"/>
                <w:highlight w:val="none"/>
              </w:rPr>
            </w:pPr>
          </w:p>
        </w:tc>
        <w:tc>
          <w:tcPr>
            <w:tcW w:w="1112" w:type="dxa"/>
            <w:noWrap w:val="0"/>
            <w:vAlign w:val="center"/>
          </w:tcPr>
          <w:p>
            <w:pPr>
              <w:spacing w:line="360" w:lineRule="auto"/>
              <w:jc w:val="center"/>
              <w:rPr>
                <w:rFonts w:hint="eastAsia" w:ascii="新宋体" w:hAnsi="新宋体" w:eastAsia="新宋体"/>
                <w:color w:val="auto"/>
                <w:sz w:val="22"/>
                <w:szCs w:val="22"/>
                <w:highlight w:val="none"/>
              </w:rPr>
            </w:pPr>
          </w:p>
        </w:tc>
      </w:tr>
    </w:tbl>
    <w:p>
      <w:pPr>
        <w:pStyle w:val="27"/>
        <w:spacing w:line="400" w:lineRule="atLeast"/>
        <w:ind w:left="663" w:hanging="663" w:hangingChars="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注：</w:t>
      </w:r>
      <w:r>
        <w:rPr>
          <w:rFonts w:hint="eastAsia" w:ascii="新宋体" w:hAnsi="新宋体" w:eastAsia="新宋体"/>
          <w:bCs/>
          <w:color w:val="auto"/>
          <w:sz w:val="22"/>
          <w:highlight w:val="none"/>
        </w:rPr>
        <w:t>1、</w:t>
      </w:r>
      <w:r>
        <w:rPr>
          <w:rFonts w:hint="eastAsia" w:ascii="新宋体" w:hAnsi="新宋体" w:eastAsia="新宋体"/>
          <w:color w:val="auto"/>
          <w:sz w:val="22"/>
          <w:szCs w:val="22"/>
          <w:highlight w:val="none"/>
        </w:rPr>
        <w:t>本表应附学历证书、职称证书、经验证明等复印件；</w:t>
      </w:r>
    </w:p>
    <w:p>
      <w:pPr>
        <w:pStyle w:val="27"/>
        <w:spacing w:line="400" w:lineRule="atLeast"/>
        <w:ind w:left="663" w:hanging="663" w:hangingChars="3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 xml:space="preserve">    2、此表仅提供了表格形式，投标人可按此表格复制。</w:t>
      </w:r>
    </w:p>
    <w:p>
      <w:pPr>
        <w:pStyle w:val="27"/>
        <w:spacing w:line="400" w:lineRule="atLeast"/>
        <w:ind w:left="663" w:hanging="663" w:hangingChars="300"/>
        <w:rPr>
          <w:rFonts w:hint="eastAsia" w:ascii="新宋体" w:hAnsi="新宋体" w:eastAsia="新宋体"/>
          <w:bCs/>
          <w:color w:val="auto"/>
          <w:sz w:val="22"/>
          <w:szCs w:val="22"/>
          <w:highlight w:val="none"/>
        </w:rPr>
      </w:pPr>
      <w:r>
        <w:rPr>
          <w:rFonts w:hint="eastAsia" w:ascii="新宋体" w:hAnsi="新宋体" w:eastAsia="新宋体"/>
          <w:color w:val="auto"/>
          <w:sz w:val="22"/>
          <w:szCs w:val="22"/>
          <w:highlight w:val="none"/>
        </w:rPr>
        <w:t xml:space="preserve">    3、</w:t>
      </w:r>
      <w:r>
        <w:rPr>
          <w:rFonts w:hint="eastAsia" w:ascii="新宋体" w:hAnsi="新宋体" w:eastAsia="新宋体" w:cs="新宋体"/>
          <w:snapToGrid w:val="0"/>
          <w:color w:val="auto"/>
          <w:sz w:val="22"/>
          <w:szCs w:val="22"/>
          <w:highlight w:val="none"/>
        </w:rPr>
        <w:t>不得随意更换项目实施人员，如不经招标人同意擅自更换，则招标人有权解除合同。</w:t>
      </w:r>
      <w:r>
        <w:rPr>
          <w:rFonts w:hint="eastAsia" w:ascii="新宋体" w:hAnsi="新宋体" w:eastAsia="新宋体" w:cs="新宋体"/>
          <w:bCs/>
          <w:color w:val="auto"/>
          <w:sz w:val="22"/>
          <w:highlight w:val="none"/>
        </w:rPr>
        <w:t xml:space="preserve"> </w:t>
      </w:r>
    </w:p>
    <w:p>
      <w:pPr>
        <w:pStyle w:val="27"/>
        <w:spacing w:line="400" w:lineRule="atLeast"/>
        <w:ind w:left="663" w:hanging="663" w:hangingChars="300"/>
        <w:rPr>
          <w:rFonts w:hint="eastAsia" w:ascii="新宋体" w:hAnsi="新宋体" w:eastAsia="新宋体"/>
          <w:color w:val="auto"/>
          <w:sz w:val="22"/>
          <w:szCs w:val="22"/>
          <w:highlight w:val="none"/>
        </w:rPr>
      </w:pPr>
    </w:p>
    <w:p>
      <w:pPr>
        <w:pStyle w:val="27"/>
        <w:spacing w:line="400" w:lineRule="atLeast"/>
        <w:ind w:left="630" w:leftChars="300" w:firstLine="4748" w:firstLineChars="2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pStyle w:val="27"/>
        <w:spacing w:line="400" w:lineRule="atLeast"/>
        <w:ind w:left="630" w:leftChars="300" w:firstLine="4748" w:firstLineChars="2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pStyle w:val="27"/>
        <w:spacing w:line="400" w:lineRule="atLeast"/>
        <w:ind w:left="630" w:leftChars="300" w:firstLine="4748" w:firstLineChars="21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附件十三</w:t>
      </w:r>
    </w:p>
    <w:p>
      <w:pPr>
        <w:spacing w:line="560" w:lineRule="exact"/>
        <w:ind w:firstLine="435"/>
        <w:jc w:val="center"/>
        <w:outlineLvl w:val="2"/>
        <w:rPr>
          <w:rFonts w:hint="eastAsia" w:ascii="新宋体" w:hAnsi="新宋体" w:eastAsia="新宋体"/>
          <w:b/>
          <w:bCs/>
          <w:color w:val="auto"/>
          <w:sz w:val="28"/>
          <w:szCs w:val="28"/>
          <w:highlight w:val="none"/>
        </w:rPr>
      </w:pPr>
      <w:r>
        <w:rPr>
          <w:rFonts w:hint="eastAsia" w:ascii="新宋体" w:hAnsi="新宋体" w:eastAsia="新宋体"/>
          <w:b/>
          <w:bCs/>
          <w:color w:val="auto"/>
          <w:sz w:val="28"/>
          <w:szCs w:val="28"/>
          <w:highlight w:val="none"/>
        </w:rPr>
        <w:t>投标人情况</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
          <w:bCs/>
          <w:color w:val="auto"/>
          <w:sz w:val="22"/>
          <w:szCs w:val="22"/>
          <w:highlight w:val="none"/>
        </w:rPr>
        <w:t>项目名称：                                                 项目编号：</w:t>
      </w:r>
      <w:r>
        <w:rPr>
          <w:rFonts w:hint="eastAsia" w:ascii="新宋体" w:hAnsi="新宋体" w:eastAsia="新宋体" w:cs="新宋体"/>
          <w:color w:val="auto"/>
          <w:sz w:val="22"/>
          <w:szCs w:val="22"/>
          <w:highlight w:val="none"/>
        </w:rPr>
        <w:t xml:space="preserve"> </w:t>
      </w:r>
    </w:p>
    <w:tbl>
      <w:tblPr>
        <w:tblStyle w:val="5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dxa"/>
          <w:cantSplit/>
          <w:trHeight w:val="7333" w:hRule="atLeast"/>
          <w:jc w:val="center"/>
        </w:trPr>
        <w:tc>
          <w:tcPr>
            <w:tcW w:w="9576" w:type="dxa"/>
            <w:noWrap w:val="0"/>
            <w:vAlign w:val="center"/>
          </w:tcPr>
          <w:p>
            <w:pPr>
              <w:spacing w:line="460" w:lineRule="exact"/>
              <w:jc w:val="center"/>
              <w:rPr>
                <w:rFonts w:hint="eastAsia" w:ascii="新宋体" w:hAnsi="新宋体" w:eastAsia="新宋体" w:cs="新宋体"/>
                <w:b/>
                <w:bCs/>
                <w:color w:val="auto"/>
                <w:sz w:val="22"/>
                <w:szCs w:val="22"/>
                <w:highlight w:val="none"/>
              </w:rPr>
            </w:pPr>
          </w:p>
        </w:tc>
      </w:tr>
    </w:tbl>
    <w:p>
      <w:pPr>
        <w:pStyle w:val="313"/>
        <w:widowControl w:val="0"/>
        <w:pBdr>
          <w:left w:val="none" w:color="auto" w:sz="0" w:space="0"/>
          <w:bottom w:val="none" w:color="auto" w:sz="0" w:space="0"/>
          <w:right w:val="none" w:color="auto" w:sz="0" w:space="0"/>
        </w:pBdr>
        <w:spacing w:before="0" w:beforeAutospacing="0" w:after="0" w:afterAutospacing="0" w:line="460" w:lineRule="exact"/>
        <w:textAlignment w:val="auto"/>
        <w:rPr>
          <w:rFonts w:hint="eastAsia" w:ascii="新宋体" w:hAnsi="新宋体" w:eastAsia="新宋体" w:cs="新宋体"/>
          <w:color w:val="auto"/>
          <w:kern w:val="2"/>
          <w:sz w:val="22"/>
          <w:highlight w:val="none"/>
        </w:rPr>
      </w:pP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46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pStyle w:val="22"/>
        <w:spacing w:line="460" w:lineRule="exact"/>
        <w:ind w:left="433" w:hanging="433" w:hangingChars="196"/>
        <w:outlineLvl w:val="1"/>
        <w:rPr>
          <w:rFonts w:hint="eastAsia" w:ascii="新宋体" w:hAnsi="新宋体" w:eastAsia="新宋体"/>
          <w:b/>
          <w:color w:val="auto"/>
          <w:sz w:val="22"/>
          <w:highlight w:val="none"/>
        </w:rPr>
      </w:pPr>
      <w:r>
        <w:rPr>
          <w:rFonts w:hint="eastAsia" w:ascii="新宋体" w:hAnsi="新宋体" w:eastAsia="新宋体"/>
          <w:b/>
          <w:color w:val="auto"/>
          <w:sz w:val="22"/>
          <w:highlight w:val="none"/>
        </w:rPr>
        <w:t>附件十四</w:t>
      </w:r>
    </w:p>
    <w:p>
      <w:pPr>
        <w:jc w:val="center"/>
        <w:outlineLvl w:val="2"/>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业绩</w:t>
      </w:r>
    </w:p>
    <w:p>
      <w:pPr>
        <w:spacing w:line="460" w:lineRule="exact"/>
        <w:rPr>
          <w:rFonts w:hint="eastAsia" w:ascii="新宋体" w:hAnsi="新宋体" w:eastAsia="新宋体"/>
          <w:b/>
          <w:bCs/>
          <w:color w:val="auto"/>
          <w:sz w:val="28"/>
          <w:szCs w:val="28"/>
          <w:highlight w:val="none"/>
        </w:rPr>
      </w:pPr>
      <w:r>
        <w:rPr>
          <w:rFonts w:hint="eastAsia" w:ascii="新宋体" w:hAnsi="新宋体" w:eastAsia="新宋体"/>
          <w:b/>
          <w:color w:val="auto"/>
          <w:highlight w:val="none"/>
        </w:rPr>
        <w:t>项目名称：                                                   项目编号：</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520"/>
        <w:gridCol w:w="2310"/>
        <w:gridCol w:w="1271"/>
        <w:gridCol w:w="1596"/>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序号</w:t>
            </w: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用户名称</w:t>
            </w: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项目名称</w:t>
            </w: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合同金额</w:t>
            </w: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联系方式</w:t>
            </w: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0" w:hRule="atLeast"/>
          <w:jc w:val="center"/>
        </w:trPr>
        <w:tc>
          <w:tcPr>
            <w:tcW w:w="105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52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2310"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271"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596"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c>
          <w:tcPr>
            <w:tcW w:w="1128" w:type="dxa"/>
            <w:noWrap w:val="0"/>
            <w:vAlign w:val="center"/>
          </w:tcPr>
          <w:p>
            <w:pPr>
              <w:spacing w:line="380" w:lineRule="exact"/>
              <w:ind w:left="442" w:hanging="442" w:hangingChars="200"/>
              <w:jc w:val="center"/>
              <w:rPr>
                <w:rFonts w:hint="eastAsia" w:ascii="新宋体" w:hAnsi="新宋体" w:eastAsia="新宋体"/>
                <w:b/>
                <w:bCs/>
                <w:color w:val="auto"/>
                <w:sz w:val="22"/>
                <w:szCs w:val="22"/>
                <w:highlight w:val="none"/>
              </w:rPr>
            </w:pPr>
          </w:p>
        </w:tc>
      </w:tr>
    </w:tbl>
    <w:p>
      <w:pPr>
        <w:spacing w:line="380" w:lineRule="exact"/>
        <w:rPr>
          <w:rFonts w:hint="eastAsia" w:ascii="新宋体" w:hAnsi="新宋体" w:eastAsia="新宋体"/>
          <w:color w:val="auto"/>
          <w:sz w:val="22"/>
          <w:szCs w:val="22"/>
          <w:highlight w:val="none"/>
        </w:rPr>
      </w:pP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投标人全称（盖章）：</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投标人代表（签字）：</w:t>
      </w:r>
    </w:p>
    <w:p>
      <w:pPr>
        <w:spacing w:line="380" w:lineRule="exact"/>
        <w:ind w:firstLine="4400" w:firstLineChars="20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p>
    <w:p>
      <w:pPr>
        <w:keepNext/>
        <w:keepLines/>
        <w:rPr>
          <w:rFonts w:hint="eastAsia" w:ascii="新宋体" w:hAnsi="新宋体" w:eastAsia="新宋体"/>
          <w:color w:val="auto"/>
          <w:sz w:val="22"/>
          <w:szCs w:val="22"/>
          <w:highlight w:val="none"/>
        </w:rPr>
      </w:pPr>
    </w:p>
    <w:p>
      <w:pPr>
        <w:rPr>
          <w:rFonts w:hint="eastAsia"/>
          <w:color w:val="auto"/>
          <w:highlight w:val="none"/>
        </w:rPr>
      </w:pPr>
    </w:p>
    <w:p>
      <w:pPr>
        <w:keepNext/>
        <w:keepLines/>
        <w:rPr>
          <w:rFonts w:hint="eastAsia"/>
          <w:color w:val="auto"/>
          <w:highlight w:val="none"/>
        </w:rPr>
      </w:pPr>
    </w:p>
    <w:p>
      <w:pPr>
        <w:pStyle w:val="27"/>
        <w:spacing w:line="400" w:lineRule="atLeast"/>
        <w:ind w:left="630" w:leftChars="300" w:firstLine="4748" w:firstLineChars="215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460" w:lineRule="exact"/>
        <w:ind w:firstLine="4400" w:firstLineChars="2000"/>
        <w:rPr>
          <w:rFonts w:hint="eastAsia" w:ascii="新宋体" w:hAnsi="新宋体" w:eastAsia="新宋体"/>
          <w:color w:val="auto"/>
          <w:sz w:val="22"/>
          <w:szCs w:val="22"/>
          <w:highlight w:val="none"/>
        </w:rPr>
      </w:pPr>
    </w:p>
    <w:p>
      <w:pPr>
        <w:spacing w:line="380" w:lineRule="exact"/>
        <w:ind w:firstLine="5622" w:firstLineChars="2000"/>
        <w:rPr>
          <w:rFonts w:hint="eastAsia" w:ascii="新宋体" w:hAnsi="新宋体" w:eastAsia="新宋体"/>
          <w:b/>
          <w:color w:val="auto"/>
          <w:sz w:val="28"/>
          <w:szCs w:val="28"/>
          <w:highlight w:val="none"/>
        </w:rPr>
      </w:pPr>
    </w:p>
    <w:p>
      <w:pPr>
        <w:spacing w:line="380" w:lineRule="exact"/>
        <w:ind w:firstLine="5622" w:firstLineChars="2000"/>
        <w:rPr>
          <w:rFonts w:hint="eastAsia" w:ascii="新宋体" w:hAnsi="新宋体" w:eastAsia="新宋体"/>
          <w:b/>
          <w:color w:val="auto"/>
          <w:sz w:val="28"/>
          <w:szCs w:val="28"/>
          <w:highlight w:val="none"/>
        </w:rPr>
      </w:pPr>
    </w:p>
    <w:p>
      <w:pPr>
        <w:spacing w:line="380" w:lineRule="exact"/>
        <w:ind w:firstLine="5622" w:firstLineChars="2000"/>
        <w:rPr>
          <w:rFonts w:hint="eastAsia" w:ascii="新宋体" w:hAnsi="新宋体" w:eastAsia="新宋体"/>
          <w:b/>
          <w:color w:val="auto"/>
          <w:sz w:val="28"/>
          <w:szCs w:val="28"/>
          <w:highlight w:val="none"/>
        </w:rPr>
      </w:pPr>
    </w:p>
    <w:p>
      <w:pPr>
        <w:keepNext/>
        <w:keepLines/>
        <w:rPr>
          <w:rFonts w:hint="eastAsia" w:ascii="新宋体" w:hAnsi="新宋体" w:eastAsia="新宋体"/>
          <w:b/>
          <w:color w:val="auto"/>
          <w:sz w:val="28"/>
          <w:szCs w:val="28"/>
          <w:highlight w:val="none"/>
        </w:rPr>
      </w:pPr>
    </w:p>
    <w:p>
      <w:pPr>
        <w:keepNext/>
        <w:keepLines/>
        <w:rPr>
          <w:rFonts w:hint="eastAsia"/>
          <w:color w:val="auto"/>
          <w:highlight w:val="none"/>
        </w:rPr>
      </w:pPr>
    </w:p>
    <w:p>
      <w:pPr>
        <w:keepNext/>
        <w:keepLines/>
        <w:rPr>
          <w:rFonts w:hint="eastAsia"/>
          <w:color w:val="auto"/>
          <w:highlight w:val="none"/>
        </w:rPr>
      </w:pPr>
    </w:p>
    <w:p>
      <w:pPr>
        <w:rPr>
          <w:rFonts w:hint="eastAsia"/>
          <w:color w:val="auto"/>
          <w:highlight w:val="none"/>
        </w:rPr>
      </w:pPr>
    </w:p>
    <w:p>
      <w:pPr>
        <w:spacing w:line="380" w:lineRule="exact"/>
        <w:ind w:firstLine="5622" w:firstLineChars="2000"/>
        <w:rPr>
          <w:rFonts w:hint="eastAsia" w:ascii="新宋体" w:hAnsi="新宋体" w:eastAsia="新宋体"/>
          <w:b/>
          <w:color w:val="auto"/>
          <w:sz w:val="28"/>
          <w:szCs w:val="28"/>
          <w:highlight w:val="none"/>
        </w:rPr>
      </w:pPr>
    </w:p>
    <w:p>
      <w:pPr>
        <w:spacing w:line="380" w:lineRule="exact"/>
        <w:ind w:firstLine="5622" w:firstLineChars="2000"/>
        <w:rPr>
          <w:rFonts w:hint="eastAsia" w:ascii="新宋体" w:hAnsi="新宋体" w:eastAsia="新宋体"/>
          <w:b/>
          <w:color w:val="auto"/>
          <w:sz w:val="28"/>
          <w:szCs w:val="28"/>
          <w:highlight w:val="none"/>
        </w:rPr>
      </w:pPr>
    </w:p>
    <w:p>
      <w:pPr>
        <w:spacing w:line="380" w:lineRule="exact"/>
        <w:ind w:firstLine="5622" w:firstLineChars="2000"/>
        <w:rPr>
          <w:rFonts w:hint="eastAsia" w:ascii="新宋体" w:hAnsi="新宋体" w:eastAsia="新宋体"/>
          <w:b/>
          <w:color w:val="auto"/>
          <w:sz w:val="28"/>
          <w:szCs w:val="28"/>
          <w:highlight w:val="none"/>
        </w:rPr>
      </w:pPr>
    </w:p>
    <w:p>
      <w:pPr>
        <w:spacing w:line="380" w:lineRule="exact"/>
        <w:ind w:firstLine="5622" w:firstLineChars="2000"/>
        <w:rPr>
          <w:rFonts w:hint="eastAsia" w:ascii="新宋体" w:hAnsi="新宋体" w:eastAsia="新宋体"/>
          <w:b/>
          <w:color w:val="auto"/>
          <w:sz w:val="28"/>
          <w:szCs w:val="28"/>
          <w:highlight w:val="none"/>
        </w:rPr>
      </w:pPr>
    </w:p>
    <w:p>
      <w:pPr>
        <w:jc w:val="center"/>
        <w:outlineLvl w:val="0"/>
        <w:rPr>
          <w:rFonts w:hint="eastAsia" w:ascii="新宋体" w:hAnsi="新宋体" w:eastAsia="新宋体"/>
          <w:b/>
          <w:bCs/>
          <w:color w:val="auto"/>
          <w:sz w:val="52"/>
          <w:szCs w:val="52"/>
          <w:highlight w:val="none"/>
        </w:rPr>
      </w:pPr>
      <w:r>
        <w:rPr>
          <w:rFonts w:hint="eastAsia" w:ascii="新宋体" w:hAnsi="新宋体" w:eastAsia="新宋体"/>
          <w:b/>
          <w:bCs/>
          <w:color w:val="auto"/>
          <w:sz w:val="52"/>
          <w:szCs w:val="52"/>
          <w:highlight w:val="none"/>
        </w:rPr>
        <w:t>第二册</w:t>
      </w:r>
    </w:p>
    <w:p>
      <w:pPr>
        <w:jc w:val="center"/>
        <w:rPr>
          <w:rFonts w:hint="eastAsia" w:ascii="新宋体" w:hAnsi="新宋体" w:eastAsia="新宋体"/>
          <w:b/>
          <w:bCs/>
          <w:color w:val="auto"/>
          <w:sz w:val="48"/>
          <w:highlight w:val="none"/>
        </w:rPr>
      </w:pPr>
    </w:p>
    <w:p>
      <w:pPr>
        <w:jc w:val="center"/>
        <w:outlineLvl w:val="1"/>
        <w:rPr>
          <w:rFonts w:hint="eastAsia" w:ascii="新宋体" w:hAnsi="新宋体" w:eastAsia="新宋体"/>
          <w:b/>
          <w:bCs/>
          <w:color w:val="auto"/>
          <w:sz w:val="48"/>
          <w:highlight w:val="none"/>
        </w:rPr>
      </w:pPr>
      <w:r>
        <w:rPr>
          <w:rFonts w:hint="eastAsia" w:ascii="新宋体" w:hAnsi="新宋体" w:eastAsia="新宋体"/>
          <w:b/>
          <w:bCs/>
          <w:color w:val="auto"/>
          <w:sz w:val="48"/>
          <w:highlight w:val="none"/>
        </w:rPr>
        <w:t>专 用 文 本</w:t>
      </w:r>
    </w:p>
    <w:p>
      <w:pPr>
        <w:jc w:val="center"/>
        <w:rPr>
          <w:rFonts w:hint="eastAsia" w:ascii="新宋体" w:hAnsi="新宋体" w:eastAsia="新宋体"/>
          <w:b/>
          <w:bCs/>
          <w:color w:val="auto"/>
          <w:sz w:val="48"/>
          <w:highlight w:val="none"/>
        </w:rPr>
      </w:pPr>
    </w:p>
    <w:p>
      <w:pPr>
        <w:rPr>
          <w:rFonts w:hint="eastAsia"/>
          <w:color w:val="auto"/>
          <w:highlight w:val="none"/>
        </w:rPr>
      </w:pPr>
    </w:p>
    <w:p>
      <w:pPr>
        <w:spacing w:line="460" w:lineRule="exact"/>
        <w:jc w:val="center"/>
        <w:rPr>
          <w:rFonts w:hint="eastAsia" w:ascii="新宋体" w:hAnsi="新宋体" w:eastAsia="新宋体"/>
          <w:b/>
          <w:color w:val="auto"/>
          <w:sz w:val="32"/>
          <w:szCs w:val="32"/>
          <w:highlight w:val="none"/>
        </w:rPr>
      </w:pPr>
    </w:p>
    <w:p>
      <w:pPr>
        <w:spacing w:line="460" w:lineRule="exact"/>
        <w:jc w:val="center"/>
        <w:rPr>
          <w:rFonts w:hint="eastAsia" w:ascii="新宋体" w:hAnsi="新宋体" w:eastAsia="新宋体"/>
          <w:b/>
          <w:color w:val="auto"/>
          <w:sz w:val="32"/>
          <w:szCs w:val="32"/>
          <w:highlight w:val="none"/>
        </w:rPr>
      </w:pPr>
    </w:p>
    <w:p>
      <w:pPr>
        <w:spacing w:line="460" w:lineRule="exact"/>
        <w:jc w:val="center"/>
        <w:rPr>
          <w:rFonts w:hint="eastAsia" w:ascii="新宋体" w:hAnsi="新宋体" w:eastAsia="新宋体"/>
          <w:b/>
          <w:color w:val="auto"/>
          <w:sz w:val="32"/>
          <w:szCs w:val="32"/>
          <w:highlight w:val="none"/>
        </w:rPr>
      </w:pPr>
    </w:p>
    <w:p>
      <w:pPr>
        <w:spacing w:line="460" w:lineRule="exact"/>
        <w:jc w:val="center"/>
        <w:rPr>
          <w:rFonts w:hint="eastAsia" w:ascii="新宋体" w:hAnsi="新宋体" w:eastAsia="新宋体"/>
          <w:b/>
          <w:color w:val="auto"/>
          <w:sz w:val="32"/>
          <w:szCs w:val="32"/>
          <w:highlight w:val="none"/>
        </w:rPr>
      </w:pPr>
    </w:p>
    <w:p>
      <w:pPr>
        <w:spacing w:line="460" w:lineRule="exact"/>
        <w:jc w:val="center"/>
        <w:rPr>
          <w:rFonts w:hint="eastAsia" w:ascii="新宋体" w:hAnsi="新宋体" w:eastAsia="新宋体"/>
          <w:b/>
          <w:color w:val="auto"/>
          <w:sz w:val="32"/>
          <w:szCs w:val="32"/>
          <w:highlight w:val="none"/>
        </w:rPr>
      </w:pPr>
    </w:p>
    <w:p>
      <w:pPr>
        <w:spacing w:line="460" w:lineRule="exact"/>
        <w:jc w:val="center"/>
        <w:rPr>
          <w:rFonts w:hint="eastAsia" w:ascii="新宋体" w:hAnsi="新宋体" w:eastAsia="新宋体"/>
          <w:b/>
          <w:color w:val="auto"/>
          <w:sz w:val="32"/>
          <w:szCs w:val="32"/>
          <w:highlight w:val="none"/>
        </w:rPr>
      </w:pPr>
    </w:p>
    <w:p>
      <w:pPr>
        <w:spacing w:line="460" w:lineRule="exact"/>
        <w:jc w:val="center"/>
        <w:rPr>
          <w:rFonts w:hint="eastAsia" w:ascii="新宋体" w:hAnsi="新宋体" w:eastAsia="新宋体"/>
          <w:b/>
          <w:color w:val="auto"/>
          <w:sz w:val="32"/>
          <w:szCs w:val="32"/>
          <w:highlight w:val="none"/>
        </w:rPr>
      </w:pPr>
    </w:p>
    <w:p>
      <w:pPr>
        <w:rPr>
          <w:rFonts w:hint="eastAsia" w:ascii="新宋体" w:hAnsi="新宋体" w:eastAsia="新宋体"/>
          <w:b/>
          <w:color w:val="auto"/>
          <w:sz w:val="32"/>
          <w:szCs w:val="32"/>
          <w:highlight w:val="none"/>
        </w:rPr>
      </w:pPr>
    </w:p>
    <w:p>
      <w:pPr>
        <w:rPr>
          <w:rFonts w:hint="eastAsia" w:ascii="新宋体" w:hAnsi="新宋体" w:eastAsia="新宋体"/>
          <w:b/>
          <w:color w:val="auto"/>
          <w:sz w:val="32"/>
          <w:szCs w:val="32"/>
          <w:highlight w:val="none"/>
        </w:rPr>
      </w:pPr>
    </w:p>
    <w:p>
      <w:pPr>
        <w:rPr>
          <w:rFonts w:hint="eastAsia" w:ascii="新宋体" w:hAnsi="新宋体" w:eastAsia="新宋体"/>
          <w:b/>
          <w:color w:val="auto"/>
          <w:sz w:val="32"/>
          <w:szCs w:val="32"/>
          <w:highlight w:val="none"/>
        </w:rPr>
      </w:pPr>
    </w:p>
    <w:p>
      <w:pPr>
        <w:rPr>
          <w:rFonts w:hint="eastAsia" w:ascii="新宋体" w:hAnsi="新宋体" w:eastAsia="新宋体"/>
          <w:b/>
          <w:color w:val="auto"/>
          <w:sz w:val="32"/>
          <w:szCs w:val="32"/>
          <w:highlight w:val="none"/>
        </w:rPr>
      </w:pPr>
    </w:p>
    <w:p>
      <w:pPr>
        <w:rPr>
          <w:rFonts w:hint="eastAsia" w:ascii="新宋体" w:hAnsi="新宋体" w:eastAsia="新宋体"/>
          <w:b/>
          <w:color w:val="auto"/>
          <w:sz w:val="32"/>
          <w:szCs w:val="32"/>
          <w:highlight w:val="none"/>
        </w:rPr>
      </w:pPr>
    </w:p>
    <w:p>
      <w:pPr>
        <w:rPr>
          <w:rFonts w:hint="eastAsia" w:ascii="新宋体" w:hAnsi="新宋体" w:eastAsia="新宋体"/>
          <w:b/>
          <w:color w:val="auto"/>
          <w:sz w:val="32"/>
          <w:szCs w:val="32"/>
          <w:highlight w:val="none"/>
        </w:rPr>
      </w:pPr>
    </w:p>
    <w:p>
      <w:pPr>
        <w:rPr>
          <w:rFonts w:hint="eastAsia" w:ascii="新宋体" w:hAnsi="新宋体" w:eastAsia="新宋体"/>
          <w:b/>
          <w:color w:val="auto"/>
          <w:sz w:val="32"/>
          <w:szCs w:val="32"/>
          <w:highlight w:val="none"/>
        </w:rPr>
      </w:pPr>
    </w:p>
    <w:p>
      <w:pPr>
        <w:rPr>
          <w:rFonts w:hint="eastAsia"/>
          <w:color w:val="auto"/>
          <w:highlight w:val="none"/>
        </w:rPr>
      </w:pPr>
    </w:p>
    <w:p>
      <w:pPr>
        <w:pStyle w:val="22"/>
        <w:spacing w:line="460" w:lineRule="exact"/>
        <w:ind w:left="433" w:leftChars="206" w:firstLine="0" w:firstLineChars="0"/>
        <w:jc w:val="center"/>
        <w:outlineLvl w:val="0"/>
        <w:rPr>
          <w:rFonts w:hint="eastAsia" w:ascii="新宋体" w:hAnsi="新宋体" w:eastAsia="新宋体"/>
          <w:b/>
          <w:color w:val="auto"/>
          <w:sz w:val="30"/>
          <w:highlight w:val="none"/>
        </w:rPr>
      </w:pPr>
      <w:r>
        <w:rPr>
          <w:rFonts w:hint="eastAsia" w:ascii="新宋体" w:hAnsi="新宋体" w:eastAsia="新宋体"/>
          <w:b/>
          <w:color w:val="auto"/>
          <w:sz w:val="30"/>
          <w:highlight w:val="none"/>
        </w:rPr>
        <w:t>第五部分   招标内容及要求</w:t>
      </w:r>
      <w:bookmarkStart w:id="3" w:name="_Toc221356958"/>
      <w:bookmarkStart w:id="4" w:name="_Toc221356895"/>
    </w:p>
    <w:bookmarkEnd w:id="3"/>
    <w:bookmarkEnd w:id="4"/>
    <w:p>
      <w:pPr>
        <w:spacing w:line="460" w:lineRule="exact"/>
        <w:ind w:firstLine="541" w:firstLineChars="245"/>
        <w:rPr>
          <w:rFonts w:hint="eastAsia" w:ascii="新宋体" w:hAnsi="新宋体" w:eastAsia="新宋体" w:cs="新宋体"/>
          <w:b/>
          <w:color w:val="auto"/>
          <w:sz w:val="22"/>
          <w:szCs w:val="22"/>
          <w:highlight w:val="none"/>
        </w:rPr>
      </w:pPr>
      <w:bookmarkStart w:id="5" w:name="_Toc441051470"/>
      <w:bookmarkStart w:id="6" w:name="OLE_LINK8"/>
      <w:bookmarkStart w:id="7" w:name="_Toc282690457"/>
      <w:bookmarkStart w:id="8" w:name="_Toc201920311"/>
      <w:r>
        <w:rPr>
          <w:rFonts w:hint="eastAsia" w:ascii="新宋体" w:hAnsi="新宋体" w:eastAsia="新宋体" w:cs="新宋体"/>
          <w:b/>
          <w:color w:val="auto"/>
          <w:sz w:val="22"/>
          <w:szCs w:val="22"/>
          <w:highlight w:val="none"/>
        </w:rPr>
        <w:t>本次财政预算为人民币伍佰玖拾陆万伍仟元整（¥5965000 .00元）, 如投标人报价超过财政预算按无效标处理。</w:t>
      </w:r>
      <w:bookmarkEnd w:id="5"/>
      <w:bookmarkEnd w:id="6"/>
      <w:bookmarkEnd w:id="7"/>
      <w:bookmarkEnd w:id="8"/>
    </w:p>
    <w:p>
      <w:pPr>
        <w:spacing w:line="460" w:lineRule="exact"/>
        <w:ind w:firstLine="541" w:firstLineChars="245"/>
        <w:outlineLvl w:val="1"/>
        <w:rPr>
          <w:rFonts w:hint="eastAsia" w:ascii="新宋体" w:hAnsi="新宋体" w:eastAsia="新宋体" w:cs="新宋体"/>
          <w:b/>
          <w:color w:val="auto"/>
          <w:sz w:val="22"/>
          <w:szCs w:val="22"/>
          <w:highlight w:val="none"/>
        </w:rPr>
      </w:pPr>
      <w:bookmarkStart w:id="9" w:name="_Toc4505684"/>
      <w:r>
        <w:rPr>
          <w:rFonts w:hint="eastAsia" w:ascii="新宋体" w:hAnsi="新宋体" w:eastAsia="新宋体" w:cs="新宋体"/>
          <w:b/>
          <w:color w:val="auto"/>
          <w:sz w:val="22"/>
          <w:szCs w:val="22"/>
          <w:highlight w:val="none"/>
        </w:rPr>
        <w:t>一、项目背景</w:t>
      </w:r>
      <w:bookmarkEnd w:id="9"/>
    </w:p>
    <w:p>
      <w:pPr>
        <w:spacing w:line="460" w:lineRule="exact"/>
        <w:ind w:firstLine="541" w:firstLineChars="245"/>
        <w:outlineLvl w:val="2"/>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1、概述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2016年4月19日，习近平总书记在网络安全信息化工作座谈会提出推进国家治理体系和治理能力现代化工作，以信息化推进国家治理体系，统筹发展电子政务，提出信息化与“五位一体”总体布局，其中以信息化推进民主政治讲述的是信息时代政府部门的行政方式，利用信息化提高政府部门的办事效率。另外最高人民法院层召开专题会议，研究通过《人民法院信息化建设五年发展规划(2016-2020)》和《最高人民法院信息化建设五年发展规划(2016-2020)》。</w:t>
      </w:r>
    </w:p>
    <w:p>
      <w:pPr>
        <w:spacing w:line="460" w:lineRule="exact"/>
        <w:ind w:firstLine="539" w:firstLineChars="245"/>
        <w:rPr>
          <w:rFonts w:hint="eastAsia"/>
          <w:b/>
          <w:color w:val="auto"/>
          <w:highlight w:val="none"/>
        </w:rPr>
      </w:pPr>
      <w:r>
        <w:rPr>
          <w:rFonts w:hint="eastAsia" w:ascii="新宋体" w:hAnsi="新宋体" w:eastAsia="新宋体" w:cs="新宋体"/>
          <w:bCs/>
          <w:color w:val="auto"/>
          <w:sz w:val="22"/>
          <w:szCs w:val="22"/>
          <w:highlight w:val="none"/>
        </w:rPr>
        <w:t>在全国法院第四次工作会议上，最高人民法院院长周强出席讲话指出加快建设智慧法院是落实“五位一体”总体布局和“四个全面”战略布局的必然要求，是国家信息化发展战略的重要内容，通过信息化实现审判体系和审判能力现代化是提升司法公信力的重大举措。强调要大力推进电子卷宗随案生成及深度应用。浙江省高级法院为响应最高人民法院相关精神，贯彻落实最高法院《关于全面推进人民法院电子卷宗随案同步生成和深度应用的指导意见》相关政策，颁布了《关于加快推进我省电子卷宗随案同步生成和深度应用工作的通知》，明确指出目前浙江省内电子卷宗随案同步生成和深度应用工作与最高法院要求差距较大，提出法院信息化工作要求。温州市中级人民法院作为浙江省司法部门的重要组成部分，贯彻和落实国家相关政策，结合业务流程运用信息化手段提升工作效率服务于人民义不容辞</w:t>
      </w:r>
      <w:r>
        <w:rPr>
          <w:rFonts w:hint="eastAsia"/>
          <w:color w:val="auto"/>
          <w:highlight w:val="none"/>
        </w:rPr>
        <w:t>。</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2、建设内容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此次建设内容主要包含是十二项，分别是：“15法标”审判流程管理系统、材料智能OCR识别系统、审委会系统、司法技术辅助系统、量刑辅助系统升级、法官律师互评系统、纸质文档智能管理平台、指定辩护系统、人员比对核查系统、案件折算管理系统。</w:t>
      </w:r>
    </w:p>
    <w:p>
      <w:pPr>
        <w:spacing w:line="460" w:lineRule="exact"/>
        <w:ind w:firstLine="541" w:firstLineChars="245"/>
        <w:outlineLvl w:val="2"/>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3、建设范围</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项目建设以浙江省最高人民法院统建的“15法标”审判流程管理系统和电子卷宗、材料收转等系统为基础，结合温州区域法院的自身业务需求进行建设，建设范围涉及温州市中级人民法院和温州鹿城区人民法院、龙湾区人民法院、瓯海区人民法院等11个基层法院的信息化建设，由温州中院负责统筹建设，各基层法院授权使用。</w:t>
      </w:r>
    </w:p>
    <w:p>
      <w:pPr>
        <w:spacing w:line="460" w:lineRule="exact"/>
        <w:ind w:firstLine="541" w:firstLineChars="245"/>
        <w:outlineLvl w:val="1"/>
        <w:rPr>
          <w:rFonts w:hint="eastAsia" w:ascii="新宋体" w:hAnsi="新宋体" w:eastAsia="新宋体" w:cs="新宋体"/>
          <w:b/>
          <w:color w:val="auto"/>
          <w:sz w:val="22"/>
          <w:szCs w:val="22"/>
          <w:highlight w:val="none"/>
        </w:rPr>
      </w:pPr>
      <w:bookmarkStart w:id="10" w:name="_Toc4505707"/>
      <w:r>
        <w:rPr>
          <w:rFonts w:hint="eastAsia" w:ascii="新宋体" w:hAnsi="新宋体" w:eastAsia="新宋体" w:cs="新宋体"/>
          <w:b/>
          <w:color w:val="auto"/>
          <w:sz w:val="22"/>
          <w:szCs w:val="22"/>
          <w:highlight w:val="none"/>
        </w:rPr>
        <w:t>二、业务需求</w:t>
      </w:r>
      <w:bookmarkEnd w:id="10"/>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1" w:name="_Toc4505708"/>
      <w:r>
        <w:rPr>
          <w:rFonts w:hint="eastAsia" w:ascii="新宋体" w:hAnsi="新宋体" w:eastAsia="新宋体" w:cs="新宋体"/>
          <w:b/>
          <w:color w:val="auto"/>
          <w:sz w:val="22"/>
          <w:szCs w:val="22"/>
          <w:highlight w:val="none"/>
        </w:rPr>
        <w:t>1、“15法标”审判流程管理系统业务需求</w:t>
      </w:r>
      <w:bookmarkEnd w:id="11"/>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最高人民法院《最高人民法院办公厅关于2017年人民法院数据管理工作有关问题的通知》（法办〔2017〕49号）文件要求，开展对温州全市审判业务管理系统进行升级改造，在满足最高人民法院2015版技术规范要求的基础上，推进系统个性化功能的建设。同时，以“服务办案、服务管理、服务决策、服务群众、服务社会”为出发点，对目前全市法院业务系统运行过程中出现的问题进行总结和梳理，在新版的审判流程管理系统中继承原有系统好用的功能，对原系统的问题和缺陷在新系统中加以规避和妥善解决，切实满足全市审判管理要求。</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2" w:name="_Toc4505709"/>
      <w:r>
        <w:rPr>
          <w:rFonts w:hint="eastAsia" w:ascii="新宋体" w:hAnsi="新宋体" w:eastAsia="新宋体" w:cs="新宋体"/>
          <w:b/>
          <w:color w:val="auto"/>
          <w:sz w:val="22"/>
          <w:szCs w:val="22"/>
          <w:highlight w:val="none"/>
        </w:rPr>
        <w:t>2、诉讼材料智能OCR系统业务需求</w:t>
      </w:r>
      <w:bookmarkEnd w:id="12"/>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诉讼材料智能OCR系统立足于破解“案多人少”难题，减轻电子卷宗随案同步给办案法官带来的工作负担，由专职工作人员负责材料的数字化处理，落实责任到人，跟踪材料到案，统一出口和归口，为诉讼材料向电子卷宗的转变以及诉讼材料的有序收发奠定基础。</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利用智能OCR技术将图片转换成可复制的文字，对文字内容进行结构化分析，提取出可用的案件信息回填到办案系统中，通过智能的卷宗采集，全面减少法官的录入工作量。</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3" w:name="_Toc4505710"/>
      <w:r>
        <w:rPr>
          <w:rFonts w:hint="eastAsia" w:ascii="新宋体" w:hAnsi="新宋体" w:eastAsia="新宋体" w:cs="新宋体"/>
          <w:b/>
          <w:color w:val="auto"/>
          <w:sz w:val="22"/>
          <w:szCs w:val="22"/>
          <w:highlight w:val="none"/>
        </w:rPr>
        <w:t>3、审委会系统业务需求</w:t>
      </w:r>
      <w:bookmarkEnd w:id="13"/>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了更好的服务法院审判委员会工作、提高审委会会议的效率、更好的辅助领导决策，形成统一的数字化管理平台，为人民法院审判委员会讨论研究重大疑难案件、审议讨论重要文件及研究决议其它有关审判工作问题等提供全方位的智能化管理与服务。</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业务流程：</w:t>
      </w:r>
    </w:p>
    <w:p>
      <w:pPr>
        <w:jc w:val="center"/>
        <w:rPr>
          <w:rFonts w:ascii="仿宋" w:hAnsi="仿宋" w:eastAsia="仿宋"/>
          <w:color w:val="auto"/>
          <w:highlight w:val="none"/>
        </w:rPr>
      </w:pPr>
      <w:r>
        <w:rPr>
          <w:rFonts w:ascii="仿宋" w:hAnsi="仿宋" w:eastAsia="仿宋"/>
          <w:color w:val="auto"/>
          <w:highlight w:val="none"/>
        </w:rPr>
        <w:drawing>
          <wp:inline distT="0" distB="0" distL="114300" distR="114300">
            <wp:extent cx="4968240" cy="3745230"/>
            <wp:effectExtent l="0" t="0" r="3810" b="7620"/>
            <wp:docPr id="3"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片1"/>
                    <pic:cNvPicPr>
                      <a:picLocks noChangeAspect="1"/>
                    </pic:cNvPicPr>
                  </pic:nvPicPr>
                  <pic:blipFill>
                    <a:blip r:embed="rId10"/>
                    <a:stretch>
                      <a:fillRect/>
                    </a:stretch>
                  </pic:blipFill>
                  <pic:spPr>
                    <a:xfrm>
                      <a:off x="0" y="0"/>
                      <a:ext cx="4968240" cy="3745230"/>
                    </a:xfrm>
                    <a:prstGeom prst="rect">
                      <a:avLst/>
                    </a:prstGeom>
                    <a:noFill/>
                    <a:ln>
                      <a:noFill/>
                    </a:ln>
                  </pic:spPr>
                </pic:pic>
              </a:graphicData>
            </a:graphic>
          </wp:inline>
        </w:drawing>
      </w:r>
    </w:p>
    <w:p>
      <w:pPr>
        <w:jc w:val="center"/>
        <w:rPr>
          <w:rFonts w:ascii="Times New Roman" w:hAnsi="Times New Roman"/>
          <w:color w:val="auto"/>
          <w:highlight w:val="none"/>
        </w:rPr>
      </w:pPr>
      <w:r>
        <w:rPr>
          <w:rFonts w:ascii="Times New Roman" w:hAnsi="Times New Roman"/>
          <w:color w:val="auto"/>
          <w:highlight w:val="none"/>
        </w:rPr>
        <w:t>图3.1 审委会系统业务流程图</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4" w:name="_Toc4505711"/>
      <w:bookmarkStart w:id="15" w:name="_Toc522697242"/>
      <w:r>
        <w:rPr>
          <w:rFonts w:hint="eastAsia" w:ascii="新宋体" w:hAnsi="新宋体" w:eastAsia="新宋体" w:cs="新宋体"/>
          <w:b/>
          <w:color w:val="auto"/>
          <w:sz w:val="22"/>
          <w:szCs w:val="22"/>
          <w:highlight w:val="none"/>
        </w:rPr>
        <w:t>4、司法技术辅助系统业务需求</w:t>
      </w:r>
      <w:bookmarkEnd w:id="14"/>
      <w:bookmarkEnd w:id="1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司法鉴定、评估、拍卖工作是审判、执行工作的一个重要环节，事关案件审理的公正与效率，直接影响法院裁判的准确性。目前，法院对司法鉴定机构管理存在机构资质水平不够，机构选取难度较大；人员资格准入过宽，技术水平跟不上形势需求；机构之间关系复杂，结论失去客观公正性；周期过长，影响办案效率；费用的缴纳方式存在一定弊端，收费缺乏统一的标准；制裁机制缺乏，监督管理力度不到位等诸多问题，迫切需要通过信息化的技术手段，以司法技术辅助工作的对外委托管理为核心，专门建设一套司法技术辅助管理系统管理法院由申请人申请的各类依法对外委托处理的案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目前，浙江全省已经建立了全省统一的鉴定机构管理摇号平台，本次建设的司法技术辅助系统基于已有平台，主要业务需求如下：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（1）提供审判法官管理委托的平台，可针对个案提起委托、查看历史委托信息；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（2）技术室接收委托申请后可按实际情况决定是否进行委托；</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（3）对接全省机构信息平台提交摇号申请并接收摇号结果；</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（4）技术室对委托案件进行结果登记；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（5）委托完成后审判法官需要对委托进行评价；</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（6）提供督办提醒功能，在案件办理节点发送短信提醒法官；</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（7）提供智能统计分析功能。</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6" w:name="_Toc4505712"/>
      <w:r>
        <w:rPr>
          <w:rFonts w:hint="eastAsia" w:ascii="新宋体" w:hAnsi="新宋体" w:eastAsia="新宋体" w:cs="新宋体"/>
          <w:b/>
          <w:color w:val="auto"/>
          <w:sz w:val="22"/>
          <w:szCs w:val="22"/>
          <w:highlight w:val="none"/>
        </w:rPr>
        <w:t>5、量刑辅助系统业务需求</w:t>
      </w:r>
      <w:bookmarkEnd w:id="16"/>
    </w:p>
    <w:p>
      <w:pPr>
        <w:spacing w:line="460" w:lineRule="exact"/>
        <w:ind w:firstLine="539" w:firstLineChars="245"/>
        <w:rPr>
          <w:rFonts w:hint="eastAsia" w:ascii="新宋体" w:hAnsi="新宋体" w:eastAsia="新宋体" w:cs="新宋体"/>
          <w:bCs/>
          <w:color w:val="auto"/>
          <w:sz w:val="22"/>
          <w:szCs w:val="22"/>
          <w:highlight w:val="none"/>
        </w:rPr>
      </w:pPr>
      <w:bookmarkStart w:id="17" w:name="_Toc497744954"/>
      <w:r>
        <w:rPr>
          <w:rFonts w:hint="eastAsia" w:ascii="新宋体" w:hAnsi="新宋体" w:eastAsia="新宋体" w:cs="新宋体"/>
          <w:bCs/>
          <w:color w:val="auto"/>
          <w:sz w:val="22"/>
          <w:szCs w:val="22"/>
          <w:highlight w:val="none"/>
        </w:rPr>
        <w:t>为进一步规范和指导法官使用自由裁量权，实现罪责刑相适应，维护司法公正，各省根据国家刑法、最高人民法院发布的司法解释、《人民法院量刑指导意见(试行)》和《人民法院量刑程序指导意见(试行)》等法律和文件，制定了相应的《量刑规范化实施细则》。</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通过规范化量刑改革，统一了法律适用标准，明确了量刑的步骤，采用科学的可计量的方式裁量刑期。但在刑事审判实践中，仍存在量刑过程不够规范及透明，量刑</w:t>
      </w:r>
      <w:r>
        <w:rPr>
          <w:rFonts w:hint="eastAsia"/>
          <w:color w:val="auto"/>
          <w:highlight w:val="none"/>
        </w:rPr>
        <w:t>过程过分依赖于法官个人的法律修养和实践经验，出现部分量刑偏差、量刑失衡等现象，对于刑事审判工作产生了一定的负面影响，影响了司法的公信力。量刑辅助系统依据最高人民法院文件，结合各省、</w:t>
      </w:r>
      <w:r>
        <w:rPr>
          <w:color w:val="auto"/>
          <w:highlight w:val="none"/>
        </w:rPr>
        <w:t>市</w:t>
      </w:r>
      <w:r>
        <w:rPr>
          <w:rFonts w:hint="eastAsia"/>
          <w:color w:val="auto"/>
          <w:highlight w:val="none"/>
        </w:rPr>
        <w:t>制定的规范化量刑实施细则进行开发，指导、辅</w:t>
      </w:r>
      <w:r>
        <w:rPr>
          <w:rFonts w:hint="eastAsia" w:ascii="新宋体" w:hAnsi="新宋体" w:eastAsia="新宋体" w:cs="新宋体"/>
          <w:bCs/>
          <w:color w:val="auto"/>
          <w:sz w:val="22"/>
          <w:szCs w:val="22"/>
          <w:highlight w:val="none"/>
        </w:rPr>
        <w:t>助法官完成量刑工作，实现量刑过程的规范与透明，具有极其重要的意义。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浙江省已全省集中采购了一套规范化刑事辅助量刑系统，但因各市量刑细则不同、各中院基层院需求不同，规范化刑事辅助量刑系统未能在刑事案件量刑过程中充分起到规范化和智能化地作用。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响应浙江高院提出的司法信息化建设中的“规范化”和“智慧化”，温州中院针对刑事案件量刑仍主要以法官的工作经验进行判断量刑的现状，温州全市法院“15法标”审判系统的上线，提出针对辅助量刑系统进行升级改造，以使辅助量刑系统更符合温州法院的实际业务要求，更贴近温州法院的真实使用情况。</w:t>
      </w:r>
    </w:p>
    <w:p>
      <w:pPr>
        <w:spacing w:line="460" w:lineRule="exact"/>
        <w:ind w:firstLine="541"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
          <w:color w:val="auto"/>
          <w:sz w:val="22"/>
          <w:szCs w:val="22"/>
          <w:highlight w:val="none"/>
        </w:rPr>
        <w:t>规范化量刑范围</w:t>
      </w:r>
      <w:bookmarkEnd w:id="17"/>
      <w:r>
        <w:rPr>
          <w:rFonts w:hint="eastAsia" w:ascii="新宋体" w:hAnsi="新宋体" w:eastAsia="新宋体" w:cs="新宋体"/>
          <w:bCs/>
          <w:color w:val="auto"/>
          <w:sz w:val="22"/>
          <w:szCs w:val="22"/>
          <w:highlight w:val="none"/>
        </w:rPr>
        <w:t>:结合省法院及本院量刑细则，主要涉及24种罪名： 交通肇事罪、故意伤害罪，强奸罪，非法拘禁罪，抢劫罪，盗窃罪，诈骗罪，抢夺罪，职务侵占罪，敲诈勒索罪，妨害公务罪，聚众斗殴罪，寻衅滋事罪，危险驾驶罪，走私、贩卖、运输、制造毒品罪，掩饰、隐瞒犯罪所得等、犯罪所得收益罪，非法吸收公众存款罪，集资诈骗罪，信用卡诈骗罪，合同诈骗罪，非法持有毒品罪，容留他人**罪，引诱、容留、介绍卖淫罪，赌博罪，开设赌场罪，假冒注册商标罪。业务流程：</w:t>
      </w:r>
    </w:p>
    <w:p>
      <w:pPr>
        <w:jc w:val="center"/>
        <w:rPr>
          <w:rFonts w:ascii="Arial" w:hAnsi="Arial" w:cs="Arial"/>
          <w:color w:val="auto"/>
          <w:highlight w:val="none"/>
        </w:rPr>
      </w:pPr>
      <w:r>
        <w:rPr>
          <w:rFonts w:ascii="Arial" w:hAnsi="Arial" w:cs="Arial"/>
          <w:color w:val="auto"/>
          <w:highlight w:val="none"/>
        </w:rPr>
        <w:drawing>
          <wp:inline distT="0" distB="0" distL="114300" distR="114300">
            <wp:extent cx="2730500" cy="3912235"/>
            <wp:effectExtent l="0" t="0" r="12700" b="1206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2730500" cy="3912235"/>
                    </a:xfrm>
                    <a:prstGeom prst="rect">
                      <a:avLst/>
                    </a:prstGeom>
                    <a:noFill/>
                    <a:ln>
                      <a:noFill/>
                    </a:ln>
                  </pic:spPr>
                </pic:pic>
              </a:graphicData>
            </a:graphic>
          </wp:inline>
        </w:drawing>
      </w:r>
    </w:p>
    <w:p>
      <w:pPr>
        <w:jc w:val="center"/>
        <w:rPr>
          <w:rFonts w:ascii="Times New Roman" w:hAnsi="Times New Roman"/>
          <w:color w:val="auto"/>
          <w:highlight w:val="none"/>
        </w:rPr>
      </w:pPr>
      <w:r>
        <w:rPr>
          <w:rFonts w:ascii="Times New Roman" w:hAnsi="Times New Roman"/>
          <w:color w:val="auto"/>
          <w:highlight w:val="none"/>
        </w:rPr>
        <w:t>图 3.2 量刑辅助系统业务流程图</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（1）确定量刑起点：根据基本犯罪构成事实 ，自动给出法定量刑幅度及量刑起点范围。</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（2）基准刑修正：根据其他影响犯罪构成的犯罪数额、次数及后果等犯罪事实，在量刑起点的基础上增加相应刑罚量确定修正基准刑。</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（3）确定宣告刑：选择量刑情节调节基准刑，根据系统给出的建议宣告刑并综合考虑全案情况，依法确定宣告刑。</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1）情节调节比例参考：法官在量刑的过程中可以参阅本院各情节的平均调节比例，为具体情节的调节提供参考。</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2）刑罚量及酌定情节的自定义：量刑过程中，对量刑规范及细则中未明确规定的刑罚量或情节，法官认为有必要的，可以通过自定义功能追加，定义具体刑罚或情节的调节比例，系统自动记录备案。</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（4）量刑评议表：量刑结束后，自动形成量刑评议表、数罪并罚决定表，提供导出与打印功能；评议表引入各方的量刑建议，增强了量刑的公开性与透明度 。</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8" w:name="_Toc4505713"/>
      <w:r>
        <w:rPr>
          <w:rFonts w:hint="eastAsia" w:ascii="新宋体" w:hAnsi="新宋体" w:eastAsia="新宋体" w:cs="新宋体"/>
          <w:b/>
          <w:color w:val="auto"/>
          <w:sz w:val="22"/>
          <w:szCs w:val="22"/>
          <w:highlight w:val="none"/>
        </w:rPr>
        <w:t>6、法官律师互评系统业务需求</w:t>
      </w:r>
      <w:bookmarkEnd w:id="18"/>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温中法〔2017〕号文的要求，为加强法官和律师之间互通交流，积极构建律师与法官相互尊重、相互配合、相互信任、相互监督良性互动的新型关系，树立法律职业共同体的良好形象，根据《温州市法官协会、温州市律师协会关于进一步落实法官与律师良性互动机制的意见》精神，经温州市中级人民法院、温州市司法局牵头，温州市法官协会、温州市律师协会会商，制订了《法官与律师互评工作实施办法（试行）》。</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办法将法官与律师的互相评价为整体评议、个案评议和评先评优三个层面，采用“背靠背”评议方式，制订了相应的评议机制。</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法官评价律师业务流程：</w:t>
      </w:r>
    </w:p>
    <w:p>
      <w:pPr>
        <w:jc w:val="center"/>
        <w:rPr>
          <w:color w:val="auto"/>
          <w:highlight w:val="none"/>
        </w:rPr>
      </w:pPr>
      <w:r>
        <w:rPr>
          <w:color w:val="auto"/>
          <w:highlight w:val="none"/>
        </w:rPr>
        <w:drawing>
          <wp:inline distT="0" distB="0" distL="114300" distR="114300">
            <wp:extent cx="5021580" cy="6092825"/>
            <wp:effectExtent l="0" t="0" r="7620" b="3175"/>
            <wp:docPr id="5" name="图片 3" descr="律师评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律师评价.jpg"/>
                    <pic:cNvPicPr>
                      <a:picLocks noChangeAspect="1"/>
                    </pic:cNvPicPr>
                  </pic:nvPicPr>
                  <pic:blipFill>
                    <a:blip r:embed="rId12"/>
                    <a:stretch>
                      <a:fillRect/>
                    </a:stretch>
                  </pic:blipFill>
                  <pic:spPr>
                    <a:xfrm>
                      <a:off x="0" y="0"/>
                      <a:ext cx="5021580" cy="6092825"/>
                    </a:xfrm>
                    <a:prstGeom prst="rect">
                      <a:avLst/>
                    </a:prstGeom>
                    <a:noFill/>
                    <a:ln>
                      <a:noFill/>
                    </a:ln>
                  </pic:spPr>
                </pic:pic>
              </a:graphicData>
            </a:graphic>
          </wp:inline>
        </w:drawing>
      </w:r>
    </w:p>
    <w:p>
      <w:pPr>
        <w:jc w:val="center"/>
        <w:rPr>
          <w:rFonts w:ascii="Times New Roman" w:hAnsi="Times New Roman"/>
          <w:color w:val="auto"/>
          <w:highlight w:val="none"/>
        </w:rPr>
      </w:pPr>
      <w:r>
        <w:rPr>
          <w:rFonts w:ascii="Times New Roman" w:hAnsi="Times New Roman"/>
          <w:color w:val="auto"/>
          <w:highlight w:val="none"/>
        </w:rPr>
        <w:t>图3.3 法官评价律师业务流程图</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律师评价法官业务流程：</w:t>
      </w:r>
    </w:p>
    <w:p>
      <w:pPr>
        <w:jc w:val="center"/>
        <w:rPr>
          <w:color w:val="auto"/>
          <w:highlight w:val="none"/>
        </w:rPr>
      </w:pPr>
      <w:r>
        <w:rPr>
          <w:color w:val="auto"/>
          <w:highlight w:val="none"/>
        </w:rPr>
        <w:drawing>
          <wp:inline distT="0" distB="0" distL="114300" distR="114300">
            <wp:extent cx="5271770" cy="5271770"/>
            <wp:effectExtent l="0" t="0" r="5080" b="5080"/>
            <wp:docPr id="6" name="图片 4" descr="送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送达1.jpg"/>
                    <pic:cNvPicPr>
                      <a:picLocks noChangeAspect="1"/>
                    </pic:cNvPicPr>
                  </pic:nvPicPr>
                  <pic:blipFill>
                    <a:blip r:embed="rId13"/>
                    <a:stretch>
                      <a:fillRect/>
                    </a:stretch>
                  </pic:blipFill>
                  <pic:spPr>
                    <a:xfrm>
                      <a:off x="0" y="0"/>
                      <a:ext cx="5271770" cy="5271770"/>
                    </a:xfrm>
                    <a:prstGeom prst="rect">
                      <a:avLst/>
                    </a:prstGeom>
                    <a:noFill/>
                    <a:ln>
                      <a:noFill/>
                    </a:ln>
                  </pic:spPr>
                </pic:pic>
              </a:graphicData>
            </a:graphic>
          </wp:inline>
        </w:drawing>
      </w:r>
    </w:p>
    <w:p>
      <w:pPr>
        <w:jc w:val="center"/>
        <w:rPr>
          <w:rFonts w:ascii="Times New Roman" w:hAnsi="Times New Roman"/>
          <w:color w:val="auto"/>
          <w:highlight w:val="none"/>
        </w:rPr>
      </w:pPr>
      <w:r>
        <w:rPr>
          <w:rFonts w:ascii="Times New Roman" w:hAnsi="Times New Roman"/>
          <w:color w:val="auto"/>
          <w:highlight w:val="none"/>
        </w:rPr>
        <w:t>图3.4 律师评价法官业务流程</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19" w:name="_Toc4505714"/>
      <w:r>
        <w:rPr>
          <w:rFonts w:hint="eastAsia" w:ascii="新宋体" w:hAnsi="新宋体" w:eastAsia="新宋体" w:cs="新宋体"/>
          <w:b/>
          <w:color w:val="auto"/>
          <w:sz w:val="22"/>
          <w:szCs w:val="22"/>
          <w:highlight w:val="none"/>
        </w:rPr>
        <w:t>7、纸质文档智能管理平台业务需求</w:t>
      </w:r>
      <w:bookmarkEnd w:id="19"/>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了解决纸质文件流转管理与电子卷流转管理不一致的矛盾，建设诉讼材料中转云平台，实现每份纸质卷宗在材料收转系统中随案生成唯一的编号二维码，实现电子卷宗流转过程中纸质卷的转接通过掌上APP和智能柜系统同步流转，借助物联网技术进行协助管控。材料中转柜系统设置了身份卡，二维码等多重安全校验机制，既保证了流转卷宗的安全性，同时又方便追踪到档案在各个阶段的流转信息，流转信息及时材料管理平台交互，保证了电子卷与纸质卷信息同步。</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注：智能云柜APP功能集成在现有智慧法院APP中，IOS以及Android两种版本均支持。</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0" w:name="_Toc4505715"/>
      <w:r>
        <w:rPr>
          <w:rFonts w:hint="eastAsia" w:ascii="新宋体" w:hAnsi="新宋体" w:eastAsia="新宋体" w:cs="新宋体"/>
          <w:b/>
          <w:color w:val="auto"/>
          <w:sz w:val="22"/>
          <w:szCs w:val="22"/>
          <w:highlight w:val="none"/>
        </w:rPr>
        <w:t>8、指定辩护系统业务需求</w:t>
      </w:r>
      <w:bookmarkEnd w:id="20"/>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最高法院、司法部作出《关于开展刑事案件律师辩护全覆盖的试点工作》，决定在八个省市进行刑事案件辩护全覆盖试点。省高院、省司法厅决定在温州进行试点。为了推进试点工作，提高通知刑辩的工作效率，市中院与市司法局决定共同开发网络系统，在全市范围进行网上指定辩护对接工作。</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鉴于目前省高院在温州试点推进的社区矫正系统已经建设了市中院与市司法局的网络基础架构，实现双方单位的数据传输。为避免重复投资，节约资源，此次的指定辩护系统也通过相同的方式实现数据的互联互通。业务流程如下：</w:t>
      </w:r>
    </w:p>
    <w:p>
      <w:pPr>
        <w:rPr>
          <w:rFonts w:hint="eastAsia"/>
          <w:color w:val="auto"/>
          <w:highlight w:val="none"/>
        </w:rPr>
      </w:pPr>
    </w:p>
    <w:p>
      <w:pPr>
        <w:jc w:val="center"/>
        <w:rPr>
          <w:color w:val="auto"/>
          <w:highlight w:val="none"/>
        </w:rPr>
      </w:pPr>
      <w:r>
        <w:rPr>
          <w:color w:val="auto"/>
          <w:highlight w:val="none"/>
        </w:rPr>
        <w:drawing>
          <wp:inline distT="0" distB="0" distL="114300" distR="114300">
            <wp:extent cx="3136265" cy="4173220"/>
            <wp:effectExtent l="0" t="0" r="6985" b="177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4"/>
                    <a:stretch>
                      <a:fillRect/>
                    </a:stretch>
                  </pic:blipFill>
                  <pic:spPr>
                    <a:xfrm>
                      <a:off x="0" y="0"/>
                      <a:ext cx="3136265" cy="4173220"/>
                    </a:xfrm>
                    <a:prstGeom prst="rect">
                      <a:avLst/>
                    </a:prstGeom>
                    <a:noFill/>
                    <a:ln>
                      <a:noFill/>
                    </a:ln>
                  </pic:spPr>
                </pic:pic>
              </a:graphicData>
            </a:graphic>
          </wp:inline>
        </w:drawing>
      </w:r>
    </w:p>
    <w:p>
      <w:pPr>
        <w:jc w:val="center"/>
        <w:rPr>
          <w:rFonts w:ascii="Times New Roman" w:hAnsi="Times New Roman"/>
          <w:color w:val="auto"/>
          <w:highlight w:val="none"/>
        </w:rPr>
      </w:pPr>
      <w:r>
        <w:rPr>
          <w:rFonts w:ascii="Times New Roman" w:hAnsi="Times New Roman"/>
          <w:color w:val="auto"/>
          <w:highlight w:val="none"/>
        </w:rPr>
        <w:t>图3.5 指定辩护系统业务流程图</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1" w:name="_Toc4505716"/>
      <w:r>
        <w:rPr>
          <w:rFonts w:hint="eastAsia" w:ascii="新宋体" w:hAnsi="新宋体" w:eastAsia="新宋体" w:cs="新宋体"/>
          <w:b/>
          <w:color w:val="auto"/>
          <w:sz w:val="22"/>
          <w:szCs w:val="22"/>
          <w:highlight w:val="none"/>
        </w:rPr>
        <w:t>9、人员比对核查系统业务需求</w:t>
      </w:r>
      <w:bookmarkEnd w:id="21"/>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人大代表负有监督一府两院的职责，是受到保护的特别人员，当他们履行监督职责时，被监督部门很可能动用警察、法庭、监狱等公权力来维护自己的利益。任何权力不受限制，都有被滥用的危险。人大代表固然身份特殊，但这并不意味着就是“特殊公民”，宪法规定，公民在法律面前一律平等，人大代表触犯法律，当然要接受惩罚。若听任人大代表“特别保护权”泛化，不仅有可能纵容犯罪、违反社会的公平正义，也会动摇公民对司法公正的信心，不符合依法治国的理念。</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特殊身份人员涉案查询系统的建立就是对人大代表、公务员、党员等特殊人员的行为涉案行为进行监管，重点监督涉特殊主体案件情况、执行难原因以及对司法工作及社会公信力造成的负面影响，征求代表、委员意见和建议，争取对审判执行工作的理解与支持。</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2" w:name="_Toc4505717"/>
      <w:r>
        <w:rPr>
          <w:rFonts w:hint="eastAsia" w:ascii="新宋体" w:hAnsi="新宋体" w:eastAsia="新宋体" w:cs="新宋体"/>
          <w:b/>
          <w:color w:val="auto"/>
          <w:sz w:val="22"/>
          <w:szCs w:val="22"/>
          <w:highlight w:val="none"/>
        </w:rPr>
        <w:t>10、案件折算系统功能业务需求</w:t>
      </w:r>
      <w:bookmarkEnd w:id="22"/>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法院“案多人少”现象一直困扰法院的审判执行工作，为了准确记录、统计法官的实际工作量，建立一个科学的法官工作量计算系统。拟在审判业务系统的基础上，增加相关信息的定义、采集和展示，以便量化法官的办案工作的难易程度，评估办案效率，供领导做决策参考。为客观评价法官的工作业绩，提高考核工作的科学性和透明度，充分发挥考核的引导、监督和激励作用，建立遵循司法规律和符合法官职业特点的法官业绩评价系统，客观记录法官的工作业绩，为科学评价法官和法官自我评价提供重要参考和依据，从而激发法官的工作热情，调动法官的工作积极性，促进法院审判、执行工作健康发展。</w:t>
      </w:r>
    </w:p>
    <w:p>
      <w:pPr>
        <w:spacing w:line="460" w:lineRule="exact"/>
        <w:ind w:firstLine="541" w:firstLineChars="245"/>
        <w:outlineLvl w:val="1"/>
        <w:rPr>
          <w:rFonts w:hint="eastAsia" w:ascii="新宋体" w:hAnsi="新宋体" w:eastAsia="新宋体" w:cs="新宋体"/>
          <w:b/>
          <w:color w:val="auto"/>
          <w:sz w:val="22"/>
          <w:szCs w:val="22"/>
          <w:highlight w:val="none"/>
        </w:rPr>
      </w:pPr>
      <w:bookmarkStart w:id="23" w:name="_Toc4505718"/>
      <w:r>
        <w:rPr>
          <w:rFonts w:hint="eastAsia" w:ascii="新宋体" w:hAnsi="新宋体" w:eastAsia="新宋体" w:cs="新宋体"/>
          <w:b/>
          <w:color w:val="auto"/>
          <w:sz w:val="22"/>
          <w:szCs w:val="22"/>
          <w:highlight w:val="none"/>
        </w:rPr>
        <w:t>三、功能需求</w:t>
      </w:r>
      <w:bookmarkEnd w:id="23"/>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4" w:name="_Toc4505719"/>
      <w:r>
        <w:rPr>
          <w:rFonts w:hint="eastAsia" w:ascii="新宋体" w:hAnsi="新宋体" w:eastAsia="新宋体" w:cs="新宋体"/>
          <w:b/>
          <w:color w:val="auto"/>
          <w:sz w:val="22"/>
          <w:szCs w:val="22"/>
          <w:highlight w:val="none"/>
        </w:rPr>
        <w:t>1、“15法标”审判流程管理系统功能需求</w:t>
      </w:r>
      <w:bookmarkEnd w:id="24"/>
    </w:p>
    <w:tbl>
      <w:tblPr>
        <w:tblStyle w:val="50"/>
        <w:tblW w:w="0" w:type="auto"/>
        <w:tblInd w:w="113" w:type="dxa"/>
        <w:tblLayout w:type="fixed"/>
        <w:tblCellMar>
          <w:top w:w="0" w:type="dxa"/>
          <w:left w:w="108" w:type="dxa"/>
          <w:bottom w:w="0" w:type="dxa"/>
          <w:right w:w="108" w:type="dxa"/>
        </w:tblCellMar>
      </w:tblPr>
      <w:tblGrid>
        <w:gridCol w:w="2100"/>
        <w:gridCol w:w="7679"/>
      </w:tblGrid>
      <w:tr>
        <w:tblPrEx>
          <w:tblCellMar>
            <w:top w:w="0" w:type="dxa"/>
            <w:left w:w="108" w:type="dxa"/>
            <w:bottom w:w="0" w:type="dxa"/>
            <w:right w:w="108" w:type="dxa"/>
          </w:tblCellMar>
        </w:tblPrEx>
        <w:trPr>
          <w:trHeight w:val="460" w:hRule="atLeast"/>
        </w:trPr>
        <w:tc>
          <w:tcPr>
            <w:tcW w:w="21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系统名称</w:t>
            </w:r>
          </w:p>
        </w:tc>
        <w:tc>
          <w:tcPr>
            <w:tcW w:w="7679"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功能模块</w:t>
            </w:r>
          </w:p>
        </w:tc>
      </w:tr>
      <w:tr>
        <w:tblPrEx>
          <w:tblCellMar>
            <w:top w:w="0" w:type="dxa"/>
            <w:left w:w="108" w:type="dxa"/>
            <w:bottom w:w="0" w:type="dxa"/>
            <w:right w:w="108" w:type="dxa"/>
          </w:tblCellMar>
        </w:tblPrEx>
        <w:trPr>
          <w:trHeight w:val="460" w:hRule="atLeast"/>
        </w:trPr>
        <w:tc>
          <w:tcPr>
            <w:tcW w:w="21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r>
      <w:tr>
        <w:tblPrEx>
          <w:tblCellMar>
            <w:top w:w="0" w:type="dxa"/>
            <w:left w:w="108" w:type="dxa"/>
            <w:bottom w:w="0" w:type="dxa"/>
            <w:right w:w="108" w:type="dxa"/>
          </w:tblCellMar>
        </w:tblPrEx>
        <w:tc>
          <w:tcPr>
            <w:tcW w:w="2100" w:type="dxa"/>
            <w:vMerge w:val="restart"/>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“15法标”审判流程管理系统</w:t>
            </w: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当事人录入时，增加了检索功能，点击图标后，可弹出当事人检索界面，分为：自然人、法人。选择当事人后，可将相关信息导入，减少法官录入的工作量。</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1、各案件类型，结案登记页面，在“其他信息”中，增加“庭审记录改革”勾选项。</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2、刑事一审案件，当庭宣判选择“是”时，可自动提取宣判日期填入宣判日期栏。 如果当庭宣判选择“否”时，取消宣判日期必填。</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案件移送功能，增加“收案人”查询条件。在案件列表中，“立案日期”后增加“收案人”列。</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案件接收功能，在案件列表中增加“法官助理”列。</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申请签章流程的“文印”节点，在“我的待办”中由文印人进行文印时，系统提供“批量文印”的功能。</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对接法智罗盘</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开庭查询—高级查询中，增加查询条件‘适用程序’。</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送达记录功能：1、“受送达人”改为既支持下拉选择，也可手工编辑输入。2、页面上有公告发布日期时，在“公告发布日期”下方增加：公告开始日期，公告结束日期。并根据公告开始日期+公告期限，自动计算出公告结束日期。</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刑事一审收案登记页面：</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1、录入当事人信息时，增加“户籍所在地”的录入。</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2、根据案件来源，控制关联案号的录入，并可导入关联案号相关的案由、当事人信息。</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在民事类案件中，立案案由为婚姻家庭纠纷-分家析产，此类案件的案件受理费应按照财产类计算。</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收结存动态统计功能中，增加“不参与司法统计”案件的统计。</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收案登记簿打印，可根据法院需求，控制每页打印几条记录。并且可根据每种案件类型，自定义收案登记簿的列表数据项。</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案件查询：1、增加查询条件“是否参与司法统计”。</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2、“结案方式”查询条件选择页面，增加模糊批量勾选功能。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3、增加查询条件“网上立案”。</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审判组织设置：1、在设置合议庭成员后，审判组织设置功能提供文书模板，可根据模板自动生成合议庭组成人员告知书。</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2、可根据“适用程序”自动填写“审判组织形式”。</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审理期限跟踪功能：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1、增加“自然审限超过1.5倍未结”的查询条件；</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2、增加“催办”功能，对于即将到期的案件，授权催办功能的用户可以向案件承办人发送网上消息：“案件催办：您办理的XXX案件即将到期，请尽快办理。”。</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新增“保全查询”功能，可查询本院所有的保全信息。</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管辖异议功能：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1、增加自动暂停审限、恢复审限的功能。</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2、增加“识别提取”，通过识别提取申请材料中的信息，提取“管辖类型，提出管辖异议人，提出管辖异议日期”这3个信息点，并自动回填到功能中。</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保全增加“识别提取”功能，通过识别提取申请材料中的信息，提取“申请保全人信息、被申请人信息、担保人信息、保全申请日期、申请保全金额、请求保全事项”等信息点，并自动回填到功能中。</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新增当事人查询功能，查询当事人相关信息。</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“15法标”审判系统与第三方数字法庭对接是通过接口的形式。由数字法庭系统调用“15法标”审判系统提供的相关接口，获取案件基本信息、当事人信息、排期信息、法庭信息、用户信息、部门信息。</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针对民事、刑事、行政的一审、二审、再审案件，开庭排期时，必须要勾选“互联网直播”。若不直播的，需要提起“不直播申请审批流程”。该流程需经过部门领导审批、分管领导审批。</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刑事、民事、行政案件一审、二审、再审案件提交归档时，可根据法院需求控制没有影像卷、或者是影像卷页数少于规定页数时，不允许提交归档。</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在审判系统中，增加智审系统入口。通过与智审系统对接相关接口，在审判系统中点击相关图标后，可打开智审系统功能页面。</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系统增加繁案移送工作流，承办人发起繁案移送，庭长审批同意后案件退回至立案庭，再由立案庭重新分案并移送至繁案办理业务庭。</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自动签章：</w:t>
            </w:r>
            <w:r>
              <w:rPr>
                <w:rFonts w:hint="eastAsia" w:ascii="新宋体" w:hAnsi="新宋体" w:eastAsia="新宋体" w:cs="新宋体"/>
                <w:color w:val="auto"/>
                <w:kern w:val="0"/>
                <w:sz w:val="22"/>
                <w:szCs w:val="22"/>
                <w:highlight w:val="none"/>
              </w:rPr>
              <w:br w:type="textWrapping"/>
            </w:r>
            <w:r>
              <w:rPr>
                <w:rFonts w:hint="eastAsia" w:ascii="新宋体" w:hAnsi="新宋体" w:eastAsia="新宋体" w:cs="新宋体"/>
                <w:color w:val="auto"/>
                <w:kern w:val="0"/>
                <w:sz w:val="22"/>
                <w:szCs w:val="22"/>
                <w:highlight w:val="none"/>
              </w:rPr>
              <w:t>拟增加立案文书自动签章功能。该功根据案件类型自动获取当前案件可供签章的文书模版清单，并可根据用户选取所需文书样式，自动生成文书内容并在自动识别签章位置加盖签章。</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已结案案件，当事人申请执行时，在立案窗口打印案件生效证明。</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新增卷宗打印功能，以法院为单位用户可以新增各类模板。模板中案号、法院、年度、审判长等各属性的值在卷宗库获取，每个属性可以单独进行设置字体、字号、位置、文字方向等。打印时选中对应模板可以进行套打。</w:t>
            </w:r>
          </w:p>
        </w:tc>
      </w:tr>
      <w:tr>
        <w:tblPrEx>
          <w:tblCellMar>
            <w:top w:w="0" w:type="dxa"/>
            <w:left w:w="108" w:type="dxa"/>
            <w:bottom w:w="0" w:type="dxa"/>
            <w:right w:w="108" w:type="dxa"/>
          </w:tblCellMar>
        </w:tblPrEx>
        <w:tc>
          <w:tcPr>
            <w:tcW w:w="2100" w:type="dxa"/>
            <w:vMerge w:val="continue"/>
            <w:tcBorders>
              <w:top w:val="nil"/>
              <w:left w:val="single" w:color="auto" w:sz="4" w:space="0"/>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7679" w:type="dxa"/>
            <w:tcBorders>
              <w:top w:val="nil"/>
              <w:left w:val="nil"/>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新增电子卷宗智能编目功能实现1自动拆分卷宗文件智能标注文件标题。2自动生成卷宗目录。3深度学习自我优化。</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5" w:name="_Toc4505720"/>
      <w:r>
        <w:rPr>
          <w:rFonts w:hint="eastAsia" w:ascii="新宋体" w:hAnsi="新宋体" w:eastAsia="新宋体" w:cs="新宋体"/>
          <w:b/>
          <w:color w:val="auto"/>
          <w:sz w:val="22"/>
          <w:szCs w:val="22"/>
          <w:highlight w:val="none"/>
        </w:rPr>
        <w:t>2、诉讼材料智能OCR系统功能需求</w:t>
      </w:r>
      <w:bookmarkEnd w:id="2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OCR 识别功能利用 OCR 技术将扫描生成的图片格式的诉讼材料转换为文档格式，为电子卷宗的深度智能应用提供基础数据保障。同时，经过文字识别的文书可支持法官复用诉讼材料中的文字信息，方便法官编写办案笔记与法律文书，从而减少法官办案过程中的工作量。</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OCR 识别系统把图像类材料（JPG、TIFF、PCX 和图像 PDF 等），图文识别后生成双层 PDF（看到的是底层图片，可以复制识别出来的文本）；</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PDF 文档处理：多页拆成单页、生成缩略图、抽取文本等；</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图像处理：各种图片生成清晰的缩略图；不包括手写字体的识别。</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6" w:name="_Toc4505721"/>
      <w:r>
        <w:rPr>
          <w:rFonts w:hint="eastAsia" w:ascii="新宋体" w:hAnsi="新宋体" w:eastAsia="新宋体" w:cs="新宋体"/>
          <w:b/>
          <w:color w:val="auto"/>
          <w:sz w:val="22"/>
          <w:szCs w:val="22"/>
          <w:highlight w:val="none"/>
        </w:rPr>
        <w:t>3、审委会系统功能需求</w:t>
      </w:r>
      <w:bookmarkEnd w:id="26"/>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6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843"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功能模块</w:t>
            </w:r>
          </w:p>
        </w:tc>
        <w:tc>
          <w:tcPr>
            <w:tcW w:w="6505"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会议申请</w:t>
            </w:r>
          </w:p>
        </w:tc>
        <w:tc>
          <w:tcPr>
            <w:tcW w:w="6505"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由案件承办人在审判系统发起议题申请，填写议题基本信息，上传电子材料，关联相关卷宗，包括：案件原始证据材料、合议笔录、审理报告、电子卷宗，庭审录像或庭审直播。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议题审批</w:t>
            </w:r>
          </w:p>
        </w:tc>
        <w:tc>
          <w:tcPr>
            <w:tcW w:w="6505"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案件承办人提起议题申请后，由分管领导进行审批。符合上会条件的议题，经领导审批同意后，议题自动进入“审委会系统”进行流转。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会议准备</w:t>
            </w:r>
          </w:p>
        </w:tc>
        <w:tc>
          <w:tcPr>
            <w:tcW w:w="6505"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管领导审批同意以后，议题申请流转到审委会秘书进行议题汇总、会议排期等会议准备工作。审委会秘书查看待排议题，进行会议排期，设置会议类别、需要讨论的议题、会议时间、主持人、秘书、出席委员、列席人以及院外列席人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会议管理</w:t>
            </w:r>
          </w:p>
        </w:tc>
        <w:tc>
          <w:tcPr>
            <w:tcW w:w="6505"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功能包括：会议控制、会议签到、议题浏览/批注、会议汇报、会议笔录、笔录会签、会议表决、评价打分、决议发布。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843"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录音录像</w:t>
            </w:r>
          </w:p>
        </w:tc>
        <w:tc>
          <w:tcPr>
            <w:tcW w:w="6505"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通过与录音录像设备的软件接口对接，实现在审委会系统中对录音录像设备的简单控制，可支持在审委会系统中直接“开始录像”、“暂停录像”、“继续录像”、“结束录像”、“查看录像”等功能，并且支持在会后查看议题讨论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843"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叫号短信通知</w:t>
            </w:r>
          </w:p>
        </w:tc>
        <w:tc>
          <w:tcPr>
            <w:tcW w:w="6505"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因审委会会议时间较长，议题较多，存在汇报人等候时间过长或到场不及时的情况，故在审委会相应议题中新增叫号短信通知功能；在上一议题讨论至一定时间段后，或讨论结束时，秘书结束议题讨论时可实现自动发送短信至下一议题的汇报人；或可支持灵活通知，秘书点击叫号通知，可直接自动发送短信至下一议题的汇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843"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院外列席人短信通知</w:t>
            </w:r>
          </w:p>
        </w:tc>
        <w:tc>
          <w:tcPr>
            <w:tcW w:w="6505"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对审委会部分情况，会存在检察院、公安部门相关同志旁听的情况，在审委会会议安排确定后，可支持秘书手动输入院外列席人电话号码，自动发送会议开会通知短信。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p>
        </w:tc>
        <w:tc>
          <w:tcPr>
            <w:tcW w:w="1843"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议题讨论页面分屏</w:t>
            </w:r>
          </w:p>
        </w:tc>
        <w:tc>
          <w:tcPr>
            <w:tcW w:w="6505"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方便审委会委员参阅议题案件的汇报材料，以及查看电子卷宗和案例库、法律云等外部相关链接，实现能够支持同时同框浏览多份文件，实现阅览界面的优化，提高人性化体验，审委会提供在议题讨论页面提供分屏功能，点击分屏按钮，可在实现汇报材料、电子卷宗、讨论发言和外部链接几者之间两个阅读材料同屏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p>
        </w:tc>
        <w:tc>
          <w:tcPr>
            <w:tcW w:w="1843"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决议执行判决书自动识别判决结果</w:t>
            </w:r>
          </w:p>
        </w:tc>
        <w:tc>
          <w:tcPr>
            <w:tcW w:w="6505"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审委会讨论之后，产生的审委会决议将自动同步至审判系统，案件承办法官根据审委会决议进行最后宣判，并形成判决书；审委会系统自动读取案件判决书，进行文本识别，提取判决书的要素及判决结果，与审委会决议进行比对，实现决议执行自动反馈并实现决议执行的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汇报材料关键要素关联对应法律法规</w:t>
            </w:r>
          </w:p>
        </w:tc>
        <w:tc>
          <w:tcPr>
            <w:tcW w:w="6505"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分屏功能基础上，实现左看右查的功能，在分屏为汇报材料和外部法律法规文件或外部链接的情况下，审委会委员可以一边阅览汇报材料，一边根据本人所关注着重点，在另一侧分屏区域直接输入关键字，进行查询对应的法律法规段落以及定位到具体位置。</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7" w:name="_Toc4505722"/>
      <w:bookmarkStart w:id="28" w:name="_Toc522697254"/>
      <w:r>
        <w:rPr>
          <w:rFonts w:hint="eastAsia" w:ascii="新宋体" w:hAnsi="新宋体" w:eastAsia="新宋体" w:cs="新宋体"/>
          <w:b/>
          <w:color w:val="auto"/>
          <w:sz w:val="22"/>
          <w:szCs w:val="22"/>
          <w:highlight w:val="none"/>
        </w:rPr>
        <w:t>4、司法技术辅助系统功能需求</w:t>
      </w:r>
      <w:bookmarkEnd w:id="27"/>
      <w:bookmarkEnd w:id="28"/>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406"/>
        <w:gridCol w:w="6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2406"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功能模块</w:t>
            </w:r>
          </w:p>
        </w:tc>
        <w:tc>
          <w:tcPr>
            <w:tcW w:w="6149"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2406"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委托案件管理</w:t>
            </w:r>
          </w:p>
        </w:tc>
        <w:tc>
          <w:tcPr>
            <w:tcW w:w="6149"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功能包括：委托案件立案、分案移送、委托办理、摇号排期、摇号选定、中选通知、委托跟踪、委托机构变更、结案登记、归档、案件信息查看。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2406"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机构管理</w:t>
            </w:r>
          </w:p>
        </w:tc>
        <w:tc>
          <w:tcPr>
            <w:tcW w:w="6149" w:type="dxa"/>
            <w:noWrap w:val="0"/>
            <w:vAlign w:val="center"/>
          </w:tcPr>
          <w:p>
            <w:pPr>
              <w:adjustRightInd w:val="0"/>
              <w:snapToGrid w:val="0"/>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功能包括：机构注册审批和注册机构管理。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2406"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统计报表</w:t>
            </w:r>
          </w:p>
        </w:tc>
        <w:tc>
          <w:tcPr>
            <w:tcW w:w="6149"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实现对外委托案件统计、对外委托分类统计、智能统计报表。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2406"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文书制作</w:t>
            </w:r>
          </w:p>
        </w:tc>
        <w:tc>
          <w:tcPr>
            <w:tcW w:w="6149"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实现在线文书制作。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2406"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采信管理</w:t>
            </w:r>
          </w:p>
        </w:tc>
        <w:tc>
          <w:tcPr>
            <w:tcW w:w="6149"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针对机构提交的评估鉴定报告，给出评价结果，并针对采信不同程度给出统计结果。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2406" w:type="dxa"/>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15审判对接</w:t>
            </w:r>
          </w:p>
        </w:tc>
        <w:tc>
          <w:tcPr>
            <w:tcW w:w="6149"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包括与15审判对接卷宗、审限内容</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29" w:name="_Toc4505723"/>
      <w:r>
        <w:rPr>
          <w:rFonts w:hint="eastAsia" w:ascii="新宋体" w:hAnsi="新宋体" w:eastAsia="新宋体" w:cs="新宋体"/>
          <w:b/>
          <w:color w:val="auto"/>
          <w:sz w:val="22"/>
          <w:szCs w:val="22"/>
          <w:highlight w:val="none"/>
        </w:rPr>
        <w:t>5、量刑辅助系统功能需求</w:t>
      </w:r>
      <w:bookmarkEnd w:id="29"/>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843"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功能模块</w:t>
            </w:r>
          </w:p>
        </w:tc>
        <w:tc>
          <w:tcPr>
            <w:tcW w:w="6942"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集成新框架</w:t>
            </w:r>
          </w:p>
        </w:tc>
        <w:tc>
          <w:tcPr>
            <w:tcW w:w="694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集成新框架系统，实现用户、部门、角色、功能的智能化管理，支持与</w:t>
            </w:r>
            <w:r>
              <w:rPr>
                <w:rFonts w:hint="eastAsia" w:ascii="新宋体" w:hAnsi="新宋体" w:eastAsia="新宋体" w:cs="新宋体"/>
                <w:color w:val="auto"/>
                <w:kern w:val="0"/>
                <w:sz w:val="22"/>
                <w:szCs w:val="22"/>
                <w:highlight w:val="none"/>
              </w:rPr>
              <w:t>“15法标”</w:t>
            </w:r>
            <w:r>
              <w:rPr>
                <w:rFonts w:hint="eastAsia" w:ascii="新宋体" w:hAnsi="新宋体" w:eastAsia="新宋体" w:cs="新宋体"/>
                <w:color w:val="auto"/>
                <w:sz w:val="22"/>
                <w:szCs w:val="22"/>
                <w:highlight w:val="none"/>
              </w:rPr>
              <w:t>审判系统的对接，支持与框架系统的单点登陆。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系统功能适应性调整</w:t>
            </w:r>
          </w:p>
        </w:tc>
        <w:tc>
          <w:tcPr>
            <w:tcW w:w="6942" w:type="dxa"/>
            <w:noWrap w:val="0"/>
            <w:vAlign w:val="center"/>
          </w:tcPr>
          <w:p>
            <w:pPr>
              <w:spacing w:line="460" w:lineRule="exact"/>
              <w:ind w:firstLine="48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（1）刑事规范化量刑管理系统法定从（减）轻情节中已经选择了减轻类别，如自首、立功等情节，但建议宣告刑仍然提示计算结果在法定最低刑以下，建议宣告刑按法定最低刑计算。</w:t>
            </w:r>
          </w:p>
          <w:p>
            <w:pPr>
              <w:spacing w:line="460" w:lineRule="exact"/>
              <w:ind w:firstLine="48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（2）量刑评议表中增加具体的量刑起点一栏，被告人量刑意见栏、被害人量刑意见栏删除，合议庭意见栏修改为独任审判员或合议庭意见，合议庭自由裁量理由栏修改为需要说明的问题。</w:t>
            </w:r>
          </w:p>
          <w:p>
            <w:pPr>
              <w:spacing w:line="460" w:lineRule="exact"/>
              <w:ind w:firstLine="48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（3）案件登记时，案号规则调整为最新规则。</w:t>
            </w:r>
          </w:p>
          <w:p>
            <w:pPr>
              <w:spacing w:line="460" w:lineRule="exact"/>
              <w:ind w:firstLine="480"/>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（4）其他功能的优化处理。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24种常见罪名量刑细则整合</w:t>
            </w:r>
          </w:p>
        </w:tc>
        <w:tc>
          <w:tcPr>
            <w:tcW w:w="694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量刑细则分析工作量较大，本次根据温州中院提供的《规范化量刑罪名细则》提供进行分析配置。分别将法定量刑情节、酌定量刑情节、单个罪名量刑起点、酌定情节、量刑刑罚量分析整理转换为代码录入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罚金刑</w:t>
            </w:r>
          </w:p>
        </w:tc>
        <w:tc>
          <w:tcPr>
            <w:tcW w:w="694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根据根据温州中院提供的《规范化量刑罪名细则》进行分析配置二十四种常见罪名的罚金刑情节和罚金刑起点，转换为代码录入数据库；支持罚金刑起点与量刑年限的对应自动计算；支持罚金刑情节认定和说明功能；在数罪并罚功能中兼容罚金刑的数罪并罚情况下的罚金数额的统计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缓刑量刑</w:t>
            </w:r>
          </w:p>
        </w:tc>
        <w:tc>
          <w:tcPr>
            <w:tcW w:w="694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本次根据《关于规范缓刑适用若干问题的指导意见》实施细则进行分析配置二十四种中常见罪名的罚金刑情节和罚金刑起点，转换为代码录入数据库；支持缓刑刑情节认定和说明功能。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判决书智能识别</w:t>
            </w:r>
          </w:p>
        </w:tc>
        <w:tc>
          <w:tcPr>
            <w:tcW w:w="694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判决文书生成后，在审判系统中定罪量刑节点，点击辅助量刑功能，通过辅助量刑与审判系统的模块对接，辅助量刑系统自动读取审判系统或电子卷宗系统的判决书及相关证据材料，进行要素提取，文本识别，智能化地将相关材料中的要素按照量刑起点、对应新增刑罚量、法定量刑情节、酌定量刑情节、优先量刑情节、缓刑、罚金刑等分类对应提取、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量刑刑罚量自动计算</w:t>
            </w:r>
          </w:p>
        </w:tc>
        <w:tc>
          <w:tcPr>
            <w:tcW w:w="694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在判决书成功智能识别后，辅助量刑系统根据分类提取的要素对应至具体的量刑起点、情节后，自动将最后建议宣告刑展示，并且展示详细具体的计算过程。</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0" w:name="_Toc4505724"/>
      <w:r>
        <w:rPr>
          <w:rFonts w:hint="eastAsia" w:ascii="新宋体" w:hAnsi="新宋体" w:eastAsia="新宋体" w:cs="新宋体"/>
          <w:b/>
          <w:color w:val="auto"/>
          <w:sz w:val="22"/>
          <w:szCs w:val="22"/>
          <w:highlight w:val="none"/>
        </w:rPr>
        <w:t>6、法官律师互评系统功能需求</w:t>
      </w:r>
      <w:bookmarkEnd w:id="30"/>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985"/>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559"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功能模块</w:t>
            </w:r>
          </w:p>
        </w:tc>
        <w:tc>
          <w:tcPr>
            <w:tcW w:w="1985"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子模块</w:t>
            </w:r>
          </w:p>
        </w:tc>
        <w:tc>
          <w:tcPr>
            <w:tcW w:w="5222"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559" w:type="dxa"/>
            <w:vMerge w:val="restart"/>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法官与律师互评系统（内网）</w:t>
            </w: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前置评议</w:t>
            </w:r>
          </w:p>
        </w:tc>
        <w:tc>
          <w:tcPr>
            <w:tcW w:w="522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与内网审判系统数据打通，通过审判系统进入法官与律师平台， 在审判系统法官在未评价案件情况下进行限制其案件结案功能，当法官针对对应的案件评价后，数据传输给审判系统允许对评价过的案件进行结案。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559" w:type="dxa"/>
            <w:vMerge w:val="continue"/>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法官评价律师</w:t>
            </w:r>
          </w:p>
        </w:tc>
        <w:tc>
          <w:tcPr>
            <w:tcW w:w="522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实现法官在线评价、补评等操作，以及针对系列案进行批量评价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559" w:type="dxa"/>
            <w:vMerge w:val="continue"/>
            <w:noWrap w:val="0"/>
            <w:vAlign w:val="center"/>
          </w:tcPr>
          <w:p>
            <w:pPr>
              <w:spacing w:line="460" w:lineRule="exact"/>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法官评价统计</w:t>
            </w:r>
          </w:p>
        </w:tc>
        <w:tc>
          <w:tcPr>
            <w:tcW w:w="522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针对法官办案件数、评价案件数、不予评价案件数、未评价案件数、被评价案件数进行统计。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559" w:type="dxa"/>
            <w:vMerge w:val="restart"/>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法官与律师互评系统（外网）</w:t>
            </w: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法官评价律师</w:t>
            </w:r>
          </w:p>
        </w:tc>
        <w:tc>
          <w:tcPr>
            <w:tcW w:w="522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实现法官在线评价、补评等操作，以及针对系列案进行批量评价。</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实现案件在线查询功能。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法官评价统计分析功能。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559" w:type="dxa"/>
            <w:vMerge w:val="continue"/>
            <w:noWrap w:val="0"/>
            <w:vAlign w:val="center"/>
          </w:tcPr>
          <w:p>
            <w:pPr>
              <w:adjustRightInd w:val="0"/>
              <w:snapToGrid w:val="0"/>
              <w:spacing w:line="460" w:lineRule="exact"/>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律师评价法官</w:t>
            </w:r>
          </w:p>
        </w:tc>
        <w:tc>
          <w:tcPr>
            <w:tcW w:w="522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律师录入律师执业证号登陆通过（与浙江省律师服平台体系打通）查询该律师所属区域数据判定可否展示网上互评功能。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实现律师在线评价、不予评价、以及评价查询等。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3544" w:type="dxa"/>
            <w:gridSpan w:val="2"/>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评价预警</w:t>
            </w:r>
          </w:p>
        </w:tc>
        <w:tc>
          <w:tcPr>
            <w:tcW w:w="522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针对法官律师的不合格率进行概要分析预警，当法官与律有3件不合格评价时提醒法官目前需要改进的问题情况。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p>
        </w:tc>
        <w:tc>
          <w:tcPr>
            <w:tcW w:w="3544" w:type="dxa"/>
            <w:gridSpan w:val="2"/>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法官律师互评统计功能</w:t>
            </w:r>
          </w:p>
        </w:tc>
        <w:tc>
          <w:tcPr>
            <w:tcW w:w="5222"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（1）可视化展示统计数据</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（2）合格率统计</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（3）超7未评统计</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（4）异常数据统计</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（5）总计数据统计</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（6）不予评价统计等</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1" w:name="_Toc4505725"/>
      <w:r>
        <w:rPr>
          <w:rFonts w:hint="eastAsia" w:ascii="新宋体" w:hAnsi="新宋体" w:eastAsia="新宋体" w:cs="新宋体"/>
          <w:b/>
          <w:color w:val="auto"/>
          <w:sz w:val="22"/>
          <w:szCs w:val="22"/>
          <w:highlight w:val="none"/>
        </w:rPr>
        <w:t>7、纸质文档智能管理平台功能需求</w:t>
      </w:r>
      <w:bookmarkEnd w:id="31"/>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智能材料收转平台系统包含三个主要的功能：存件、取件、系统管理，其中根据卷宗的数量的多少，在存件模块中又提供大、中、小几个模块供选择。</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智能云柜APP实现实时更新待取件等数据。法官收到待取件信息，可设置超时提醒，对于超过一定时间未取件的，可后台生成未取件人员报表，点击待取件按钮，会列表显示当前所有未取件的信息，每条信息包含一个取件二维码，法官到收发中心的云柜中转平台点击取件并通过云柜扫码器扫描每一条的待取件二维码，确认取件信息，并启用人脸识别功能，核对通过后，对应的柜子打开取件。</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2" w:name="_Toc4505726"/>
      <w:r>
        <w:rPr>
          <w:rFonts w:hint="eastAsia" w:ascii="新宋体" w:hAnsi="新宋体" w:eastAsia="新宋体" w:cs="新宋体"/>
          <w:b/>
          <w:color w:val="auto"/>
          <w:sz w:val="22"/>
          <w:szCs w:val="22"/>
          <w:highlight w:val="none"/>
        </w:rPr>
        <w:t>8、指定辩护系统功能需求</w:t>
      </w:r>
      <w:bookmarkEnd w:id="32"/>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843"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功能模块</w:t>
            </w:r>
          </w:p>
        </w:tc>
        <w:tc>
          <w:tcPr>
            <w:tcW w:w="7101" w:type="dxa"/>
            <w:noWrap w:val="0"/>
            <w:vAlign w:val="center"/>
          </w:tcPr>
          <w:p>
            <w:pPr>
              <w:spacing w:line="460" w:lineRule="exact"/>
              <w:ind w:right="-1287" w:rightChars="-613"/>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登记指定辩护信息</w:t>
            </w:r>
          </w:p>
        </w:tc>
        <w:tc>
          <w:tcPr>
            <w:tcW w:w="7101"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登记时系统需支持自动选取没有辩护人信息的被告，登记人填写对应被告的申请情况，并支持选择起诉书或一审裁判文书等相关法律文书。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生成商请指定辩护函并自动签章</w:t>
            </w:r>
          </w:p>
        </w:tc>
        <w:tc>
          <w:tcPr>
            <w:tcW w:w="7101"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登记人提交申请后，需支持自动生成指定辩护人通知书并自动盖章，然后将申请的信息与文书传递给司法局。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接收信息及相关文书</w:t>
            </w:r>
          </w:p>
        </w:tc>
        <w:tc>
          <w:tcPr>
            <w:tcW w:w="7101"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接收司法局的指定辩护人信息与文书。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导入辩护人信息</w:t>
            </w:r>
          </w:p>
        </w:tc>
        <w:tc>
          <w:tcPr>
            <w:tcW w:w="7101"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将司法局指定的辩护人信息导入到对应被告的辩护人信息栏。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数据统计</w:t>
            </w:r>
          </w:p>
        </w:tc>
        <w:tc>
          <w:tcPr>
            <w:tcW w:w="7101"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对发起指定辩护申请的案件、被告、辩护人数量等，可以按时间、单位等条件进行统计。</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3" w:name="_Toc4505727"/>
      <w:r>
        <w:rPr>
          <w:rFonts w:hint="eastAsia" w:ascii="新宋体" w:hAnsi="新宋体" w:eastAsia="新宋体" w:cs="新宋体"/>
          <w:b/>
          <w:color w:val="auto"/>
          <w:sz w:val="22"/>
          <w:szCs w:val="22"/>
          <w:highlight w:val="none"/>
        </w:rPr>
        <w:t>9、人员比对核查系统功能需求</w:t>
      </w:r>
      <w:bookmarkEnd w:id="33"/>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843"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功能模块</w:t>
            </w:r>
          </w:p>
        </w:tc>
        <w:tc>
          <w:tcPr>
            <w:tcW w:w="7167"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特殊人员名单管理</w:t>
            </w:r>
          </w:p>
        </w:tc>
        <w:tc>
          <w:tcPr>
            <w:tcW w:w="7167"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系统建立特殊人员名单，各法院可以录入本院相关的特殊人员名单信息，主要功能包括新增、删除以及根据人员姓名、身份证号码、特殊身份信息查询功能，并能将查询结果导出EXCEL表格。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特殊人员名单导入</w:t>
            </w:r>
          </w:p>
        </w:tc>
        <w:tc>
          <w:tcPr>
            <w:tcW w:w="7167"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提供特殊人员名单EXCEL模板，用户可在EXCEL中录入特殊人员名单，然后将EXCEL表格导入到系统；系统导入名单时，需对身份证号码、特殊身份等信息进行校验，数据项不满足要求需给出提示，不允许不合法数据进入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立案自动甑别</w:t>
            </w:r>
          </w:p>
        </w:tc>
        <w:tc>
          <w:tcPr>
            <w:tcW w:w="7167"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收案人员在立案时，如果案件当事人在特殊人员名单内，系统需要自动甑别，并自动提醒立案人员，立案人员根据当事人特殊身份进行风险评估，为案件审理部门提供依据，尽早做好风险防范。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特殊人员涉案查询</w:t>
            </w:r>
          </w:p>
        </w:tc>
        <w:tc>
          <w:tcPr>
            <w:tcW w:w="7167"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新增特殊身份人员涉案信息查询功能，特殊身份人员信息录入到Excel中后，导入该查询功能中，系统可批量查询Excel中人员相关的案件信息。并可将案件信息导出到Excel。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特殊人员关联案件</w:t>
            </w:r>
          </w:p>
        </w:tc>
        <w:tc>
          <w:tcPr>
            <w:tcW w:w="7167"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案件立案后，系统自动标注出当事人属于特殊人员，系统应提供特殊人员关联案件分析功能，基于本院、全市关联检索涉案情况，为法院合并审理、联合执行等提供翔实的数据，便于节约审判资源、提高审判执行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特殊人员上报</w:t>
            </w:r>
          </w:p>
        </w:tc>
        <w:tc>
          <w:tcPr>
            <w:tcW w:w="7167"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提供特殊人员上报功能，各法院可以将重要的特殊人员进行逐层上报，在中院进行汇总，实现全市数据共享；全市各级法院立案时，如果当事人属于全市特殊人员名单内的人员，系统应自动预警，并提醒相关当事人所属的上报法院、特殊身份、上报日期、截止日期信息，方便全市法院立案工作人员进行风险的识别。</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4" w:name="_Toc4505728"/>
      <w:r>
        <w:rPr>
          <w:rFonts w:hint="eastAsia" w:ascii="新宋体" w:hAnsi="新宋体" w:eastAsia="新宋体" w:cs="新宋体"/>
          <w:b/>
          <w:color w:val="auto"/>
          <w:sz w:val="22"/>
          <w:szCs w:val="22"/>
          <w:highlight w:val="none"/>
        </w:rPr>
        <w:t>10、案件折算管理系统功能需求</w:t>
      </w:r>
      <w:bookmarkEnd w:id="34"/>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5" w:type="dxa"/>
            <w:gridSpan w:val="3"/>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案件折算管理功能需求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843"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功能模块</w:t>
            </w:r>
          </w:p>
        </w:tc>
        <w:tc>
          <w:tcPr>
            <w:tcW w:w="7175"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案件固定系数</w:t>
            </w:r>
          </w:p>
        </w:tc>
        <w:tc>
          <w:tcPr>
            <w:tcW w:w="7175"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对于特殊类型的案件或特殊程序的案件，办案工作量的权重是相对固定的。如减刑假释、行政赔偿等，此类案件的基本权重相对固定，且优先计算。可以管理调整此类的定义及权重值。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案由系数</w:t>
            </w:r>
          </w:p>
        </w:tc>
        <w:tc>
          <w:tcPr>
            <w:tcW w:w="7175"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除特殊案件外，一般的案件则采取以案由系数权重的方式来计算基本的权重，其中案由针对不同的案件类型及审判程序可设置在不同层级及不同的适用程序上，从而实现不同类型的案件的案由设置的灵活性。要求案由系数能灵活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浮动系数</w:t>
            </w:r>
          </w:p>
        </w:tc>
        <w:tc>
          <w:tcPr>
            <w:tcW w:w="7175"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所有案件在以固定系数或案由系数确定基本权重后，若案件满足一些特殊情形，可以适当浮动，而且满足多个时可以叠加权重。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办案工作量展示</w:t>
            </w:r>
          </w:p>
        </w:tc>
        <w:tc>
          <w:tcPr>
            <w:tcW w:w="7175"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系统中应支持按区间展示各级的统计信息，即地区、法院、部门、人员的办案工作量的统计，包括案件数、各类系数的案件数量、得分及排名，可表格和图形展示，可逐层反查，可针对具体人员进行工作量比较。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数据采集</w:t>
            </w:r>
          </w:p>
        </w:tc>
        <w:tc>
          <w:tcPr>
            <w:tcW w:w="7175"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可采集展示任何区间的数据，即要满足初期全量采集历史案件，使用过程中要能增量采集案件的工作量信息。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843"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案件权重的计算</w:t>
            </w:r>
          </w:p>
        </w:tc>
        <w:tc>
          <w:tcPr>
            <w:tcW w:w="7175"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固定系数表中的案件：案件权重值=固定系数 + 浮动系数（若有）；非案件固定系数中的案件：案件权重值=案由系数 + 浮动系数（若有）其中浮动系数可累计。</w:t>
            </w:r>
          </w:p>
        </w:tc>
      </w:tr>
    </w:tbl>
    <w:p>
      <w:pPr>
        <w:spacing w:line="460" w:lineRule="exact"/>
        <w:ind w:firstLine="541" w:firstLineChars="245"/>
        <w:outlineLvl w:val="1"/>
        <w:rPr>
          <w:rFonts w:hint="eastAsia" w:ascii="新宋体" w:hAnsi="新宋体" w:eastAsia="新宋体" w:cs="新宋体"/>
          <w:b/>
          <w:color w:val="auto"/>
          <w:sz w:val="22"/>
          <w:szCs w:val="22"/>
          <w:highlight w:val="none"/>
        </w:rPr>
      </w:pPr>
      <w:bookmarkStart w:id="35" w:name="_Toc4505729"/>
      <w:bookmarkStart w:id="36" w:name="_Toc283280449"/>
      <w:r>
        <w:rPr>
          <w:rFonts w:hint="eastAsia" w:ascii="新宋体" w:hAnsi="新宋体" w:eastAsia="新宋体" w:cs="新宋体"/>
          <w:b/>
          <w:color w:val="auto"/>
          <w:sz w:val="22"/>
          <w:szCs w:val="22"/>
          <w:highlight w:val="none"/>
        </w:rPr>
        <w:t>四、接口需求</w:t>
      </w:r>
      <w:bookmarkEnd w:id="35"/>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接口是提供给其他模块或者系统使用的一种约定或者规范，因此接口必须要保证足够的稳定性、易用性、可配置性等要求。我司在设计接口时，充分考虑以下的设计原则，确保接口的顺利使用。</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（1）安全性：系统间接口设计满足严格的权限要求和数据安全要求，系统能够提供完善的信息安全机制。接口间的数据传输基于安全通道，数据传输过程中能够防窃取、防篡改。</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（2）稳定性：系统内部及系统间数据接口稳定可靠，能够保证数据的高并发访问和大数据量的信息交换，支持大文件的数据传输。</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（3）可配置性：系统应保证可以通过对接口的一系列配置实现系统内部各子系统之间、系统与外部相关系统之间的数据交换。</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（4）高性能性：接口设计采用传输控制手段降低接口网络负担，提高接口吞吐能力，保证系统的整体处理能力。</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（5）封闭性：系统功能之间实现细节完全对外封闭，模块内部处理逻辑修改时，不会影响模块使用者的调用逻辑。</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（6）兼容性性：系统内部接口及系统与外部的接口要具备兼容性，必须保证同一个接口实现后向兼容前一版本的使用。扩充的同类接口也能兼容老接口的实现。</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（7）规范性性：系统之间的接口及系统与外部的接口要具备规范性原则，主要是接口设计的代码规范，这是最基本的要求。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（8）易用性：接口的名称和参数名称都要比较明确，避免过于抽象，难以理解。</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7" w:name="_Toc519632784"/>
      <w:bookmarkStart w:id="38" w:name="_Toc4505730"/>
      <w:r>
        <w:rPr>
          <w:rFonts w:hint="eastAsia" w:ascii="新宋体" w:hAnsi="新宋体" w:eastAsia="新宋体" w:cs="新宋体"/>
          <w:b/>
          <w:color w:val="auto"/>
          <w:sz w:val="22"/>
          <w:szCs w:val="22"/>
          <w:highlight w:val="none"/>
        </w:rPr>
        <w:t>1、“15法标”审判管理系统与相关业务系统</w:t>
      </w:r>
      <w:bookmarkEnd w:id="37"/>
      <w:r>
        <w:rPr>
          <w:rFonts w:hint="eastAsia" w:ascii="新宋体" w:hAnsi="新宋体" w:eastAsia="新宋体" w:cs="新宋体"/>
          <w:b/>
          <w:color w:val="auto"/>
          <w:sz w:val="22"/>
          <w:szCs w:val="22"/>
          <w:highlight w:val="none"/>
        </w:rPr>
        <w:t>接口需求</w:t>
      </w:r>
      <w:bookmarkEnd w:id="38"/>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6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序号</w:t>
            </w:r>
          </w:p>
        </w:tc>
        <w:tc>
          <w:tcPr>
            <w:tcW w:w="1985"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对接系统名称</w:t>
            </w:r>
          </w:p>
        </w:tc>
        <w:tc>
          <w:tcPr>
            <w:tcW w:w="6596" w:type="dxa"/>
            <w:noWrap w:val="0"/>
            <w:vAlign w:val="center"/>
          </w:tcPr>
          <w:p>
            <w:pPr>
              <w:spacing w:line="460" w:lineRule="exact"/>
              <w:jc w:val="center"/>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与律师服务平台接口</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方便法官在内外对律师提交的业务进行处理，审判流程需要与律师服务平台对接，在审判流程中提供业务处理功能，律师服务平台负责将数据推送到内外审判流程系统，审判流程系统中法官处理完成后再推送给律师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与电子签章接口</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电子签章系统在全国各级法院行业中的应用时间已经超过了5年，在法院专网内流转的各类电子文档进行签名/印章、有效身份认证、防篡改、操作审计、日志记录及操作可追溯等功能。法院在业务文书中通过使用电子签章系统，达到了预期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与数字法庭接口</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用于审判业务管理系统与数字法庭系统之间进行数据交互的实现。主要包括：（1）供数字法庭系统读取案件基本信息、排期信息的服务接口；（2）供数字法庭系统反馈开庭状态、庭审笔录和音视频地址的服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与档案系统接口</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系统提供归档案件列表接口及案件信息下载接口供档案系统调用，主要包括：（1）归档案件列表接口，档案系统通过该接口获取当前法院待归档案件；（2）案件信息下载接口，通过案件标识下载该案件基本信息、诉讼参与人信息以及归档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与审委会系统接口</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审委会系统提交审委会接口供审判流程调用，审判流程通过该接口可以将案件提交审委会讨论，主要参数包括：案件基本信息、审理报告以及其他证据材料信息。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与电子商务法庭接口（待定）</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部署在外网的“阿里网上法庭系统”，通过部署在内网和外网的“云嘉数据交互平台”，与浙江省分布式部署在内网的“审判信息系统”做对接。法官在内网审判系统可接收查看外网网上法庭的立案信息，并可进行审查立案操作，在立案成功后审判系统将立案信息、当事人的缴费账号等信息传送到网上法庭系统。同时法官在内网审判系统进行分案和结案操作后，分别将案件的分案信息、结案信息传送到网上法庭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与外网送达系统接口</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审判流程系统送达提供邮件送达接口供外网送达邮件系统调用，主要接口功能包括：（1）提供获取待发邮件列表接口；（2）写入邮件已发送、发阅读标记接口；（3）写入回复邮件信息接口。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与文书上网系统接口</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审判流程系统与文书上网系统对接，将需要上网的裁判文书推送给文书上网系统进行隐名技术处理，隐名后将隐名后的文书再推送给审判流程系统。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与短信系统接口</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短信系统提供短信发送接口供审判流程系统调用，以参数的形式自动向短信发送表中记载信息，注意自动发送的短信状态直接设置为“待发送”状态。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与舆情系统接口</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为了进一步强化案件舆情风险预防工作，切实提升案件舆情应对能力，各级人民法院应当建立完善的案件舆情风险评估预防制度，体检预判案件舆情产生的可能性，密切关注舆情发展动态，积极开展舆情风险评估工作，尽早发现有舆情苗头或者可能影响社会稳定的案件。转变应对理念，注重实现、源头预防，掌握舆情引导工作主导权，及时提出处置预案，采取有效化解措施，切实预防、控制和减少舆情，维护司法事业正面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与数据中心接口（省高院、最高院）</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在审判系统升级切换期间，数据中心需要建2套，一套是原09规范数据结构，未切换的法院数据正常采集；另外一套是2015版法标规范数据接口，新切换到“15法标”审判管理系统的法院需要采集新库中数据，两套结构的数据汇总到省院后，由数据中心负责将两部分数据汇合，进行数据上报最高院及为第三方系统提供接口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与智慧审判系统</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智审系统与审判系统中的相关数据交互；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与纸质文档智能管理平台对接</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审判系统中需要确认纸质文档相关材料接收；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numPr>
                <w:ilvl w:val="0"/>
                <w:numId w:val="3"/>
              </w:numPr>
              <w:spacing w:line="460" w:lineRule="exact"/>
              <w:ind w:left="2040"/>
              <w:jc w:val="center"/>
              <w:rPr>
                <w:rFonts w:hint="eastAsia" w:ascii="新宋体" w:hAnsi="新宋体" w:eastAsia="新宋体" w:cs="新宋体"/>
                <w:color w:val="auto"/>
                <w:sz w:val="22"/>
                <w:szCs w:val="22"/>
                <w:highlight w:val="none"/>
              </w:rPr>
            </w:pPr>
          </w:p>
        </w:tc>
        <w:tc>
          <w:tcPr>
            <w:tcW w:w="1985" w:type="dxa"/>
            <w:noWrap w:val="0"/>
            <w:vAlign w:val="center"/>
          </w:tcPr>
          <w:p>
            <w:pPr>
              <w:spacing w:line="460" w:lineRule="exact"/>
              <w:jc w:val="center"/>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与法信-中国法律应用数字网络服务平台对接</w:t>
            </w:r>
          </w:p>
        </w:tc>
        <w:tc>
          <w:tcPr>
            <w:tcW w:w="6596" w:type="dxa"/>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“15法标”审判系统与法信服务平台对接，法官在办案界面可关联相似案件，实现类似案件智能推送，并提供法律规范以及裁判规则。</w:t>
            </w:r>
          </w:p>
        </w:tc>
      </w:tr>
    </w:tbl>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39" w:name="_Toc4505731"/>
      <w:bookmarkStart w:id="40" w:name="_Toc519632805"/>
      <w:r>
        <w:rPr>
          <w:rFonts w:hint="eastAsia" w:ascii="新宋体" w:hAnsi="新宋体" w:eastAsia="新宋体" w:cs="新宋体"/>
          <w:b/>
          <w:color w:val="auto"/>
          <w:sz w:val="22"/>
          <w:szCs w:val="22"/>
          <w:highlight w:val="none"/>
        </w:rPr>
        <w:t>2、纸质文档智能管理平台与诉讼材料收转系统接口</w:t>
      </w:r>
      <w:bookmarkEnd w:id="39"/>
      <w:bookmarkEnd w:id="40"/>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诉讼材料收转系统处理的是电子诉讼材料，纸质材料中转柜处理的是实体诉讼材料，材料收转系统需和纸质材料中转柜进行接口对接，实现纸质材料和电子材料的同步流转。</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41" w:name="_Toc519632806"/>
      <w:bookmarkStart w:id="42" w:name="_Toc4505732"/>
      <w:r>
        <w:rPr>
          <w:rFonts w:hint="eastAsia" w:ascii="新宋体" w:hAnsi="新宋体" w:eastAsia="新宋体" w:cs="新宋体"/>
          <w:b/>
          <w:color w:val="auto"/>
          <w:sz w:val="22"/>
          <w:szCs w:val="22"/>
          <w:highlight w:val="none"/>
        </w:rPr>
        <w:t>3、诉讼材料收转系统与诉讼材料智能OCR系统接口</w:t>
      </w:r>
      <w:bookmarkEnd w:id="41"/>
      <w:bookmarkEnd w:id="42"/>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诉讼材料智能OCR系统集成在诉讼材料收转系统，通过材料收转系统完成相应功能。</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利用 OCR 技术将扫描生成的图片格式的诉讼材料转换为文档格式，为电子卷宗的深度智能应用提供基础数据保障。同时，经过文字识别的文书可支持法官复用诉讼材料中的文字信息，方便法官编写办案笔记与法律文书，从而减少法官办案过程中的工作量。</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43" w:name="_Toc4505733"/>
      <w:r>
        <w:rPr>
          <w:rFonts w:hint="eastAsia" w:ascii="新宋体" w:hAnsi="新宋体" w:eastAsia="新宋体" w:cs="新宋体"/>
          <w:b/>
          <w:color w:val="auto"/>
          <w:sz w:val="22"/>
          <w:szCs w:val="22"/>
          <w:highlight w:val="none"/>
        </w:rPr>
        <w:t>4、司法技术辅助系统与各个系统接口对接</w:t>
      </w:r>
      <w:bookmarkEnd w:id="43"/>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与审判系统对接。获取审判系统信息接口、审判系统审限接口、审判系统卷宗获取接口、审判系统卷宗写入接口；</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全省机构平台对接。委托信息对接，推送委托案件给机构平台、接收平台推送的摇号结果信息；</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短信平台对接联调。对接温州短信平台。</w:t>
      </w:r>
    </w:p>
    <w:bookmarkEnd w:id="36"/>
    <w:p>
      <w:pPr>
        <w:spacing w:line="460" w:lineRule="exact"/>
        <w:ind w:firstLine="541" w:firstLineChars="245"/>
        <w:outlineLvl w:val="1"/>
        <w:rPr>
          <w:rFonts w:hint="eastAsia" w:ascii="新宋体" w:hAnsi="新宋体" w:eastAsia="新宋体" w:cs="新宋体"/>
          <w:b/>
          <w:color w:val="auto"/>
          <w:sz w:val="22"/>
          <w:szCs w:val="22"/>
          <w:highlight w:val="none"/>
        </w:rPr>
      </w:pPr>
      <w:bookmarkStart w:id="44" w:name="_Toc4505734"/>
      <w:r>
        <w:rPr>
          <w:rFonts w:hint="eastAsia" w:ascii="新宋体" w:hAnsi="新宋体" w:eastAsia="新宋体" w:cs="新宋体"/>
          <w:b/>
          <w:color w:val="auto"/>
          <w:sz w:val="22"/>
          <w:szCs w:val="22"/>
          <w:highlight w:val="none"/>
        </w:rPr>
        <w:t>五、性能需求</w:t>
      </w:r>
      <w:bookmarkEnd w:id="44"/>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系统平台性能方面，要求采用通用性好、安全可靠的操作系统以及大型数据库系统，保证系统良好的性能，满足系统数据的存储、访问等需要。确保系统的总体性能满足用户要求，不发生长时间业务中断、阻塞、死锁等情况。</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在应用支撑软件性能方面，要求应用支撑平台为业务应用系统的开发和运行提供技术支撑，并具有灵活的可扩充性和高度的可配置管理性，尽量采用统一的软件架构和软件技术，以方面不同应用的整合和减少维护工作量。比如都采用B/S软件架构来进行软件支撑。</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主要性能要求如下：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1、一般数据查询响应时间小于2秒，简单汇总处理时间小于1分种，固定制表时间小于5秒。</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2、系统最大同时在线人数2560，系统并发数为512。</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在非业务高峰期间，系统内在线事务处理的响应时间不大于3秒，跨系统在线事务处理的响应时间不大于3秒，应用系统内查询的响应时间不大于5秒，应用系统内复杂统计的响应时间不大于8秒，简单统计不大于5秒。</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4、在业务高峰期间，应用系统平均响应时间要求不超过3秒。</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5、支持TB级海量数据存储和多级存储，存储容量易于扩充。</w:t>
      </w:r>
    </w:p>
    <w:p>
      <w:pPr>
        <w:spacing w:line="460" w:lineRule="exact"/>
        <w:ind w:firstLine="541" w:firstLineChars="245"/>
        <w:outlineLvl w:val="1"/>
        <w:rPr>
          <w:rFonts w:hint="eastAsia" w:ascii="新宋体" w:hAnsi="新宋体" w:eastAsia="新宋体" w:cs="新宋体"/>
          <w:b/>
          <w:color w:val="auto"/>
          <w:sz w:val="22"/>
          <w:szCs w:val="22"/>
          <w:highlight w:val="none"/>
        </w:rPr>
      </w:pPr>
      <w:bookmarkStart w:id="45" w:name="_Toc4505735"/>
      <w:r>
        <w:rPr>
          <w:rFonts w:hint="eastAsia" w:ascii="新宋体" w:hAnsi="新宋体" w:eastAsia="新宋体" w:cs="新宋体"/>
          <w:b/>
          <w:color w:val="auto"/>
          <w:sz w:val="22"/>
          <w:szCs w:val="22"/>
          <w:highlight w:val="none"/>
        </w:rPr>
        <w:t>六、其他需求</w:t>
      </w:r>
      <w:bookmarkEnd w:id="45"/>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46" w:name="_Toc4505736"/>
      <w:r>
        <w:rPr>
          <w:rFonts w:hint="eastAsia" w:ascii="新宋体" w:hAnsi="新宋体" w:eastAsia="新宋体" w:cs="新宋体"/>
          <w:b/>
          <w:color w:val="auto"/>
          <w:sz w:val="22"/>
          <w:szCs w:val="22"/>
          <w:highlight w:val="none"/>
        </w:rPr>
        <w:t>1、可操作性</w:t>
      </w:r>
      <w:bookmarkEnd w:id="46"/>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本项目用户主要为法院工作人员，对软件界面有较高的要求。</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软件的“界面”是人与计算机之间的媒介。用户通过软件的界面来与计算机进行信息交换。软件系统在使用操作上有良好的用户界面，符合法院用户的使用能力，尽可能提供易于掌握、能够适应日常工作的用户界面。同时软件操作上要具备很强的容错能力和恢复能力，并应提供提醒、警示功能，以便提醒用户及时处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因此，软件界面的质量，直接关系到软件系统的性能能否充分发挥，能否使用户准确、高效、轻松、愉快地操作。所以软件的友好性、易用性对于软件系统至关重要。</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系统设计应充分考虑到法院行业的业务特点和操作习惯，提供友好的人机交互界面，使得法官操作简便快捷。</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为了提高操作界面的友好性，应根据各级法院其他系统的风格和主流的操作方式加以调整优化，使之适应绝大多数用户的使用习惯，力求做到上手容易、使用方便。系统界面元素的安排要达到易于操作使用系统、提高工作效率</w:t>
      </w:r>
      <w:bookmarkStart w:id="47" w:name="_Toc114561081"/>
      <w:r>
        <w:rPr>
          <w:rFonts w:hint="eastAsia" w:ascii="新宋体" w:hAnsi="新宋体" w:eastAsia="新宋体" w:cs="新宋体"/>
          <w:bCs/>
          <w:color w:val="auto"/>
          <w:sz w:val="22"/>
          <w:szCs w:val="22"/>
          <w:highlight w:val="none"/>
        </w:rPr>
        <w:t>。控件的使用，提示信息措辞，颜色、窗口布局风格，遵循统一的标准。导航位置按照按功能或从属关系来组织，导航要有清楚的界限，要有突出显示，导航深度要求最多在三层以内。右键快捷导航采用与导航相同的准则。</w:t>
      </w:r>
      <w:bookmarkEnd w:id="47"/>
      <w:r>
        <w:rPr>
          <w:rFonts w:hint="eastAsia" w:ascii="新宋体" w:hAnsi="新宋体" w:eastAsia="新宋体" w:cs="新宋体"/>
          <w:bCs/>
          <w:color w:val="auto"/>
          <w:sz w:val="22"/>
          <w:szCs w:val="22"/>
          <w:highlight w:val="none"/>
        </w:rPr>
        <w:t>界面总体风格保持整体协调，图标提示清晰、明确，文字图标的文字要清晰可见，界面图标设置考虑功能的易用性，界面之间要协调与美观，界面风格要保持一致，字体的大小要与界面的大小比例协调，字的大小、颜色、字体要相同。</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48" w:name="_Toc4505737"/>
      <w:r>
        <w:rPr>
          <w:rFonts w:hint="eastAsia" w:ascii="新宋体" w:hAnsi="新宋体" w:eastAsia="新宋体" w:cs="新宋体"/>
          <w:b/>
          <w:color w:val="auto"/>
          <w:sz w:val="22"/>
          <w:szCs w:val="22"/>
          <w:highlight w:val="none"/>
        </w:rPr>
        <w:t>2、安全性</w:t>
      </w:r>
      <w:bookmarkEnd w:id="48"/>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由于“黑客”、计算机病毒、信息间谍等对网络安全构成越来越严重的威胁，网络安全也成为网络应用的必需手段，以保护网络传输的数据的安全性和完整性。加强安全建设，以实现对系统实体安全、网络安全、信息安全、系统安全、运行安全实施安全管理。</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根据公安部、国家保密局、国家密码管理局、原国务院信息化工作办公室制定的《信息安全等级保护管理办法》、《信息系统安全等级保护定级指南》，需要对本项目信息系统的安全保护进行定级。</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电子政务信息安全等级保护要求，针对可能遇到的各种安全威胁和风险，采取行之有效的安全措施，形成技术先进、功能全面的信息安全保障体系，保障信息系统业务服务的连续性、可靠性以及信息资源的完整性、可用性，确保系统能够安全、稳定、可靠地运行。</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本次项目所建设的软件应满足信息系统安全等级保护测评2级。</w:t>
      </w:r>
    </w:p>
    <w:p>
      <w:pPr>
        <w:spacing w:line="460" w:lineRule="exact"/>
        <w:ind w:firstLine="541" w:firstLineChars="245"/>
        <w:outlineLvl w:val="2"/>
        <w:rPr>
          <w:rFonts w:hint="eastAsia" w:ascii="新宋体" w:hAnsi="新宋体" w:eastAsia="新宋体" w:cs="新宋体"/>
          <w:b/>
          <w:color w:val="auto"/>
          <w:sz w:val="22"/>
          <w:szCs w:val="22"/>
          <w:highlight w:val="none"/>
        </w:rPr>
      </w:pPr>
      <w:bookmarkStart w:id="49" w:name="_Toc4505738"/>
      <w:r>
        <w:rPr>
          <w:rFonts w:hint="eastAsia" w:ascii="新宋体" w:hAnsi="新宋体" w:eastAsia="新宋体" w:cs="新宋体"/>
          <w:b/>
          <w:color w:val="auto"/>
          <w:sz w:val="22"/>
          <w:szCs w:val="22"/>
          <w:highlight w:val="none"/>
        </w:rPr>
        <w:t>3、可靠性</w:t>
      </w:r>
      <w:bookmarkEnd w:id="49"/>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可恢复性和可维护性。相应的技术指标要求如下：</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（1）故障可恢复性：采用备份机制，提供方便的系统备份恢复工具，当故障发生时，保障在24小时内恢复系统环境。</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（2）可维护性：提供方便的系统管理工具、数据和系统备份/恢复工具，供系统管理员方便地进行系统设置和管理，以及定期备份和在发生故障时恢复系统，最大化实现零代码维护。</w:t>
      </w:r>
    </w:p>
    <w:p>
      <w:pPr>
        <w:spacing w:line="460" w:lineRule="exact"/>
        <w:ind w:firstLine="539" w:firstLineChars="245"/>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（3）可扩展性：系统应具有前瞻性，可通过科学合理的方法对后期业务及其他方面的扩展进行完善。</w:t>
      </w:r>
    </w:p>
    <w:p>
      <w:pPr>
        <w:pStyle w:val="18"/>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七、项目系统采购清单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84"/>
        <w:gridCol w:w="2685"/>
        <w:gridCol w:w="4339"/>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930" w:hRule="atLeast"/>
        </w:trPr>
        <w:tc>
          <w:tcPr>
            <w:tcW w:w="684" w:type="dxa"/>
            <w:shd w:val="clear" w:color="auto" w:fill="FFFFFF"/>
            <w:noWrap w:val="0"/>
            <w:vAlign w:val="center"/>
          </w:tcPr>
          <w:p>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序号</w:t>
            </w:r>
          </w:p>
        </w:tc>
        <w:tc>
          <w:tcPr>
            <w:tcW w:w="2685" w:type="dxa"/>
            <w:shd w:val="clear" w:color="auto" w:fill="FFFFFF"/>
            <w:noWrap w:val="0"/>
            <w:vAlign w:val="center"/>
          </w:tcPr>
          <w:p>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系统名称</w:t>
            </w:r>
          </w:p>
        </w:tc>
        <w:tc>
          <w:tcPr>
            <w:tcW w:w="4339" w:type="dxa"/>
            <w:shd w:val="clear" w:color="auto" w:fill="FFFFFF"/>
            <w:noWrap w:val="0"/>
            <w:vAlign w:val="top"/>
          </w:tcPr>
          <w:p>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功能模块</w:t>
            </w:r>
          </w:p>
        </w:tc>
        <w:tc>
          <w:tcPr>
            <w:tcW w:w="1331" w:type="dxa"/>
            <w:shd w:val="clear" w:color="auto" w:fill="FFFFFF"/>
            <w:noWrap w:val="0"/>
            <w:vAlign w:val="center"/>
          </w:tcPr>
          <w:p>
            <w:pPr>
              <w:widowControl/>
              <w:spacing w:line="460" w:lineRule="exact"/>
              <w:jc w:val="center"/>
              <w:rPr>
                <w:rFonts w:hint="eastAsia" w:ascii="新宋体" w:hAnsi="新宋体" w:eastAsia="新宋体" w:cs="新宋体"/>
                <w:b/>
                <w:bCs/>
                <w:color w:val="auto"/>
                <w:kern w:val="0"/>
                <w:sz w:val="22"/>
                <w:szCs w:val="22"/>
                <w:highlight w:val="none"/>
              </w:rPr>
            </w:pPr>
            <w:r>
              <w:rPr>
                <w:rFonts w:hint="eastAsia" w:ascii="新宋体" w:hAnsi="新宋体" w:eastAsia="新宋体" w:cs="新宋体"/>
                <w:b/>
                <w:bCs/>
                <w:color w:val="auto"/>
                <w:kern w:val="0"/>
                <w:sz w:val="22"/>
                <w:szCs w:val="22"/>
                <w:highlight w:val="none"/>
              </w:rPr>
              <w:t>数量（单位：项）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6" w:hRule="atLeast"/>
        </w:trPr>
        <w:tc>
          <w:tcPr>
            <w:tcW w:w="684"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2685"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“15法标”审判系统个性化需求（定制开发）</w:t>
            </w:r>
          </w:p>
        </w:tc>
        <w:tc>
          <w:tcPr>
            <w:tcW w:w="4339" w:type="dxa"/>
            <w:shd w:val="clear" w:color="auto" w:fill="FFFFFF"/>
            <w:noWrap w:val="0"/>
            <w:vAlign w:val="top"/>
          </w:tcPr>
          <w:p>
            <w:pPr>
              <w:widowControl/>
              <w:spacing w:line="460" w:lineRule="exact"/>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详见第五部分“招标文件内容及要求”</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493" w:hRule="atLeast"/>
        </w:trPr>
        <w:tc>
          <w:tcPr>
            <w:tcW w:w="684"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2685"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审委会系统</w:t>
            </w:r>
          </w:p>
        </w:tc>
        <w:tc>
          <w:tcPr>
            <w:tcW w:w="4339" w:type="dxa"/>
            <w:shd w:val="clear" w:color="auto" w:fill="FFFFFF"/>
            <w:noWrap w:val="0"/>
            <w:vAlign w:val="top"/>
          </w:tcPr>
          <w:p>
            <w:pPr>
              <w:spacing w:line="460" w:lineRule="exact"/>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详见第五部分“招标文件内容及要求”</w:t>
            </w:r>
          </w:p>
        </w:tc>
        <w:tc>
          <w:tcPr>
            <w:tcW w:w="1331" w:type="dxa"/>
            <w:shd w:val="clear" w:color="auto" w:fill="FFFFFF"/>
            <w:noWrap w:val="0"/>
            <w:vAlign w:val="center"/>
          </w:tcPr>
          <w:p>
            <w:pPr>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3" w:hRule="atLeast"/>
        </w:trPr>
        <w:tc>
          <w:tcPr>
            <w:tcW w:w="684"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2685"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司法技术辅助系统</w:t>
            </w:r>
          </w:p>
        </w:tc>
        <w:tc>
          <w:tcPr>
            <w:tcW w:w="4339" w:type="dxa"/>
            <w:shd w:val="clear" w:color="auto" w:fill="FFFFFF"/>
            <w:noWrap w:val="0"/>
            <w:vAlign w:val="top"/>
          </w:tcPr>
          <w:p>
            <w:pPr>
              <w:spacing w:line="460" w:lineRule="exact"/>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详见第五部分“招标文件内容及要求”</w:t>
            </w:r>
          </w:p>
        </w:tc>
        <w:tc>
          <w:tcPr>
            <w:tcW w:w="1331" w:type="dxa"/>
            <w:shd w:val="clear" w:color="auto" w:fill="FFFFFF"/>
            <w:noWrap w:val="0"/>
            <w:vAlign w:val="center"/>
          </w:tcPr>
          <w:p>
            <w:pPr>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Height w:val="840" w:hRule="atLeast"/>
        </w:trPr>
        <w:tc>
          <w:tcPr>
            <w:tcW w:w="684"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2685"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量刑辅助系统升级（定制开发）</w:t>
            </w:r>
          </w:p>
        </w:tc>
        <w:tc>
          <w:tcPr>
            <w:tcW w:w="4339" w:type="dxa"/>
            <w:shd w:val="clear" w:color="auto" w:fill="FFFFFF"/>
            <w:noWrap w:val="0"/>
            <w:vAlign w:val="top"/>
          </w:tcPr>
          <w:p>
            <w:pPr>
              <w:spacing w:line="460" w:lineRule="exact"/>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详见第五部分“招标文件内容及要求”</w:t>
            </w:r>
          </w:p>
        </w:tc>
        <w:tc>
          <w:tcPr>
            <w:tcW w:w="1331" w:type="dxa"/>
            <w:shd w:val="clear" w:color="auto" w:fill="FFFFFF"/>
            <w:noWrap w:val="0"/>
            <w:vAlign w:val="center"/>
          </w:tcPr>
          <w:p>
            <w:pPr>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6" w:hRule="atLeast"/>
        </w:trPr>
        <w:tc>
          <w:tcPr>
            <w:tcW w:w="684"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2685"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法官律师互评系统</w:t>
            </w:r>
          </w:p>
        </w:tc>
        <w:tc>
          <w:tcPr>
            <w:tcW w:w="4339" w:type="dxa"/>
            <w:shd w:val="clear" w:color="auto" w:fill="FFFFFF"/>
            <w:noWrap w:val="0"/>
            <w:vAlign w:val="top"/>
          </w:tcPr>
          <w:p>
            <w:pPr>
              <w:spacing w:line="460" w:lineRule="exact"/>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详见第五部分“招标文件内容及要求”</w:t>
            </w:r>
          </w:p>
        </w:tc>
        <w:tc>
          <w:tcPr>
            <w:tcW w:w="1331" w:type="dxa"/>
            <w:shd w:val="clear" w:color="auto" w:fill="FFFFFF"/>
            <w:noWrap w:val="0"/>
            <w:vAlign w:val="center"/>
          </w:tcPr>
          <w:p>
            <w:pPr>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4" w:type="dxa"/>
            <w:vMerge w:val="restart"/>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2685" w:type="dxa"/>
            <w:vMerge w:val="restart"/>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纸质文档智能管理平台</w:t>
            </w: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智能审判文书交换主柜</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智能审判文书交换副柜</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智能材料收转平台</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智能材料收转客户端</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人脸识别模块</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移动端客户端</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9" w:hRule="atLeast"/>
        </w:trPr>
        <w:tc>
          <w:tcPr>
            <w:tcW w:w="684"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2685"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指定辩护系统</w:t>
            </w:r>
          </w:p>
        </w:tc>
        <w:tc>
          <w:tcPr>
            <w:tcW w:w="4339" w:type="dxa"/>
            <w:shd w:val="clear" w:color="auto" w:fill="FFFFFF"/>
            <w:noWrap w:val="0"/>
            <w:vAlign w:val="top"/>
          </w:tcPr>
          <w:p>
            <w:pPr>
              <w:spacing w:line="460" w:lineRule="exact"/>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详见第五部分“招标文件内容及要求”</w:t>
            </w:r>
          </w:p>
        </w:tc>
        <w:tc>
          <w:tcPr>
            <w:tcW w:w="1331" w:type="dxa"/>
            <w:shd w:val="clear" w:color="auto" w:fill="FFFFFF"/>
            <w:noWrap w:val="0"/>
            <w:vAlign w:val="center"/>
          </w:tcPr>
          <w:p>
            <w:pPr>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rPr>
        <w:tc>
          <w:tcPr>
            <w:tcW w:w="684"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2685"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人员对比核查系统</w:t>
            </w:r>
          </w:p>
        </w:tc>
        <w:tc>
          <w:tcPr>
            <w:tcW w:w="4339" w:type="dxa"/>
            <w:shd w:val="clear" w:color="auto" w:fill="FFFFFF"/>
            <w:noWrap w:val="0"/>
            <w:vAlign w:val="top"/>
          </w:tcPr>
          <w:p>
            <w:pPr>
              <w:spacing w:line="460" w:lineRule="exact"/>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详见第五部分“招标文件内容及要求”</w:t>
            </w:r>
          </w:p>
        </w:tc>
        <w:tc>
          <w:tcPr>
            <w:tcW w:w="1331" w:type="dxa"/>
            <w:shd w:val="clear" w:color="auto" w:fill="FFFFFF"/>
            <w:noWrap w:val="0"/>
            <w:vAlign w:val="center"/>
          </w:tcPr>
          <w:p>
            <w:pPr>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1" w:hRule="atLeast"/>
        </w:trPr>
        <w:tc>
          <w:tcPr>
            <w:tcW w:w="684"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2685" w:type="dxa"/>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案件折算管理系统</w:t>
            </w:r>
          </w:p>
        </w:tc>
        <w:tc>
          <w:tcPr>
            <w:tcW w:w="4339" w:type="dxa"/>
            <w:shd w:val="clear" w:color="auto" w:fill="FFFFFF"/>
            <w:noWrap w:val="0"/>
            <w:vAlign w:val="top"/>
          </w:tcPr>
          <w:p>
            <w:pPr>
              <w:spacing w:line="460" w:lineRule="exact"/>
              <w:jc w:val="left"/>
              <w:rPr>
                <w:rFonts w:hint="eastAsia" w:ascii="新宋体" w:hAnsi="新宋体" w:eastAsia="新宋体" w:cs="新宋体"/>
                <w:color w:val="auto"/>
                <w:kern w:val="0"/>
                <w:sz w:val="22"/>
                <w:szCs w:val="22"/>
                <w:highlight w:val="none"/>
                <w:lang w:eastAsia="zh-CN"/>
              </w:rPr>
            </w:pPr>
            <w:r>
              <w:rPr>
                <w:rFonts w:hint="eastAsia" w:ascii="新宋体" w:hAnsi="新宋体" w:eastAsia="新宋体" w:cs="新宋体"/>
                <w:color w:val="auto"/>
                <w:kern w:val="0"/>
                <w:sz w:val="22"/>
                <w:szCs w:val="22"/>
                <w:highlight w:val="none"/>
                <w:lang w:eastAsia="zh-CN"/>
              </w:rPr>
              <w:t>详见第五部分“招标文件内容及要求”</w:t>
            </w:r>
          </w:p>
        </w:tc>
        <w:tc>
          <w:tcPr>
            <w:tcW w:w="1331" w:type="dxa"/>
            <w:shd w:val="clear" w:color="auto" w:fill="FFFFFF"/>
            <w:noWrap w:val="0"/>
            <w:vAlign w:val="center"/>
          </w:tcPr>
          <w:p>
            <w:pPr>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684" w:type="dxa"/>
            <w:vMerge w:val="restart"/>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2685" w:type="dxa"/>
            <w:vMerge w:val="restart"/>
            <w:shd w:val="clear" w:color="auto" w:fill="FFFFFF"/>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软件集成支撑平台</w:t>
            </w: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统一身份管理</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门户平台</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对外服务接口管理</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后台任务调度管理</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工作流管理</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消息管理</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短信服务平台</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文件存储服务</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数据库分布布署支撑引擎</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684"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2685" w:type="dxa"/>
            <w:vMerge w:val="continue"/>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p>
        </w:tc>
        <w:tc>
          <w:tcPr>
            <w:tcW w:w="4339"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服务器运维管理平台</w:t>
            </w:r>
          </w:p>
        </w:tc>
        <w:tc>
          <w:tcPr>
            <w:tcW w:w="1331" w:type="dxa"/>
            <w:shd w:val="clear" w:color="auto" w:fill="FFFFFF"/>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bl>
    <w:p>
      <w:pPr>
        <w:rPr>
          <w:color w:val="auto"/>
          <w:highlight w:val="none"/>
        </w:rPr>
      </w:pPr>
    </w:p>
    <w:p>
      <w:pPr>
        <w:rPr>
          <w:color w:val="auto"/>
          <w:highlight w:val="none"/>
        </w:rPr>
      </w:pPr>
    </w:p>
    <w:p>
      <w:pPr>
        <w:rPr>
          <w:color w:val="auto"/>
          <w:highlight w:val="none"/>
        </w:rPr>
      </w:pPr>
    </w:p>
    <w:tbl>
      <w:tblPr>
        <w:tblStyle w:val="50"/>
        <w:tblW w:w="0" w:type="auto"/>
        <w:tblInd w:w="0" w:type="dxa"/>
        <w:tblLayout w:type="fixed"/>
        <w:tblCellMar>
          <w:top w:w="0" w:type="dxa"/>
          <w:left w:w="108" w:type="dxa"/>
          <w:bottom w:w="0" w:type="dxa"/>
          <w:right w:w="108" w:type="dxa"/>
        </w:tblCellMar>
      </w:tblPr>
      <w:tblGrid>
        <w:gridCol w:w="846"/>
        <w:gridCol w:w="1995"/>
        <w:gridCol w:w="5922"/>
        <w:gridCol w:w="675"/>
        <w:gridCol w:w="703"/>
      </w:tblGrid>
      <w:tr>
        <w:tblPrEx>
          <w:tblCellMar>
            <w:top w:w="0" w:type="dxa"/>
            <w:left w:w="108" w:type="dxa"/>
            <w:bottom w:w="0" w:type="dxa"/>
            <w:right w:w="108" w:type="dxa"/>
          </w:tblCellMar>
        </w:tblPrEx>
        <w:trPr>
          <w:trHeight w:val="460" w:hRule="atLeast"/>
        </w:trPr>
        <w:tc>
          <w:tcPr>
            <w:tcW w:w="846" w:type="dxa"/>
            <w:vMerge w:val="restart"/>
            <w:tcBorders>
              <w:top w:val="single" w:color="auto" w:sz="4" w:space="0"/>
              <w:left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序号</w:t>
            </w:r>
          </w:p>
        </w:tc>
        <w:tc>
          <w:tcPr>
            <w:tcW w:w="1995" w:type="dxa"/>
            <w:vMerge w:val="restart"/>
            <w:tcBorders>
              <w:top w:val="single" w:color="auto" w:sz="4" w:space="0"/>
              <w:left w:val="nil"/>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名称</w:t>
            </w:r>
          </w:p>
        </w:tc>
        <w:tc>
          <w:tcPr>
            <w:tcW w:w="5922" w:type="dxa"/>
            <w:vMerge w:val="restart"/>
            <w:tcBorders>
              <w:top w:val="single" w:color="auto" w:sz="4" w:space="0"/>
              <w:left w:val="nil"/>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版本</w:t>
            </w:r>
          </w:p>
        </w:tc>
        <w:tc>
          <w:tcPr>
            <w:tcW w:w="675" w:type="dxa"/>
            <w:vMerge w:val="restart"/>
            <w:tcBorders>
              <w:top w:val="single" w:color="auto" w:sz="4" w:space="0"/>
              <w:left w:val="nil"/>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单位</w:t>
            </w:r>
          </w:p>
        </w:tc>
        <w:tc>
          <w:tcPr>
            <w:tcW w:w="703" w:type="dxa"/>
            <w:vMerge w:val="restart"/>
            <w:tcBorders>
              <w:top w:val="single" w:color="auto" w:sz="4" w:space="0"/>
              <w:left w:val="nil"/>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r>
              <w:rPr>
                <w:rFonts w:hint="eastAsia" w:ascii="新宋体" w:hAnsi="新宋体" w:eastAsia="新宋体" w:cs="新宋体"/>
                <w:b/>
                <w:color w:val="auto"/>
                <w:kern w:val="0"/>
                <w:sz w:val="22"/>
                <w:szCs w:val="22"/>
                <w:highlight w:val="none"/>
              </w:rPr>
              <w:t>数量</w:t>
            </w:r>
          </w:p>
        </w:tc>
      </w:tr>
      <w:tr>
        <w:tblPrEx>
          <w:tblCellMar>
            <w:top w:w="0" w:type="dxa"/>
            <w:left w:w="108" w:type="dxa"/>
            <w:bottom w:w="0" w:type="dxa"/>
            <w:right w:w="108" w:type="dxa"/>
          </w:tblCellMar>
        </w:tblPrEx>
        <w:trPr>
          <w:trHeight w:val="460" w:hRule="atLeast"/>
        </w:trPr>
        <w:tc>
          <w:tcPr>
            <w:tcW w:w="846" w:type="dxa"/>
            <w:vMerge w:val="continue"/>
            <w:tcBorders>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p>
        </w:tc>
        <w:tc>
          <w:tcPr>
            <w:tcW w:w="1995" w:type="dxa"/>
            <w:vMerge w:val="continue"/>
            <w:tcBorders>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p>
        </w:tc>
        <w:tc>
          <w:tcPr>
            <w:tcW w:w="5922" w:type="dxa"/>
            <w:vMerge w:val="continue"/>
            <w:tcBorders>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p>
        </w:tc>
        <w:tc>
          <w:tcPr>
            <w:tcW w:w="675" w:type="dxa"/>
            <w:vMerge w:val="continue"/>
            <w:tcBorders>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p>
        </w:tc>
        <w:tc>
          <w:tcPr>
            <w:tcW w:w="703" w:type="dxa"/>
            <w:vMerge w:val="continue"/>
            <w:tcBorders>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b/>
                <w:color w:val="auto"/>
                <w:kern w:val="0"/>
                <w:sz w:val="22"/>
                <w:szCs w:val="22"/>
                <w:highlight w:val="none"/>
              </w:rPr>
            </w:pPr>
          </w:p>
        </w:tc>
      </w:tr>
      <w:tr>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c>
          <w:tcPr>
            <w:tcW w:w="1995"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数据库软件</w:t>
            </w:r>
          </w:p>
        </w:tc>
        <w:tc>
          <w:tcPr>
            <w:tcW w:w="5922" w:type="dxa"/>
            <w:tcBorders>
              <w:top w:val="nil"/>
              <w:left w:val="nil"/>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名称：Oracle Database19C Release2 for linux x86-64</w:t>
            </w:r>
          </w:p>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版本：</w:t>
            </w:r>
          </w:p>
          <w:p>
            <w:pPr>
              <w:pStyle w:val="267"/>
              <w:widowControl/>
              <w:numPr>
                <w:ilvl w:val="0"/>
                <w:numId w:val="4"/>
              </w:numPr>
              <w:spacing w:line="460" w:lineRule="exact"/>
              <w:ind w:firstLine="0" w:firstLineChars="0"/>
              <w:rPr>
                <w:rFonts w:hint="eastAsia"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Oracle Database Enterprise editon-50用户（DB授权，不含原厂上门服务）</w:t>
            </w:r>
          </w:p>
          <w:p>
            <w:pPr>
              <w:pStyle w:val="267"/>
              <w:widowControl/>
              <w:numPr>
                <w:ilvl w:val="0"/>
                <w:numId w:val="4"/>
              </w:numPr>
              <w:spacing w:line="460" w:lineRule="exact"/>
              <w:ind w:firstLine="0" w:firstLineChars="0"/>
              <w:rPr>
                <w:rFonts w:hint="eastAsia"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Oracle Real Application Clusters-50用户（RAC授权，不含原厂上门服务）</w:t>
            </w:r>
          </w:p>
          <w:p>
            <w:pPr>
              <w:pStyle w:val="267"/>
              <w:widowControl/>
              <w:numPr>
                <w:ilvl w:val="0"/>
                <w:numId w:val="4"/>
              </w:numPr>
              <w:spacing w:line="460" w:lineRule="exact"/>
              <w:ind w:firstLine="0" w:firstLineChars="0"/>
              <w:rPr>
                <w:rFonts w:hint="eastAsia" w:ascii="新宋体" w:hAnsi="新宋体" w:eastAsia="新宋体" w:cs="新宋体"/>
                <w:color w:val="auto"/>
                <w:kern w:val="0"/>
                <w:sz w:val="22"/>
                <w:highlight w:val="none"/>
              </w:rPr>
            </w:pPr>
            <w:r>
              <w:rPr>
                <w:rFonts w:hint="eastAsia" w:ascii="新宋体" w:hAnsi="新宋体" w:eastAsia="新宋体" w:cs="新宋体"/>
                <w:color w:val="auto"/>
                <w:kern w:val="0"/>
                <w:sz w:val="22"/>
                <w:highlight w:val="none"/>
              </w:rPr>
              <w:t>Oracle 数据集成云平台DIPC(OGG授权、不含原厂上门服务)</w:t>
            </w:r>
          </w:p>
          <w:p>
            <w:pPr>
              <w:widowControl/>
              <w:spacing w:line="460" w:lineRule="exact"/>
              <w:rPr>
                <w:rFonts w:hint="eastAsia" w:ascii="新宋体" w:hAnsi="新宋体" w:eastAsia="新宋体" w:cs="新宋体"/>
                <w:color w:val="auto"/>
                <w:kern w:val="0"/>
                <w:sz w:val="22"/>
                <w:szCs w:val="22"/>
                <w:highlight w:val="none"/>
              </w:rPr>
            </w:pPr>
          </w:p>
        </w:tc>
        <w:tc>
          <w:tcPr>
            <w:tcW w:w="67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70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w:t>
            </w:r>
          </w:p>
        </w:tc>
        <w:tc>
          <w:tcPr>
            <w:tcW w:w="1995"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数字化处理引擎（处理实时OCR请求）</w:t>
            </w:r>
          </w:p>
        </w:tc>
        <w:tc>
          <w:tcPr>
            <w:tcW w:w="5922" w:type="dxa"/>
            <w:tcBorders>
              <w:top w:val="nil"/>
              <w:left w:val="nil"/>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并发能力与CPU性能成正比，扩展性强，</w:t>
            </w:r>
            <w:r>
              <w:rPr>
                <w:rFonts w:hint="eastAsia" w:ascii="新宋体" w:hAnsi="新宋体" w:eastAsia="新宋体" w:cs="新宋体"/>
                <w:b/>
                <w:color w:val="auto"/>
                <w:kern w:val="0"/>
                <w:sz w:val="22"/>
                <w:szCs w:val="22"/>
                <w:highlight w:val="none"/>
              </w:rPr>
              <w:t>100万页/年</w:t>
            </w:r>
          </w:p>
        </w:tc>
        <w:tc>
          <w:tcPr>
            <w:tcW w:w="67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70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r>
      <w:tr>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w:t>
            </w:r>
          </w:p>
        </w:tc>
        <w:tc>
          <w:tcPr>
            <w:tcW w:w="1995"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数字化处理引擎（处理非实时0CR请求）</w:t>
            </w:r>
          </w:p>
        </w:tc>
        <w:tc>
          <w:tcPr>
            <w:tcW w:w="5922" w:type="dxa"/>
            <w:tcBorders>
              <w:top w:val="nil"/>
              <w:left w:val="nil"/>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5QPS ，5并发，无页数限制</w:t>
            </w:r>
          </w:p>
        </w:tc>
        <w:tc>
          <w:tcPr>
            <w:tcW w:w="67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70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w:t>
            </w:r>
          </w:p>
        </w:tc>
        <w:tc>
          <w:tcPr>
            <w:tcW w:w="1995"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扫描仪扫描控件</w:t>
            </w:r>
          </w:p>
        </w:tc>
        <w:tc>
          <w:tcPr>
            <w:tcW w:w="5922" w:type="dxa"/>
            <w:tcBorders>
              <w:top w:val="nil"/>
              <w:left w:val="nil"/>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　</w:t>
            </w:r>
          </w:p>
        </w:tc>
        <w:tc>
          <w:tcPr>
            <w:tcW w:w="67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70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r>
      <w:tr>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c>
          <w:tcPr>
            <w:tcW w:w="1995"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手写签批插件</w:t>
            </w:r>
          </w:p>
        </w:tc>
        <w:tc>
          <w:tcPr>
            <w:tcW w:w="5922" w:type="dxa"/>
            <w:tcBorders>
              <w:top w:val="nil"/>
              <w:left w:val="nil"/>
              <w:bottom w:val="single" w:color="auto" w:sz="4" w:space="0"/>
              <w:right w:val="single" w:color="auto" w:sz="4" w:space="0"/>
            </w:tcBorders>
            <w:noWrap w:val="0"/>
            <w:vAlign w:val="center"/>
          </w:tcPr>
          <w:p>
            <w:pPr>
              <w:widowControl/>
              <w:spacing w:line="460" w:lineRule="exac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集成在审委会系统中，实现手写签批功能。不限制客户端人数</w:t>
            </w:r>
          </w:p>
        </w:tc>
        <w:tc>
          <w:tcPr>
            <w:tcW w:w="67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70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995" w:type="dxa"/>
            <w:tcBorders>
              <w:top w:val="nil"/>
              <w:left w:val="nil"/>
              <w:bottom w:val="single" w:color="auto" w:sz="4" w:space="0"/>
              <w:right w:val="single" w:color="auto" w:sz="4" w:space="0"/>
            </w:tcBorders>
            <w:noWrap w:val="0"/>
            <w:vAlign w:val="center"/>
          </w:tcPr>
          <w:p>
            <w:pPr>
              <w:widowControl/>
              <w:spacing w:line="460" w:lineRule="exact"/>
              <w:jc w:val="left"/>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工作套件</w:t>
            </w:r>
          </w:p>
        </w:tc>
        <w:tc>
          <w:tcPr>
            <w:tcW w:w="5922" w:type="dxa"/>
            <w:tcBorders>
              <w:top w:val="nil"/>
              <w:left w:val="nil"/>
              <w:bottom w:val="single" w:color="auto" w:sz="4" w:space="0"/>
              <w:right w:val="single" w:color="auto" w:sz="4" w:space="0"/>
            </w:tcBorders>
            <w:noWrap w:val="0"/>
            <w:vAlign w:val="center"/>
          </w:tcPr>
          <w:p>
            <w:pPr>
              <w:widowControl/>
              <w:spacing w:line="460" w:lineRule="exact"/>
              <w:rPr>
                <w:rFonts w:hint="eastAsia"/>
                <w:color w:val="auto"/>
                <w:highlight w:val="none"/>
              </w:rPr>
            </w:pPr>
            <w:r>
              <w:rPr>
                <w:rFonts w:hint="eastAsia"/>
                <w:color w:val="auto"/>
                <w:highlight w:val="none"/>
              </w:rPr>
              <w:t xml:space="preserve">1触 显 屏 </w:t>
            </w:r>
          </w:p>
          <w:p>
            <w:pPr>
              <w:widowControl/>
              <w:spacing w:line="460" w:lineRule="exact"/>
              <w:rPr>
                <w:rFonts w:hAnsi="仿宋" w:cs="宋体"/>
                <w:color w:val="auto"/>
                <w:kern w:val="0"/>
                <w:sz w:val="24"/>
                <w:highlight w:val="none"/>
              </w:rPr>
            </w:pPr>
            <w:r>
              <w:rPr>
                <w:rFonts w:hint="eastAsia" w:hAnsi="仿宋" w:cs="宋体"/>
                <w:color w:val="auto"/>
                <w:kern w:val="0"/>
                <w:sz w:val="24"/>
                <w:highlight w:val="none"/>
              </w:rPr>
              <w:t>8H钢化有机玻璃防斜视偷窥；屏幕尺寸：10.1 或者15Diagonal；分辨率：1024*600电磁感应笔无需外部供电。</w:t>
            </w:r>
          </w:p>
          <w:p>
            <w:pPr>
              <w:widowControl/>
              <w:spacing w:line="460" w:lineRule="exact"/>
              <w:rPr>
                <w:rFonts w:hint="eastAsia"/>
                <w:color w:val="auto"/>
                <w:highlight w:val="none"/>
              </w:rPr>
            </w:pPr>
            <w:r>
              <w:rPr>
                <w:rFonts w:hint="eastAsia"/>
                <w:color w:val="auto"/>
                <w:highlight w:val="none"/>
              </w:rPr>
              <w:t xml:space="preserve">2摄像头 </w:t>
            </w:r>
          </w:p>
          <w:p>
            <w:pPr>
              <w:widowControl/>
              <w:spacing w:line="460" w:lineRule="exact"/>
              <w:rPr>
                <w:rFonts w:hAnsi="仿宋" w:cs="宋体"/>
                <w:color w:val="auto"/>
                <w:kern w:val="0"/>
                <w:sz w:val="24"/>
                <w:highlight w:val="none"/>
              </w:rPr>
            </w:pPr>
            <w:r>
              <w:rPr>
                <w:rFonts w:hint="eastAsia" w:hAnsi="仿宋" w:cs="宋体"/>
                <w:color w:val="auto"/>
                <w:kern w:val="0"/>
                <w:sz w:val="24"/>
                <w:highlight w:val="none"/>
              </w:rPr>
              <w:t>传感器CMOS：像素30万；捕获幅面：4608x3456（软件增强）；视像解像度（分辨率）：640×480；最大帧数：30帧/秒；接口：USB 2.0；麦克风内置驱动免驱</w:t>
            </w:r>
          </w:p>
          <w:p>
            <w:pPr>
              <w:widowControl/>
              <w:spacing w:line="460" w:lineRule="exact"/>
              <w:rPr>
                <w:rFonts w:hint="eastAsia"/>
                <w:color w:val="auto"/>
                <w:highlight w:val="none"/>
              </w:rPr>
            </w:pPr>
            <w:r>
              <w:rPr>
                <w:color w:val="auto"/>
                <w:highlight w:val="none"/>
              </w:rPr>
              <w:t>3</w:t>
            </w:r>
            <w:r>
              <w:rPr>
                <w:rFonts w:hint="eastAsia"/>
                <w:color w:val="auto"/>
                <w:highlight w:val="none"/>
              </w:rPr>
              <w:t>指纹仪器</w:t>
            </w:r>
          </w:p>
          <w:p>
            <w:pPr>
              <w:widowControl/>
              <w:spacing w:line="460" w:lineRule="exact"/>
              <w:rPr>
                <w:rFonts w:hAnsi="仿宋" w:cs="宋体"/>
                <w:color w:val="auto"/>
                <w:kern w:val="0"/>
                <w:sz w:val="24"/>
                <w:highlight w:val="none"/>
              </w:rPr>
            </w:pPr>
            <w:r>
              <w:rPr>
                <w:rFonts w:hint="eastAsia" w:hAnsi="仿宋" w:cs="宋体"/>
                <w:color w:val="auto"/>
                <w:kern w:val="0"/>
                <w:sz w:val="24"/>
                <w:highlight w:val="none"/>
              </w:rPr>
              <w:t>传感器类型：光学；可接触面积：16.5*23mm；图片采集范围： 15.24*20.32mm(FAP20)；通讯方式： USB 1 .0/1 .1 /2.0；手指旋转角：360°；操作系统：Windows 7/8/10/XP/vista ( 32/64bit) ，原厂三年质保。</w:t>
            </w:r>
          </w:p>
          <w:p>
            <w:pPr>
              <w:widowControl/>
              <w:spacing w:line="460" w:lineRule="exact"/>
              <w:rPr>
                <w:rFonts w:hint="eastAsia"/>
                <w:color w:val="auto"/>
                <w:highlight w:val="none"/>
              </w:rPr>
            </w:pPr>
            <w:r>
              <w:rPr>
                <w:rFonts w:hint="eastAsia"/>
                <w:color w:val="auto"/>
                <w:highlight w:val="none"/>
              </w:rPr>
              <w:t xml:space="preserve">4降噪 mic，支持声源接收距离不小于 2 米，三年原厂质保 </w:t>
            </w:r>
            <w:r>
              <w:rPr>
                <w:color w:val="auto"/>
                <w:highlight w:val="none"/>
              </w:rPr>
              <w:t xml:space="preserve"> </w:t>
            </w:r>
          </w:p>
        </w:tc>
        <w:tc>
          <w:tcPr>
            <w:tcW w:w="67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70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51</w:t>
            </w:r>
          </w:p>
        </w:tc>
      </w:tr>
      <w:tr>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6</w:t>
            </w:r>
          </w:p>
        </w:tc>
        <w:tc>
          <w:tcPr>
            <w:tcW w:w="1995" w:type="dxa"/>
            <w:tcBorders>
              <w:top w:val="nil"/>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审委会版智能语音识别服务平台软件</w:t>
            </w:r>
          </w:p>
        </w:tc>
        <w:tc>
          <w:tcPr>
            <w:tcW w:w="5922" w:type="dxa"/>
            <w:tcBorders>
              <w:top w:val="nil"/>
              <w:left w:val="nil"/>
              <w:bottom w:val="single" w:color="auto" w:sz="4" w:space="0"/>
              <w:right w:val="single" w:color="auto" w:sz="4" w:space="0"/>
            </w:tcBorders>
            <w:noWrap w:val="0"/>
            <w:vAlign w:val="center"/>
          </w:tcPr>
          <w:p>
            <w:pPr>
              <w:spacing w:line="460" w:lineRule="exact"/>
              <w:ind w:firstLine="220" w:firstLineChars="1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由于所有语音及识别数据存储于省高院数据机房，以保障数据的集中安全。为合理利用资源，避免重复建设，本次项目审委会语音识别引擎需与省高院语音识别进行对接。需提供</w:t>
            </w:r>
            <w:r>
              <w:rPr>
                <w:rFonts w:hint="eastAsia" w:ascii="新宋体" w:hAnsi="新宋体" w:eastAsia="新宋体" w:cs="新宋体"/>
                <w:b/>
                <w:color w:val="auto"/>
                <w:sz w:val="22"/>
                <w:szCs w:val="22"/>
                <w:highlight w:val="none"/>
              </w:rPr>
              <w:t>承诺对接</w:t>
            </w:r>
            <w:r>
              <w:rPr>
                <w:rFonts w:hint="eastAsia" w:ascii="新宋体" w:hAnsi="新宋体" w:eastAsia="新宋体" w:cs="新宋体"/>
                <w:color w:val="auto"/>
                <w:sz w:val="22"/>
                <w:szCs w:val="22"/>
                <w:highlight w:val="none"/>
              </w:rPr>
              <w:t>。</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（1）能够同时支持采用32/64bit 的Windows操作系统，与语音识别核心软件配套使用，能够实现导入本地标准化审委会模板、审委会信息自动获取、多角色语音区分识别转文字、审委会笔录智能修正、笔录智能笔录导出/打印/同步等功能。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（2）系统架构：客户端系统要求为B/S架构，数据要求保存在法院内网上，与外网无任何数据交互。</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（3）集中采音方式：系统对审委会各方通过麦克风设备输入的语音要求采用集中式的采音设备。</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（4）系统前端语音识别处理设备需支持轻便化部署，通过在审委会中添加单一设备即可支持12路的语音信号输入，同时针对具体审委会需求可实现平滑扩展。</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（5）角色自动区分：系统要求能够自动区分出审委会各方说话人的角色，并且要求对角色称谓能够进行人工标注修改。</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（6）审委会笔录模板：系统支持导入不同类型案件的审委会笔录模板，并支持模板参数化。</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（7）辅助修改操作：针对语音识别错误的结果修改要求支持人工快速修正，为书记员提供增删改、复制粘贴、撤销等通用文档编辑功能。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（8）批量修改操作：系统支持模糊查找和批量修改，能够让书记员通过输入正确结果匹配搜索出近似音结果，无需手动定位即可实现批量修改。</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（9）快速进入：审委会客户端软件支持一键启动、一键登录等功能。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（10）大屏展示：编辑笔录时，可以切换到大屏模式，用于全屏展示。</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（11）特殊词汇：配置成特殊词汇的文字，能够在识别过程中有较高的识别率。</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（12）音频导出功能：通过页面，可按多个角色导出审委会语音音频。</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（13）提供审委会管理系统和审委会业务支撑软件软件著作权证书复印件。</w:t>
            </w:r>
          </w:p>
        </w:tc>
        <w:tc>
          <w:tcPr>
            <w:tcW w:w="67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70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CellMar>
            <w:top w:w="0" w:type="dxa"/>
            <w:left w:w="108" w:type="dxa"/>
            <w:bottom w:w="0" w:type="dxa"/>
            <w:right w:w="108" w:type="dxa"/>
          </w:tblCellMar>
        </w:tblPrEx>
        <w:tc>
          <w:tcPr>
            <w:tcW w:w="846" w:type="dxa"/>
            <w:tcBorders>
              <w:top w:val="nil"/>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7</w:t>
            </w:r>
          </w:p>
        </w:tc>
        <w:tc>
          <w:tcPr>
            <w:tcW w:w="1995" w:type="dxa"/>
            <w:tcBorders>
              <w:top w:val="nil"/>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庭审智能语音识别软件</w:t>
            </w:r>
          </w:p>
        </w:tc>
        <w:tc>
          <w:tcPr>
            <w:tcW w:w="5922" w:type="dxa"/>
            <w:tcBorders>
              <w:top w:val="nil"/>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智能庭审语音识别系统包括智能庭审语音管理系统和智能庭审语音转写系统客户端软件。</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一、智能庭审语音管理系统</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(1)大屏监控：需提供统一运行监控大屏服务，对所有法庭的语音识别的使用情况进行实时数据统计与展现。需提供大屏监控功能说明和界面截图。</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(2)管理模式：全院统一管理，需能够支持对智能庭审语音转写系统服务端资源统一管理和参数配置，能够查看各个法庭的语音识别试用明细和统计结果。</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(3)数据管理：智能语音识别管理系统能够支持部署在语音识别服务器中，实现数据集中管理，需支持各个法庭在其授权范围内随时调取庭审的语音和文字记录，并能够进行审计的功能。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(4)更新方式：需实现统一更新，并具备智能庭审语音转写系统客户端软件的自动升级的功能。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今日案件\明日案件：支持今日、明日案件归集，支持今日案件\明日案件信息以图形化方式呈现提醒等，可更直观的面向书记员展示案件信息。（为满足实际业务需求，保障功能正常可靠，需提供第三方权威检验机构（具有 CNAS 或CMA认证的检测机构）出具的检测报告复印件，检测报告中需体现此功能）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(6)并案管理(联审案件)：支持多个案件联审或合并开庭，支持书记员对多个案件合并开庭操作。（为满足实际业务需求，保障功能正常可靠，需提供第三方权威检验机构（具有 CNAS 或CMA认证的检测机构）出具的检测报告复印件，检测报告中需体现此功能）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(7)场地切换：支持书记员、法官用户可自由切换法庭，无需退出再登录；</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(8)同音词查询：需支持同音词查找、替换功能。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(9)识别编辑状态栏：需支持缩放，放大功能，支持对庭审状态的实时展现，包括庭审状态、热词情况、笔录字数、开庭时间等。（为满足实际业务需求，保障功能正常可靠，需提供第三方权威检验机构（具有 CNAS 或CMA认证的检测机构）出具的检测报告复印件，检测报告中需体现此功能）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识别音频质量解析：支持对庭审语音识别的音频质量进行解析统计，以表格形式对识别音频的音量、信噪比、截幅比、时长和识别速率等数据进行展示和解析，统计不利于语音识别的音频的占比；同时需支持通过图表方式展示异常音频占比，以便系统运维人员对法庭拾音环境及时进行调节和改善，确保语音识别拾音正常，保障识别效果。需提供功能说明和界面截图。</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二、智能庭审语音转写系统客户端软件</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由于所有语音及识别数据存储于省高院数据机房，以保障数据的集中安全。为合理利用资源，避免重复建设，本次项目庭审语音识别引擎需与省高院语音识别进行对接。需提供承诺对接函。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系统架构：客户端系统要求支持B/S架构，数据要求保存在法院本地服务器上，与外网无任何数据交互，需提供承诺函。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支持庭审模板管理功能：系统支持导入不同类型案件的庭审笔录模板，并支持模板参数化；</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支持音频通道管理可以调整每个音频通道的角色，适应不同的庭审需求；</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(5)一麦多角：支持设置修改角色别名和添加一麦多角，即多个角色使用一个麦克风讲话识别。（需提供第三方权威检验机构（具有 CNAS 或CMA认证的检测机构）出具的检测报告复印件加盖生产厂家投标专用章或公章，检测报告中需体现此功能）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(6)支持在编辑区右键后可使用添加泛热词、人名热词、地名热词、全选、清空、添加标记、段落格式等。（为满足实际业务需求，保障功能正常可靠，需提供第三方权威检验机构（具有 CNAS 或CMA认证的检测机构）出具的检测报告复印件，检测报告中需体现此功能）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支持显示每个庭审案件的基本信息，以及目前的庭审状态；</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支持开庭，休庭，复庭，闭庭等操作，休庭后可复庭继续识别，闭庭后代表案件结束，不可再继续操作，只能修正笔录；</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w:t>
            </w:r>
            <w:r>
              <w:rPr>
                <w:rFonts w:hint="eastAsia" w:ascii="新宋体" w:hAnsi="新宋体" w:eastAsia="新宋体" w:cs="新宋体"/>
                <w:color w:val="auto"/>
                <w:sz w:val="22"/>
                <w:szCs w:val="22"/>
                <w:highlight w:val="none"/>
              </w:rPr>
              <w:tab/>
            </w:r>
            <w:r>
              <w:rPr>
                <w:rFonts w:hint="eastAsia" w:ascii="新宋体" w:hAnsi="新宋体" w:eastAsia="新宋体" w:cs="新宋体"/>
                <w:color w:val="auto"/>
                <w:sz w:val="22"/>
                <w:szCs w:val="22"/>
                <w:highlight w:val="none"/>
              </w:rPr>
              <w:t>支持文本编辑功能，支持跨行合并删除功能、多行编辑功能；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(10)支持全键盘操作及鼠标右键快捷菜单，使编辑效率大幅提升；</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(11)对已删除的段落内容可以预览；</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(12)识别过程中，可以对识别形成的文字实时修改，并可高亮标记，以备后续修改。在对笔录进行订正时，每份笔录实现分段录音；</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(13)系统扩展性：系统前端语音识别处理设备需支持轻便化部署，通过在单个法庭中添加单一设备即可支持12路的语音信号输入，同时针对具体智能庭审需求可实现平滑扩展；</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(14)说话人麦克风控制：系统要求支持书记员能够在庭审过程中远程对各方说话人的麦克风设备进行操作，实现关闭或开启语音识别功能，所有操作都仅限在书记员电脑上完成；</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语音标注功能：通过调阅或上传音频文件，对音频文件进行自动切分成多个短音频，手动批量删除无效音频后，可以对切分后的短音频进行人工逐条标注，标注后的文件可适用于语音识别机器自动学习，用于提高语音识别率。（需提供第三方权威检验机构（具有 CNAS 或CMA认证的检测机构）出具的检测报告复印件并加盖生产厂家投标专用章或公章，检测报告中需体现此功能）</w:t>
            </w:r>
          </w:p>
        </w:tc>
        <w:tc>
          <w:tcPr>
            <w:tcW w:w="675"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c>
          <w:tcPr>
            <w:tcW w:w="703" w:type="dxa"/>
            <w:tcBorders>
              <w:top w:val="nil"/>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5</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8</w:t>
            </w:r>
          </w:p>
        </w:tc>
        <w:tc>
          <w:tcPr>
            <w:tcW w:w="199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智能语音助手软件</w:t>
            </w:r>
          </w:p>
        </w:tc>
        <w:tc>
          <w:tcPr>
            <w:tcW w:w="5922"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（1）智能语音助手软件：软件为C/S架构，支持32/64bit 的Windows操作系统，数据保存在内网中，与外网无任何数据交互。</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（2）语音输入法：提供桌面语音输入功能，能够将用户说话的语音自动转化文字并可快速修改。支持在使用办公软件时，直接使用智能语音助手软件，进行语音输入。</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（3）识别率优化：支持通过添加自定义热词、学习文档提高识别准确率。</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 xml:space="preserve">（4）个性化热词：对于难识别的关键词，如人名、地名等，支持按人名、地名等类型分类分别添加个性化热词针对性地提升识别准确率。 </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（5）文档学习：支持上传当前相关资料文档（格式包括doc、docx、txt等）进行学习，进行范围性的识别优化。</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（6）录音文件转写：支持将mp3、aac、wav等不同格式的长段录音文件转换为文字，支持转写内容的查看、编辑和保存，支持音频文件的在线播放。（提供功能界面截图证明）</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（7）语音唤醒/关闭：支持助手在后台运行的情况下，无需手动打开助手软件界面进行操作，即可通过语音打开软件常用功能，并支持通过语音关闭这些功能。</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（8）系统检测：有独立的系统检测界面，能够对系统的网络情况和麦克风情况进行检测，若有异常，则进行相应明显的提示。</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（9）登录和退出：提供登录界面，在登录界面支持用户自定义选择自动登录和记住密码功能。软件默认自动登录，支持快速进入软件；用户登录后，支持退出登录，可以切换其他账号登录。</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（10）在线升级：软件支持在线自动升级。</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用户工作台：提供独立的用户工作台界面，可以直观地展示本院所有用户的整体使用情况，包括当日转写字数、当日转写时长、累计转写字数、累计转写时长等数据；同时支持查看每个用户的详细使用情况。（投标时提供功能界面截图证明）</w:t>
            </w:r>
          </w:p>
        </w:tc>
        <w:tc>
          <w:tcPr>
            <w:tcW w:w="675" w:type="dxa"/>
            <w:tcBorders>
              <w:top w:val="single" w:color="auto" w:sz="4" w:space="0"/>
              <w:left w:val="nil"/>
              <w:bottom w:val="single" w:color="auto" w:sz="4" w:space="0"/>
              <w:right w:val="single" w:color="auto" w:sz="4" w:space="0"/>
            </w:tcBorders>
            <w:noWrap w:val="0"/>
            <w:vAlign w:val="center"/>
          </w:tcPr>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24</w:t>
            </w:r>
          </w:p>
        </w:tc>
        <w:tc>
          <w:tcPr>
            <w:tcW w:w="70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套</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9</w:t>
            </w:r>
          </w:p>
        </w:tc>
        <w:tc>
          <w:tcPr>
            <w:tcW w:w="199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麦克风咪杆</w:t>
            </w:r>
          </w:p>
        </w:tc>
        <w:tc>
          <w:tcPr>
            <w:tcW w:w="5922" w:type="dxa"/>
            <w:tcBorders>
              <w:top w:val="single" w:color="auto" w:sz="4" w:space="0"/>
              <w:left w:val="nil"/>
              <w:bottom w:val="single" w:color="auto" w:sz="4" w:space="0"/>
              <w:right w:val="single" w:color="auto" w:sz="4" w:space="0"/>
            </w:tcBorders>
            <w:noWrap w:val="0"/>
            <w:vAlign w:val="center"/>
          </w:tcPr>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（1）膜片类型 电容式</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（2）指向性 心型：-33.5 dBV/Pa (21.1 mV)</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（3）超心形：-33.5 dBV/Pa (21.1 mV)</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（4）全向：-27.5 dBV/Pa (42.2 mV)</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（5）频率响应 50-17000Hz</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（6）开通灵敏度 ≥1000 Hz，</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（7）阻抗 180Ω</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（8）最大声压 103dB(1KHz,THD1%)</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（9）讯噪比 ＞65dB(1KHz,1Pa)</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（10）动态范围 ≥111dB 1kHz at Max SPL</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（11）幻象供电 DC48V</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（12）重量 ≤110g</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（13）输出连接 3针XLRM连接</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（14）尺寸 直径13mm 全长460mm</w:t>
            </w:r>
          </w:p>
        </w:tc>
        <w:tc>
          <w:tcPr>
            <w:tcW w:w="675" w:type="dxa"/>
            <w:tcBorders>
              <w:top w:val="single" w:color="auto" w:sz="4" w:space="0"/>
              <w:left w:val="nil"/>
              <w:bottom w:val="single" w:color="auto" w:sz="4" w:space="0"/>
              <w:right w:val="single" w:color="auto" w:sz="4" w:space="0"/>
            </w:tcBorders>
            <w:noWrap w:val="0"/>
            <w:vAlign w:val="center"/>
          </w:tcPr>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24</w:t>
            </w:r>
          </w:p>
        </w:tc>
        <w:tc>
          <w:tcPr>
            <w:tcW w:w="70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套</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10</w:t>
            </w:r>
          </w:p>
        </w:tc>
        <w:tc>
          <w:tcPr>
            <w:tcW w:w="199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kern w:val="0"/>
                <w:sz w:val="22"/>
                <w:szCs w:val="22"/>
                <w:highlight w:val="none"/>
              </w:rPr>
              <w:t>麦克风底座</w:t>
            </w:r>
          </w:p>
        </w:tc>
        <w:tc>
          <w:tcPr>
            <w:tcW w:w="5922" w:type="dxa"/>
            <w:tcBorders>
              <w:top w:val="single" w:color="auto" w:sz="4" w:space="0"/>
              <w:left w:val="nil"/>
              <w:bottom w:val="single" w:color="auto" w:sz="4" w:space="0"/>
              <w:right w:val="single" w:color="auto" w:sz="4" w:space="0"/>
            </w:tcBorders>
            <w:noWrap w:val="0"/>
            <w:vAlign w:val="center"/>
          </w:tcPr>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（1）PoE供电</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（2）软按键式的用户开关，避免开关咪时的机械声</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（3）整个可扩展性的Dante系统，具有512双向音频通道</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（4）支持网线连接到交换机中</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（5）多种开关模式可供选择，多种增益可选，并具有低切开关</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（6）配以3针XLRF卡农母头插座，适合任何XLRM卡农公头输出的鹅颈话筒快速安装</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（7）以压模铸造的坚固外壳及话筒座底部的防滑矽泡棉，可减低桌面震动对话筒的影响</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（8）功能参数：</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1）频率响应 20—20kHz</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2）高通滤波 80Hz，18dB/octave</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3）阻抗 1.4 kΩ</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4）最大输入声压级 -10dBu @ +30dB gain</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5）-20dBu @ +40dB gain</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6）-30dBu @ +50dB gain</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7）信噪比 65dB,1Kz @ 1Pa</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8）电源 PoE IEE802.3af standard</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9）输出连接口 RJ45</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10）尺寸 139*98*34mm</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11）重量 800g</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12）颜色 黑色</w:t>
            </w:r>
          </w:p>
        </w:tc>
        <w:tc>
          <w:tcPr>
            <w:tcW w:w="675" w:type="dxa"/>
            <w:tcBorders>
              <w:top w:val="single" w:color="auto" w:sz="4" w:space="0"/>
              <w:left w:val="nil"/>
              <w:bottom w:val="single" w:color="auto" w:sz="4" w:space="0"/>
              <w:right w:val="single" w:color="auto" w:sz="4" w:space="0"/>
            </w:tcBorders>
            <w:noWrap w:val="0"/>
            <w:vAlign w:val="center"/>
          </w:tcPr>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24</w:t>
            </w:r>
          </w:p>
        </w:tc>
        <w:tc>
          <w:tcPr>
            <w:tcW w:w="70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套</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11</w:t>
            </w:r>
          </w:p>
        </w:tc>
        <w:tc>
          <w:tcPr>
            <w:tcW w:w="199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审委会</w:t>
            </w:r>
            <w:r>
              <w:rPr>
                <w:rFonts w:hint="eastAsia" w:ascii="新宋体" w:hAnsi="新宋体" w:eastAsia="新宋体" w:cs="新宋体"/>
                <w:bCs/>
                <w:color w:val="auto"/>
                <w:kern w:val="0"/>
                <w:sz w:val="22"/>
                <w:szCs w:val="22"/>
                <w:highlight w:val="none"/>
              </w:rPr>
              <w:t>数字调音台</w:t>
            </w:r>
          </w:p>
        </w:tc>
        <w:tc>
          <w:tcPr>
            <w:tcW w:w="5922" w:type="dxa"/>
            <w:tcBorders>
              <w:top w:val="single" w:color="auto" w:sz="4" w:space="0"/>
              <w:left w:val="nil"/>
              <w:bottom w:val="single" w:color="auto" w:sz="4" w:space="0"/>
              <w:right w:val="single" w:color="auto" w:sz="4" w:space="0"/>
            </w:tcBorders>
            <w:noWrap w:val="0"/>
            <w:vAlign w:val="center"/>
          </w:tcPr>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（1）处理芯片：Ti 450MHz FLOPS DSP处理内核；</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（2）量化位数：24bit； 采样率:48K</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（3）频率响应：20~20KHz</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（4）工作温度：0-45℃；</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（5）工作电源：AC110V-220V,50Hz/60Hz；</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（6）机箱尺寸：463.8*260*44.5（mm）；</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（7）电源功耗：&lt;65W；</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（8）运输重量：2.6Kg</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（9）尺寸(宽x深x高)：442*250*440(mm)</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（10）模拟输入至模拟输出系统延时:&lt;2.5ms</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（11）延时存储：2S</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（12）网络支持：100M和1000M</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（13）最小网络传输延时：250us</w:t>
            </w:r>
          </w:p>
          <w:p>
            <w:pPr>
              <w:pStyle w:val="244"/>
              <w:spacing w:before="2" w:line="460" w:lineRule="exact"/>
              <w:rPr>
                <w:rFonts w:hint="eastAsia" w:ascii="新宋体" w:hAnsi="新宋体" w:eastAsia="新宋体" w:cs="新宋体"/>
                <w:color w:val="auto"/>
                <w:highlight w:val="none"/>
              </w:rPr>
            </w:pPr>
            <w:r>
              <w:rPr>
                <w:rFonts w:hint="eastAsia" w:ascii="新宋体" w:hAnsi="新宋体" w:eastAsia="新宋体" w:cs="新宋体"/>
                <w:color w:val="auto"/>
                <w:highlight w:val="none"/>
              </w:rPr>
              <w:t>（14）输入：64路dante</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（15）输出：64路dante</w:t>
            </w:r>
          </w:p>
        </w:tc>
        <w:tc>
          <w:tcPr>
            <w:tcW w:w="675" w:type="dxa"/>
            <w:tcBorders>
              <w:top w:val="single" w:color="auto" w:sz="4" w:space="0"/>
              <w:left w:val="nil"/>
              <w:bottom w:val="single" w:color="auto" w:sz="4" w:space="0"/>
              <w:right w:val="single" w:color="auto" w:sz="4" w:space="0"/>
            </w:tcBorders>
            <w:noWrap w:val="0"/>
            <w:vAlign w:val="center"/>
          </w:tcPr>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套</w:t>
            </w:r>
          </w:p>
        </w:tc>
        <w:tc>
          <w:tcPr>
            <w:tcW w:w="70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 xml:space="preserve"> </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12</w:t>
            </w:r>
          </w:p>
        </w:tc>
        <w:tc>
          <w:tcPr>
            <w:tcW w:w="199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庭审</w:t>
            </w:r>
            <w:r>
              <w:rPr>
                <w:rFonts w:hint="eastAsia" w:ascii="新宋体" w:hAnsi="新宋体" w:eastAsia="新宋体" w:cs="新宋体"/>
                <w:bCs/>
                <w:color w:val="auto"/>
                <w:kern w:val="0"/>
                <w:sz w:val="22"/>
                <w:szCs w:val="22"/>
                <w:highlight w:val="none"/>
              </w:rPr>
              <w:t>数字调音台</w:t>
            </w:r>
          </w:p>
        </w:tc>
        <w:tc>
          <w:tcPr>
            <w:tcW w:w="5922" w:type="dxa"/>
            <w:tcBorders>
              <w:top w:val="single" w:color="auto" w:sz="4" w:space="0"/>
              <w:left w:val="nil"/>
              <w:bottom w:val="single" w:color="auto" w:sz="4" w:space="0"/>
              <w:right w:val="single" w:color="auto" w:sz="4" w:space="0"/>
            </w:tcBorders>
            <w:noWrap w:val="0"/>
            <w:vAlign w:val="center"/>
          </w:tcPr>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w:t>
            </w:r>
            <w:r>
              <w:rPr>
                <w:rFonts w:hint="eastAsia" w:ascii="新宋体" w:hAnsi="新宋体" w:eastAsia="新宋体" w:cs="新宋体"/>
                <w:color w:val="auto"/>
                <w:highlight w:val="none"/>
                <w:lang w:eastAsia="zh-CN"/>
              </w:rPr>
              <w:tab/>
            </w:r>
            <w:r>
              <w:rPr>
                <w:rFonts w:hint="eastAsia" w:ascii="新宋体" w:hAnsi="新宋体" w:eastAsia="新宋体" w:cs="新宋体"/>
                <w:color w:val="auto"/>
                <w:highlight w:val="none"/>
                <w:lang w:eastAsia="zh-CN"/>
              </w:rPr>
              <w:t>模拟通道数≥12 进 12 出，采用专业通用凤凰端子接口，数字音频通道数≥12 进12 出，支持断电自动保护记忆。</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(2)需带音频分配器功能，可将12路输入信号单独输出，并可单独调节增益，需提供设备照片或设备彩页进行佐证。</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(3)需支持通过电脑软件控制调试设备输入增益等参数，支持调试参数保存，前面板不允许有任何物理按钮和旋钮，有效防止现场人为有意或误操作，需提供设备说明及设备照片。</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(4)</w:t>
            </w:r>
            <w:r>
              <w:rPr>
                <w:rFonts w:hint="eastAsia" w:ascii="新宋体" w:hAnsi="新宋体" w:eastAsia="新宋体" w:cs="新宋体"/>
                <w:color w:val="auto"/>
                <w:highlight w:val="none"/>
                <w:lang w:eastAsia="zh-CN"/>
              </w:rPr>
              <w:tab/>
            </w:r>
            <w:r>
              <w:rPr>
                <w:rFonts w:hint="eastAsia" w:ascii="新宋体" w:hAnsi="新宋体" w:eastAsia="新宋体" w:cs="新宋体"/>
                <w:color w:val="auto"/>
                <w:highlight w:val="none"/>
                <w:lang w:eastAsia="zh-CN"/>
              </w:rPr>
              <w:t>需支持一主一备双网络传输接口设计，传输更可靠稳定。</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(5)</w:t>
            </w:r>
            <w:r>
              <w:rPr>
                <w:rFonts w:hint="eastAsia" w:ascii="新宋体" w:hAnsi="新宋体" w:eastAsia="新宋体" w:cs="新宋体"/>
                <w:color w:val="auto"/>
                <w:highlight w:val="none"/>
                <w:lang w:eastAsia="zh-CN"/>
              </w:rPr>
              <w:tab/>
            </w:r>
            <w:r>
              <w:rPr>
                <w:rFonts w:hint="eastAsia" w:ascii="新宋体" w:hAnsi="新宋体" w:eastAsia="新宋体" w:cs="新宋体"/>
                <w:color w:val="auto"/>
                <w:highlight w:val="none"/>
                <w:lang w:eastAsia="zh-CN"/>
              </w:rPr>
              <w:t>频响范围宽于或等于：20Hz to 20kHz（+/-0.1db）。</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(6)</w:t>
            </w:r>
            <w:r>
              <w:rPr>
                <w:rFonts w:hint="eastAsia" w:ascii="新宋体" w:hAnsi="新宋体" w:eastAsia="新宋体" w:cs="新宋体"/>
                <w:color w:val="auto"/>
                <w:highlight w:val="none"/>
                <w:lang w:eastAsia="zh-CN"/>
              </w:rPr>
              <w:tab/>
            </w:r>
            <w:r>
              <w:rPr>
                <w:rFonts w:hint="eastAsia" w:ascii="新宋体" w:hAnsi="新宋体" w:eastAsia="新宋体" w:cs="新宋体"/>
                <w:color w:val="auto"/>
                <w:highlight w:val="none"/>
                <w:lang w:eastAsia="zh-CN"/>
              </w:rPr>
              <w:t>输入模/数动态范围(A计权)：≥115dB。</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(7)</w:t>
            </w:r>
            <w:r>
              <w:rPr>
                <w:rFonts w:hint="eastAsia" w:ascii="新宋体" w:hAnsi="新宋体" w:eastAsia="新宋体" w:cs="新宋体"/>
                <w:color w:val="auto"/>
                <w:highlight w:val="none"/>
                <w:lang w:eastAsia="zh-CN"/>
              </w:rPr>
              <w:tab/>
            </w:r>
            <w:r>
              <w:rPr>
                <w:rFonts w:hint="eastAsia" w:ascii="新宋体" w:hAnsi="新宋体" w:eastAsia="新宋体" w:cs="新宋体"/>
                <w:color w:val="auto"/>
                <w:highlight w:val="none"/>
                <w:lang w:eastAsia="zh-CN"/>
              </w:rPr>
              <w:t>输入数/模动态范围(A计权)：≥120dB。</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(8)</w:t>
            </w:r>
            <w:r>
              <w:rPr>
                <w:rFonts w:hint="eastAsia" w:ascii="新宋体" w:hAnsi="新宋体" w:eastAsia="新宋体" w:cs="新宋体"/>
                <w:color w:val="auto"/>
                <w:highlight w:val="none"/>
                <w:lang w:eastAsia="zh-CN"/>
              </w:rPr>
              <w:tab/>
            </w:r>
            <w:r>
              <w:rPr>
                <w:rFonts w:hint="eastAsia" w:ascii="新宋体" w:hAnsi="新宋体" w:eastAsia="新宋体" w:cs="新宋体"/>
                <w:color w:val="auto"/>
                <w:highlight w:val="none"/>
                <w:lang w:eastAsia="zh-CN"/>
              </w:rPr>
              <w:t>输出模/数动态范围(A计权)：≥115dB。</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(9)</w:t>
            </w:r>
            <w:r>
              <w:rPr>
                <w:rFonts w:hint="eastAsia" w:ascii="新宋体" w:hAnsi="新宋体" w:eastAsia="新宋体" w:cs="新宋体"/>
                <w:color w:val="auto"/>
                <w:highlight w:val="none"/>
                <w:lang w:eastAsia="zh-CN"/>
              </w:rPr>
              <w:tab/>
            </w:r>
            <w:r>
              <w:rPr>
                <w:rFonts w:hint="eastAsia" w:ascii="新宋体" w:hAnsi="新宋体" w:eastAsia="新宋体" w:cs="新宋体"/>
                <w:color w:val="auto"/>
                <w:highlight w:val="none"/>
                <w:lang w:eastAsia="zh-CN"/>
              </w:rPr>
              <w:t>输出数/模动态范围(A计权)：≥120dB。</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(10)支持标准机柜机架安装，厚度小于等于1U。</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(11)总谐波失真＜0.002% @1KHZ。</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(12)采样率：≥48K</w:t>
            </w:r>
          </w:p>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（13）每路模拟输入通道支持48V幻象电源，并可单独控制，需提供软件控制截图。</w:t>
            </w:r>
          </w:p>
        </w:tc>
        <w:tc>
          <w:tcPr>
            <w:tcW w:w="67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套</w:t>
            </w:r>
          </w:p>
        </w:tc>
        <w:tc>
          <w:tcPr>
            <w:tcW w:w="70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w:t>
            </w:r>
          </w:p>
        </w:tc>
      </w:tr>
      <w:tr>
        <w:tblPrEx>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13</w:t>
            </w:r>
          </w:p>
        </w:tc>
        <w:tc>
          <w:tcPr>
            <w:tcW w:w="1995" w:type="dxa"/>
            <w:tcBorders>
              <w:top w:val="single" w:color="auto" w:sz="4" w:space="0"/>
              <w:left w:val="nil"/>
              <w:bottom w:val="single" w:color="auto" w:sz="4" w:space="0"/>
              <w:right w:val="single" w:color="auto" w:sz="4" w:space="0"/>
            </w:tcBorders>
            <w:noWrap w:val="0"/>
            <w:vAlign w:val="center"/>
          </w:tcPr>
          <w:p>
            <w:pPr>
              <w:spacing w:line="460" w:lineRule="exact"/>
              <w:ind w:firstLine="440" w:firstLineChars="200"/>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个人麦克风</w:t>
            </w:r>
          </w:p>
        </w:tc>
        <w:tc>
          <w:tcPr>
            <w:tcW w:w="5922" w:type="dxa"/>
            <w:tcBorders>
              <w:top w:val="single" w:color="auto" w:sz="4" w:space="0"/>
              <w:left w:val="nil"/>
              <w:bottom w:val="single" w:color="auto" w:sz="4" w:space="0"/>
              <w:right w:val="single" w:color="auto" w:sz="4" w:space="0"/>
            </w:tcBorders>
            <w:noWrap w:val="0"/>
            <w:vAlign w:val="center"/>
          </w:tcPr>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（1）话筒类型：桌面式摆放鹅颈麦克风</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（2）指向特性：单指向</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（3）膜片类型：电容式</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（4）频率响应：30HZ-18KHZ</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（5）麦克风采样率：18bit 48KHZ</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（6）灵敏度：-40dB（±2 dB）</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（7）信噪比：＞85dB</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（8）动态范围：90dB</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（9）接口类型：USB</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（10）供电电源电压：USB直流DC 5V</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（11）电流：40MA</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（12）功率：2W</w:t>
            </w:r>
          </w:p>
          <w:p>
            <w:pPr>
              <w:pStyle w:val="244"/>
              <w:spacing w:before="2" w:line="460" w:lineRule="exact"/>
              <w:rPr>
                <w:rFonts w:hint="eastAsia" w:ascii="新宋体" w:hAnsi="新宋体" w:eastAsia="新宋体" w:cs="新宋体"/>
                <w:color w:val="auto"/>
                <w:highlight w:val="none"/>
                <w:lang w:eastAsia="zh-CN"/>
              </w:rPr>
            </w:pPr>
            <w:r>
              <w:rPr>
                <w:rFonts w:hint="eastAsia" w:ascii="新宋体" w:hAnsi="新宋体" w:eastAsia="新宋体" w:cs="新宋体"/>
                <w:color w:val="auto"/>
                <w:highlight w:val="none"/>
                <w:lang w:eastAsia="zh-CN"/>
              </w:rPr>
              <w:t>（13）功能：话筒即插即用，带静音按键，超强背景噪音消除技术</w:t>
            </w:r>
          </w:p>
          <w:p>
            <w:pPr>
              <w:spacing w:line="460" w:lineRule="exact"/>
              <w:ind w:firstLine="440" w:firstLineChars="200"/>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（14）兼容操作系统：Microsoft windows 2000/xp/vista/win7</w:t>
            </w:r>
          </w:p>
        </w:tc>
        <w:tc>
          <w:tcPr>
            <w:tcW w:w="675" w:type="dxa"/>
            <w:tcBorders>
              <w:top w:val="single" w:color="auto" w:sz="4" w:space="0"/>
              <w:left w:val="nil"/>
              <w:bottom w:val="single" w:color="auto" w:sz="4" w:space="0"/>
              <w:right w:val="single" w:color="auto" w:sz="4" w:space="0"/>
            </w:tcBorders>
            <w:noWrap w:val="0"/>
            <w:vAlign w:val="center"/>
          </w:tcPr>
          <w:p>
            <w:pPr>
              <w:spacing w:line="460" w:lineRule="exact"/>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支</w:t>
            </w:r>
          </w:p>
        </w:tc>
        <w:tc>
          <w:tcPr>
            <w:tcW w:w="703" w:type="dxa"/>
            <w:tcBorders>
              <w:top w:val="single" w:color="auto" w:sz="4" w:space="0"/>
              <w:left w:val="nil"/>
              <w:bottom w:val="single" w:color="auto" w:sz="4" w:space="0"/>
              <w:right w:val="single" w:color="auto" w:sz="4" w:space="0"/>
            </w:tcBorders>
            <w:noWrap w:val="0"/>
            <w:vAlign w:val="center"/>
          </w:tcPr>
          <w:p>
            <w:pPr>
              <w:widowControl/>
              <w:spacing w:line="460" w:lineRule="exact"/>
              <w:jc w:val="center"/>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20</w:t>
            </w:r>
          </w:p>
        </w:tc>
      </w:tr>
    </w:tbl>
    <w:p>
      <w:pPr>
        <w:rPr>
          <w:rFonts w:hAnsi="Arial" w:cs="Arial"/>
          <w:color w:val="auto"/>
          <w:kern w:val="0"/>
          <w:sz w:val="24"/>
          <w:highlight w:val="none"/>
        </w:rPr>
      </w:pPr>
    </w:p>
    <w:p>
      <w:pPr>
        <w:rPr>
          <w:rFonts w:hAnsi="Arial" w:cs="Arial"/>
          <w:b/>
          <w:bCs/>
          <w:color w:val="auto"/>
          <w:kern w:val="0"/>
          <w:sz w:val="24"/>
          <w:highlight w:val="none"/>
          <w:u w:val="single"/>
        </w:rPr>
      </w:pPr>
      <w:r>
        <w:rPr>
          <w:rFonts w:hint="eastAsia" w:hAnsi="Arial" w:cs="Arial"/>
          <w:b/>
          <w:bCs/>
          <w:color w:val="auto"/>
          <w:kern w:val="0"/>
          <w:sz w:val="24"/>
          <w:highlight w:val="none"/>
          <w:u w:val="single"/>
        </w:rPr>
        <w:t>注：招标内容如与项目系统采购清单一致的，以项目系统采购清单为准。</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八、项目实施要求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1、</w:t>
      </w:r>
      <w:r>
        <w:rPr>
          <w:rFonts w:hint="eastAsia" w:ascii="新宋体" w:hAnsi="新宋体" w:eastAsia="新宋体" w:cs="新宋体"/>
          <w:bCs/>
          <w:color w:val="auto"/>
          <w:sz w:val="22"/>
          <w:szCs w:val="22"/>
          <w:highlight w:val="none"/>
        </w:rPr>
        <w:t>项目</w:t>
      </w:r>
      <w:r>
        <w:rPr>
          <w:rFonts w:hint="eastAsia" w:ascii="新宋体" w:hAnsi="新宋体" w:eastAsia="新宋体" w:cs="新宋体"/>
          <w:bCs/>
          <w:color w:val="auto"/>
          <w:sz w:val="22"/>
          <w:szCs w:val="22"/>
          <w:highlight w:val="none"/>
          <w:lang w:val="zh-CN"/>
        </w:rPr>
        <w:t>建设工期为</w:t>
      </w:r>
      <w:r>
        <w:rPr>
          <w:rFonts w:hint="eastAsia" w:ascii="新宋体" w:hAnsi="新宋体" w:eastAsia="新宋体" w:cs="新宋体"/>
          <w:bCs/>
          <w:color w:val="auto"/>
          <w:sz w:val="22"/>
          <w:szCs w:val="22"/>
          <w:highlight w:val="none"/>
          <w:u w:val="single"/>
        </w:rPr>
        <w:t xml:space="preserve"> 4  </w:t>
      </w:r>
      <w:r>
        <w:rPr>
          <w:rFonts w:hint="eastAsia" w:ascii="新宋体" w:hAnsi="新宋体" w:eastAsia="新宋体" w:cs="新宋体"/>
          <w:bCs/>
          <w:color w:val="auto"/>
          <w:sz w:val="22"/>
          <w:szCs w:val="22"/>
          <w:highlight w:val="none"/>
          <w:lang w:val="zh-CN"/>
        </w:rPr>
        <w:t>个月，试运行</w:t>
      </w:r>
      <w:r>
        <w:rPr>
          <w:rFonts w:hint="eastAsia" w:ascii="新宋体" w:hAnsi="新宋体" w:eastAsia="新宋体" w:cs="新宋体"/>
          <w:bCs/>
          <w:color w:val="auto"/>
          <w:sz w:val="22"/>
          <w:szCs w:val="22"/>
          <w:highlight w:val="none"/>
        </w:rPr>
        <w:t>至少</w:t>
      </w:r>
      <w:r>
        <w:rPr>
          <w:rFonts w:hint="eastAsia" w:ascii="新宋体" w:hAnsi="新宋体" w:eastAsia="新宋体" w:cs="新宋体"/>
          <w:bCs/>
          <w:color w:val="auto"/>
          <w:sz w:val="22"/>
          <w:szCs w:val="22"/>
          <w:highlight w:val="none"/>
          <w:u w:val="single"/>
        </w:rPr>
        <w:t xml:space="preserve"> 3  </w:t>
      </w:r>
      <w:r>
        <w:rPr>
          <w:rFonts w:hint="eastAsia" w:ascii="新宋体" w:hAnsi="新宋体" w:eastAsia="新宋体" w:cs="新宋体"/>
          <w:bCs/>
          <w:color w:val="auto"/>
          <w:sz w:val="22"/>
          <w:szCs w:val="22"/>
          <w:highlight w:val="none"/>
          <w:lang w:val="zh-CN"/>
        </w:rPr>
        <w:t>个月。</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详细实施进度要求如下：</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（1）合同签订后</w:t>
      </w:r>
      <w:r>
        <w:rPr>
          <w:rFonts w:hint="eastAsia" w:ascii="新宋体" w:hAnsi="新宋体" w:eastAsia="新宋体" w:cs="新宋体"/>
          <w:bCs/>
          <w:color w:val="auto"/>
          <w:sz w:val="22"/>
          <w:szCs w:val="22"/>
          <w:highlight w:val="none"/>
          <w:u w:val="single"/>
        </w:rPr>
        <w:t xml:space="preserve">  </w:t>
      </w:r>
      <w:r>
        <w:rPr>
          <w:rFonts w:hint="eastAsia" w:ascii="新宋体" w:hAnsi="新宋体" w:eastAsia="新宋体" w:cs="新宋体"/>
          <w:bCs/>
          <w:color w:val="auto"/>
          <w:sz w:val="22"/>
          <w:szCs w:val="22"/>
          <w:highlight w:val="none"/>
          <w:u w:val="single"/>
          <w:lang w:val="en-US" w:eastAsia="zh-CN"/>
        </w:rPr>
        <w:t>4</w:t>
      </w:r>
      <w:r>
        <w:rPr>
          <w:rFonts w:hint="eastAsia" w:ascii="新宋体" w:hAnsi="新宋体" w:eastAsia="新宋体" w:cs="新宋体"/>
          <w:bCs/>
          <w:color w:val="auto"/>
          <w:sz w:val="22"/>
          <w:szCs w:val="22"/>
          <w:highlight w:val="none"/>
          <w:lang w:val="zh-CN"/>
        </w:rPr>
        <w:t>个月内完成项目需求分析、概要设计、详细设计，细化系统建设计划和测试验收方案，完成项目开发、编码，测试，实现系统全部功能，完成调试、集成等，通过初步验收，进入试运行。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（2）</w:t>
      </w:r>
      <w:r>
        <w:rPr>
          <w:rFonts w:hint="eastAsia" w:ascii="新宋体" w:hAnsi="新宋体" w:eastAsia="新宋体" w:cs="新宋体"/>
          <w:bCs/>
          <w:color w:val="auto"/>
          <w:sz w:val="22"/>
          <w:szCs w:val="22"/>
          <w:highlight w:val="none"/>
        </w:rPr>
        <w:t>系统试运行期间</w:t>
      </w:r>
      <w:r>
        <w:rPr>
          <w:rFonts w:hint="eastAsia" w:ascii="新宋体" w:hAnsi="新宋体" w:eastAsia="新宋体" w:cs="新宋体"/>
          <w:bCs/>
          <w:color w:val="auto"/>
          <w:sz w:val="22"/>
          <w:szCs w:val="22"/>
          <w:highlight w:val="none"/>
          <w:lang w:val="zh-CN"/>
        </w:rPr>
        <w:t>完成培训，系统修改完善后正常、稳定运行，完成终验。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 xml:space="preserve"> 2、实施地点：</w:t>
      </w:r>
      <w:r>
        <w:rPr>
          <w:rFonts w:hint="eastAsia" w:ascii="新宋体" w:hAnsi="新宋体" w:eastAsia="新宋体" w:cs="新宋体"/>
          <w:bCs/>
          <w:color w:val="auto"/>
          <w:sz w:val="22"/>
          <w:szCs w:val="22"/>
          <w:highlight w:val="none"/>
        </w:rPr>
        <w:t>招标人</w:t>
      </w:r>
      <w:r>
        <w:rPr>
          <w:rFonts w:hint="eastAsia" w:ascii="新宋体" w:hAnsi="新宋体" w:eastAsia="新宋体" w:cs="新宋体"/>
          <w:bCs/>
          <w:color w:val="auto"/>
          <w:sz w:val="22"/>
          <w:szCs w:val="22"/>
          <w:highlight w:val="none"/>
          <w:lang w:val="zh-CN"/>
        </w:rPr>
        <w:t>指定地点。</w:t>
      </w:r>
    </w:p>
    <w:p>
      <w:pPr>
        <w:pStyle w:val="2"/>
        <w:rPr>
          <w:rFonts w:hint="eastAsia" w:ascii="新宋体" w:hAnsi="新宋体" w:eastAsia="新宋体" w:cs="新宋体"/>
          <w:b/>
          <w:color w:val="auto"/>
          <w:kern w:val="0"/>
          <w:sz w:val="22"/>
          <w:szCs w:val="22"/>
          <w:highlight w:val="none"/>
        </w:rPr>
      </w:pPr>
      <w:r>
        <w:rPr>
          <w:rFonts w:hint="eastAsia" w:ascii="新宋体" w:hAnsi="新宋体" w:eastAsia="新宋体" w:cs="新宋体"/>
          <w:bCs/>
          <w:color w:val="auto"/>
          <w:sz w:val="22"/>
          <w:szCs w:val="22"/>
          <w:highlight w:val="none"/>
        </w:rPr>
        <w:t xml:space="preserve">     </w:t>
      </w:r>
      <w:r>
        <w:rPr>
          <w:rFonts w:hint="eastAsia" w:ascii="新宋体" w:hAnsi="新宋体" w:eastAsia="新宋体" w:cs="新宋体"/>
          <w:b/>
          <w:color w:val="auto"/>
          <w:kern w:val="0"/>
          <w:sz w:val="22"/>
          <w:szCs w:val="22"/>
          <w:highlight w:val="none"/>
        </w:rPr>
        <w:t>3、项目实施期间及验收后提供三人一年驻场运维</w:t>
      </w:r>
    </w:p>
    <w:p>
      <w:pPr>
        <w:pStyle w:val="18"/>
        <w:rPr>
          <w:color w:val="auto"/>
          <w:highlight w:val="none"/>
        </w:rPr>
      </w:pPr>
      <w:r>
        <w:rPr>
          <w:rStyle w:val="59"/>
          <w:rFonts w:hint="eastAsia"/>
          <w:color w:val="auto"/>
          <w:highlight w:val="none"/>
        </w:rPr>
        <w:t xml:space="preserve">     </w:t>
      </w:r>
      <w:r>
        <w:rPr>
          <w:rFonts w:hint="eastAsia" w:ascii="新宋体" w:hAnsi="新宋体" w:eastAsia="新宋体" w:cs="新宋体"/>
          <w:b/>
          <w:color w:val="auto"/>
          <w:kern w:val="0"/>
          <w:sz w:val="22"/>
          <w:szCs w:val="22"/>
          <w:highlight w:val="none"/>
        </w:rPr>
        <w:t>4、项目开发及驻场运维期间，投标人必须满足投标人提出合理的功能性需求、性能需求、整改意见、变更要求、数据修正等。</w:t>
      </w:r>
    </w:p>
    <w:p>
      <w:pPr>
        <w:spacing w:line="460" w:lineRule="exact"/>
        <w:ind w:firstLine="541" w:firstLineChars="245"/>
        <w:outlineLvl w:val="1"/>
        <w:rPr>
          <w:rFonts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九、质量保证</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1、投标人须保证所提供产品符合国家有关规定。投标人须保证所提供产品具有合法的版权或使用权，本项目采购的产品，如在本项目范围内使用过程中出现版权或使用权纠纷，应由投标人负责，招标人不承担责任。</w:t>
      </w:r>
    </w:p>
    <w:p>
      <w:pPr>
        <w:pStyle w:val="18"/>
        <w:spacing w:line="460" w:lineRule="exact"/>
        <w:ind w:firstLine="440" w:firstLineChars="200"/>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2、</w:t>
      </w:r>
      <w:r>
        <w:rPr>
          <w:rFonts w:hint="eastAsia" w:ascii="新宋体" w:hAnsi="新宋体" w:eastAsia="新宋体" w:cs="新宋体"/>
          <w:bCs/>
          <w:color w:val="auto"/>
          <w:sz w:val="22"/>
          <w:szCs w:val="22"/>
          <w:highlight w:val="none"/>
          <w:lang w:val="zh-CN"/>
        </w:rPr>
        <w:t>投标人应确保其技术建议以及所提供的</w:t>
      </w:r>
      <w:r>
        <w:rPr>
          <w:rFonts w:hint="eastAsia" w:ascii="新宋体" w:hAnsi="新宋体" w:eastAsia="新宋体" w:cs="新宋体"/>
          <w:b/>
          <w:bCs/>
          <w:color w:val="auto"/>
          <w:sz w:val="22"/>
          <w:szCs w:val="22"/>
          <w:highlight w:val="none"/>
          <w:lang w:val="zh-CN"/>
        </w:rPr>
        <w:t>产品</w:t>
      </w:r>
      <w:r>
        <w:rPr>
          <w:rFonts w:hint="eastAsia" w:ascii="新宋体" w:hAnsi="新宋体" w:eastAsia="新宋体" w:cs="新宋体"/>
          <w:bCs/>
          <w:color w:val="auto"/>
          <w:sz w:val="22"/>
          <w:szCs w:val="22"/>
          <w:highlight w:val="none"/>
          <w:lang w:val="zh-CN"/>
        </w:rPr>
        <w:t>的完整性、实用性，保证全部系统及时投入正常运行。否则若出现因投标人提供的产品不满足要求、不合理，或者其所提供的</w:t>
      </w:r>
      <w:r>
        <w:rPr>
          <w:rFonts w:hint="eastAsia" w:ascii="新宋体" w:hAnsi="新宋体" w:eastAsia="新宋体" w:cs="新宋体"/>
          <w:b/>
          <w:bCs/>
          <w:color w:val="auto"/>
          <w:sz w:val="22"/>
          <w:szCs w:val="22"/>
          <w:highlight w:val="none"/>
          <w:lang w:val="zh-CN"/>
        </w:rPr>
        <w:t>技术支持和服务</w:t>
      </w:r>
      <w:r>
        <w:rPr>
          <w:rFonts w:hint="eastAsia" w:ascii="新宋体" w:hAnsi="新宋体" w:eastAsia="新宋体" w:cs="新宋体"/>
          <w:bCs/>
          <w:color w:val="auto"/>
          <w:sz w:val="22"/>
          <w:szCs w:val="22"/>
          <w:highlight w:val="none"/>
          <w:lang w:val="zh-CN"/>
        </w:rPr>
        <w:t>不全面，而导致系统无法实现或不能完全实现的状况，投标人负全部责任。</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3、</w:t>
      </w:r>
      <w:r>
        <w:rPr>
          <w:rFonts w:hint="eastAsia" w:ascii="新宋体" w:hAnsi="新宋体" w:eastAsia="新宋体" w:cs="新宋体"/>
          <w:bCs/>
          <w:color w:val="auto"/>
          <w:sz w:val="22"/>
          <w:szCs w:val="22"/>
          <w:highlight w:val="none"/>
          <w:lang w:val="zh-CN"/>
        </w:rPr>
        <w:t>如招标文件中遗漏了必须具备的设备、配件或服务，请投标人在投标文件中指出，并提出解决方案供招标人参考；中标人有义务保证招标人系统的完整性。</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4、</w:t>
      </w:r>
      <w:r>
        <w:rPr>
          <w:rFonts w:hint="eastAsia" w:ascii="新宋体" w:hAnsi="新宋体" w:eastAsia="新宋体" w:cs="新宋体"/>
          <w:bCs/>
          <w:color w:val="auto"/>
          <w:sz w:val="22"/>
          <w:szCs w:val="22"/>
          <w:highlight w:val="none"/>
          <w:lang w:val="zh-CN"/>
        </w:rPr>
        <w:t>采购需求在开发期和试运行期内，仍有可能不断完善，投标人须承诺在采购需求或政策法规范围内，随着采购需求的变动随时做出响应，修改应用软件。</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5</w:t>
      </w:r>
      <w:r>
        <w:rPr>
          <w:rFonts w:hint="eastAsia" w:ascii="新宋体" w:hAnsi="新宋体" w:eastAsia="新宋体" w:cs="新宋体"/>
          <w:bCs/>
          <w:color w:val="auto"/>
          <w:sz w:val="22"/>
          <w:szCs w:val="22"/>
          <w:highlight w:val="none"/>
          <w:lang w:val="zh-CN"/>
        </w:rPr>
        <w:t>、投标人必须保证解决项目所涉及的技术问题，如因技术原因无法满足招标人需求，由此产生的风险由投标人承担。</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6</w:t>
      </w: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rPr>
        <w:t>投标人</w:t>
      </w:r>
      <w:r>
        <w:rPr>
          <w:rFonts w:hint="eastAsia" w:ascii="新宋体" w:hAnsi="新宋体" w:eastAsia="新宋体" w:cs="新宋体"/>
          <w:bCs/>
          <w:color w:val="auto"/>
          <w:sz w:val="22"/>
          <w:szCs w:val="22"/>
          <w:highlight w:val="none"/>
          <w:lang w:val="zh-CN"/>
        </w:rPr>
        <w:t>须提供至少</w:t>
      </w:r>
      <w:r>
        <w:rPr>
          <w:rFonts w:hint="eastAsia" w:ascii="新宋体" w:hAnsi="新宋体" w:eastAsia="新宋体" w:cs="新宋体"/>
          <w:bCs/>
          <w:color w:val="auto"/>
          <w:sz w:val="22"/>
          <w:szCs w:val="22"/>
          <w:highlight w:val="none"/>
          <w:u w:val="single"/>
        </w:rPr>
        <w:t xml:space="preserve"> 三   </w:t>
      </w:r>
      <w:r>
        <w:rPr>
          <w:rFonts w:hint="eastAsia" w:ascii="新宋体" w:hAnsi="新宋体" w:eastAsia="新宋体" w:cs="新宋体"/>
          <w:bCs/>
          <w:color w:val="auto"/>
          <w:sz w:val="22"/>
          <w:szCs w:val="22"/>
          <w:highlight w:val="none"/>
          <w:lang w:val="zh-CN"/>
        </w:rPr>
        <w:t>年的免费维护期，投标人在维护期内，如遇软件产品升级、改版，应免费提供更新、升级服务。</w:t>
      </w:r>
    </w:p>
    <w:p>
      <w:pPr>
        <w:keepNext w:val="0"/>
        <w:keepLines w:val="0"/>
        <w:pageBreakBefore w:val="0"/>
        <w:widowControl w:val="0"/>
        <w:kinsoku/>
        <w:wordWrap/>
        <w:overflowPunct/>
        <w:topLinePunct w:val="0"/>
        <w:autoSpaceDE/>
        <w:autoSpaceDN/>
        <w:bidi w:val="0"/>
        <w:adjustRightInd/>
        <w:snapToGrid/>
        <w:spacing w:line="460" w:lineRule="exact"/>
        <w:ind w:firstLine="539" w:firstLineChars="245"/>
        <w:textAlignment w:val="auto"/>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7、中标人</w:t>
      </w:r>
      <w:r>
        <w:rPr>
          <w:rFonts w:hint="eastAsia" w:ascii="新宋体" w:hAnsi="新宋体" w:eastAsia="新宋体" w:cs="新宋体"/>
          <w:bCs/>
          <w:color w:val="auto"/>
          <w:sz w:val="22"/>
          <w:szCs w:val="22"/>
          <w:highlight w:val="none"/>
          <w:lang w:val="zh-CN"/>
        </w:rPr>
        <w:t>必须对</w:t>
      </w:r>
      <w:r>
        <w:rPr>
          <w:rFonts w:hint="eastAsia" w:ascii="新宋体" w:hAnsi="新宋体" w:eastAsia="新宋体" w:cs="新宋体"/>
          <w:bCs/>
          <w:color w:val="auto"/>
          <w:sz w:val="22"/>
          <w:szCs w:val="22"/>
          <w:highlight w:val="none"/>
        </w:rPr>
        <w:t>招标人</w:t>
      </w:r>
      <w:r>
        <w:rPr>
          <w:rFonts w:hint="eastAsia" w:ascii="新宋体" w:hAnsi="新宋体" w:eastAsia="新宋体" w:cs="新宋体"/>
          <w:bCs/>
          <w:color w:val="auto"/>
          <w:sz w:val="22"/>
          <w:szCs w:val="22"/>
          <w:highlight w:val="none"/>
          <w:lang w:val="zh-CN"/>
        </w:rPr>
        <w:t>提供系统性的使用培训，以及长期技术支持服务；</w:t>
      </w:r>
    </w:p>
    <w:p>
      <w:pPr>
        <w:pStyle w:val="18"/>
        <w:keepNext w:val="0"/>
        <w:keepLines w:val="0"/>
        <w:pageBreakBefore w:val="0"/>
        <w:widowControl w:val="0"/>
        <w:kinsoku/>
        <w:wordWrap/>
        <w:overflowPunct/>
        <w:topLinePunct w:val="0"/>
        <w:autoSpaceDE/>
        <w:autoSpaceDN/>
        <w:bidi w:val="0"/>
        <w:adjustRightInd/>
        <w:snapToGrid/>
        <w:spacing w:line="460" w:lineRule="exact"/>
        <w:ind w:firstLine="550" w:firstLineChars="250"/>
        <w:textAlignment w:val="auto"/>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rPr>
        <w:t>8、中标人</w:t>
      </w:r>
      <w:r>
        <w:rPr>
          <w:rFonts w:hint="eastAsia" w:ascii="新宋体" w:hAnsi="新宋体" w:eastAsia="新宋体" w:cs="新宋体"/>
          <w:bCs/>
          <w:color w:val="auto"/>
          <w:sz w:val="22"/>
          <w:szCs w:val="22"/>
          <w:highlight w:val="none"/>
          <w:lang w:val="zh-CN"/>
        </w:rPr>
        <w:t>接到</w:t>
      </w:r>
      <w:r>
        <w:rPr>
          <w:rFonts w:hint="eastAsia" w:ascii="新宋体" w:hAnsi="新宋体" w:eastAsia="新宋体" w:cs="新宋体"/>
          <w:bCs/>
          <w:color w:val="auto"/>
          <w:sz w:val="22"/>
          <w:szCs w:val="22"/>
          <w:highlight w:val="none"/>
        </w:rPr>
        <w:t>招标</w:t>
      </w:r>
      <w:r>
        <w:rPr>
          <w:rFonts w:hint="eastAsia" w:ascii="新宋体" w:hAnsi="新宋体" w:eastAsia="新宋体" w:cs="新宋体"/>
          <w:bCs/>
          <w:color w:val="auto"/>
          <w:sz w:val="22"/>
          <w:szCs w:val="22"/>
          <w:highlight w:val="none"/>
          <w:lang w:val="zh-CN"/>
        </w:rPr>
        <w:t>人维护电话后即时做出响应，维护服务人员应在1小时内到达招标方现场(系统在使用过程中，需要功能上的修补和完善：24小时内提出解决方案，3日内解决问题；系统个别服务不正常、部分服务不正常：12小时内提出解决方案，24小时内解决问题；系统严重故障，导致系统瘫痪：1小时内提出解决方案，8小时内解决问题。)如果中标人在接到通知后的3个小时内未做出响应，则由于故障所造成的全部损失由中标人承担。</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十、验收要求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项目的工作内容及成果文档的提交应覆盖以下内容，电子文档是成果不可分割的部分。</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1、应用软件的源程序及可执行代码。源程序要求具有良好的编程风格，可执行代码以二进制文件或可安装文件的形式提供；</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2、数据库的设计以及数据实体模型、相互关系的描述；</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3、网络系统的拓扑结构以及相关设备的配置；</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4、系统的体系架构及描述；</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5、提供的其它技术手册，包括：</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需求分析报告（含软件功能需求与数据要求）；</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系统概要设计说明书；</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系统详细设计方案及系统测试方案设计；</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软件培训资料（含系统演示光盘）；</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数据库设计方案；</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程序安装维护手册；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软件使用操作手册；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软件功能技术手册；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软件体系架构手册；</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w:t>
      </w:r>
      <w:r>
        <w:rPr>
          <w:rFonts w:hint="eastAsia" w:ascii="新宋体" w:hAnsi="新宋体" w:eastAsia="新宋体" w:cs="新宋体"/>
          <w:bCs/>
          <w:color w:val="auto"/>
          <w:sz w:val="22"/>
          <w:szCs w:val="22"/>
          <w:highlight w:val="none"/>
          <w:lang w:val="zh-CN"/>
        </w:rPr>
        <w:tab/>
      </w:r>
      <w:r>
        <w:rPr>
          <w:rFonts w:hint="eastAsia" w:ascii="新宋体" w:hAnsi="新宋体" w:eastAsia="新宋体" w:cs="新宋体"/>
          <w:bCs/>
          <w:color w:val="auto"/>
          <w:sz w:val="22"/>
          <w:szCs w:val="22"/>
          <w:highlight w:val="none"/>
          <w:lang w:val="zh-CN"/>
        </w:rPr>
        <w:t>● 系统的测试分析报告。</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十一、其它</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采购需求在开发期和试运行期内，仍有可能不断完善，投标人须承诺在采购需求和政策法规范围内，随着采购需求的变动随时做出响应，修改应用软件。</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投标人须保证所提供产品具有合法的版权或使用权，本项目采购的产品，如在本项目范围内使用过程中出现版权或使用权纠纷，应由中标人负责，招标人和采购机构不承担任何责任。</w:t>
      </w:r>
    </w:p>
    <w:p>
      <w:pPr>
        <w:spacing w:line="460" w:lineRule="exact"/>
        <w:ind w:firstLine="539" w:firstLineChars="245"/>
        <w:rPr>
          <w:rFonts w:hint="eastAsia" w:ascii="新宋体" w:hAnsi="新宋体" w:eastAsia="新宋体" w:cs="新宋体"/>
          <w:bCs/>
          <w:color w:val="auto"/>
          <w:sz w:val="22"/>
          <w:szCs w:val="22"/>
          <w:highlight w:val="none"/>
          <w:lang w:val="zh-CN"/>
        </w:rPr>
      </w:pPr>
      <w:r>
        <w:rPr>
          <w:rFonts w:hint="eastAsia" w:ascii="新宋体" w:hAnsi="新宋体" w:eastAsia="新宋体" w:cs="新宋体"/>
          <w:bCs/>
          <w:color w:val="auto"/>
          <w:sz w:val="22"/>
          <w:szCs w:val="22"/>
          <w:highlight w:val="none"/>
          <w:lang w:val="zh-CN"/>
        </w:rPr>
        <w:t>中标人对数据没有任何的处置权和使用权。</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十二、付款方式</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履约保证金：中标人根据招标人双方协议，在合同签订后7个工作日内中标人向招标人提供合同总金额的10%，即¥     （人名币    元）履约保证金，作为合同生效的必须条件；</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第一笔款：合同签订生效之后，招标人在收到中标人提供的下列单据15个工作日内，向中标人支付合同总价的50%，即人民币     元整（RMB￥     ），履约保证金自动转为质量保证金；</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下列单据包括：</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(1)等额商业发票一份；</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(2)履约保证金支付凭证。</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第二笔款：招标人在系统安装完毕（应该是项目全部建设完成），经试运行后      天并经验收合格后，在收到中标人提供的下列单据15个工作日内，向中标人支付合同总价的40%，即人民币即人民币</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元整（RMB￥</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下列单据包括：</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(1)等额商业发票一份</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(2)试运行情况报告</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(3)招标人出具的验收报告</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履约保证金的退还：在系统正常运行三年后，招标人做出系统运行良好的证明且收到中标人提供的下列单据15个工作日内，向中标人退还合同总价10%履约保证金，即人民币</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整（RMB￥</w:t>
      </w:r>
      <w:r>
        <w:rPr>
          <w:rFonts w:hint="eastAsia" w:ascii="新宋体" w:hAnsi="新宋体" w:eastAsia="新宋体" w:cs="宋体"/>
          <w:color w:val="auto"/>
          <w:kern w:val="0"/>
          <w:sz w:val="22"/>
          <w:szCs w:val="22"/>
          <w:highlight w:val="none"/>
          <w:u w:val="single"/>
        </w:rPr>
        <w:t xml:space="preserve">        </w:t>
      </w:r>
      <w:r>
        <w:rPr>
          <w:rFonts w:hint="eastAsia" w:ascii="新宋体" w:hAnsi="新宋体" w:eastAsia="新宋体" w:cs="宋体"/>
          <w:color w:val="auto"/>
          <w:kern w:val="0"/>
          <w:sz w:val="22"/>
          <w:szCs w:val="22"/>
          <w:highlight w:val="none"/>
        </w:rPr>
        <w:t>）；</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下列单据包括：</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(1)招标人出具的履约保证金收款凭证</w:t>
      </w:r>
    </w:p>
    <w:p>
      <w:pPr>
        <w:spacing w:line="460" w:lineRule="exact"/>
        <w:ind w:firstLine="539" w:firstLineChars="245"/>
        <w:rPr>
          <w:rFonts w:hint="eastAsia" w:ascii="新宋体" w:hAnsi="新宋体" w:eastAsia="新宋体" w:cs="宋体"/>
          <w:color w:val="auto"/>
          <w:kern w:val="0"/>
          <w:sz w:val="22"/>
          <w:szCs w:val="22"/>
          <w:highlight w:val="none"/>
        </w:rPr>
      </w:pPr>
      <w:r>
        <w:rPr>
          <w:rFonts w:hint="eastAsia" w:ascii="新宋体" w:hAnsi="新宋体" w:eastAsia="新宋体" w:cs="宋体"/>
          <w:color w:val="auto"/>
          <w:kern w:val="0"/>
          <w:sz w:val="22"/>
          <w:szCs w:val="22"/>
          <w:highlight w:val="none"/>
        </w:rPr>
        <w:t>(2)用户证明</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十三、现场演示</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人应提供能体现本项目应用技术和功能特点的产品进行现场演示，以验证与投标方案的一致性。演示内容为审判流程管理系统、电子卷宗系统、审委会系统、司法鉴定系统、量刑辅助系统。可系统原型演示或静态demo演示。投标人自行准备演示设备，演示讲解时间不超过15分钟。演示内容应尽可能从业务需求、技术两个方面展现投标人对本项目总体建设思路的理解。</w:t>
      </w:r>
    </w:p>
    <w:p>
      <w:pPr>
        <w:pStyle w:val="2"/>
        <w:rPr>
          <w:rFonts w:hint="eastAsia"/>
          <w:color w:val="auto"/>
          <w:highlight w:val="none"/>
        </w:rPr>
      </w:pPr>
    </w:p>
    <w:p>
      <w:pPr>
        <w:keepNext/>
        <w:keepLines/>
        <w:rPr>
          <w:rFonts w:hint="eastAsia" w:ascii="新宋体" w:hAnsi="新宋体" w:eastAsia="新宋体"/>
          <w:color w:val="auto"/>
          <w:sz w:val="22"/>
          <w:szCs w:val="22"/>
          <w:highlight w:val="none"/>
        </w:rPr>
      </w:pPr>
    </w:p>
    <w:p>
      <w:pPr>
        <w:rPr>
          <w:rFonts w:hint="eastAsia"/>
          <w:color w:val="auto"/>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spacing w:line="460" w:lineRule="exact"/>
        <w:ind w:firstLine="539" w:firstLineChars="245"/>
        <w:rPr>
          <w:rFonts w:hint="eastAsia" w:ascii="新宋体" w:hAnsi="新宋体" w:eastAsia="新宋体"/>
          <w:color w:val="auto"/>
          <w:sz w:val="22"/>
          <w:szCs w:val="22"/>
          <w:highlight w:val="none"/>
        </w:rPr>
      </w:pPr>
    </w:p>
    <w:p>
      <w:pPr>
        <w:rPr>
          <w:rFonts w:hint="eastAsia" w:ascii="新宋体" w:hAnsi="新宋体" w:eastAsia="新宋体"/>
          <w:color w:val="auto"/>
          <w:sz w:val="22"/>
          <w:szCs w:val="22"/>
          <w:highlight w:val="none"/>
        </w:rPr>
      </w:pPr>
    </w:p>
    <w:p>
      <w:pPr>
        <w:keepNext/>
        <w:keepLines/>
        <w:rPr>
          <w:rFonts w:hint="eastAsia"/>
          <w:color w:val="auto"/>
          <w:highlight w:val="none"/>
        </w:rPr>
      </w:pPr>
    </w:p>
    <w:p>
      <w:pPr>
        <w:pStyle w:val="22"/>
        <w:spacing w:line="460" w:lineRule="exact"/>
        <w:ind w:left="430" w:leftChars="205" w:firstLine="0" w:firstLineChars="0"/>
        <w:jc w:val="center"/>
        <w:outlineLvl w:val="0"/>
        <w:rPr>
          <w:rFonts w:hint="eastAsia" w:ascii="新宋体" w:hAnsi="新宋体" w:eastAsia="新宋体"/>
          <w:b/>
          <w:color w:val="auto"/>
          <w:sz w:val="30"/>
          <w:highlight w:val="none"/>
        </w:rPr>
      </w:pPr>
      <w:r>
        <w:rPr>
          <w:rFonts w:hint="eastAsia" w:ascii="新宋体" w:hAnsi="新宋体" w:eastAsia="新宋体"/>
          <w:b/>
          <w:color w:val="auto"/>
          <w:sz w:val="30"/>
          <w:highlight w:val="none"/>
        </w:rPr>
        <w:t>第六部分   评标原则及方法</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根据《中华人民共和国政府采购法》、《政府采购货物和服务招标投标管理办法》、《中华人民共和国政府采购法实施条例》和《关于进一步规范政府采购活动的若干意见》等相关法规特制定以下评标办法。</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一、总 则</w:t>
      </w:r>
    </w:p>
    <w:p>
      <w:pPr>
        <w:spacing w:line="460" w:lineRule="exact"/>
        <w:ind w:firstLine="539" w:firstLineChars="245"/>
        <w:rPr>
          <w:rFonts w:hint="eastAsia" w:ascii="新宋体" w:hAnsi="新宋体" w:eastAsia="新宋体"/>
          <w:b/>
          <w:color w:val="auto"/>
          <w:sz w:val="22"/>
          <w:highlight w:val="none"/>
        </w:rPr>
      </w:pPr>
      <w:r>
        <w:rPr>
          <w:rFonts w:hint="eastAsia" w:ascii="新宋体" w:hAnsi="新宋体" w:eastAsia="新宋体"/>
          <w:color w:val="auto"/>
          <w:sz w:val="22"/>
          <w:szCs w:val="22"/>
          <w:highlight w:val="none"/>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二、评标组织</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评标工作由招标人组建的评标委员会负责，评标全过程由有关部门指导监督。</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三、评标程序</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bCs/>
          <w:color w:val="auto"/>
          <w:sz w:val="22"/>
          <w:szCs w:val="22"/>
          <w:highlight w:val="none"/>
        </w:rPr>
        <w:t>评标委员按照招标文件中规定的评标方法和标准，对投标文件进行商务和技术评估，综合比较与评价</w:t>
      </w:r>
      <w:r>
        <w:rPr>
          <w:rFonts w:hint="eastAsia" w:ascii="新宋体" w:hAnsi="新宋体" w:eastAsia="新宋体"/>
          <w:color w:val="auto"/>
          <w:sz w:val="22"/>
          <w:szCs w:val="22"/>
          <w:highlight w:val="none"/>
        </w:rPr>
        <w:t>，根据综合评审结果，提交评审报告。</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四、评标办法</w:t>
      </w:r>
    </w:p>
    <w:p>
      <w:pPr>
        <w:spacing w:line="460" w:lineRule="exact"/>
        <w:ind w:firstLine="539" w:firstLineChars="245"/>
        <w:rPr>
          <w:rFonts w:hint="eastAsia" w:ascii="新宋体" w:hAnsi="新宋体" w:eastAsia="新宋体"/>
          <w:b/>
          <w:color w:val="auto"/>
          <w:sz w:val="22"/>
          <w:szCs w:val="22"/>
          <w:highlight w:val="none"/>
        </w:rPr>
      </w:pPr>
      <w:r>
        <w:rPr>
          <w:rFonts w:hint="eastAsia" w:ascii="新宋体" w:hAnsi="新宋体" w:eastAsia="新宋体"/>
          <w:color w:val="auto"/>
          <w:sz w:val="22"/>
          <w:szCs w:val="22"/>
          <w:highlight w:val="none"/>
        </w:rPr>
        <w:t>本次采购采用百分制综合评分法，即投标人最大限度地满足招标文件实质性要求的基础上，按照招标文件的各项因素进行综合评审后，以评标总得分最高的投标人和次高的投标人作为第一和第二排序的中标候选人的评标方法。根据采购要求，</w:t>
      </w:r>
      <w:r>
        <w:rPr>
          <w:rFonts w:hint="eastAsia" w:ascii="新宋体" w:hAnsi="新宋体" w:eastAsia="新宋体"/>
          <w:b/>
          <w:color w:val="auto"/>
          <w:sz w:val="22"/>
          <w:szCs w:val="22"/>
          <w:highlight w:val="none"/>
        </w:rPr>
        <w:t>总分设定为100分：技术标80分（权值80%），商务标（报价）20分（权值20%）。</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五、评分细则</w:t>
      </w:r>
    </w:p>
    <w:p>
      <w:pPr>
        <w:spacing w:line="460" w:lineRule="exact"/>
        <w:ind w:firstLine="541" w:firstLineChars="245"/>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1、技术分的评定：技术标80分（权值80%）</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各评委成员按下列评分项目进行评判，每人一张评分计算票，并记名。投标文件各项评分内容由评标委员会成员各自评分，如某张票的一个因素项目超过规定的范围，则该张票无效。</w:t>
      </w:r>
      <w:r>
        <w:rPr>
          <w:rFonts w:hint="eastAsia" w:ascii="新宋体" w:hAnsi="新宋体" w:eastAsia="新宋体"/>
          <w:color w:val="auto"/>
          <w:sz w:val="22"/>
          <w:highlight w:val="none"/>
        </w:rPr>
        <w:t>各评标委员会成员对各投标人的各项评分内容评分的算术平均值为各投标人技术分得分</w:t>
      </w:r>
      <w:r>
        <w:rPr>
          <w:rFonts w:hint="eastAsia" w:ascii="新宋体" w:hAnsi="新宋体" w:eastAsia="新宋体"/>
          <w:color w:val="auto"/>
          <w:sz w:val="22"/>
          <w:szCs w:val="22"/>
          <w:highlight w:val="none"/>
        </w:rPr>
        <w:t>（小数点后按四舍五入保留2位）。</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852"/>
        <w:gridCol w:w="1038"/>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序号</w:t>
            </w:r>
          </w:p>
        </w:tc>
        <w:tc>
          <w:tcPr>
            <w:tcW w:w="1852"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评分项目</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分值</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w:t>
            </w:r>
          </w:p>
        </w:tc>
        <w:tc>
          <w:tcPr>
            <w:tcW w:w="1852"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总体设计思路</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根据技术方案的业务模型、技术架构、数据架构、部署方案的先进性、合理性、完整性等以及符合国家相关标准和规范，满足用户要求方面进行评分。</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A档:10-7分；B档：7-3分 ；C档：3-0分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软件系统功能设计方案</w:t>
            </w:r>
          </w:p>
        </w:tc>
        <w:tc>
          <w:tcPr>
            <w:tcW w:w="7356"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根据技术方案功能设计符合业务需求，模块划分合理，覆盖所有相关业务，并充分体现业务之间的关联：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bCs/>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各子系统业务功能实现方案的合理性、完整性</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A档:10-7分；B档：7-3分 ；C档：3-0分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bCs/>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lang w:val="en-US" w:eastAsia="zh-CN"/>
              </w:rPr>
              <w:t>3</w:t>
            </w:r>
            <w:r>
              <w:rPr>
                <w:rFonts w:hint="eastAsia" w:ascii="新宋体" w:hAnsi="新宋体" w:eastAsia="新宋体" w:cs="新宋体"/>
                <w:color w:val="auto"/>
                <w:sz w:val="22"/>
                <w:szCs w:val="22"/>
                <w:highlight w:val="none"/>
              </w:rPr>
              <w:t>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各子系统数据库模型设计的合理性、完整性及先进性（</w:t>
            </w:r>
            <w:r>
              <w:rPr>
                <w:rFonts w:hint="eastAsia" w:ascii="新宋体" w:hAnsi="新宋体" w:eastAsia="新宋体" w:cs="新宋体"/>
                <w:bCs/>
                <w:color w:val="auto"/>
                <w:sz w:val="22"/>
                <w:szCs w:val="22"/>
                <w:highlight w:val="none"/>
                <w:lang w:val="en-US" w:eastAsia="zh-CN"/>
              </w:rPr>
              <w:t>3</w:t>
            </w:r>
            <w:r>
              <w:rPr>
                <w:rFonts w:hint="eastAsia" w:ascii="新宋体" w:hAnsi="新宋体" w:eastAsia="新宋体" w:cs="新宋体"/>
                <w:bCs/>
                <w:color w:val="auto"/>
                <w:sz w:val="22"/>
                <w:szCs w:val="22"/>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bCs/>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各子系统模型的先进性、合理性、易用性（2-0分）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bCs/>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与原有应用软件系统之间的整合（界面整合、用户整合）的可行性，开放性</w:t>
            </w:r>
            <w:r>
              <w:rPr>
                <w:rFonts w:hint="eastAsia" w:ascii="新宋体" w:hAnsi="新宋体" w:eastAsia="新宋体" w:cs="新宋体"/>
                <w:color w:val="auto"/>
                <w:sz w:val="22"/>
                <w:szCs w:val="22"/>
                <w:highlight w:val="none"/>
              </w:rPr>
              <w:t>A档:6-4分；B档：4-2分 ；C档：2-0分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p>
        </w:tc>
        <w:tc>
          <w:tcPr>
            <w:tcW w:w="1852"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bCs/>
                <w:color w:val="auto"/>
                <w:sz w:val="22"/>
                <w:szCs w:val="22"/>
                <w:highlight w:val="none"/>
              </w:rPr>
              <w:t>现场演示</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10分</w:t>
            </w:r>
          </w:p>
        </w:tc>
        <w:tc>
          <w:tcPr>
            <w:tcW w:w="6318" w:type="dxa"/>
            <w:noWrap w:val="0"/>
            <w:vAlign w:val="center"/>
          </w:tcPr>
          <w:p>
            <w:pPr>
              <w:pStyle w:val="18"/>
              <w:keepNext w:val="0"/>
              <w:keepLines w:val="0"/>
              <w:pageBreakBefore w:val="0"/>
              <w:widowControl w:val="0"/>
              <w:kinsoku/>
              <w:wordWrap/>
              <w:overflowPunct/>
              <w:topLinePunct w:val="0"/>
              <w:autoSpaceDE/>
              <w:autoSpaceDN/>
              <w:bidi w:val="0"/>
              <w:spacing w:line="460" w:lineRule="exact"/>
              <w:textAlignment w:val="auto"/>
              <w:rPr>
                <w:rFonts w:hint="default" w:ascii="新宋体" w:hAnsi="新宋体" w:eastAsia="宋体" w:cs="新宋体"/>
                <w:color w:val="auto"/>
                <w:sz w:val="22"/>
                <w:szCs w:val="22"/>
                <w:highlight w:val="none"/>
                <w:lang w:val="en-US" w:eastAsia="zh-CN"/>
              </w:rPr>
            </w:pPr>
            <w:r>
              <w:rPr>
                <w:rFonts w:hint="eastAsia" w:ascii="新宋体" w:hAnsi="新宋体" w:eastAsia="新宋体" w:cs="新宋体"/>
                <w:bCs/>
                <w:color w:val="auto"/>
                <w:sz w:val="22"/>
                <w:szCs w:val="22"/>
                <w:highlight w:val="none"/>
              </w:rPr>
              <w:t>投标人应提供能体现本项目应用技术和功能特点的产品进行现场演示，以验证与投标方案的一致性。演示内容为审判流程管理系统、电子卷宗系统、审委会系统、司法鉴定系统、量刑辅助系统。</w:t>
            </w:r>
            <w:r>
              <w:rPr>
                <w:rFonts w:hint="eastAsia" w:ascii="新宋体" w:hAnsi="新宋体" w:eastAsia="新宋体" w:cs="新宋体"/>
                <w:b/>
                <w:bCs/>
                <w:color w:val="auto"/>
                <w:sz w:val="22"/>
                <w:szCs w:val="22"/>
                <w:highlight w:val="none"/>
              </w:rPr>
              <w:t>可系统原型演示或静态demo演示</w:t>
            </w:r>
            <w:r>
              <w:rPr>
                <w:rFonts w:hint="eastAsia" w:ascii="新宋体" w:hAnsi="新宋体" w:eastAsia="新宋体" w:cs="新宋体"/>
                <w:bCs/>
                <w:color w:val="auto"/>
                <w:sz w:val="22"/>
                <w:szCs w:val="22"/>
                <w:highlight w:val="none"/>
              </w:rPr>
              <w:t>。投标人自行准备演示设备，演示讲解时间不超过15分钟。演示内容应尽可能从业务需求、技术两个方面展现投标人对本项目总体建设思路的理解。每成功演示一个系统得0-2分，最多得10分。</w:t>
            </w:r>
            <w:r>
              <w:rPr>
                <w:rFonts w:hint="eastAsia" w:ascii="新宋体" w:hAnsi="新宋体" w:eastAsia="新宋体" w:cs="新宋体"/>
                <w:b/>
                <w:bCs w:val="0"/>
                <w:color w:val="auto"/>
                <w:sz w:val="22"/>
                <w:szCs w:val="22"/>
                <w:highlight w:val="none"/>
                <w:lang w:val="en-US" w:eastAsia="zh-CN"/>
              </w:rPr>
              <w:t>只提供PPT</w:t>
            </w:r>
            <w:r>
              <w:rPr>
                <w:rFonts w:hint="eastAsia"/>
                <w:b/>
                <w:bCs w:val="0"/>
                <w:color w:val="auto"/>
                <w:highlight w:val="none"/>
              </w:rPr>
              <w:t>、图片演示</w:t>
            </w:r>
            <w:r>
              <w:rPr>
                <w:rFonts w:hint="eastAsia"/>
                <w:b/>
                <w:bCs w:val="0"/>
                <w:color w:val="auto"/>
                <w:highlight w:val="none"/>
                <w:lang w:val="en-US" w:eastAsia="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项目管理方案</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5</w:t>
            </w:r>
            <w:r>
              <w:rPr>
                <w:rFonts w:hint="eastAsia" w:ascii="新宋体" w:hAnsi="新宋体" w:eastAsia="新宋体" w:cs="新宋体"/>
                <w:bCs/>
                <w:color w:val="auto"/>
                <w:sz w:val="22"/>
                <w:szCs w:val="22"/>
                <w:highlight w:val="none"/>
              </w:rPr>
              <w:t>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项目实施方案：方案对实施要求进行了分析，对实施难点有对应策略，制定了实施计划，并有相应的质量管理计划；制定了整体进度计划，组织与人员保障有力，职责明确，总体进度计划与阶段计划时间上满足标书要求；有完整的质量保证计划，有完整的配置变更管理计划，有项目进度控制计划。</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A档:5-3分；B档：3-1分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系统测试和验收方案</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A档:5-3分；B档：3-1分 ；C档：1-0分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投标人的培训及售后服务</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投标人为本项目提供的培训方案</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A档:3-2分；B档：2-1分 ；C档：1-0分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4分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投标人对本项目的售后服务承诺和能够保证产品的后续开发与功能扩展及维护的措施</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A档:4-3分；B档：3-2分 ；C档：2-0分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6318" w:type="dxa"/>
            <w:noWrap w:val="0"/>
            <w:vAlign w:val="center"/>
          </w:tcPr>
          <w:p>
            <w:pPr>
              <w:pStyle w:val="18"/>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按照招标文件中售后服务的要求，对投标人的售后服务响应或承诺情况进行打分</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A档:3-2分；B档：2-1分 ；C档：1-0分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6</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kern w:val="0"/>
                <w:sz w:val="22"/>
                <w:szCs w:val="22"/>
                <w:highlight w:val="none"/>
              </w:rPr>
              <w:t>项目投入技术力量</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投标人为本项目安排的项目经理的资质和经历，需提供计算机或信息系统相关的</w:t>
            </w:r>
            <w:r>
              <w:rPr>
                <w:rFonts w:hint="eastAsia" w:ascii="新宋体" w:hAnsi="新宋体" w:eastAsia="新宋体" w:cs="新宋体"/>
                <w:b/>
                <w:bCs/>
                <w:color w:val="auto"/>
                <w:sz w:val="22"/>
                <w:szCs w:val="22"/>
                <w:highlight w:val="none"/>
              </w:rPr>
              <w:t>高级项目经理证书</w:t>
            </w:r>
            <w:r>
              <w:rPr>
                <w:rFonts w:hint="eastAsia" w:ascii="新宋体" w:hAnsi="新宋体" w:eastAsia="新宋体" w:cs="新宋体"/>
                <w:bCs/>
                <w:color w:val="auto"/>
                <w:sz w:val="22"/>
                <w:szCs w:val="22"/>
                <w:highlight w:val="none"/>
              </w:rPr>
              <w:t>（原件中标后备查），及投标人为其缴纳的近3个月内的社保证明材料（2分）。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kern w:val="0"/>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包括人员项目投入人员的配置、综合素质经验、分工等情况</w:t>
            </w:r>
          </w:p>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color w:val="auto"/>
                <w:sz w:val="22"/>
                <w:szCs w:val="22"/>
                <w:highlight w:val="none"/>
              </w:rPr>
              <w:t>A档:3-2分；B档：2-1分 ；C档：1-0分</w:t>
            </w:r>
            <w:r>
              <w:rPr>
                <w:rFonts w:hint="eastAsia" w:ascii="新宋体" w:hAnsi="新宋体" w:eastAsia="新宋体" w:cs="新宋体"/>
                <w:bCs/>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restart"/>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b/>
                <w:color w:val="auto"/>
                <w:sz w:val="22"/>
                <w:szCs w:val="22"/>
                <w:highlight w:val="none"/>
                <w:lang w:eastAsia="zh-CN"/>
              </w:rPr>
            </w:pPr>
            <w:r>
              <w:rPr>
                <w:rFonts w:hint="eastAsia" w:ascii="新宋体" w:hAnsi="新宋体" w:eastAsia="新宋体" w:cs="新宋体"/>
                <w:b/>
                <w:color w:val="auto"/>
                <w:sz w:val="22"/>
                <w:szCs w:val="22"/>
                <w:highlight w:val="none"/>
                <w:lang w:val="en-US" w:eastAsia="zh-CN"/>
              </w:rPr>
              <w:t>7</w:t>
            </w:r>
          </w:p>
        </w:tc>
        <w:tc>
          <w:tcPr>
            <w:tcW w:w="1852" w:type="dxa"/>
            <w:vMerge w:val="restart"/>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投标人情况</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ind w:firstLine="220" w:firstLineChars="100"/>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5分</w:t>
            </w:r>
          </w:p>
        </w:tc>
        <w:tc>
          <w:tcPr>
            <w:tcW w:w="6318" w:type="dxa"/>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
                <w:color w:val="auto"/>
                <w:sz w:val="22"/>
                <w:szCs w:val="22"/>
                <w:highlight w:val="none"/>
              </w:rPr>
            </w:pPr>
            <w:r>
              <w:rPr>
                <w:rFonts w:hint="eastAsia" w:ascii="新宋体" w:hAnsi="新宋体" w:eastAsia="新宋体" w:cs="新宋体"/>
                <w:bCs/>
                <w:color w:val="auto"/>
                <w:sz w:val="22"/>
                <w:szCs w:val="22"/>
                <w:highlight w:val="none"/>
              </w:rPr>
              <w:t>投标人具有</w:t>
            </w:r>
            <w:r>
              <w:rPr>
                <w:rFonts w:hint="eastAsia" w:ascii="新宋体" w:hAnsi="新宋体" w:eastAsia="新宋体" w:cs="新宋体"/>
                <w:b w:val="0"/>
                <w:bCs w:val="0"/>
                <w:color w:val="auto"/>
                <w:sz w:val="22"/>
                <w:szCs w:val="22"/>
                <w:highlight w:val="none"/>
              </w:rPr>
              <w:t>审判业务系统、电子卷宗系统，审委会系统，司法鉴定系统，辅助量刑系统每个证书</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每具有1种类型证书</w:t>
            </w:r>
            <w:r>
              <w:rPr>
                <w:rFonts w:hint="eastAsia" w:ascii="新宋体" w:hAnsi="新宋体" w:eastAsia="新宋体" w:cs="新宋体"/>
                <w:bCs/>
                <w:color w:val="auto"/>
                <w:sz w:val="22"/>
                <w:szCs w:val="22"/>
                <w:highlight w:val="none"/>
              </w:rPr>
              <w:t>得1分，满分5分。投标时提供加盖投标人公章的证书复印件。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b/>
                <w:color w:val="auto"/>
                <w:sz w:val="22"/>
                <w:szCs w:val="22"/>
                <w:highlight w:val="none"/>
              </w:rPr>
            </w:pPr>
          </w:p>
        </w:tc>
        <w:tc>
          <w:tcPr>
            <w:tcW w:w="1852" w:type="dxa"/>
            <w:vMerge w:val="continue"/>
            <w:noWrap w:val="0"/>
            <w:vAlign w:val="center"/>
          </w:tcPr>
          <w:p>
            <w:pPr>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color w:val="auto"/>
                <w:sz w:val="22"/>
                <w:szCs w:val="22"/>
                <w:highlight w:val="none"/>
              </w:rPr>
            </w:pP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ind w:firstLine="220" w:firstLineChars="100"/>
              <w:textAlignment w:val="auto"/>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4分</w:t>
            </w:r>
          </w:p>
        </w:tc>
        <w:tc>
          <w:tcPr>
            <w:tcW w:w="6318" w:type="dxa"/>
            <w:noWrap w:val="0"/>
            <w:vAlign w:val="center"/>
          </w:tcPr>
          <w:p>
            <w:pPr>
              <w:pStyle w:val="18"/>
              <w:keepNext w:val="0"/>
              <w:keepLines w:val="0"/>
              <w:pageBreakBefore w:val="0"/>
              <w:widowControl w:val="0"/>
              <w:kinsoku/>
              <w:wordWrap/>
              <w:overflowPunct/>
              <w:topLinePunct w:val="0"/>
              <w:autoSpaceDE/>
              <w:autoSpaceDN/>
              <w:bidi w:val="0"/>
              <w:spacing w:line="460" w:lineRule="exact"/>
              <w:textAlignment w:val="auto"/>
              <w:rPr>
                <w:rFonts w:hint="eastAsia"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投标人具备</w:t>
            </w:r>
            <w:r>
              <w:rPr>
                <w:rFonts w:hint="eastAsia" w:ascii="新宋体" w:hAnsi="新宋体" w:eastAsia="新宋体" w:cs="新宋体"/>
                <w:b w:val="0"/>
                <w:bCs w:val="0"/>
                <w:color w:val="auto"/>
                <w:sz w:val="22"/>
                <w:szCs w:val="22"/>
                <w:highlight w:val="none"/>
              </w:rPr>
              <w:t>在有效期内的ISO9001质量管理体系认证证书</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rPr>
              <w:t>国家高新技术企业认定证书；每提供1</w:t>
            </w:r>
            <w:r>
              <w:rPr>
                <w:rFonts w:hint="eastAsia" w:ascii="新宋体" w:hAnsi="新宋体" w:eastAsia="新宋体" w:cs="新宋体"/>
                <w:b w:val="0"/>
                <w:bCs w:val="0"/>
                <w:color w:val="auto"/>
                <w:sz w:val="22"/>
                <w:szCs w:val="22"/>
                <w:highlight w:val="none"/>
                <w:lang w:val="en-US" w:eastAsia="zh-CN"/>
              </w:rPr>
              <w:t>种类型证书</w:t>
            </w:r>
            <w:r>
              <w:rPr>
                <w:rFonts w:hint="eastAsia" w:ascii="新宋体" w:hAnsi="新宋体" w:eastAsia="新宋体" w:cs="新宋体"/>
                <w:b w:val="0"/>
                <w:bCs w:val="0"/>
                <w:color w:val="auto"/>
                <w:sz w:val="22"/>
                <w:szCs w:val="22"/>
                <w:highlight w:val="none"/>
              </w:rPr>
              <w:t>得2分，满分4分。</w:t>
            </w:r>
            <w:r>
              <w:rPr>
                <w:rFonts w:hint="eastAsia" w:ascii="新宋体" w:hAnsi="新宋体" w:eastAsia="新宋体" w:cs="新宋体"/>
                <w:bCs/>
                <w:color w:val="auto"/>
                <w:sz w:val="22"/>
                <w:szCs w:val="22"/>
                <w:highlight w:val="none"/>
              </w:rPr>
              <w:t>投标时提供加盖投标人公章的证书复印件。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0" w:hRule="atLeast"/>
        </w:trPr>
        <w:tc>
          <w:tcPr>
            <w:tcW w:w="706"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color w:val="auto"/>
                <w:sz w:val="22"/>
                <w:szCs w:val="22"/>
                <w:highlight w:val="none"/>
                <w:lang w:val="en-US" w:eastAsia="zh-CN"/>
              </w:rPr>
              <w:t>8</w:t>
            </w:r>
          </w:p>
        </w:tc>
        <w:tc>
          <w:tcPr>
            <w:tcW w:w="1852"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业绩</w:t>
            </w:r>
          </w:p>
        </w:tc>
        <w:tc>
          <w:tcPr>
            <w:tcW w:w="1038" w:type="dxa"/>
            <w:noWrap w:val="0"/>
            <w:vAlign w:val="center"/>
          </w:tcPr>
          <w:p>
            <w:pPr>
              <w:keepNext w:val="0"/>
              <w:keepLines w:val="0"/>
              <w:pageBreakBefore w:val="0"/>
              <w:widowControl w:val="0"/>
              <w:kinsoku/>
              <w:wordWrap/>
              <w:overflowPunct/>
              <w:topLinePunct w:val="0"/>
              <w:autoSpaceDE/>
              <w:autoSpaceDN/>
              <w:bidi w:val="0"/>
              <w:spacing w:line="460" w:lineRule="exact"/>
              <w:jc w:val="center"/>
              <w:textAlignment w:val="auto"/>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5分</w:t>
            </w:r>
          </w:p>
        </w:tc>
        <w:tc>
          <w:tcPr>
            <w:tcW w:w="631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eastAsia" w:ascii="新宋体" w:hAnsi="新宋体" w:eastAsia="新宋体" w:cs="新宋体"/>
                <w:color w:val="auto"/>
                <w:sz w:val="22"/>
                <w:szCs w:val="22"/>
                <w:highlight w:val="none"/>
                <w:lang w:eastAsia="zh-CN"/>
              </w:rPr>
            </w:pPr>
            <w:r>
              <w:rPr>
                <w:rFonts w:hint="eastAsia" w:ascii="新宋体" w:hAnsi="新宋体" w:eastAsia="新宋体" w:cs="新宋体"/>
                <w:b w:val="0"/>
                <w:bCs w:val="0"/>
                <w:color w:val="auto"/>
                <w:sz w:val="22"/>
                <w:szCs w:val="22"/>
                <w:highlight w:val="none"/>
              </w:rPr>
              <w:t>2016年</w:t>
            </w:r>
            <w:r>
              <w:rPr>
                <w:rFonts w:hint="eastAsia" w:ascii="新宋体" w:hAnsi="新宋体" w:eastAsia="新宋体" w:cs="新宋体"/>
                <w:b w:val="0"/>
                <w:bCs w:val="0"/>
                <w:color w:val="auto"/>
                <w:sz w:val="22"/>
                <w:szCs w:val="22"/>
                <w:highlight w:val="none"/>
                <w:lang w:val="en-US" w:eastAsia="zh-CN"/>
              </w:rPr>
              <w:t>1月1日</w:t>
            </w:r>
            <w:r>
              <w:rPr>
                <w:rFonts w:hint="eastAsia" w:ascii="新宋体" w:hAnsi="新宋体" w:eastAsia="新宋体" w:cs="新宋体"/>
                <w:b w:val="0"/>
                <w:bCs w:val="0"/>
                <w:color w:val="auto"/>
                <w:sz w:val="22"/>
                <w:szCs w:val="22"/>
                <w:highlight w:val="none"/>
              </w:rPr>
              <w:t>以来</w:t>
            </w:r>
            <w:r>
              <w:rPr>
                <w:rFonts w:hint="eastAsia" w:ascii="新宋体" w:hAnsi="新宋体" w:eastAsia="新宋体" w:cs="新宋体"/>
                <w:b w:val="0"/>
                <w:bCs w:val="0"/>
                <w:color w:val="auto"/>
                <w:sz w:val="22"/>
                <w:szCs w:val="22"/>
                <w:highlight w:val="none"/>
                <w:lang w:val="en-US" w:eastAsia="zh-CN"/>
              </w:rPr>
              <w:t>签署的</w:t>
            </w:r>
            <w:r>
              <w:rPr>
                <w:rFonts w:hint="eastAsia" w:ascii="新宋体" w:hAnsi="新宋体" w:eastAsia="新宋体" w:cs="新宋体"/>
                <w:b w:val="0"/>
                <w:bCs w:val="0"/>
                <w:color w:val="auto"/>
                <w:sz w:val="22"/>
                <w:szCs w:val="22"/>
                <w:highlight w:val="none"/>
              </w:rPr>
              <w:t>具有同类系统应用软件开发案例，每提供一个案例得1分，满分5分；投标时提供合同</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验收报告</w:t>
            </w:r>
            <w:r>
              <w:rPr>
                <w:rFonts w:hint="eastAsia" w:ascii="新宋体" w:hAnsi="新宋体" w:eastAsia="新宋体" w:cs="新宋体"/>
                <w:b w:val="0"/>
                <w:bCs w:val="0"/>
                <w:color w:val="auto"/>
                <w:sz w:val="22"/>
                <w:szCs w:val="22"/>
                <w:highlight w:val="none"/>
              </w:rPr>
              <w:t>的复印件</w:t>
            </w:r>
            <w:r>
              <w:rPr>
                <w:rFonts w:hint="eastAsia" w:ascii="新宋体" w:hAnsi="新宋体" w:eastAsia="新宋体" w:cs="新宋体"/>
                <w:b w:val="0"/>
                <w:bCs w:val="0"/>
                <w:color w:val="auto"/>
                <w:sz w:val="22"/>
                <w:szCs w:val="22"/>
                <w:highlight w:val="none"/>
                <w:lang w:eastAsia="zh-CN"/>
              </w:rPr>
              <w:t>（</w:t>
            </w:r>
            <w:r>
              <w:rPr>
                <w:rFonts w:hint="eastAsia" w:ascii="新宋体" w:hAnsi="新宋体" w:eastAsia="新宋体" w:cs="新宋体"/>
                <w:b w:val="0"/>
                <w:bCs w:val="0"/>
                <w:color w:val="auto"/>
                <w:sz w:val="22"/>
                <w:szCs w:val="22"/>
                <w:highlight w:val="none"/>
                <w:lang w:val="en-US" w:eastAsia="zh-CN"/>
              </w:rPr>
              <w:t>需提供原件备查</w:t>
            </w:r>
            <w:r>
              <w:rPr>
                <w:rFonts w:hint="eastAsia" w:ascii="新宋体" w:hAnsi="新宋体" w:eastAsia="新宋体" w:cs="新宋体"/>
                <w:b w:val="0"/>
                <w:bCs w:val="0"/>
                <w:color w:val="auto"/>
                <w:sz w:val="22"/>
                <w:szCs w:val="22"/>
                <w:highlight w:val="none"/>
                <w:lang w:eastAsia="zh-CN"/>
              </w:rPr>
              <w:t>）。</w:t>
            </w:r>
          </w:p>
        </w:tc>
      </w:tr>
    </w:tbl>
    <w:p>
      <w:pPr>
        <w:pStyle w:val="22"/>
        <w:spacing w:line="460" w:lineRule="exact"/>
        <w:ind w:firstLine="0" w:firstLineChars="0"/>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2、商务评分（20分）（权值20%）：</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满足招标文件要求且投标报价最低的投标报价为评标基准价，其余投标人投标报价与该基准价对比，计算出商务报价评分值（保留小数2位）：</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1）有效投标人的投标报价等于评标基准价时其报价分为满分20分；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2）其他投标人的价格分按以下公式计算：</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投标报价得分=（评分基准价/投标人投标报价）× 价格权值 ×100（保留小数2位）</w:t>
      </w:r>
    </w:p>
    <w:p>
      <w:pPr>
        <w:spacing w:line="460" w:lineRule="exact"/>
        <w:ind w:firstLine="539" w:firstLineChars="245"/>
        <w:rPr>
          <w:rFonts w:hint="eastAsia" w:ascii="新宋体" w:hAnsi="新宋体" w:eastAsia="新宋体"/>
          <w:color w:val="auto"/>
          <w:sz w:val="22"/>
          <w:szCs w:val="22"/>
          <w:highlight w:val="none"/>
          <w:lang w:val="zh-CN"/>
        </w:rPr>
      </w:pPr>
      <w:r>
        <w:rPr>
          <w:rFonts w:hint="eastAsia" w:ascii="新宋体" w:hAnsi="新宋体" w:eastAsia="新宋体"/>
          <w:color w:val="auto"/>
          <w:sz w:val="22"/>
          <w:szCs w:val="22"/>
          <w:highlight w:val="none"/>
          <w:lang w:val="zh-CN"/>
        </w:rPr>
        <w:t>根据《政府采购促进中小企业发展暂行办法》（财库[2011]181号），对小型或微型企业参加投标且投标产品为小型或微型企业生产的，</w:t>
      </w:r>
      <w:r>
        <w:rPr>
          <w:rFonts w:hint="eastAsia" w:ascii="新宋体" w:hAnsi="新宋体" w:eastAsia="新宋体"/>
          <w:b/>
          <w:bCs/>
          <w:color w:val="auto"/>
          <w:sz w:val="22"/>
          <w:szCs w:val="22"/>
          <w:highlight w:val="none"/>
          <w:u w:val="single"/>
          <w:lang w:val="zh-CN"/>
        </w:rPr>
        <w:t>价格给予6%的扣除</w:t>
      </w:r>
      <w:r>
        <w:rPr>
          <w:rFonts w:hint="eastAsia" w:ascii="新宋体" w:hAnsi="新宋体" w:eastAsia="新宋体"/>
          <w:color w:val="auto"/>
          <w:sz w:val="22"/>
          <w:szCs w:val="22"/>
          <w:highlight w:val="none"/>
          <w:lang w:val="zh-CN"/>
        </w:rPr>
        <w:t>，用扣除后的价格参与价格评分。</w:t>
      </w:r>
    </w:p>
    <w:p>
      <w:pPr>
        <w:spacing w:line="460" w:lineRule="exact"/>
        <w:ind w:firstLine="541" w:firstLineChars="245"/>
        <w:rPr>
          <w:rFonts w:hint="eastAsia" w:ascii="新宋体" w:hAnsi="新宋体" w:eastAsia="新宋体"/>
          <w:color w:val="auto"/>
          <w:sz w:val="22"/>
          <w:szCs w:val="22"/>
          <w:highlight w:val="none"/>
          <w:lang w:val="zh-CN"/>
        </w:rPr>
      </w:pPr>
      <w:r>
        <w:rPr>
          <w:rFonts w:hint="eastAsia" w:ascii="新宋体" w:hAnsi="新宋体" w:eastAsia="新宋体"/>
          <w:b/>
          <w:color w:val="auto"/>
          <w:sz w:val="22"/>
          <w:highlight w:val="none"/>
          <w:u w:val="single"/>
        </w:rPr>
        <w:t xml:space="preserve"> </w:t>
      </w:r>
      <w:r>
        <w:rPr>
          <w:rFonts w:hint="eastAsia" w:ascii="新宋体" w:hAnsi="新宋体" w:eastAsia="新宋体"/>
          <w:b/>
          <w:bCs/>
          <w:color w:val="auto"/>
          <w:sz w:val="22"/>
          <w:szCs w:val="22"/>
          <w:highlight w:val="none"/>
          <w:u w:val="single"/>
          <w:lang w:val="zh-CN"/>
        </w:rPr>
        <w:t>同时符合以下所有要求的投标人被认定为小型、微型企业：</w:t>
      </w:r>
    </w:p>
    <w:p>
      <w:pPr>
        <w:spacing w:line="460" w:lineRule="exact"/>
        <w:ind w:firstLine="541" w:firstLineChars="245"/>
        <w:rPr>
          <w:rFonts w:hint="eastAsia" w:ascii="新宋体" w:hAnsi="新宋体" w:eastAsia="新宋体"/>
          <w:b/>
          <w:bCs/>
          <w:color w:val="auto"/>
          <w:sz w:val="22"/>
          <w:szCs w:val="22"/>
          <w:highlight w:val="none"/>
          <w:lang w:val="zh-CN"/>
        </w:rPr>
      </w:pPr>
      <w:r>
        <w:rPr>
          <w:rFonts w:hint="eastAsia" w:ascii="新宋体" w:hAnsi="新宋体" w:eastAsia="新宋体" w:cs="新宋体"/>
          <w:b/>
          <w:bCs/>
          <w:color w:val="auto"/>
          <w:sz w:val="22"/>
          <w:szCs w:val="22"/>
          <w:highlight w:val="none"/>
          <w:lang w:val="zh-CN"/>
        </w:rPr>
        <w:t>①</w:t>
      </w:r>
      <w:r>
        <w:rPr>
          <w:rFonts w:hint="eastAsia" w:ascii="新宋体" w:hAnsi="新宋体" w:eastAsia="新宋体"/>
          <w:b/>
          <w:bCs/>
          <w:color w:val="auto"/>
          <w:sz w:val="22"/>
          <w:szCs w:val="22"/>
          <w:highlight w:val="none"/>
          <w:lang w:val="zh-CN"/>
        </w:rPr>
        <w:t>投标人及投标产品生产企业按照《关于印发中小企业划型标准规定的通知》（工信部联企业〔2011〕300号）的所属行业规定为小型、微型企业。</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投标文件中必须提供《中小企业声明函》、《关于印发中小企业划型标准规定的通知》（工信部联企业〔2011〕300号）</w:t>
      </w:r>
      <w:r>
        <w:rPr>
          <w:rFonts w:hint="eastAsia" w:ascii="新宋体" w:hAnsi="新宋体" w:eastAsia="新宋体"/>
          <w:b/>
          <w:bCs/>
          <w:color w:val="auto"/>
          <w:sz w:val="22"/>
          <w:szCs w:val="22"/>
          <w:highlight w:val="none"/>
          <w:u w:val="single"/>
        </w:rPr>
        <w:t>以及投标人、</w:t>
      </w:r>
      <w:r>
        <w:rPr>
          <w:rFonts w:hint="eastAsia" w:ascii="新宋体" w:hAnsi="新宋体" w:eastAsia="新宋体"/>
          <w:b/>
          <w:bCs/>
          <w:color w:val="auto"/>
          <w:sz w:val="22"/>
          <w:szCs w:val="22"/>
          <w:highlight w:val="none"/>
          <w:u w:val="single"/>
          <w:lang w:val="zh-CN"/>
        </w:rPr>
        <w:t>投标产品生产企业</w:t>
      </w:r>
      <w:r>
        <w:rPr>
          <w:rFonts w:hint="eastAsia" w:ascii="新宋体" w:hAnsi="新宋体" w:eastAsia="新宋体"/>
          <w:b/>
          <w:bCs/>
          <w:color w:val="auto"/>
          <w:sz w:val="22"/>
          <w:szCs w:val="22"/>
          <w:highlight w:val="none"/>
          <w:u w:val="single"/>
        </w:rPr>
        <w:t>与</w:t>
      </w:r>
      <w:r>
        <w:rPr>
          <w:rFonts w:hint="eastAsia" w:ascii="新宋体" w:hAnsi="新宋体" w:eastAsia="新宋体"/>
          <w:b/>
          <w:bCs/>
          <w:color w:val="auto"/>
          <w:sz w:val="22"/>
          <w:szCs w:val="22"/>
          <w:highlight w:val="none"/>
          <w:u w:val="single"/>
          <w:lang w:val="zh-CN"/>
        </w:rPr>
        <w:t>（工信部联企业〔2011〕300号）</w:t>
      </w:r>
      <w:r>
        <w:rPr>
          <w:rFonts w:hint="eastAsia" w:ascii="新宋体" w:hAnsi="新宋体" w:eastAsia="新宋体"/>
          <w:b/>
          <w:bCs/>
          <w:color w:val="auto"/>
          <w:sz w:val="22"/>
          <w:szCs w:val="22"/>
          <w:highlight w:val="none"/>
          <w:u w:val="single"/>
        </w:rPr>
        <w:t>规定的行业所对应的企业划型标准</w:t>
      </w:r>
      <w:r>
        <w:rPr>
          <w:rFonts w:hint="eastAsia" w:ascii="新宋体" w:hAnsi="新宋体" w:eastAsia="新宋体"/>
          <w:b/>
          <w:bCs/>
          <w:color w:val="auto"/>
          <w:sz w:val="22"/>
          <w:szCs w:val="22"/>
          <w:highlight w:val="none"/>
          <w:u w:val="single"/>
          <w:lang w:val="zh-CN"/>
        </w:rPr>
        <w:t>相关的充分证明材料；</w:t>
      </w:r>
    </w:p>
    <w:p>
      <w:pPr>
        <w:spacing w:line="460" w:lineRule="exact"/>
        <w:ind w:firstLine="541" w:firstLineChars="245"/>
        <w:rPr>
          <w:rFonts w:hint="eastAsia" w:ascii="新宋体" w:hAnsi="新宋体" w:eastAsia="新宋体"/>
          <w:b/>
          <w:bCs/>
          <w:color w:val="auto"/>
          <w:sz w:val="22"/>
          <w:szCs w:val="22"/>
          <w:highlight w:val="none"/>
          <w:u w:val="single"/>
        </w:rPr>
      </w:pPr>
      <w:r>
        <w:rPr>
          <w:rFonts w:hint="eastAsia" w:ascii="新宋体" w:hAnsi="新宋体" w:eastAsia="新宋体"/>
          <w:b/>
          <w:bCs/>
          <w:color w:val="auto"/>
          <w:sz w:val="22"/>
          <w:szCs w:val="22"/>
          <w:highlight w:val="none"/>
          <w:u w:val="single"/>
        </w:rPr>
        <w:t>非单一产品采购项目以核心产品为准，应当根据采购项目技术构成、产品价格比重等合理确定核心产品。</w:t>
      </w:r>
    </w:p>
    <w:p>
      <w:pPr>
        <w:spacing w:line="460" w:lineRule="exact"/>
        <w:ind w:firstLine="541" w:firstLineChars="245"/>
        <w:rPr>
          <w:rFonts w:hint="eastAsia" w:ascii="新宋体" w:hAnsi="新宋体" w:eastAsia="新宋体"/>
          <w:b/>
          <w:bCs/>
          <w:color w:val="auto"/>
          <w:sz w:val="22"/>
          <w:szCs w:val="22"/>
          <w:highlight w:val="none"/>
          <w:u w:val="single"/>
          <w:lang w:val="zh-CN"/>
        </w:rPr>
      </w:pPr>
      <w:r>
        <w:rPr>
          <w:rFonts w:hint="eastAsia" w:ascii="新宋体" w:hAnsi="新宋体" w:eastAsia="新宋体"/>
          <w:b/>
          <w:bCs/>
          <w:color w:val="auto"/>
          <w:sz w:val="22"/>
          <w:szCs w:val="22"/>
          <w:highlight w:val="none"/>
          <w:u w:val="single"/>
          <w:lang w:val="zh-CN"/>
        </w:rPr>
        <w:t>②投标人已通过浙江政府采购网申请注册并成为正式入库供应商并提供注册为小型、微型企业证明材料。</w:t>
      </w:r>
    </w:p>
    <w:p>
      <w:pPr>
        <w:spacing w:line="460" w:lineRule="exact"/>
        <w:ind w:firstLine="541" w:firstLineChars="245"/>
        <w:rPr>
          <w:rFonts w:hint="eastAsia" w:ascii="新宋体" w:hAnsi="新宋体" w:eastAsia="新宋体"/>
          <w:color w:val="auto"/>
          <w:sz w:val="22"/>
          <w:szCs w:val="22"/>
          <w:highlight w:val="none"/>
        </w:rPr>
      </w:pPr>
      <w:r>
        <w:rPr>
          <w:rFonts w:hint="eastAsia" w:ascii="新宋体" w:hAnsi="新宋体" w:eastAsia="新宋体"/>
          <w:b/>
          <w:bCs/>
          <w:color w:val="auto"/>
          <w:sz w:val="22"/>
          <w:szCs w:val="22"/>
          <w:highlight w:val="none"/>
          <w:lang w:val="zh-CN"/>
        </w:rPr>
        <w:t>监狱企业视同小微企业，其产品参加本项目投标的，享受小微企业同等的价格扣除。</w:t>
      </w:r>
    </w:p>
    <w:p>
      <w:pPr>
        <w:spacing w:line="460" w:lineRule="exact"/>
        <w:rPr>
          <w:rFonts w:hint="eastAsia" w:ascii="新宋体" w:hAnsi="新宋体" w:eastAsia="新宋体"/>
          <w:b/>
          <w:color w:val="auto"/>
          <w:sz w:val="22"/>
          <w:highlight w:val="none"/>
        </w:rPr>
      </w:pPr>
      <w:r>
        <w:rPr>
          <w:rFonts w:hint="eastAsia" w:ascii="新宋体" w:hAnsi="新宋体" w:eastAsia="新宋体"/>
          <w:b/>
          <w:color w:val="auto"/>
          <w:sz w:val="22"/>
          <w:highlight w:val="none"/>
        </w:rPr>
        <w:t xml:space="preserve">     3)财政预算为人民币伍佰玖拾陆万伍仟元整（¥5965000 .00元）, 如投标人报价超过财政预算按无效标处理。</w:t>
      </w:r>
    </w:p>
    <w:p>
      <w:pPr>
        <w:spacing w:line="460" w:lineRule="exact"/>
        <w:ind w:firstLine="539" w:firstLineChars="24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3、有效投标人的综合得分为技术分和商务（报价）分的总和。</w:t>
      </w:r>
    </w:p>
    <w:p>
      <w:pPr>
        <w:spacing w:line="460" w:lineRule="exact"/>
        <w:ind w:firstLine="541" w:firstLineChars="245"/>
        <w:rPr>
          <w:rFonts w:hint="eastAsia" w:ascii="新宋体" w:hAnsi="新宋体" w:eastAsia="新宋体" w:cs="新宋体"/>
          <w:b/>
          <w:bCs/>
          <w:color w:val="auto"/>
          <w:sz w:val="22"/>
          <w:szCs w:val="22"/>
          <w:highlight w:val="none"/>
          <w:u w:val="single"/>
        </w:rPr>
      </w:pPr>
      <w:r>
        <w:rPr>
          <w:rFonts w:hint="eastAsia" w:ascii="新宋体" w:hAnsi="新宋体" w:eastAsia="新宋体" w:cs="新宋体"/>
          <w:b/>
          <w:bCs/>
          <w:color w:val="auto"/>
          <w:sz w:val="22"/>
          <w:szCs w:val="22"/>
          <w:highlight w:val="none"/>
          <w:u w:val="singl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60" w:lineRule="exact"/>
        <w:ind w:firstLine="541" w:firstLineChars="245"/>
        <w:outlineLvl w:val="1"/>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六、定标办法</w:t>
      </w:r>
    </w:p>
    <w:p>
      <w:pPr>
        <w:spacing w:line="460" w:lineRule="exact"/>
        <w:ind w:firstLine="539" w:firstLineChars="245"/>
        <w:rPr>
          <w:rFonts w:hint="eastAsia" w:ascii="新宋体" w:hAnsi="新宋体" w:eastAsia="新宋体" w:cs="新宋体"/>
          <w:b/>
          <w:color w:val="auto"/>
          <w:sz w:val="22"/>
          <w:szCs w:val="22"/>
          <w:highlight w:val="none"/>
        </w:rPr>
      </w:pPr>
      <w:r>
        <w:rPr>
          <w:rFonts w:hint="eastAsia" w:ascii="新宋体" w:hAnsi="新宋体" w:eastAsia="新宋体" w:cs="新宋体"/>
          <w:color w:val="auto"/>
          <w:sz w:val="22"/>
          <w:szCs w:val="22"/>
          <w:highlight w:val="none"/>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确定中标候选人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1.1由评标委员会确定中标候选人。</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1.2</w:t>
      </w:r>
      <w:r>
        <w:rPr>
          <w:rFonts w:hint="eastAsia" w:ascii="新宋体" w:hAnsi="新宋体" w:eastAsia="新宋体"/>
          <w:color w:val="auto"/>
          <w:sz w:val="22"/>
          <w:szCs w:val="22"/>
          <w:highlight w:val="none"/>
        </w:rPr>
        <w:t>评标委员会依据法律、法规及招标文件有关规定按评审后得分（即技术分与商务分之和）由高到低顺序排序，得分前二名的投标人确定为该项目的第一和第二中标候选人（得分相同的，按投标报价由低到高顺序排列。得分且投标报价相同的并列。）向招标人推荐。</w:t>
      </w:r>
    </w:p>
    <w:p>
      <w:pPr>
        <w:spacing w:line="460" w:lineRule="exact"/>
        <w:ind w:firstLine="541" w:firstLineChars="245"/>
        <w:rPr>
          <w:rFonts w:hint="eastAsia" w:ascii="新宋体" w:hAnsi="新宋体" w:eastAsia="新宋体" w:cs="新宋体"/>
          <w:b/>
          <w:bCs/>
          <w:color w:val="auto"/>
          <w:sz w:val="22"/>
          <w:szCs w:val="22"/>
          <w:highlight w:val="none"/>
        </w:rPr>
      </w:pPr>
      <w:r>
        <w:rPr>
          <w:rFonts w:hint="eastAsia" w:ascii="新宋体" w:hAnsi="新宋体" w:eastAsia="新宋体" w:cs="新宋体"/>
          <w:b/>
          <w:bCs/>
          <w:color w:val="auto"/>
          <w:sz w:val="22"/>
          <w:szCs w:val="22"/>
          <w:highlight w:val="none"/>
        </w:rPr>
        <w:t>2、确定中标人</w:t>
      </w:r>
    </w:p>
    <w:p>
      <w:pPr>
        <w:spacing w:line="460" w:lineRule="exact"/>
        <w:rPr>
          <w:rFonts w:hint="eastAsia" w:ascii="新宋体" w:hAnsi="新宋体" w:eastAsia="新宋体"/>
          <w:b/>
          <w:bCs/>
          <w:color w:val="auto"/>
          <w:sz w:val="22"/>
          <w:szCs w:val="22"/>
          <w:highlight w:val="none"/>
        </w:rPr>
      </w:pPr>
      <w:r>
        <w:rPr>
          <w:rFonts w:hint="eastAsia" w:ascii="新宋体" w:hAnsi="新宋体" w:eastAsia="新宋体" w:cs="新宋体"/>
          <w:b/>
          <w:bCs/>
          <w:color w:val="auto"/>
          <w:sz w:val="22"/>
          <w:szCs w:val="22"/>
          <w:highlight w:val="none"/>
        </w:rPr>
        <w:t xml:space="preserve">     2.1</w:t>
      </w:r>
      <w:r>
        <w:rPr>
          <w:rFonts w:hint="eastAsia" w:ascii="新宋体" w:hAnsi="新宋体" w:eastAsia="新宋体"/>
          <w:b/>
          <w:bCs/>
          <w:color w:val="auto"/>
          <w:sz w:val="22"/>
          <w:szCs w:val="22"/>
          <w:highlight w:val="none"/>
        </w:rPr>
        <w:t>招标人按照评标报告中推荐的中标候选供应商顺序确定中标人；也可以事先授权评标委员会按照推荐的中标候选供应商顺序直接确定中标人。中标候选人并列的，采取随机抽取的方式确定。</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2.2</w:t>
      </w:r>
      <w:r>
        <w:rPr>
          <w:rFonts w:ascii="新宋体" w:hAnsi="新宋体" w:eastAsia="新宋体"/>
          <w:color w:val="auto"/>
          <w:sz w:val="22"/>
          <w:szCs w:val="22"/>
          <w:highlight w:val="none"/>
        </w:rPr>
        <w:t>如中标人放弃中标</w:t>
      </w:r>
      <w:r>
        <w:rPr>
          <w:rFonts w:hint="eastAsia" w:ascii="新宋体" w:hAnsi="新宋体" w:eastAsia="新宋体"/>
          <w:color w:val="auto"/>
          <w:sz w:val="22"/>
          <w:szCs w:val="22"/>
          <w:highlight w:val="none"/>
        </w:rPr>
        <w:t>；或未能在规定时间内与采购单位签订合同的；或者经质疑，招标人审查后，确因排名第一的候选人在本次采购活动中存在违法违规行为或其他原因使质疑成立的，招标人可以视情况直接确定排名第二的候选人为中标人（以此类推)或</w:t>
      </w:r>
      <w:r>
        <w:rPr>
          <w:rFonts w:ascii="新宋体" w:hAnsi="新宋体" w:eastAsia="新宋体"/>
          <w:color w:val="auto"/>
          <w:sz w:val="22"/>
          <w:szCs w:val="22"/>
          <w:highlight w:val="none"/>
        </w:rPr>
        <w:t>重新组织招标。</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3</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sz w:val="22"/>
          <w:szCs w:val="22"/>
          <w:highlight w:val="none"/>
        </w:rPr>
        <w:t>中标人确定后，招标人将在指定媒体公告中标结果，招标人向中标人发出中标通知书。</w:t>
      </w:r>
    </w:p>
    <w:p>
      <w:pPr>
        <w:spacing w:line="460" w:lineRule="exact"/>
        <w:ind w:firstLine="541" w:firstLineChars="245"/>
        <w:outlineLvl w:val="1"/>
        <w:rPr>
          <w:rFonts w:hint="eastAsia" w:ascii="新宋体" w:hAnsi="新宋体" w:eastAsia="新宋体" w:cs="新宋体"/>
          <w:b/>
          <w:color w:val="auto"/>
          <w:sz w:val="22"/>
          <w:szCs w:val="22"/>
          <w:highlight w:val="none"/>
        </w:rPr>
      </w:pPr>
      <w:r>
        <w:rPr>
          <w:rFonts w:hint="eastAsia" w:ascii="新宋体" w:hAnsi="新宋体" w:eastAsia="新宋体" w:cs="新宋体"/>
          <w:b/>
          <w:color w:val="auto"/>
          <w:sz w:val="22"/>
          <w:szCs w:val="22"/>
          <w:highlight w:val="none"/>
        </w:rPr>
        <w:t>七、投标人义务</w:t>
      </w:r>
    </w:p>
    <w:p>
      <w:pPr>
        <w:spacing w:line="460" w:lineRule="exact"/>
        <w:ind w:firstLine="539" w:firstLineChars="245"/>
        <w:rPr>
          <w:rFonts w:hint="eastAsia" w:ascii="新宋体" w:hAnsi="新宋体" w:eastAsia="新宋体" w:cs="新宋体"/>
          <w:color w:val="auto"/>
          <w:sz w:val="22"/>
          <w:szCs w:val="22"/>
          <w:highlight w:val="none"/>
        </w:rPr>
      </w:pPr>
      <w:r>
        <w:rPr>
          <w:rFonts w:hint="eastAsia" w:ascii="新宋体" w:hAnsi="新宋体" w:eastAsia="新宋体" w:cs="新宋体"/>
          <w:color w:val="auto"/>
          <w:sz w:val="22"/>
          <w:szCs w:val="22"/>
          <w:highlight w:val="none"/>
        </w:rPr>
        <w:t>投标人应随时接受评标委员会的询标，解答包括有关的商务、技术问题等。评标结束，所有评标资料存招标机构备查。</w:t>
      </w:r>
    </w:p>
    <w:sectPr>
      <w:headerReference r:id="rId7" w:type="default"/>
      <w:footerReference r:id="rId8" w:type="default"/>
      <w:pgSz w:w="11905" w:h="16838"/>
      <w:pgMar w:top="1134" w:right="1134" w:bottom="1134" w:left="1134" w:header="851" w:footer="992" w:gutter="0"/>
      <w:pgBorders w:offsetFrom="page">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7" w:usb1="00000000" w:usb2="00000000" w:usb3="00000000" w:csb0="00000093" w:csb1="0000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A00002FF" w:usb1="28CFFCFA"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Fonts w:hint="eastAsia"/>
      </w:rPr>
    </w:pPr>
    <w:r>
      <w:fldChar w:fldCharType="begin"/>
    </w:r>
    <w:r>
      <w:rPr>
        <w:rStyle w:val="54"/>
      </w:rPr>
      <w:instrText xml:space="preserve">PAGE  </w:instrText>
    </w:r>
    <w:r>
      <w:fldChar w:fldCharType="separate"/>
    </w:r>
    <w:r>
      <w:rPr>
        <w:rStyle w:val="54"/>
        <w:lang/>
      </w:rPr>
      <w:t>1</w:t>
    </w:r>
    <w:r>
      <w:fldChar w:fldCharType="end"/>
    </w:r>
  </w:p>
  <w:p>
    <w:pPr>
      <w:pStyle w:val="33"/>
      <w:ind w:right="360" w:firstLine="4500" w:firstLineChars="250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4"/>
        <w:rFonts w:hint="eastAsia"/>
      </w:rPr>
    </w:pPr>
    <w:r>
      <w:fldChar w:fldCharType="begin"/>
    </w:r>
    <w:r>
      <w:rPr>
        <w:rStyle w:val="54"/>
      </w:rPr>
      <w:instrText xml:space="preserve">PAGE  </w:instrText>
    </w:r>
    <w:r>
      <w:fldChar w:fldCharType="separate"/>
    </w:r>
    <w:r>
      <w:rPr>
        <w:rStyle w:val="54"/>
        <w:lang/>
      </w:rPr>
      <w:t>59</w:t>
    </w:r>
    <w:r>
      <w:fldChar w:fldCharType="end"/>
    </w:r>
  </w:p>
  <w:p>
    <w:pPr>
      <w:pStyle w:val="33"/>
      <w:ind w:right="360" w:firstLine="4500" w:firstLineChars="250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jc w:val="both"/>
      <w:rPr>
        <w:rFonts w:hint="eastAsia"/>
      </w:rPr>
    </w:pPr>
    <w:r>
      <w:rPr>
        <w:rFonts w:hint="eastAsia"/>
      </w:rPr>
      <w:t xml:space="preserve">温州市政府（分散）采购招标文件                                                项目编号：WZLCZB-SZS-2019-09156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single" w:color="auto" w:sz="6" w:space="0"/>
      </w:pBdr>
      <w:jc w:val="both"/>
      <w:rPr>
        <w:rFonts w:hint="eastAsia"/>
      </w:rPr>
    </w:pPr>
    <w:r>
      <w:rPr>
        <w:rFonts w:hint="eastAsia"/>
      </w:rPr>
      <w:t xml:space="preserve">温州市政府（分散）采购招标文件                                             项目编号：WZLCZB-SZS-2019-09156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43D01D4"/>
    <w:multiLevelType w:val="multilevel"/>
    <w:tmpl w:val="243D01D4"/>
    <w:lvl w:ilvl="0" w:tentative="0">
      <w:start w:val="1"/>
      <w:numFmt w:val="decimal"/>
      <w:lvlText w:val="%1、"/>
      <w:lvlJc w:val="left"/>
      <w:pPr>
        <w:ind w:left="600" w:hanging="36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
    <w:nsid w:val="64C5EAD8"/>
    <w:multiLevelType w:val="singleLevel"/>
    <w:tmpl w:val="64C5EAD8"/>
    <w:lvl w:ilvl="0" w:tentative="0">
      <w:start w:val="1"/>
      <w:numFmt w:val="decimal"/>
      <w:suff w:val="nothing"/>
      <w:lvlText w:val="（%1）"/>
      <w:lvlJc w:val="left"/>
    </w:lvl>
  </w:abstractNum>
  <w:abstractNum w:abstractNumId="3">
    <w:nsid w:val="7FB517C2"/>
    <w:multiLevelType w:val="multilevel"/>
    <w:tmpl w:val="7FB517C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12A"/>
    <w:rsid w:val="0000722D"/>
    <w:rsid w:val="00010D72"/>
    <w:rsid w:val="0001296A"/>
    <w:rsid w:val="0001515A"/>
    <w:rsid w:val="000261C3"/>
    <w:rsid w:val="00030F3B"/>
    <w:rsid w:val="000450AE"/>
    <w:rsid w:val="0004733B"/>
    <w:rsid w:val="000561AC"/>
    <w:rsid w:val="00061AD2"/>
    <w:rsid w:val="00081EB2"/>
    <w:rsid w:val="00085E9B"/>
    <w:rsid w:val="000A0C46"/>
    <w:rsid w:val="000A3655"/>
    <w:rsid w:val="000A4EA4"/>
    <w:rsid w:val="000A6433"/>
    <w:rsid w:val="000B28F3"/>
    <w:rsid w:val="000B6EA1"/>
    <w:rsid w:val="000C44E7"/>
    <w:rsid w:val="000C6E4D"/>
    <w:rsid w:val="000D567A"/>
    <w:rsid w:val="000D74C3"/>
    <w:rsid w:val="000F14ED"/>
    <w:rsid w:val="000F3593"/>
    <w:rsid w:val="000F5CC6"/>
    <w:rsid w:val="00114ACC"/>
    <w:rsid w:val="001159C7"/>
    <w:rsid w:val="0013519A"/>
    <w:rsid w:val="00140903"/>
    <w:rsid w:val="001437F2"/>
    <w:rsid w:val="00146632"/>
    <w:rsid w:val="0015168F"/>
    <w:rsid w:val="001576AA"/>
    <w:rsid w:val="00161ED4"/>
    <w:rsid w:val="00162BFB"/>
    <w:rsid w:val="00177F74"/>
    <w:rsid w:val="0018054C"/>
    <w:rsid w:val="00192381"/>
    <w:rsid w:val="00195828"/>
    <w:rsid w:val="001C0C33"/>
    <w:rsid w:val="001D0B69"/>
    <w:rsid w:val="001D5FFA"/>
    <w:rsid w:val="001D690F"/>
    <w:rsid w:val="001E7042"/>
    <w:rsid w:val="001E777E"/>
    <w:rsid w:val="001F48C2"/>
    <w:rsid w:val="00200A64"/>
    <w:rsid w:val="00202FB2"/>
    <w:rsid w:val="00204235"/>
    <w:rsid w:val="00205A6B"/>
    <w:rsid w:val="00207F40"/>
    <w:rsid w:val="0021196E"/>
    <w:rsid w:val="002124D2"/>
    <w:rsid w:val="00222379"/>
    <w:rsid w:val="00226430"/>
    <w:rsid w:val="00231C8A"/>
    <w:rsid w:val="00247CBD"/>
    <w:rsid w:val="00257432"/>
    <w:rsid w:val="0026731E"/>
    <w:rsid w:val="00272FDC"/>
    <w:rsid w:val="00273107"/>
    <w:rsid w:val="002760A0"/>
    <w:rsid w:val="00287BF3"/>
    <w:rsid w:val="002B11D3"/>
    <w:rsid w:val="002B287E"/>
    <w:rsid w:val="002D0FCF"/>
    <w:rsid w:val="002D3D00"/>
    <w:rsid w:val="002D4E59"/>
    <w:rsid w:val="002E6CD2"/>
    <w:rsid w:val="002E7496"/>
    <w:rsid w:val="002F2E8E"/>
    <w:rsid w:val="002F3529"/>
    <w:rsid w:val="00305E33"/>
    <w:rsid w:val="003072AE"/>
    <w:rsid w:val="003221FB"/>
    <w:rsid w:val="00325F09"/>
    <w:rsid w:val="00332FF9"/>
    <w:rsid w:val="00335BB5"/>
    <w:rsid w:val="00345547"/>
    <w:rsid w:val="00353911"/>
    <w:rsid w:val="00373924"/>
    <w:rsid w:val="00383EEE"/>
    <w:rsid w:val="0038775F"/>
    <w:rsid w:val="00390393"/>
    <w:rsid w:val="00392EB2"/>
    <w:rsid w:val="00394737"/>
    <w:rsid w:val="00397A8E"/>
    <w:rsid w:val="003A0A06"/>
    <w:rsid w:val="003A7C06"/>
    <w:rsid w:val="003B3482"/>
    <w:rsid w:val="003B4A58"/>
    <w:rsid w:val="003C1608"/>
    <w:rsid w:val="003C1F7F"/>
    <w:rsid w:val="003D0699"/>
    <w:rsid w:val="003D1096"/>
    <w:rsid w:val="003D6C72"/>
    <w:rsid w:val="003E417A"/>
    <w:rsid w:val="003F0E7C"/>
    <w:rsid w:val="003F5D2C"/>
    <w:rsid w:val="003F7B75"/>
    <w:rsid w:val="0040151B"/>
    <w:rsid w:val="00402E7C"/>
    <w:rsid w:val="004071D1"/>
    <w:rsid w:val="00410895"/>
    <w:rsid w:val="00413717"/>
    <w:rsid w:val="00422E6B"/>
    <w:rsid w:val="0044667B"/>
    <w:rsid w:val="0044722B"/>
    <w:rsid w:val="004507BC"/>
    <w:rsid w:val="00453D0E"/>
    <w:rsid w:val="004652D4"/>
    <w:rsid w:val="00472913"/>
    <w:rsid w:val="00476A0C"/>
    <w:rsid w:val="0049091E"/>
    <w:rsid w:val="00493166"/>
    <w:rsid w:val="00493271"/>
    <w:rsid w:val="00493E0C"/>
    <w:rsid w:val="004952AA"/>
    <w:rsid w:val="00496575"/>
    <w:rsid w:val="004966BC"/>
    <w:rsid w:val="004A4383"/>
    <w:rsid w:val="004B7365"/>
    <w:rsid w:val="004E412B"/>
    <w:rsid w:val="004F79EE"/>
    <w:rsid w:val="004F7B9D"/>
    <w:rsid w:val="00501020"/>
    <w:rsid w:val="00516C1E"/>
    <w:rsid w:val="005204AC"/>
    <w:rsid w:val="00533200"/>
    <w:rsid w:val="00537184"/>
    <w:rsid w:val="00545660"/>
    <w:rsid w:val="00545C50"/>
    <w:rsid w:val="00545D5B"/>
    <w:rsid w:val="005546BC"/>
    <w:rsid w:val="0056386C"/>
    <w:rsid w:val="00565174"/>
    <w:rsid w:val="00585264"/>
    <w:rsid w:val="00586803"/>
    <w:rsid w:val="00587127"/>
    <w:rsid w:val="00590D9C"/>
    <w:rsid w:val="00591481"/>
    <w:rsid w:val="005A12F4"/>
    <w:rsid w:val="005A36EC"/>
    <w:rsid w:val="005A5D7F"/>
    <w:rsid w:val="005C0425"/>
    <w:rsid w:val="005C220B"/>
    <w:rsid w:val="005C2E71"/>
    <w:rsid w:val="005C62C7"/>
    <w:rsid w:val="005E43F3"/>
    <w:rsid w:val="005F0601"/>
    <w:rsid w:val="005F5CE3"/>
    <w:rsid w:val="0060055C"/>
    <w:rsid w:val="00621D42"/>
    <w:rsid w:val="00622327"/>
    <w:rsid w:val="00635F8A"/>
    <w:rsid w:val="00650D18"/>
    <w:rsid w:val="006513F5"/>
    <w:rsid w:val="00651509"/>
    <w:rsid w:val="00655A7F"/>
    <w:rsid w:val="00664BD8"/>
    <w:rsid w:val="00665846"/>
    <w:rsid w:val="006747EF"/>
    <w:rsid w:val="00676CAE"/>
    <w:rsid w:val="0067730C"/>
    <w:rsid w:val="006801C2"/>
    <w:rsid w:val="00690E3A"/>
    <w:rsid w:val="006920E0"/>
    <w:rsid w:val="00693C64"/>
    <w:rsid w:val="00695D33"/>
    <w:rsid w:val="006A71AA"/>
    <w:rsid w:val="006B10AA"/>
    <w:rsid w:val="006C7143"/>
    <w:rsid w:val="006D04D7"/>
    <w:rsid w:val="006D2F57"/>
    <w:rsid w:val="006F69A8"/>
    <w:rsid w:val="0070011C"/>
    <w:rsid w:val="0070706A"/>
    <w:rsid w:val="00734F6E"/>
    <w:rsid w:val="00737EA2"/>
    <w:rsid w:val="007413E0"/>
    <w:rsid w:val="00746D84"/>
    <w:rsid w:val="007548DA"/>
    <w:rsid w:val="007640FB"/>
    <w:rsid w:val="00767EF5"/>
    <w:rsid w:val="00773BBA"/>
    <w:rsid w:val="00792BD2"/>
    <w:rsid w:val="007A2ECF"/>
    <w:rsid w:val="007A3B23"/>
    <w:rsid w:val="007A6B8E"/>
    <w:rsid w:val="007B493D"/>
    <w:rsid w:val="007D40A3"/>
    <w:rsid w:val="007E67D9"/>
    <w:rsid w:val="007F0FAF"/>
    <w:rsid w:val="00812B53"/>
    <w:rsid w:val="00822345"/>
    <w:rsid w:val="0082442B"/>
    <w:rsid w:val="008315A0"/>
    <w:rsid w:val="00833494"/>
    <w:rsid w:val="008356B6"/>
    <w:rsid w:val="008360BD"/>
    <w:rsid w:val="0084602B"/>
    <w:rsid w:val="00886B95"/>
    <w:rsid w:val="0089561F"/>
    <w:rsid w:val="00897067"/>
    <w:rsid w:val="008C3652"/>
    <w:rsid w:val="008C39BB"/>
    <w:rsid w:val="008D3C60"/>
    <w:rsid w:val="008E0099"/>
    <w:rsid w:val="008E5BD4"/>
    <w:rsid w:val="008F200A"/>
    <w:rsid w:val="008F49B6"/>
    <w:rsid w:val="00901173"/>
    <w:rsid w:val="00910FFB"/>
    <w:rsid w:val="00913F69"/>
    <w:rsid w:val="009217C8"/>
    <w:rsid w:val="00922CD7"/>
    <w:rsid w:val="00932461"/>
    <w:rsid w:val="009333B5"/>
    <w:rsid w:val="00936D3F"/>
    <w:rsid w:val="0093719B"/>
    <w:rsid w:val="00940BF8"/>
    <w:rsid w:val="00953551"/>
    <w:rsid w:val="00960190"/>
    <w:rsid w:val="009633A5"/>
    <w:rsid w:val="00967DE8"/>
    <w:rsid w:val="00984C1F"/>
    <w:rsid w:val="00991201"/>
    <w:rsid w:val="009944F6"/>
    <w:rsid w:val="00995941"/>
    <w:rsid w:val="009A1FF2"/>
    <w:rsid w:val="009B3062"/>
    <w:rsid w:val="009C39C0"/>
    <w:rsid w:val="009C423D"/>
    <w:rsid w:val="009C5404"/>
    <w:rsid w:val="009D0854"/>
    <w:rsid w:val="009D1A19"/>
    <w:rsid w:val="009E45E4"/>
    <w:rsid w:val="009F4735"/>
    <w:rsid w:val="00A1118A"/>
    <w:rsid w:val="00A117F5"/>
    <w:rsid w:val="00A13337"/>
    <w:rsid w:val="00A13747"/>
    <w:rsid w:val="00A16511"/>
    <w:rsid w:val="00A26B9E"/>
    <w:rsid w:val="00A46F38"/>
    <w:rsid w:val="00A60BA0"/>
    <w:rsid w:val="00A75A22"/>
    <w:rsid w:val="00AB2C82"/>
    <w:rsid w:val="00AB59D5"/>
    <w:rsid w:val="00AD3086"/>
    <w:rsid w:val="00AD359B"/>
    <w:rsid w:val="00AD65E6"/>
    <w:rsid w:val="00AE2552"/>
    <w:rsid w:val="00AF1205"/>
    <w:rsid w:val="00AF4694"/>
    <w:rsid w:val="00B112E4"/>
    <w:rsid w:val="00B5326E"/>
    <w:rsid w:val="00B570D8"/>
    <w:rsid w:val="00B618BE"/>
    <w:rsid w:val="00B65D09"/>
    <w:rsid w:val="00B73EC3"/>
    <w:rsid w:val="00B74467"/>
    <w:rsid w:val="00B80CAF"/>
    <w:rsid w:val="00B944E7"/>
    <w:rsid w:val="00B97093"/>
    <w:rsid w:val="00BA0834"/>
    <w:rsid w:val="00BB0C0C"/>
    <w:rsid w:val="00BB2BAD"/>
    <w:rsid w:val="00BC1A25"/>
    <w:rsid w:val="00BC23A0"/>
    <w:rsid w:val="00BD44F2"/>
    <w:rsid w:val="00BD70AA"/>
    <w:rsid w:val="00BF0A1C"/>
    <w:rsid w:val="00C23C3B"/>
    <w:rsid w:val="00C45864"/>
    <w:rsid w:val="00C5136B"/>
    <w:rsid w:val="00C60B22"/>
    <w:rsid w:val="00C64546"/>
    <w:rsid w:val="00C73980"/>
    <w:rsid w:val="00C75AC9"/>
    <w:rsid w:val="00CA146A"/>
    <w:rsid w:val="00CA33E1"/>
    <w:rsid w:val="00CA6260"/>
    <w:rsid w:val="00CB60BA"/>
    <w:rsid w:val="00CB6651"/>
    <w:rsid w:val="00CC092E"/>
    <w:rsid w:val="00CD2D84"/>
    <w:rsid w:val="00CD34DC"/>
    <w:rsid w:val="00CE0630"/>
    <w:rsid w:val="00CE17B0"/>
    <w:rsid w:val="00CF2A7E"/>
    <w:rsid w:val="00CF3393"/>
    <w:rsid w:val="00D1698F"/>
    <w:rsid w:val="00D27787"/>
    <w:rsid w:val="00D302F0"/>
    <w:rsid w:val="00D32111"/>
    <w:rsid w:val="00D403DF"/>
    <w:rsid w:val="00D64201"/>
    <w:rsid w:val="00DA5F27"/>
    <w:rsid w:val="00DB23EB"/>
    <w:rsid w:val="00DB3C0D"/>
    <w:rsid w:val="00DC4A01"/>
    <w:rsid w:val="00DD39ED"/>
    <w:rsid w:val="00DD6809"/>
    <w:rsid w:val="00DE7708"/>
    <w:rsid w:val="00DF445E"/>
    <w:rsid w:val="00E023F7"/>
    <w:rsid w:val="00E239CF"/>
    <w:rsid w:val="00E3409C"/>
    <w:rsid w:val="00E374D7"/>
    <w:rsid w:val="00E374DA"/>
    <w:rsid w:val="00E3790E"/>
    <w:rsid w:val="00E37FBA"/>
    <w:rsid w:val="00E5003C"/>
    <w:rsid w:val="00E646DE"/>
    <w:rsid w:val="00E65A8C"/>
    <w:rsid w:val="00E7145E"/>
    <w:rsid w:val="00E71A48"/>
    <w:rsid w:val="00E875E2"/>
    <w:rsid w:val="00E9099C"/>
    <w:rsid w:val="00E92CCD"/>
    <w:rsid w:val="00E95259"/>
    <w:rsid w:val="00E95767"/>
    <w:rsid w:val="00EA35C6"/>
    <w:rsid w:val="00EA6BA8"/>
    <w:rsid w:val="00EB3625"/>
    <w:rsid w:val="00EB379B"/>
    <w:rsid w:val="00EB6636"/>
    <w:rsid w:val="00EC58C3"/>
    <w:rsid w:val="00ED0847"/>
    <w:rsid w:val="00EE03C1"/>
    <w:rsid w:val="00EE35CD"/>
    <w:rsid w:val="00EE4F94"/>
    <w:rsid w:val="00EF494E"/>
    <w:rsid w:val="00EF54DE"/>
    <w:rsid w:val="00EF5D42"/>
    <w:rsid w:val="00F33A39"/>
    <w:rsid w:val="00F36F88"/>
    <w:rsid w:val="00F42F44"/>
    <w:rsid w:val="00F4342E"/>
    <w:rsid w:val="00F448B2"/>
    <w:rsid w:val="00F47E53"/>
    <w:rsid w:val="00F5538D"/>
    <w:rsid w:val="00F5695B"/>
    <w:rsid w:val="00F635EE"/>
    <w:rsid w:val="00F75A1A"/>
    <w:rsid w:val="00F87452"/>
    <w:rsid w:val="00F913FF"/>
    <w:rsid w:val="00F92D6D"/>
    <w:rsid w:val="00FA3594"/>
    <w:rsid w:val="00FA4344"/>
    <w:rsid w:val="00FA56C7"/>
    <w:rsid w:val="00FB3958"/>
    <w:rsid w:val="00FC3CB5"/>
    <w:rsid w:val="00FD5651"/>
    <w:rsid w:val="00FD5769"/>
    <w:rsid w:val="01264972"/>
    <w:rsid w:val="012C687B"/>
    <w:rsid w:val="014F22B3"/>
    <w:rsid w:val="019D66CC"/>
    <w:rsid w:val="01F504C2"/>
    <w:rsid w:val="020142D5"/>
    <w:rsid w:val="0205041C"/>
    <w:rsid w:val="02063FE0"/>
    <w:rsid w:val="02125874"/>
    <w:rsid w:val="02204B8A"/>
    <w:rsid w:val="022B099C"/>
    <w:rsid w:val="022F2C26"/>
    <w:rsid w:val="02497F4C"/>
    <w:rsid w:val="02646578"/>
    <w:rsid w:val="027F0426"/>
    <w:rsid w:val="028C553E"/>
    <w:rsid w:val="02A47361"/>
    <w:rsid w:val="0359140E"/>
    <w:rsid w:val="03724537"/>
    <w:rsid w:val="03784E49"/>
    <w:rsid w:val="03CB2647"/>
    <w:rsid w:val="03D71CDD"/>
    <w:rsid w:val="03FF761E"/>
    <w:rsid w:val="0445439F"/>
    <w:rsid w:val="04504F3A"/>
    <w:rsid w:val="04596C4A"/>
    <w:rsid w:val="045D79B7"/>
    <w:rsid w:val="04800E71"/>
    <w:rsid w:val="04805B3E"/>
    <w:rsid w:val="04B11640"/>
    <w:rsid w:val="04C05136"/>
    <w:rsid w:val="04F252F6"/>
    <w:rsid w:val="052470ED"/>
    <w:rsid w:val="052A023B"/>
    <w:rsid w:val="059B14D1"/>
    <w:rsid w:val="05B5126E"/>
    <w:rsid w:val="05D005C2"/>
    <w:rsid w:val="05D07DEC"/>
    <w:rsid w:val="05E53FBB"/>
    <w:rsid w:val="0627461A"/>
    <w:rsid w:val="06413050"/>
    <w:rsid w:val="065751F3"/>
    <w:rsid w:val="067154A3"/>
    <w:rsid w:val="067A44AE"/>
    <w:rsid w:val="06AE6C63"/>
    <w:rsid w:val="06D263D3"/>
    <w:rsid w:val="06DB57CD"/>
    <w:rsid w:val="06EE1BA3"/>
    <w:rsid w:val="06F366F7"/>
    <w:rsid w:val="06F82B7E"/>
    <w:rsid w:val="07167BB0"/>
    <w:rsid w:val="07334126"/>
    <w:rsid w:val="074531B7"/>
    <w:rsid w:val="078C55F0"/>
    <w:rsid w:val="07944BFB"/>
    <w:rsid w:val="07A36961"/>
    <w:rsid w:val="07B973B9"/>
    <w:rsid w:val="07BB6140"/>
    <w:rsid w:val="07CF4DE0"/>
    <w:rsid w:val="07D03615"/>
    <w:rsid w:val="07DA78EE"/>
    <w:rsid w:val="080C691B"/>
    <w:rsid w:val="082C1FF9"/>
    <w:rsid w:val="08420869"/>
    <w:rsid w:val="086E2214"/>
    <w:rsid w:val="087407E6"/>
    <w:rsid w:val="087D77E5"/>
    <w:rsid w:val="08801DC1"/>
    <w:rsid w:val="08A118B5"/>
    <w:rsid w:val="08A90A74"/>
    <w:rsid w:val="08BD11E5"/>
    <w:rsid w:val="09196C04"/>
    <w:rsid w:val="09223108"/>
    <w:rsid w:val="092C729B"/>
    <w:rsid w:val="09635DB0"/>
    <w:rsid w:val="09BE65B0"/>
    <w:rsid w:val="09D232AC"/>
    <w:rsid w:val="09DA28B7"/>
    <w:rsid w:val="09FB3BD9"/>
    <w:rsid w:val="0A072481"/>
    <w:rsid w:val="0A440D11"/>
    <w:rsid w:val="0A482EEB"/>
    <w:rsid w:val="0A553EDB"/>
    <w:rsid w:val="0A960A6B"/>
    <w:rsid w:val="0AAD52DC"/>
    <w:rsid w:val="0AAE1995"/>
    <w:rsid w:val="0AB923BA"/>
    <w:rsid w:val="0AC17331"/>
    <w:rsid w:val="0AD34113"/>
    <w:rsid w:val="0AD5277D"/>
    <w:rsid w:val="0ADF5167"/>
    <w:rsid w:val="0AF5210A"/>
    <w:rsid w:val="0B0E19AF"/>
    <w:rsid w:val="0B506B9D"/>
    <w:rsid w:val="0B7E67EB"/>
    <w:rsid w:val="0BA95D9C"/>
    <w:rsid w:val="0BAC6512"/>
    <w:rsid w:val="0BAE3AB7"/>
    <w:rsid w:val="0BCF786E"/>
    <w:rsid w:val="0BDF7B09"/>
    <w:rsid w:val="0BEE7ACA"/>
    <w:rsid w:val="0BF409A8"/>
    <w:rsid w:val="0C3B2421"/>
    <w:rsid w:val="0C674B55"/>
    <w:rsid w:val="0C6C7C4D"/>
    <w:rsid w:val="0C724AF9"/>
    <w:rsid w:val="0C786A02"/>
    <w:rsid w:val="0C7B4143"/>
    <w:rsid w:val="0CAD145B"/>
    <w:rsid w:val="0CB56867"/>
    <w:rsid w:val="0CDC7606"/>
    <w:rsid w:val="0CE12ACB"/>
    <w:rsid w:val="0CE44755"/>
    <w:rsid w:val="0D290B32"/>
    <w:rsid w:val="0D3120B9"/>
    <w:rsid w:val="0D69614D"/>
    <w:rsid w:val="0D7105FB"/>
    <w:rsid w:val="0D7131C4"/>
    <w:rsid w:val="0D7978AA"/>
    <w:rsid w:val="0DCD3AFE"/>
    <w:rsid w:val="0DDB40CB"/>
    <w:rsid w:val="0E103B32"/>
    <w:rsid w:val="0E14552A"/>
    <w:rsid w:val="0E272EC6"/>
    <w:rsid w:val="0E2F02D2"/>
    <w:rsid w:val="0E8B53BA"/>
    <w:rsid w:val="0F08565E"/>
    <w:rsid w:val="0F24373F"/>
    <w:rsid w:val="0F2929ED"/>
    <w:rsid w:val="0F38774B"/>
    <w:rsid w:val="0F6F310C"/>
    <w:rsid w:val="0F9D58DC"/>
    <w:rsid w:val="0FAB6164"/>
    <w:rsid w:val="0FAD09EF"/>
    <w:rsid w:val="0FD30983"/>
    <w:rsid w:val="0FE6396C"/>
    <w:rsid w:val="10181477"/>
    <w:rsid w:val="1023528A"/>
    <w:rsid w:val="102F4B41"/>
    <w:rsid w:val="103B6C8A"/>
    <w:rsid w:val="10465C63"/>
    <w:rsid w:val="10657E02"/>
    <w:rsid w:val="106F4084"/>
    <w:rsid w:val="10711C66"/>
    <w:rsid w:val="109B2DB3"/>
    <w:rsid w:val="10AE7DE0"/>
    <w:rsid w:val="10C14D88"/>
    <w:rsid w:val="10C3028B"/>
    <w:rsid w:val="10ED2754"/>
    <w:rsid w:val="11100BEC"/>
    <w:rsid w:val="11117566"/>
    <w:rsid w:val="11206427"/>
    <w:rsid w:val="112648B0"/>
    <w:rsid w:val="1153597C"/>
    <w:rsid w:val="11812180"/>
    <w:rsid w:val="11853BCD"/>
    <w:rsid w:val="118938EE"/>
    <w:rsid w:val="118E53EE"/>
    <w:rsid w:val="11AE411D"/>
    <w:rsid w:val="11C449B6"/>
    <w:rsid w:val="11D35ECA"/>
    <w:rsid w:val="11D8740C"/>
    <w:rsid w:val="11DD425B"/>
    <w:rsid w:val="11F62C07"/>
    <w:rsid w:val="12317569"/>
    <w:rsid w:val="12972790"/>
    <w:rsid w:val="129B153D"/>
    <w:rsid w:val="12AD10B0"/>
    <w:rsid w:val="12EC7C9C"/>
    <w:rsid w:val="12EE791C"/>
    <w:rsid w:val="12F30313"/>
    <w:rsid w:val="12F64E1C"/>
    <w:rsid w:val="130C274F"/>
    <w:rsid w:val="13180760"/>
    <w:rsid w:val="13726CAC"/>
    <w:rsid w:val="13775976"/>
    <w:rsid w:val="137F1409"/>
    <w:rsid w:val="13A0412A"/>
    <w:rsid w:val="13AD5251"/>
    <w:rsid w:val="13AF0319"/>
    <w:rsid w:val="13DE2AA7"/>
    <w:rsid w:val="14590EE8"/>
    <w:rsid w:val="14602002"/>
    <w:rsid w:val="14664898"/>
    <w:rsid w:val="14760EB9"/>
    <w:rsid w:val="148A09C2"/>
    <w:rsid w:val="148E15C6"/>
    <w:rsid w:val="14AB30F5"/>
    <w:rsid w:val="14AF2A6D"/>
    <w:rsid w:val="14B97201"/>
    <w:rsid w:val="14C35EC8"/>
    <w:rsid w:val="14C95D55"/>
    <w:rsid w:val="14CA749C"/>
    <w:rsid w:val="14CC6EAC"/>
    <w:rsid w:val="14DB1F2C"/>
    <w:rsid w:val="14F70FF5"/>
    <w:rsid w:val="15034E08"/>
    <w:rsid w:val="150E6C91"/>
    <w:rsid w:val="1511631C"/>
    <w:rsid w:val="151D2F41"/>
    <w:rsid w:val="15262A3E"/>
    <w:rsid w:val="15604D4E"/>
    <w:rsid w:val="15624E21"/>
    <w:rsid w:val="15776C30"/>
    <w:rsid w:val="15833F6D"/>
    <w:rsid w:val="159D7F89"/>
    <w:rsid w:val="15BD1CB8"/>
    <w:rsid w:val="15D93B67"/>
    <w:rsid w:val="15DB13BD"/>
    <w:rsid w:val="15EA4433"/>
    <w:rsid w:val="15FD5275"/>
    <w:rsid w:val="16003A26"/>
    <w:rsid w:val="16130536"/>
    <w:rsid w:val="163D388B"/>
    <w:rsid w:val="16450C97"/>
    <w:rsid w:val="16517625"/>
    <w:rsid w:val="16913315"/>
    <w:rsid w:val="16A35EB2"/>
    <w:rsid w:val="16B741BD"/>
    <w:rsid w:val="16BE344D"/>
    <w:rsid w:val="16EC4928"/>
    <w:rsid w:val="17121781"/>
    <w:rsid w:val="171E2B79"/>
    <w:rsid w:val="17252504"/>
    <w:rsid w:val="173B2D0F"/>
    <w:rsid w:val="173C7D69"/>
    <w:rsid w:val="175852DC"/>
    <w:rsid w:val="17697775"/>
    <w:rsid w:val="177A5491"/>
    <w:rsid w:val="178A352D"/>
    <w:rsid w:val="179F1E61"/>
    <w:rsid w:val="17AB6088"/>
    <w:rsid w:val="17B51DF3"/>
    <w:rsid w:val="17D77DA9"/>
    <w:rsid w:val="17DF4C96"/>
    <w:rsid w:val="17E13F3C"/>
    <w:rsid w:val="183B546D"/>
    <w:rsid w:val="18702E44"/>
    <w:rsid w:val="18912A5B"/>
    <w:rsid w:val="18EB7C71"/>
    <w:rsid w:val="192F165F"/>
    <w:rsid w:val="196C5FA0"/>
    <w:rsid w:val="197A22F7"/>
    <w:rsid w:val="19A2611B"/>
    <w:rsid w:val="19D91FC2"/>
    <w:rsid w:val="19DC0139"/>
    <w:rsid w:val="1A0738C1"/>
    <w:rsid w:val="1A551442"/>
    <w:rsid w:val="1A983711"/>
    <w:rsid w:val="1AA5678D"/>
    <w:rsid w:val="1AA62FB1"/>
    <w:rsid w:val="1AAF2DD5"/>
    <w:rsid w:val="1ABE4B38"/>
    <w:rsid w:val="1AC20F54"/>
    <w:rsid w:val="1AE26C60"/>
    <w:rsid w:val="1AFD2B54"/>
    <w:rsid w:val="1B065AA9"/>
    <w:rsid w:val="1B0921EA"/>
    <w:rsid w:val="1B263D19"/>
    <w:rsid w:val="1B851042"/>
    <w:rsid w:val="1B905862"/>
    <w:rsid w:val="1B905946"/>
    <w:rsid w:val="1B9549C2"/>
    <w:rsid w:val="1BD835CD"/>
    <w:rsid w:val="1BF331E9"/>
    <w:rsid w:val="1BF8341F"/>
    <w:rsid w:val="1C261C86"/>
    <w:rsid w:val="1C455123"/>
    <w:rsid w:val="1CBC50B4"/>
    <w:rsid w:val="1CE35B08"/>
    <w:rsid w:val="1CE56FB8"/>
    <w:rsid w:val="1CEF1452"/>
    <w:rsid w:val="1CF21C9B"/>
    <w:rsid w:val="1CF3558E"/>
    <w:rsid w:val="1D0B4E33"/>
    <w:rsid w:val="1D1E3295"/>
    <w:rsid w:val="1D275691"/>
    <w:rsid w:val="1D756A60"/>
    <w:rsid w:val="1D86477C"/>
    <w:rsid w:val="1D912028"/>
    <w:rsid w:val="1DA340AC"/>
    <w:rsid w:val="1DB60B4F"/>
    <w:rsid w:val="1DDC550B"/>
    <w:rsid w:val="1DE25A77"/>
    <w:rsid w:val="1DE73806"/>
    <w:rsid w:val="1DF24C3E"/>
    <w:rsid w:val="1E192DF2"/>
    <w:rsid w:val="1E1B73C6"/>
    <w:rsid w:val="1E2458FF"/>
    <w:rsid w:val="1E256C04"/>
    <w:rsid w:val="1E357728"/>
    <w:rsid w:val="1E3A52E5"/>
    <w:rsid w:val="1E56292A"/>
    <w:rsid w:val="1E63725F"/>
    <w:rsid w:val="1E7215A7"/>
    <w:rsid w:val="1E7A6208"/>
    <w:rsid w:val="1E8C78AD"/>
    <w:rsid w:val="1ED33FD0"/>
    <w:rsid w:val="1ED45AC8"/>
    <w:rsid w:val="1ED50FA6"/>
    <w:rsid w:val="1EEA1E45"/>
    <w:rsid w:val="1F0771F7"/>
    <w:rsid w:val="1F104283"/>
    <w:rsid w:val="1F382472"/>
    <w:rsid w:val="1FA31C5E"/>
    <w:rsid w:val="1FDA270D"/>
    <w:rsid w:val="200C6AA5"/>
    <w:rsid w:val="201E69BF"/>
    <w:rsid w:val="2028017E"/>
    <w:rsid w:val="202A2210"/>
    <w:rsid w:val="20327BDE"/>
    <w:rsid w:val="205F0AD2"/>
    <w:rsid w:val="20D17AE7"/>
    <w:rsid w:val="20E21F80"/>
    <w:rsid w:val="20ED0397"/>
    <w:rsid w:val="20FA2EAA"/>
    <w:rsid w:val="210202B6"/>
    <w:rsid w:val="211711B4"/>
    <w:rsid w:val="211C1220"/>
    <w:rsid w:val="2131386A"/>
    <w:rsid w:val="21B07874"/>
    <w:rsid w:val="21BD189A"/>
    <w:rsid w:val="224645D6"/>
    <w:rsid w:val="22520F5F"/>
    <w:rsid w:val="225A62E9"/>
    <w:rsid w:val="22625B8D"/>
    <w:rsid w:val="22734622"/>
    <w:rsid w:val="2284712E"/>
    <w:rsid w:val="22B36E5E"/>
    <w:rsid w:val="22BB6B83"/>
    <w:rsid w:val="22BF0A6F"/>
    <w:rsid w:val="22C04C19"/>
    <w:rsid w:val="22E84C54"/>
    <w:rsid w:val="231563AD"/>
    <w:rsid w:val="23385CD8"/>
    <w:rsid w:val="233D5333"/>
    <w:rsid w:val="2363459D"/>
    <w:rsid w:val="239A1565"/>
    <w:rsid w:val="23CA0B63"/>
    <w:rsid w:val="23CF476A"/>
    <w:rsid w:val="24171AC2"/>
    <w:rsid w:val="24187544"/>
    <w:rsid w:val="24267B5E"/>
    <w:rsid w:val="242F29EC"/>
    <w:rsid w:val="243E5740"/>
    <w:rsid w:val="24610C3D"/>
    <w:rsid w:val="24641BC2"/>
    <w:rsid w:val="247061FC"/>
    <w:rsid w:val="2471570B"/>
    <w:rsid w:val="247F01ED"/>
    <w:rsid w:val="24AA2336"/>
    <w:rsid w:val="24B0423F"/>
    <w:rsid w:val="24C83450"/>
    <w:rsid w:val="24D02576"/>
    <w:rsid w:val="24DF150B"/>
    <w:rsid w:val="25583753"/>
    <w:rsid w:val="2559305A"/>
    <w:rsid w:val="255B46D8"/>
    <w:rsid w:val="255D0C82"/>
    <w:rsid w:val="2564330A"/>
    <w:rsid w:val="25776207"/>
    <w:rsid w:val="25D12401"/>
    <w:rsid w:val="25DE362C"/>
    <w:rsid w:val="25E64E2D"/>
    <w:rsid w:val="26066D6F"/>
    <w:rsid w:val="26407E4E"/>
    <w:rsid w:val="266C1F97"/>
    <w:rsid w:val="267B47B0"/>
    <w:rsid w:val="26914755"/>
    <w:rsid w:val="26A036EA"/>
    <w:rsid w:val="26C71E21"/>
    <w:rsid w:val="26FC3E04"/>
    <w:rsid w:val="271414AB"/>
    <w:rsid w:val="27193891"/>
    <w:rsid w:val="27197219"/>
    <w:rsid w:val="275D310D"/>
    <w:rsid w:val="27641079"/>
    <w:rsid w:val="2764472D"/>
    <w:rsid w:val="276521AF"/>
    <w:rsid w:val="27711845"/>
    <w:rsid w:val="279061A1"/>
    <w:rsid w:val="27A14B2D"/>
    <w:rsid w:val="27B01B80"/>
    <w:rsid w:val="27D55CE6"/>
    <w:rsid w:val="28030C68"/>
    <w:rsid w:val="281736EF"/>
    <w:rsid w:val="28287CEE"/>
    <w:rsid w:val="28431B9D"/>
    <w:rsid w:val="284A0374"/>
    <w:rsid w:val="284B3726"/>
    <w:rsid w:val="285C715D"/>
    <w:rsid w:val="288A7107"/>
    <w:rsid w:val="2892519F"/>
    <w:rsid w:val="2894471B"/>
    <w:rsid w:val="28AE649A"/>
    <w:rsid w:val="28F715A3"/>
    <w:rsid w:val="291E44F5"/>
    <w:rsid w:val="29346F27"/>
    <w:rsid w:val="29396C32"/>
    <w:rsid w:val="294A157C"/>
    <w:rsid w:val="29552CDF"/>
    <w:rsid w:val="2997793F"/>
    <w:rsid w:val="29986C4B"/>
    <w:rsid w:val="2A0C4A0C"/>
    <w:rsid w:val="2A3A09D3"/>
    <w:rsid w:val="2A6E3E46"/>
    <w:rsid w:val="2A932366"/>
    <w:rsid w:val="2A95366B"/>
    <w:rsid w:val="2A983E4A"/>
    <w:rsid w:val="2A9E06F7"/>
    <w:rsid w:val="2AC63E3A"/>
    <w:rsid w:val="2AEA2D75"/>
    <w:rsid w:val="2AF35C03"/>
    <w:rsid w:val="2B072D2D"/>
    <w:rsid w:val="2B0A10AB"/>
    <w:rsid w:val="2B2B6042"/>
    <w:rsid w:val="2B797161"/>
    <w:rsid w:val="2B7F4E85"/>
    <w:rsid w:val="2B8B482D"/>
    <w:rsid w:val="2B8C0380"/>
    <w:rsid w:val="2B920A61"/>
    <w:rsid w:val="2BC64BE2"/>
    <w:rsid w:val="2BC74CE2"/>
    <w:rsid w:val="2BCE2053"/>
    <w:rsid w:val="2BD51A79"/>
    <w:rsid w:val="2BE43D9F"/>
    <w:rsid w:val="2BF62140"/>
    <w:rsid w:val="2BF74A42"/>
    <w:rsid w:val="2C110BA6"/>
    <w:rsid w:val="2C6F63F4"/>
    <w:rsid w:val="2C9A1F4B"/>
    <w:rsid w:val="2CD04CC5"/>
    <w:rsid w:val="2CE72BBB"/>
    <w:rsid w:val="2D3A4BC3"/>
    <w:rsid w:val="2D3C2A50"/>
    <w:rsid w:val="2D4C4ADE"/>
    <w:rsid w:val="2D637F86"/>
    <w:rsid w:val="2D9177D0"/>
    <w:rsid w:val="2D951AB7"/>
    <w:rsid w:val="2DAA06FA"/>
    <w:rsid w:val="2DE2215C"/>
    <w:rsid w:val="2DEB0A09"/>
    <w:rsid w:val="2DEF0296"/>
    <w:rsid w:val="2E1F613B"/>
    <w:rsid w:val="2E9460F9"/>
    <w:rsid w:val="2E99700E"/>
    <w:rsid w:val="2E9F0759"/>
    <w:rsid w:val="2EB263C6"/>
    <w:rsid w:val="2EB41B71"/>
    <w:rsid w:val="2ECC0576"/>
    <w:rsid w:val="2F3702AE"/>
    <w:rsid w:val="2F421715"/>
    <w:rsid w:val="2F59373C"/>
    <w:rsid w:val="2F6A4E58"/>
    <w:rsid w:val="2F7431E9"/>
    <w:rsid w:val="2F8A7443"/>
    <w:rsid w:val="2FAE20C9"/>
    <w:rsid w:val="2FC20D6A"/>
    <w:rsid w:val="2FD25781"/>
    <w:rsid w:val="2FE953C4"/>
    <w:rsid w:val="3006055A"/>
    <w:rsid w:val="300C7EE4"/>
    <w:rsid w:val="30155B98"/>
    <w:rsid w:val="303D7D51"/>
    <w:rsid w:val="30594760"/>
    <w:rsid w:val="30792A97"/>
    <w:rsid w:val="30B9790F"/>
    <w:rsid w:val="30F27F2B"/>
    <w:rsid w:val="310764B6"/>
    <w:rsid w:val="3125512E"/>
    <w:rsid w:val="31294154"/>
    <w:rsid w:val="31350C4C"/>
    <w:rsid w:val="314E3D74"/>
    <w:rsid w:val="314F5F72"/>
    <w:rsid w:val="31557E7B"/>
    <w:rsid w:val="315C308A"/>
    <w:rsid w:val="3187194F"/>
    <w:rsid w:val="31A15D7C"/>
    <w:rsid w:val="31BF6273"/>
    <w:rsid w:val="31D95ED6"/>
    <w:rsid w:val="31E72C6D"/>
    <w:rsid w:val="31F05AFB"/>
    <w:rsid w:val="31FD315A"/>
    <w:rsid w:val="31FF0314"/>
    <w:rsid w:val="32211B4E"/>
    <w:rsid w:val="32237FAA"/>
    <w:rsid w:val="322D5960"/>
    <w:rsid w:val="323507EE"/>
    <w:rsid w:val="323E1C9F"/>
    <w:rsid w:val="3252231D"/>
    <w:rsid w:val="326C24C9"/>
    <w:rsid w:val="32886F74"/>
    <w:rsid w:val="328A2477"/>
    <w:rsid w:val="32926E7F"/>
    <w:rsid w:val="329A5F94"/>
    <w:rsid w:val="32D21971"/>
    <w:rsid w:val="3329532D"/>
    <w:rsid w:val="332B5481"/>
    <w:rsid w:val="33557CF1"/>
    <w:rsid w:val="33681C57"/>
    <w:rsid w:val="339729B4"/>
    <w:rsid w:val="339D48BD"/>
    <w:rsid w:val="33AC330E"/>
    <w:rsid w:val="33AF47D8"/>
    <w:rsid w:val="33BE6FF0"/>
    <w:rsid w:val="33E21A2B"/>
    <w:rsid w:val="33F71323"/>
    <w:rsid w:val="34075AD1"/>
    <w:rsid w:val="341E293B"/>
    <w:rsid w:val="342C41E4"/>
    <w:rsid w:val="344804D5"/>
    <w:rsid w:val="344A13F2"/>
    <w:rsid w:val="34575606"/>
    <w:rsid w:val="345927CF"/>
    <w:rsid w:val="347B380F"/>
    <w:rsid w:val="347B488E"/>
    <w:rsid w:val="348832D1"/>
    <w:rsid w:val="348E3E46"/>
    <w:rsid w:val="34977D55"/>
    <w:rsid w:val="34A43DEB"/>
    <w:rsid w:val="34C1119D"/>
    <w:rsid w:val="34CA65A1"/>
    <w:rsid w:val="34CC4FAF"/>
    <w:rsid w:val="34CD71AE"/>
    <w:rsid w:val="34DB3F45"/>
    <w:rsid w:val="34EC41DF"/>
    <w:rsid w:val="34FC7CFD"/>
    <w:rsid w:val="350B355A"/>
    <w:rsid w:val="351E5CB3"/>
    <w:rsid w:val="3531196C"/>
    <w:rsid w:val="35324954"/>
    <w:rsid w:val="356E7756"/>
    <w:rsid w:val="35F10084"/>
    <w:rsid w:val="361B48D1"/>
    <w:rsid w:val="362551E1"/>
    <w:rsid w:val="363244F6"/>
    <w:rsid w:val="36362EFD"/>
    <w:rsid w:val="363B7384"/>
    <w:rsid w:val="363D1A14"/>
    <w:rsid w:val="364274A1"/>
    <w:rsid w:val="36E8644A"/>
    <w:rsid w:val="36EC75EF"/>
    <w:rsid w:val="370400D2"/>
    <w:rsid w:val="370F6463"/>
    <w:rsid w:val="374A7132"/>
    <w:rsid w:val="37646C65"/>
    <w:rsid w:val="37B46BF1"/>
    <w:rsid w:val="37E518D1"/>
    <w:rsid w:val="37E82CAE"/>
    <w:rsid w:val="37EE2C97"/>
    <w:rsid w:val="3813028F"/>
    <w:rsid w:val="385F2E2B"/>
    <w:rsid w:val="38650F93"/>
    <w:rsid w:val="38864D4B"/>
    <w:rsid w:val="38DD6252"/>
    <w:rsid w:val="38DF57BA"/>
    <w:rsid w:val="38EF0EF7"/>
    <w:rsid w:val="38FD240B"/>
    <w:rsid w:val="390915CE"/>
    <w:rsid w:val="39160DB7"/>
    <w:rsid w:val="39314240"/>
    <w:rsid w:val="39561BA0"/>
    <w:rsid w:val="39705932"/>
    <w:rsid w:val="39983252"/>
    <w:rsid w:val="39E80923"/>
    <w:rsid w:val="39FD5831"/>
    <w:rsid w:val="3A770C79"/>
    <w:rsid w:val="3ABC01EE"/>
    <w:rsid w:val="3AC37B79"/>
    <w:rsid w:val="3AC868A0"/>
    <w:rsid w:val="3AD93074"/>
    <w:rsid w:val="3AE65487"/>
    <w:rsid w:val="3B0739D5"/>
    <w:rsid w:val="3B27789D"/>
    <w:rsid w:val="3B465C85"/>
    <w:rsid w:val="3B59226A"/>
    <w:rsid w:val="3B7D6FA7"/>
    <w:rsid w:val="3BA313E5"/>
    <w:rsid w:val="3BA526EA"/>
    <w:rsid w:val="3BAE5911"/>
    <w:rsid w:val="3BEF3A63"/>
    <w:rsid w:val="3BF633ED"/>
    <w:rsid w:val="3C003CFD"/>
    <w:rsid w:val="3C173922"/>
    <w:rsid w:val="3C3663D5"/>
    <w:rsid w:val="3C3E02D6"/>
    <w:rsid w:val="3C741DD7"/>
    <w:rsid w:val="3C930CED"/>
    <w:rsid w:val="3CCB5F30"/>
    <w:rsid w:val="3D0D2925"/>
    <w:rsid w:val="3D494F99"/>
    <w:rsid w:val="3DBE07DB"/>
    <w:rsid w:val="3DC304A6"/>
    <w:rsid w:val="3DE947C8"/>
    <w:rsid w:val="3DFC60C1"/>
    <w:rsid w:val="3E05314D"/>
    <w:rsid w:val="3E0669A9"/>
    <w:rsid w:val="3E37139E"/>
    <w:rsid w:val="3E450694"/>
    <w:rsid w:val="3E802A97"/>
    <w:rsid w:val="3E860224"/>
    <w:rsid w:val="3E87709C"/>
    <w:rsid w:val="3E964C3B"/>
    <w:rsid w:val="3ED03B1B"/>
    <w:rsid w:val="3EF25354"/>
    <w:rsid w:val="3F384F24"/>
    <w:rsid w:val="3F3B181E"/>
    <w:rsid w:val="3F434B00"/>
    <w:rsid w:val="3F4F1E6B"/>
    <w:rsid w:val="3F5A597F"/>
    <w:rsid w:val="3F5D46BB"/>
    <w:rsid w:val="3F5D7EF1"/>
    <w:rsid w:val="3F6A0496"/>
    <w:rsid w:val="3F721126"/>
    <w:rsid w:val="3FAF5707"/>
    <w:rsid w:val="3FB21F0F"/>
    <w:rsid w:val="3FCB342B"/>
    <w:rsid w:val="3FCC7236"/>
    <w:rsid w:val="3FFE2678"/>
    <w:rsid w:val="401157AC"/>
    <w:rsid w:val="401818B4"/>
    <w:rsid w:val="40191037"/>
    <w:rsid w:val="40880C6E"/>
    <w:rsid w:val="40A4604E"/>
    <w:rsid w:val="411B5C5E"/>
    <w:rsid w:val="411D75DB"/>
    <w:rsid w:val="412874F2"/>
    <w:rsid w:val="41467098"/>
    <w:rsid w:val="414954A9"/>
    <w:rsid w:val="41B94863"/>
    <w:rsid w:val="41BE1509"/>
    <w:rsid w:val="41C24A81"/>
    <w:rsid w:val="41ED183A"/>
    <w:rsid w:val="41EE4F7F"/>
    <w:rsid w:val="422A5E1B"/>
    <w:rsid w:val="42881BD1"/>
    <w:rsid w:val="428D1B14"/>
    <w:rsid w:val="428E587D"/>
    <w:rsid w:val="429441C6"/>
    <w:rsid w:val="42A012DD"/>
    <w:rsid w:val="42C11812"/>
    <w:rsid w:val="42C56E1F"/>
    <w:rsid w:val="42C6151D"/>
    <w:rsid w:val="42DD47E9"/>
    <w:rsid w:val="430A2F0B"/>
    <w:rsid w:val="433F02A4"/>
    <w:rsid w:val="434D0C71"/>
    <w:rsid w:val="43624CF7"/>
    <w:rsid w:val="438D1AB6"/>
    <w:rsid w:val="43A6350A"/>
    <w:rsid w:val="442C42E7"/>
    <w:rsid w:val="44686703"/>
    <w:rsid w:val="446E05D4"/>
    <w:rsid w:val="446F0254"/>
    <w:rsid w:val="4490658A"/>
    <w:rsid w:val="44B9194D"/>
    <w:rsid w:val="44C012D8"/>
    <w:rsid w:val="44C4575F"/>
    <w:rsid w:val="4519500D"/>
    <w:rsid w:val="451F335A"/>
    <w:rsid w:val="45232464"/>
    <w:rsid w:val="45252301"/>
    <w:rsid w:val="45267EE7"/>
    <w:rsid w:val="452B420A"/>
    <w:rsid w:val="452E518F"/>
    <w:rsid w:val="45593CEE"/>
    <w:rsid w:val="458A0810"/>
    <w:rsid w:val="4596693C"/>
    <w:rsid w:val="459839EF"/>
    <w:rsid w:val="459A10E5"/>
    <w:rsid w:val="45A0249A"/>
    <w:rsid w:val="45D50E20"/>
    <w:rsid w:val="45E05775"/>
    <w:rsid w:val="460C6D7B"/>
    <w:rsid w:val="460E227E"/>
    <w:rsid w:val="461C3792"/>
    <w:rsid w:val="46274D8C"/>
    <w:rsid w:val="469730DC"/>
    <w:rsid w:val="46D8715F"/>
    <w:rsid w:val="46E761C0"/>
    <w:rsid w:val="47257848"/>
    <w:rsid w:val="4743529F"/>
    <w:rsid w:val="47566B10"/>
    <w:rsid w:val="476B4739"/>
    <w:rsid w:val="47BA1F3A"/>
    <w:rsid w:val="47DA51A4"/>
    <w:rsid w:val="47EF4992"/>
    <w:rsid w:val="4856343D"/>
    <w:rsid w:val="486B34C6"/>
    <w:rsid w:val="487A54A0"/>
    <w:rsid w:val="489D237E"/>
    <w:rsid w:val="489F461A"/>
    <w:rsid w:val="48A37CB9"/>
    <w:rsid w:val="48C02664"/>
    <w:rsid w:val="48D20808"/>
    <w:rsid w:val="492816DB"/>
    <w:rsid w:val="494F3655"/>
    <w:rsid w:val="49620FF1"/>
    <w:rsid w:val="4981153A"/>
    <w:rsid w:val="498615B1"/>
    <w:rsid w:val="49896CB2"/>
    <w:rsid w:val="4990663D"/>
    <w:rsid w:val="49950546"/>
    <w:rsid w:val="49997BD3"/>
    <w:rsid w:val="49CA6C99"/>
    <w:rsid w:val="49DB17FE"/>
    <w:rsid w:val="4A15695C"/>
    <w:rsid w:val="4A2C3F3D"/>
    <w:rsid w:val="4A4009DF"/>
    <w:rsid w:val="4A662E1D"/>
    <w:rsid w:val="4A8039C7"/>
    <w:rsid w:val="4A8137D1"/>
    <w:rsid w:val="4A8A7B5A"/>
    <w:rsid w:val="4A8E2CDD"/>
    <w:rsid w:val="4A937164"/>
    <w:rsid w:val="4AB04516"/>
    <w:rsid w:val="4ACD77C9"/>
    <w:rsid w:val="4ACE7349"/>
    <w:rsid w:val="4ADD19F1"/>
    <w:rsid w:val="4B0731BC"/>
    <w:rsid w:val="4B2A63DE"/>
    <w:rsid w:val="4B2E476A"/>
    <w:rsid w:val="4B45581C"/>
    <w:rsid w:val="4B465D0E"/>
    <w:rsid w:val="4B563D54"/>
    <w:rsid w:val="4B955A8D"/>
    <w:rsid w:val="4B9F3E1E"/>
    <w:rsid w:val="4BBD33CE"/>
    <w:rsid w:val="4BC465DD"/>
    <w:rsid w:val="4BF6482D"/>
    <w:rsid w:val="4BFC38AE"/>
    <w:rsid w:val="4C2015F5"/>
    <w:rsid w:val="4C2343F8"/>
    <w:rsid w:val="4C4B55BC"/>
    <w:rsid w:val="4C5A2353"/>
    <w:rsid w:val="4C5F77FA"/>
    <w:rsid w:val="4C692B85"/>
    <w:rsid w:val="4C8D0BCA"/>
    <w:rsid w:val="4C8D7252"/>
    <w:rsid w:val="4CAD655A"/>
    <w:rsid w:val="4CBC6B75"/>
    <w:rsid w:val="4CDD246D"/>
    <w:rsid w:val="4CE71BB7"/>
    <w:rsid w:val="4CF439D3"/>
    <w:rsid w:val="4D4C2BE0"/>
    <w:rsid w:val="4D6C5694"/>
    <w:rsid w:val="4DA954F8"/>
    <w:rsid w:val="4DAF7402"/>
    <w:rsid w:val="4DD64549"/>
    <w:rsid w:val="4DD733DD"/>
    <w:rsid w:val="4E0340A3"/>
    <w:rsid w:val="4E2260BC"/>
    <w:rsid w:val="4E3D0302"/>
    <w:rsid w:val="4E6423A8"/>
    <w:rsid w:val="4E8E31EC"/>
    <w:rsid w:val="4ECC0AD3"/>
    <w:rsid w:val="4EF75B3C"/>
    <w:rsid w:val="4F016643"/>
    <w:rsid w:val="4F14570F"/>
    <w:rsid w:val="4F3C7E8D"/>
    <w:rsid w:val="4F416513"/>
    <w:rsid w:val="4F4A4C24"/>
    <w:rsid w:val="4F6E432A"/>
    <w:rsid w:val="4F89218B"/>
    <w:rsid w:val="4FAD6EC7"/>
    <w:rsid w:val="4FB42FCF"/>
    <w:rsid w:val="4FEE3429"/>
    <w:rsid w:val="4FF15064"/>
    <w:rsid w:val="50073A4C"/>
    <w:rsid w:val="50082A59"/>
    <w:rsid w:val="50120DEA"/>
    <w:rsid w:val="50351187"/>
    <w:rsid w:val="503D54B2"/>
    <w:rsid w:val="504344F0"/>
    <w:rsid w:val="50526211"/>
    <w:rsid w:val="50614554"/>
    <w:rsid w:val="508323A3"/>
    <w:rsid w:val="509213F5"/>
    <w:rsid w:val="50AD322E"/>
    <w:rsid w:val="50B24CD1"/>
    <w:rsid w:val="50D17F23"/>
    <w:rsid w:val="50E014C9"/>
    <w:rsid w:val="50EE2F41"/>
    <w:rsid w:val="50F626E2"/>
    <w:rsid w:val="51196140"/>
    <w:rsid w:val="512F3B40"/>
    <w:rsid w:val="515E0F37"/>
    <w:rsid w:val="51A16F72"/>
    <w:rsid w:val="51C64E1C"/>
    <w:rsid w:val="5204165B"/>
    <w:rsid w:val="5208161A"/>
    <w:rsid w:val="52180881"/>
    <w:rsid w:val="525557BB"/>
    <w:rsid w:val="528775F5"/>
    <w:rsid w:val="52A14BCC"/>
    <w:rsid w:val="52AA302D"/>
    <w:rsid w:val="52B70144"/>
    <w:rsid w:val="52EB08CC"/>
    <w:rsid w:val="52F436A3"/>
    <w:rsid w:val="530968C9"/>
    <w:rsid w:val="53155F5F"/>
    <w:rsid w:val="53197B88"/>
    <w:rsid w:val="532661FA"/>
    <w:rsid w:val="5332164F"/>
    <w:rsid w:val="533B4B1A"/>
    <w:rsid w:val="534C4DB4"/>
    <w:rsid w:val="53514ABF"/>
    <w:rsid w:val="537F430A"/>
    <w:rsid w:val="53C23AF9"/>
    <w:rsid w:val="53D25803"/>
    <w:rsid w:val="54305A6A"/>
    <w:rsid w:val="544242E1"/>
    <w:rsid w:val="5443314E"/>
    <w:rsid w:val="54650EF7"/>
    <w:rsid w:val="54684AC0"/>
    <w:rsid w:val="5475359D"/>
    <w:rsid w:val="549F1096"/>
    <w:rsid w:val="54A72E72"/>
    <w:rsid w:val="54AE27FD"/>
    <w:rsid w:val="54C600B5"/>
    <w:rsid w:val="54CC782F"/>
    <w:rsid w:val="54D371BA"/>
    <w:rsid w:val="54DC3BF2"/>
    <w:rsid w:val="54F5610F"/>
    <w:rsid w:val="55011E83"/>
    <w:rsid w:val="550E0B30"/>
    <w:rsid w:val="55170BA8"/>
    <w:rsid w:val="552571BF"/>
    <w:rsid w:val="553E7ABD"/>
    <w:rsid w:val="557812D9"/>
    <w:rsid w:val="55974979"/>
    <w:rsid w:val="55AC109B"/>
    <w:rsid w:val="55C135BF"/>
    <w:rsid w:val="56143EDA"/>
    <w:rsid w:val="56193C4E"/>
    <w:rsid w:val="5639704F"/>
    <w:rsid w:val="56440315"/>
    <w:rsid w:val="56455D97"/>
    <w:rsid w:val="565D6952"/>
    <w:rsid w:val="568621FA"/>
    <w:rsid w:val="56881D03"/>
    <w:rsid w:val="56893BC0"/>
    <w:rsid w:val="568C4F2D"/>
    <w:rsid w:val="56C06D60"/>
    <w:rsid w:val="56D8660A"/>
    <w:rsid w:val="56E16BD5"/>
    <w:rsid w:val="56F7363C"/>
    <w:rsid w:val="57083DE0"/>
    <w:rsid w:val="570F0CE3"/>
    <w:rsid w:val="572A730E"/>
    <w:rsid w:val="573840A5"/>
    <w:rsid w:val="57401C1D"/>
    <w:rsid w:val="57A859DE"/>
    <w:rsid w:val="57C06533"/>
    <w:rsid w:val="57C8380D"/>
    <w:rsid w:val="57EC1EAC"/>
    <w:rsid w:val="57EE6812"/>
    <w:rsid w:val="57FE2B69"/>
    <w:rsid w:val="57FE5E0F"/>
    <w:rsid w:val="5804523A"/>
    <w:rsid w:val="58211B99"/>
    <w:rsid w:val="583F0B2B"/>
    <w:rsid w:val="58422359"/>
    <w:rsid w:val="584E7471"/>
    <w:rsid w:val="58712EA8"/>
    <w:rsid w:val="58727337"/>
    <w:rsid w:val="587A37B8"/>
    <w:rsid w:val="589907E9"/>
    <w:rsid w:val="58C9477B"/>
    <w:rsid w:val="58D354C2"/>
    <w:rsid w:val="58EB4D70"/>
    <w:rsid w:val="59141E66"/>
    <w:rsid w:val="592A00D8"/>
    <w:rsid w:val="593666A1"/>
    <w:rsid w:val="595C2A12"/>
    <w:rsid w:val="599030F2"/>
    <w:rsid w:val="5999618E"/>
    <w:rsid w:val="59C3718C"/>
    <w:rsid w:val="59C45DC8"/>
    <w:rsid w:val="59C55DF1"/>
    <w:rsid w:val="59CC4D86"/>
    <w:rsid w:val="59F27B21"/>
    <w:rsid w:val="5A1E4880"/>
    <w:rsid w:val="5A2A7C7B"/>
    <w:rsid w:val="5A432DA3"/>
    <w:rsid w:val="5A4E49B8"/>
    <w:rsid w:val="5A614032"/>
    <w:rsid w:val="5A6A0A65"/>
    <w:rsid w:val="5A7E4F79"/>
    <w:rsid w:val="5AAE2453"/>
    <w:rsid w:val="5AE75719"/>
    <w:rsid w:val="5AF0278B"/>
    <w:rsid w:val="5B0C6070"/>
    <w:rsid w:val="5B3D258F"/>
    <w:rsid w:val="5B474BD0"/>
    <w:rsid w:val="5B4B35D6"/>
    <w:rsid w:val="5B594BB7"/>
    <w:rsid w:val="5B630C7D"/>
    <w:rsid w:val="5BD8311E"/>
    <w:rsid w:val="5BEA7C5C"/>
    <w:rsid w:val="5C0C5B72"/>
    <w:rsid w:val="5C1E5B2C"/>
    <w:rsid w:val="5C201030"/>
    <w:rsid w:val="5C384E43"/>
    <w:rsid w:val="5C464AF3"/>
    <w:rsid w:val="5C4D1930"/>
    <w:rsid w:val="5C7368BB"/>
    <w:rsid w:val="5C85187C"/>
    <w:rsid w:val="5CA54B0C"/>
    <w:rsid w:val="5CCA7622"/>
    <w:rsid w:val="5D000D32"/>
    <w:rsid w:val="5D5932C9"/>
    <w:rsid w:val="5D805774"/>
    <w:rsid w:val="5D8C5255"/>
    <w:rsid w:val="5D936A3B"/>
    <w:rsid w:val="5DA2372A"/>
    <w:rsid w:val="5DA3208A"/>
    <w:rsid w:val="5DB3406A"/>
    <w:rsid w:val="5E153A69"/>
    <w:rsid w:val="5E5174B9"/>
    <w:rsid w:val="5E766F86"/>
    <w:rsid w:val="5EAF3C67"/>
    <w:rsid w:val="5EB94577"/>
    <w:rsid w:val="5F1D0A18"/>
    <w:rsid w:val="5F2C53FA"/>
    <w:rsid w:val="5F6C401A"/>
    <w:rsid w:val="5FD03D3F"/>
    <w:rsid w:val="5FF94F03"/>
    <w:rsid w:val="60045493"/>
    <w:rsid w:val="601A2EBA"/>
    <w:rsid w:val="603109AD"/>
    <w:rsid w:val="603956AA"/>
    <w:rsid w:val="60516CC9"/>
    <w:rsid w:val="605A0420"/>
    <w:rsid w:val="608D41E9"/>
    <w:rsid w:val="60A5089F"/>
    <w:rsid w:val="60C271D0"/>
    <w:rsid w:val="60D5098B"/>
    <w:rsid w:val="60D91FF3"/>
    <w:rsid w:val="60EA7D0F"/>
    <w:rsid w:val="61192DDC"/>
    <w:rsid w:val="611B62E0"/>
    <w:rsid w:val="61252D64"/>
    <w:rsid w:val="612C0778"/>
    <w:rsid w:val="61716CEE"/>
    <w:rsid w:val="617E0582"/>
    <w:rsid w:val="61927223"/>
    <w:rsid w:val="61A50442"/>
    <w:rsid w:val="61B6777B"/>
    <w:rsid w:val="61C52EF5"/>
    <w:rsid w:val="61DD3E1F"/>
    <w:rsid w:val="61E011DA"/>
    <w:rsid w:val="61E56598"/>
    <w:rsid w:val="61FD68D2"/>
    <w:rsid w:val="622B3B31"/>
    <w:rsid w:val="623779B1"/>
    <w:rsid w:val="6242016D"/>
    <w:rsid w:val="6278621C"/>
    <w:rsid w:val="628C43E6"/>
    <w:rsid w:val="62907AF4"/>
    <w:rsid w:val="62CA2B9C"/>
    <w:rsid w:val="62CA6F20"/>
    <w:rsid w:val="62DF3F81"/>
    <w:rsid w:val="633A04D8"/>
    <w:rsid w:val="63421168"/>
    <w:rsid w:val="63476B5C"/>
    <w:rsid w:val="63916CE9"/>
    <w:rsid w:val="639253F7"/>
    <w:rsid w:val="63941E6C"/>
    <w:rsid w:val="639578ED"/>
    <w:rsid w:val="63A210BF"/>
    <w:rsid w:val="63D055C8"/>
    <w:rsid w:val="63DB0061"/>
    <w:rsid w:val="641118FE"/>
    <w:rsid w:val="65354382"/>
    <w:rsid w:val="653F1EA7"/>
    <w:rsid w:val="6602326A"/>
    <w:rsid w:val="6621327C"/>
    <w:rsid w:val="66360241"/>
    <w:rsid w:val="663A6C47"/>
    <w:rsid w:val="664107D0"/>
    <w:rsid w:val="66521F60"/>
    <w:rsid w:val="66AA2E8C"/>
    <w:rsid w:val="66AA7FD5"/>
    <w:rsid w:val="66BA4B89"/>
    <w:rsid w:val="66D81FC8"/>
    <w:rsid w:val="67032312"/>
    <w:rsid w:val="670D6C1F"/>
    <w:rsid w:val="672E04E8"/>
    <w:rsid w:val="67303C80"/>
    <w:rsid w:val="67330503"/>
    <w:rsid w:val="676538A7"/>
    <w:rsid w:val="676806D8"/>
    <w:rsid w:val="67842EC4"/>
    <w:rsid w:val="6789320D"/>
    <w:rsid w:val="679466F8"/>
    <w:rsid w:val="67A03D4F"/>
    <w:rsid w:val="681C0624"/>
    <w:rsid w:val="682E257A"/>
    <w:rsid w:val="685C6AF9"/>
    <w:rsid w:val="68847178"/>
    <w:rsid w:val="68C1329E"/>
    <w:rsid w:val="68CC2B2F"/>
    <w:rsid w:val="68EE7135"/>
    <w:rsid w:val="696840FC"/>
    <w:rsid w:val="69695F2A"/>
    <w:rsid w:val="697D144E"/>
    <w:rsid w:val="697F7C07"/>
    <w:rsid w:val="69BC5270"/>
    <w:rsid w:val="69FC5FED"/>
    <w:rsid w:val="6A207E20"/>
    <w:rsid w:val="6A2D7940"/>
    <w:rsid w:val="6A4F7FF6"/>
    <w:rsid w:val="6A5E48C8"/>
    <w:rsid w:val="6A694139"/>
    <w:rsid w:val="6B2F274E"/>
    <w:rsid w:val="6B353B81"/>
    <w:rsid w:val="6B3605C3"/>
    <w:rsid w:val="6B3B697A"/>
    <w:rsid w:val="6B457289"/>
    <w:rsid w:val="6B4C2497"/>
    <w:rsid w:val="6B567FCE"/>
    <w:rsid w:val="6B597F3A"/>
    <w:rsid w:val="6B714C55"/>
    <w:rsid w:val="6B961612"/>
    <w:rsid w:val="6B996D13"/>
    <w:rsid w:val="6BA25424"/>
    <w:rsid w:val="6BB215C7"/>
    <w:rsid w:val="6BB53820"/>
    <w:rsid w:val="6BBA2ACB"/>
    <w:rsid w:val="6BC44B67"/>
    <w:rsid w:val="6BD239F5"/>
    <w:rsid w:val="6BFB6823"/>
    <w:rsid w:val="6BFD1185"/>
    <w:rsid w:val="6C0E1557"/>
    <w:rsid w:val="6C4B0849"/>
    <w:rsid w:val="6C547446"/>
    <w:rsid w:val="6C614120"/>
    <w:rsid w:val="6C7553FD"/>
    <w:rsid w:val="6CD854A1"/>
    <w:rsid w:val="6CFA0E62"/>
    <w:rsid w:val="6D311168"/>
    <w:rsid w:val="6D5A3C99"/>
    <w:rsid w:val="6D6B0293"/>
    <w:rsid w:val="6D7C5FAF"/>
    <w:rsid w:val="6DA4006D"/>
    <w:rsid w:val="6DAF7E4D"/>
    <w:rsid w:val="6DFC4B97"/>
    <w:rsid w:val="6E04138B"/>
    <w:rsid w:val="6E0602D4"/>
    <w:rsid w:val="6E2D5DD3"/>
    <w:rsid w:val="6E3808E1"/>
    <w:rsid w:val="6E725242"/>
    <w:rsid w:val="6E79134A"/>
    <w:rsid w:val="6E794BCD"/>
    <w:rsid w:val="6E7E53F3"/>
    <w:rsid w:val="6E935777"/>
    <w:rsid w:val="6EB33AAD"/>
    <w:rsid w:val="6EBE1E3F"/>
    <w:rsid w:val="6EF26051"/>
    <w:rsid w:val="6EF42417"/>
    <w:rsid w:val="6EFB4B16"/>
    <w:rsid w:val="6F065AB6"/>
    <w:rsid w:val="6F33754E"/>
    <w:rsid w:val="6F340338"/>
    <w:rsid w:val="6F380483"/>
    <w:rsid w:val="6F9326E8"/>
    <w:rsid w:val="6F9D00C1"/>
    <w:rsid w:val="6F9F112C"/>
    <w:rsid w:val="6FA3206E"/>
    <w:rsid w:val="6FD8258B"/>
    <w:rsid w:val="6FE860A9"/>
    <w:rsid w:val="6FF33C82"/>
    <w:rsid w:val="6FFC72C8"/>
    <w:rsid w:val="70116BAB"/>
    <w:rsid w:val="70123023"/>
    <w:rsid w:val="70173375"/>
    <w:rsid w:val="70221706"/>
    <w:rsid w:val="703D35B4"/>
    <w:rsid w:val="706540FB"/>
    <w:rsid w:val="70670B75"/>
    <w:rsid w:val="70B331F3"/>
    <w:rsid w:val="70DF533C"/>
    <w:rsid w:val="71062FFD"/>
    <w:rsid w:val="712A7FDD"/>
    <w:rsid w:val="716042BA"/>
    <w:rsid w:val="718070C4"/>
    <w:rsid w:val="71D90AFC"/>
    <w:rsid w:val="71DF7BBA"/>
    <w:rsid w:val="71ED1C76"/>
    <w:rsid w:val="721D27C5"/>
    <w:rsid w:val="722869F2"/>
    <w:rsid w:val="722978DD"/>
    <w:rsid w:val="72442685"/>
    <w:rsid w:val="7251779C"/>
    <w:rsid w:val="72652BB9"/>
    <w:rsid w:val="726A4AC3"/>
    <w:rsid w:val="72750B5B"/>
    <w:rsid w:val="72795EB0"/>
    <w:rsid w:val="72866971"/>
    <w:rsid w:val="72A85180"/>
    <w:rsid w:val="72C1396C"/>
    <w:rsid w:val="72CB1664"/>
    <w:rsid w:val="72CB665B"/>
    <w:rsid w:val="72D64B66"/>
    <w:rsid w:val="730162BB"/>
    <w:rsid w:val="730E50B3"/>
    <w:rsid w:val="73523D7C"/>
    <w:rsid w:val="735E16F1"/>
    <w:rsid w:val="739B714D"/>
    <w:rsid w:val="73B415E2"/>
    <w:rsid w:val="73CA1587"/>
    <w:rsid w:val="74054864"/>
    <w:rsid w:val="740F79D8"/>
    <w:rsid w:val="74563369"/>
    <w:rsid w:val="74651405"/>
    <w:rsid w:val="74A03E3B"/>
    <w:rsid w:val="74A8564C"/>
    <w:rsid w:val="74CD20AE"/>
    <w:rsid w:val="75070F8F"/>
    <w:rsid w:val="750F3E1D"/>
    <w:rsid w:val="753C04B3"/>
    <w:rsid w:val="75447312"/>
    <w:rsid w:val="756957B0"/>
    <w:rsid w:val="757A54F4"/>
    <w:rsid w:val="75A17B08"/>
    <w:rsid w:val="75B46B29"/>
    <w:rsid w:val="75B82FB1"/>
    <w:rsid w:val="75C42647"/>
    <w:rsid w:val="75FC27A0"/>
    <w:rsid w:val="761B77D2"/>
    <w:rsid w:val="76322C7A"/>
    <w:rsid w:val="76351E08"/>
    <w:rsid w:val="765A197E"/>
    <w:rsid w:val="765E2FAD"/>
    <w:rsid w:val="766A74F6"/>
    <w:rsid w:val="767242BE"/>
    <w:rsid w:val="7680437D"/>
    <w:rsid w:val="76915AD9"/>
    <w:rsid w:val="76A209B0"/>
    <w:rsid w:val="76C96671"/>
    <w:rsid w:val="76D02779"/>
    <w:rsid w:val="770C03DF"/>
    <w:rsid w:val="772A5FF5"/>
    <w:rsid w:val="77755AB4"/>
    <w:rsid w:val="777A7CCF"/>
    <w:rsid w:val="777F2037"/>
    <w:rsid w:val="7781259C"/>
    <w:rsid w:val="77B12CDC"/>
    <w:rsid w:val="77C36889"/>
    <w:rsid w:val="77C50BD1"/>
    <w:rsid w:val="77D323A7"/>
    <w:rsid w:val="77F23B55"/>
    <w:rsid w:val="78304318"/>
    <w:rsid w:val="785547BB"/>
    <w:rsid w:val="7856449B"/>
    <w:rsid w:val="78593687"/>
    <w:rsid w:val="78622F0F"/>
    <w:rsid w:val="7878573A"/>
    <w:rsid w:val="789A0AEB"/>
    <w:rsid w:val="78BC6AA1"/>
    <w:rsid w:val="78F4247E"/>
    <w:rsid w:val="79001B14"/>
    <w:rsid w:val="792719D3"/>
    <w:rsid w:val="793262A2"/>
    <w:rsid w:val="79B6253C"/>
    <w:rsid w:val="79E57808"/>
    <w:rsid w:val="79E83200"/>
    <w:rsid w:val="79F223A1"/>
    <w:rsid w:val="7A0C3568"/>
    <w:rsid w:val="7A1D30B5"/>
    <w:rsid w:val="7A2C31CB"/>
    <w:rsid w:val="7A301462"/>
    <w:rsid w:val="7A4C04B1"/>
    <w:rsid w:val="7A9F47A7"/>
    <w:rsid w:val="7AE378E4"/>
    <w:rsid w:val="7AFE2AE7"/>
    <w:rsid w:val="7B446AFF"/>
    <w:rsid w:val="7B4656AC"/>
    <w:rsid w:val="7B8A4958"/>
    <w:rsid w:val="7B925F78"/>
    <w:rsid w:val="7B952F5F"/>
    <w:rsid w:val="7BC21317"/>
    <w:rsid w:val="7BC459A6"/>
    <w:rsid w:val="7BF43925"/>
    <w:rsid w:val="7C0C1170"/>
    <w:rsid w:val="7C126A34"/>
    <w:rsid w:val="7C137E1D"/>
    <w:rsid w:val="7C256E3D"/>
    <w:rsid w:val="7C933BEE"/>
    <w:rsid w:val="7CA65632"/>
    <w:rsid w:val="7CAF5B67"/>
    <w:rsid w:val="7CB266A1"/>
    <w:rsid w:val="7CBF38E4"/>
    <w:rsid w:val="7D072A09"/>
    <w:rsid w:val="7D2F72F0"/>
    <w:rsid w:val="7DF612B7"/>
    <w:rsid w:val="7DF65A34"/>
    <w:rsid w:val="7E021846"/>
    <w:rsid w:val="7E2255FE"/>
    <w:rsid w:val="7E610966"/>
    <w:rsid w:val="7E824388"/>
    <w:rsid w:val="7EA43C6A"/>
    <w:rsid w:val="7ED03198"/>
    <w:rsid w:val="7EE0231B"/>
    <w:rsid w:val="7EF0656E"/>
    <w:rsid w:val="7F0958C6"/>
    <w:rsid w:val="7F587BFA"/>
    <w:rsid w:val="7F751728"/>
    <w:rsid w:val="7F795BB0"/>
    <w:rsid w:val="7F7B6EB5"/>
    <w:rsid w:val="7F926ADA"/>
    <w:rsid w:val="7FEF31B6"/>
    <w:rsid w:val="7FF62F7B"/>
    <w:rsid w:val="7FFF71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semiHidden="0" w:name="Table Grid"/>
    <w:lsdException w:uiPriority="99" w:name="Table Theme"/>
    <w:lsdException w:qFormat="1" w:unhideWhenUsed="0" w:uiPriority="0" w:semiHidden="0" w:name="No Spacing"/>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qFormat="1" w:unhideWhenUsed="0" w:uiPriority="0" w:semiHidden="0" w:name="Medium Grid 2"/>
    <w:lsdException w:unhideWhenUsed="0" w:uiPriority="60" w:semiHidden="0" w:name="Medium Grid 3"/>
    <w:lsdException w:unhideWhenUsed="0" w:uiPriority="61" w:semiHidden="0" w:name="Dark List"/>
    <w:lsdException w:unhideWhenUsed="0" w:uiPriority="62" w:semiHidden="0" w:name="Colorful Shading"/>
    <w:lsdException w:unhideWhenUsed="0" w:uiPriority="63" w:semiHidden="0" w:name="Colorful List"/>
    <w:lsdException w:unhideWhenUsed="0" w:uiPriority="64" w:semiHidden="0" w:name="Colorful Grid"/>
    <w:lsdException w:unhideWhenUsed="0" w:uiPriority="65" w:semiHidden="0" w:name="Light Shading Accent 1"/>
    <w:lsdException w:unhideWhenUsed="0" w:uiPriority="66" w:semiHidden="0" w:name="Light List Accent 1"/>
    <w:lsdException w:unhideWhenUsed="0" w:uiPriority="67" w:semiHidden="0" w:name="Light Grid Accent 1"/>
    <w:lsdException w:unhideWhenUsed="0" w:uiPriority="68" w:semiHidden="0" w:name="Medium Shading 1 Accent 1"/>
    <w:lsdException w:unhideWhenUsed="0" w:uiPriority="69" w:semiHidden="0" w:name="Medium Shading 2 Accent 1"/>
    <w:lsdException w:unhideWhenUsed="0" w:uiPriority="70"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1" w:semiHidden="0" w:name="Medium List 2 Accent 1"/>
    <w:lsdException w:unhideWhenUsed="0" w:uiPriority="62" w:semiHidden="0" w:name="Medium Grid 1 Accent 1"/>
    <w:lsdException w:unhideWhenUsed="0" w:uiPriority="63" w:semiHidden="0" w:name="Medium Grid 2 Accent 1"/>
    <w:lsdException w:unhideWhenUsed="0" w:uiPriority="64" w:semiHidden="0" w:name="Medium Grid 3 Accent 1"/>
    <w:lsdException w:unhideWhenUsed="0" w:uiPriority="65" w:semiHidden="0" w:name="Dark List Accent 1"/>
    <w:lsdException w:uiPriority="99" w:name="Colorful Shading Accent 1"/>
    <w:lsdException w:qFormat="1" w:unhideWhenUsed="0" w:uiPriority="0" w:semiHidden="0" w:name="Colorful List Accent 1"/>
    <w:lsdException w:qFormat="1" w:unhideWhenUsed="0" w:uiPriority="0" w:semiHidden="0" w:name="Colorful Grid Accent 1"/>
    <w:lsdException w:qFormat="1" w:unhideWhenUsed="0" w:uiPriority="0" w:semiHidden="0" w:name="Light Shading Accent 2"/>
    <w:lsdException w:unhideWhenUsed="0" w:uiPriority="66" w:semiHidden="0" w:name="Light List Accent 2"/>
    <w:lsdException w:unhideWhenUsed="0" w:uiPriority="67" w:semiHidden="0" w:name="Light Grid Accent 2"/>
    <w:lsdException w:unhideWhenUsed="0" w:uiPriority="68" w:semiHidden="0" w:name="Medium Shading 1 Accent 2"/>
    <w:lsdException w:unhideWhenUsed="0" w:uiPriority="69" w:semiHidden="0" w:name="Medium Shading 2 Accent 2"/>
    <w:lsdException w:unhideWhenUsed="0" w:uiPriority="70" w:semiHidden="0" w:name="Medium List 1 Accent 2"/>
    <w:lsdException w:unhideWhenUsed="0" w:uiPriority="71" w:semiHidden="0" w:name="Medium List 2 Accent 2"/>
    <w:lsdException w:unhideWhenUsed="0" w:uiPriority="72" w:semiHidden="0" w:name="Medium Grid 1 Accent 2"/>
    <w:lsdException w:unhideWhenUsed="0" w:uiPriority="73" w:semiHidden="0" w:name="Medium Grid 2 Accent 2"/>
    <w:lsdException w:unhideWhenUsed="0" w:uiPriority="60" w:semiHidden="0" w:name="Medium Grid 3 Accent 2"/>
    <w:lsdException w:unhideWhenUsed="0" w:uiPriority="61" w:semiHidden="0" w:name="Dark List Accent 2"/>
    <w:lsdException w:unhideWhenUsed="0" w:uiPriority="62" w:semiHidden="0" w:name="Colorful Shading Accent 2"/>
    <w:lsdException w:unhideWhenUsed="0" w:uiPriority="63" w:semiHidden="0" w:name="Colorful List Accent 2"/>
    <w:lsdException w:unhideWhenUsed="0" w:uiPriority="64" w:semiHidden="0" w:name="Colorful Grid Accent 2"/>
    <w:lsdException w:unhideWhenUsed="0" w:uiPriority="65" w:semiHidden="0" w:name="Light Shading Accent 3"/>
    <w:lsdException w:unhideWhenUsed="0" w:uiPriority="66" w:semiHidden="0" w:name="Light List Accent 3"/>
    <w:lsdException w:unhideWhenUsed="0" w:uiPriority="67" w:semiHidden="0" w:name="Light Grid Accent 3"/>
    <w:lsdException w:unhideWhenUsed="0" w:uiPriority="68" w:semiHidden="0" w:name="Medium Shading 1 Accent 3"/>
    <w:lsdException w:unhideWhenUsed="0" w:uiPriority="69" w:semiHidden="0" w:name="Medium Shading 2 Accent 3"/>
    <w:lsdException w:unhideWhenUsed="0" w:uiPriority="70" w:semiHidden="0" w:name="Medium List 1 Accent 3"/>
    <w:lsdException w:unhideWhenUsed="0" w:uiPriority="71" w:semiHidden="0" w:name="Medium List 2 Accent 3"/>
    <w:lsdException w:unhideWhenUsed="0" w:uiPriority="72" w:semiHidden="0" w:name="Medium Grid 1 Accent 3"/>
    <w:lsdException w:unhideWhenUsed="0" w:uiPriority="73" w:semiHidden="0" w:name="Medium Grid 2 Accent 3"/>
    <w:lsdException w:unhideWhenUsed="0" w:uiPriority="60" w:semiHidden="0" w:name="Medium Grid 3 Accent 3"/>
    <w:lsdException w:unhideWhenUsed="0" w:uiPriority="61" w:semiHidden="0" w:name="Dark List Accent 3"/>
    <w:lsdException w:unhideWhenUsed="0" w:uiPriority="62" w:semiHidden="0" w:name="Colorful Shading Accent 3"/>
    <w:lsdException w:unhideWhenUsed="0" w:uiPriority="63" w:semiHidden="0" w:name="Colorful List Accent 3"/>
    <w:lsdException w:unhideWhenUsed="0" w:uiPriority="64" w:semiHidden="0" w:name="Colorful Grid Accent 3"/>
    <w:lsdException w:unhideWhenUsed="0" w:uiPriority="65" w:semiHidden="0" w:name="Light Shading Accent 4"/>
    <w:lsdException w:unhideWhenUsed="0" w:uiPriority="66" w:semiHidden="0" w:name="Light List Accent 4"/>
    <w:lsdException w:unhideWhenUsed="0" w:uiPriority="67" w:semiHidden="0" w:name="Light Grid Accent 4"/>
    <w:lsdException w:unhideWhenUsed="0" w:uiPriority="68" w:semiHidden="0" w:name="Medium Shading 1 Accent 4"/>
    <w:lsdException w:unhideWhenUsed="0" w:uiPriority="69" w:semiHidden="0" w:name="Medium Shading 2 Accent 4"/>
    <w:lsdException w:unhideWhenUsed="0" w:uiPriority="70" w:semiHidden="0" w:name="Medium List 1 Accent 4"/>
    <w:lsdException w:unhideWhenUsed="0" w:uiPriority="71" w:semiHidden="0" w:name="Medium List 2 Accent 4"/>
    <w:lsdException w:unhideWhenUsed="0" w:uiPriority="72" w:semiHidden="0" w:name="Medium Grid 1 Accent 4"/>
    <w:lsdException w:unhideWhenUsed="0" w:uiPriority="73" w:semiHidden="0" w:name="Medium Grid 2 Accent 4"/>
    <w:lsdException w:unhideWhenUsed="0" w:uiPriority="60" w:semiHidden="0" w:name="Medium Grid 3 Accent 4"/>
    <w:lsdException w:unhideWhenUsed="0" w:uiPriority="61" w:semiHidden="0" w:name="Dark List Accent 4"/>
    <w:lsdException w:unhideWhenUsed="0" w:uiPriority="62" w:semiHidden="0" w:name="Colorful Shading Accent 4"/>
    <w:lsdException w:unhideWhenUsed="0" w:uiPriority="63" w:semiHidden="0" w:name="Colorful List Accent 4"/>
    <w:lsdException w:unhideWhenUsed="0" w:uiPriority="64" w:semiHidden="0" w:name="Colorful Grid Accent 4"/>
    <w:lsdException w:unhideWhenUsed="0" w:uiPriority="65" w:semiHidden="0" w:name="Light Shading Accent 5"/>
    <w:lsdException w:unhideWhenUsed="0" w:uiPriority="66" w:semiHidden="0" w:name="Light List Accent 5"/>
    <w:lsdException w:unhideWhenUsed="0" w:uiPriority="67" w:semiHidden="0" w:name="Light Grid Accent 5"/>
    <w:lsdException w:unhideWhenUsed="0" w:uiPriority="68" w:semiHidden="0" w:name="Medium Shading 1 Accent 5"/>
    <w:lsdException w:unhideWhenUsed="0" w:uiPriority="69" w:semiHidden="0" w:name="Medium Shading 2 Accent 5"/>
    <w:lsdException w:unhideWhenUsed="0" w:uiPriority="70" w:semiHidden="0" w:name="Medium List 1 Accent 5"/>
    <w:lsdException w:unhideWhenUsed="0" w:uiPriority="71" w:semiHidden="0" w:name="Medium List 2 Accent 5"/>
    <w:lsdException w:unhideWhenUsed="0" w:uiPriority="72" w:semiHidden="0" w:name="Medium Grid 1 Accent 5"/>
    <w:lsdException w:unhideWhenUsed="0" w:uiPriority="73" w:semiHidden="0" w:name="Medium Grid 2 Accent 5"/>
    <w:lsdException w:unhideWhenUsed="0" w:uiPriority="60" w:semiHidden="0" w:name="Medium Grid 3 Accent 5"/>
    <w:lsdException w:unhideWhenUsed="0" w:uiPriority="61" w:semiHidden="0" w:name="Dark List Accent 5"/>
    <w:lsdException w:unhideWhenUsed="0" w:uiPriority="62" w:semiHidden="0" w:name="Colorful Shading Accent 5"/>
    <w:lsdException w:unhideWhenUsed="0" w:uiPriority="63" w:semiHidden="0" w:name="Colorful List Accent 5"/>
    <w:lsdException w:unhideWhenUsed="0" w:uiPriority="64" w:semiHidden="0" w:name="Colorful Grid Accent 5"/>
    <w:lsdException w:unhideWhenUsed="0" w:uiPriority="65" w:semiHidden="0" w:name="Light Shading Accent 6"/>
    <w:lsdException w:unhideWhenUsed="0" w:uiPriority="66" w:semiHidden="0" w:name="Light List Accent 6"/>
    <w:lsdException w:unhideWhenUsed="0" w:uiPriority="67" w:semiHidden="0" w:name="Light Grid Accent 6"/>
    <w:lsdException w:unhideWhenUsed="0" w:uiPriority="68" w:semiHidden="0" w:name="Medium Shading 1 Accent 6"/>
    <w:lsdException w:unhideWhenUsed="0" w:uiPriority="69" w:semiHidden="0" w:name="Medium Shading 2 Accent 6"/>
    <w:lsdException w:unhideWhenUsed="0" w:uiPriority="70" w:semiHidden="0" w:name="Medium List 1 Accent 6"/>
    <w:lsdException w:unhideWhenUsed="0" w:uiPriority="71" w:semiHidden="0" w:name="Medium List 2 Accent 6"/>
    <w:lsdException w:unhideWhenUsed="0" w:uiPriority="72" w:semiHidden="0" w:name="Medium Grid 1 Accent 6"/>
    <w:lsdException w:unhideWhenUsed="0" w:uiPriority="73" w:semiHidden="0" w:name="Medium Grid 2 Accent 6"/>
    <w:lsdException w:unhideWhenUsed="0" w:uiPriority="60" w:semiHidden="0" w:name="Medium Grid 3 Accent 6"/>
    <w:lsdException w:unhideWhenUsed="0" w:uiPriority="61" w:semiHidden="0" w:name="Dark List Accent 6"/>
    <w:lsdException w:unhideWhenUsed="0" w:uiPriority="62" w:semiHidden="0" w:name="Colorful Shading Accent 6"/>
    <w:lsdException w:unhideWhenUsed="0" w:uiPriority="63" w:semiHidden="0" w:name="Colorful List Accent 6"/>
    <w:lsdException w:unhideWhenUsed="0" w:uiPriority="64"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1"/>
    <w:basedOn w:val="1"/>
    <w:next w:val="1"/>
    <w:link w:val="176"/>
    <w:qFormat/>
    <w:uiPriority w:val="0"/>
    <w:pPr>
      <w:keepNext/>
      <w:jc w:val="center"/>
      <w:outlineLvl w:val="0"/>
    </w:pPr>
    <w:rPr>
      <w:rFonts w:eastAsia="黑体"/>
      <w:b/>
      <w:sz w:val="32"/>
      <w:szCs w:val="20"/>
    </w:rPr>
  </w:style>
  <w:style w:type="paragraph" w:styleId="5">
    <w:name w:val="heading 2"/>
    <w:basedOn w:val="1"/>
    <w:next w:val="1"/>
    <w:link w:val="91"/>
    <w:qFormat/>
    <w:uiPriority w:val="0"/>
    <w:pPr>
      <w:keepNext/>
      <w:outlineLvl w:val="1"/>
    </w:pPr>
    <w:rPr>
      <w:rFonts w:ascii="仿宋_GB2312"/>
      <w:b/>
      <w:sz w:val="28"/>
      <w:szCs w:val="32"/>
    </w:rPr>
  </w:style>
  <w:style w:type="paragraph" w:styleId="6">
    <w:name w:val="heading 3"/>
    <w:basedOn w:val="1"/>
    <w:next w:val="1"/>
    <w:link w:val="187"/>
    <w:qFormat/>
    <w:uiPriority w:val="0"/>
    <w:pPr>
      <w:keepNext/>
      <w:keepLines/>
      <w:spacing w:line="540" w:lineRule="atLeast"/>
      <w:outlineLvl w:val="2"/>
    </w:pPr>
    <w:rPr>
      <w:rFonts w:eastAsia="黑体"/>
      <w:b/>
      <w:sz w:val="28"/>
      <w:szCs w:val="20"/>
    </w:rPr>
  </w:style>
  <w:style w:type="paragraph" w:styleId="2">
    <w:name w:val="heading 4"/>
    <w:basedOn w:val="1"/>
    <w:next w:val="1"/>
    <w:link w:val="140"/>
    <w:qFormat/>
    <w:uiPriority w:val="0"/>
    <w:pPr>
      <w:keepNext/>
      <w:keepLines/>
      <w:spacing w:line="540" w:lineRule="atLeast"/>
      <w:outlineLvl w:val="3"/>
    </w:pPr>
    <w:rPr>
      <w:sz w:val="28"/>
      <w:szCs w:val="28"/>
    </w:rPr>
  </w:style>
  <w:style w:type="paragraph" w:styleId="7">
    <w:name w:val="heading 5"/>
    <w:basedOn w:val="1"/>
    <w:next w:val="1"/>
    <w:link w:val="169"/>
    <w:qFormat/>
    <w:uiPriority w:val="0"/>
    <w:pPr>
      <w:keepNext/>
      <w:keepLines/>
      <w:spacing w:before="280" w:after="290" w:line="372" w:lineRule="auto"/>
      <w:outlineLvl w:val="4"/>
    </w:pPr>
    <w:rPr>
      <w:b/>
      <w:bCs/>
      <w:kern w:val="0"/>
      <w:sz w:val="28"/>
      <w:szCs w:val="28"/>
    </w:rPr>
  </w:style>
  <w:style w:type="paragraph" w:styleId="8">
    <w:name w:val="heading 6"/>
    <w:basedOn w:val="1"/>
    <w:next w:val="9"/>
    <w:link w:val="70"/>
    <w:qFormat/>
    <w:uiPriority w:val="0"/>
    <w:pPr>
      <w:keepNext/>
      <w:keepLines/>
      <w:spacing w:before="240" w:after="64" w:line="317" w:lineRule="auto"/>
      <w:outlineLvl w:val="5"/>
    </w:pPr>
    <w:rPr>
      <w:rFonts w:ascii="Arial" w:hAnsi="Arial" w:eastAsia="黑体"/>
      <w:b/>
      <w:sz w:val="24"/>
      <w:szCs w:val="20"/>
    </w:rPr>
  </w:style>
  <w:style w:type="paragraph" w:styleId="10">
    <w:name w:val="heading 7"/>
    <w:basedOn w:val="1"/>
    <w:next w:val="9"/>
    <w:link w:val="88"/>
    <w:qFormat/>
    <w:uiPriority w:val="0"/>
    <w:pPr>
      <w:keepNext/>
      <w:keepLines/>
      <w:spacing w:before="240" w:after="64" w:line="317" w:lineRule="auto"/>
      <w:outlineLvl w:val="6"/>
    </w:pPr>
    <w:rPr>
      <w:b/>
      <w:sz w:val="24"/>
      <w:szCs w:val="20"/>
    </w:rPr>
  </w:style>
  <w:style w:type="paragraph" w:styleId="11">
    <w:name w:val="heading 8"/>
    <w:basedOn w:val="1"/>
    <w:next w:val="9"/>
    <w:link w:val="62"/>
    <w:qFormat/>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9"/>
    <w:link w:val="102"/>
    <w:qFormat/>
    <w:uiPriority w:val="0"/>
    <w:pPr>
      <w:keepNext/>
      <w:keepLines/>
      <w:spacing w:before="240" w:after="64" w:line="317" w:lineRule="auto"/>
      <w:outlineLvl w:val="8"/>
    </w:pPr>
    <w:rPr>
      <w:rFonts w:ascii="Arial" w:hAnsi="Arial" w:eastAsia="黑体"/>
      <w:szCs w:val="20"/>
    </w:rPr>
  </w:style>
  <w:style w:type="character" w:default="1" w:styleId="52">
    <w:name w:val="Default Paragraph Font"/>
    <w:uiPriority w:val="0"/>
    <w:rPr>
      <w:rFonts w:ascii="仿宋_GB2312" w:eastAsia="仿宋_GB2312"/>
      <w:b/>
      <w:sz w:val="32"/>
      <w:szCs w:val="32"/>
    </w:rPr>
  </w:style>
  <w:style w:type="table" w:default="1" w:styleId="50">
    <w:name w:val="Normal Table"/>
    <w:unhideWhenUsed/>
    <w:uiPriority w:val="99"/>
    <w:tblPr>
      <w:tblStyle w:val="50"/>
      <w:tblCellMar>
        <w:top w:w="0" w:type="dxa"/>
        <w:left w:w="108" w:type="dxa"/>
        <w:bottom w:w="0" w:type="dxa"/>
        <w:right w:w="108" w:type="dxa"/>
      </w:tblCellMar>
    </w:tblPr>
  </w:style>
  <w:style w:type="paragraph" w:styleId="3">
    <w:name w:val="macro"/>
    <w:link w:val="154"/>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imes New Roman"/>
      <w:kern w:val="2"/>
      <w:sz w:val="24"/>
      <w:szCs w:val="24"/>
      <w:lang w:val="en-US" w:eastAsia="zh-CN" w:bidi="ar-SA"/>
    </w:rPr>
  </w:style>
  <w:style w:type="paragraph" w:styleId="9">
    <w:name w:val="Normal Indent"/>
    <w:basedOn w:val="1"/>
    <w:link w:val="142"/>
    <w:uiPriority w:val="0"/>
    <w:pPr>
      <w:adjustRightInd w:val="0"/>
      <w:spacing w:line="312" w:lineRule="atLeast"/>
      <w:ind w:firstLine="420"/>
      <w:textAlignment w:val="baseline"/>
    </w:pPr>
    <w:rPr>
      <w:rFonts w:ascii="仿宋_GB2312"/>
      <w:b/>
      <w:kern w:val="0"/>
      <w:szCs w:val="32"/>
    </w:rPr>
  </w:style>
  <w:style w:type="paragraph" w:styleId="13">
    <w:name w:val="toc 7"/>
    <w:basedOn w:val="1"/>
    <w:next w:val="1"/>
    <w:uiPriority w:val="0"/>
    <w:pPr>
      <w:autoSpaceDE w:val="0"/>
      <w:autoSpaceDN w:val="0"/>
      <w:adjustRightInd w:val="0"/>
      <w:ind w:left="2520" w:leftChars="1200"/>
      <w:jc w:val="left"/>
    </w:pPr>
    <w:rPr>
      <w:kern w:val="0"/>
      <w:sz w:val="20"/>
      <w:szCs w:val="20"/>
    </w:rPr>
  </w:style>
  <w:style w:type="paragraph" w:styleId="14">
    <w:name w:val="List Number"/>
    <w:basedOn w:val="1"/>
    <w:uiPriority w:val="0"/>
    <w:pPr>
      <w:tabs>
        <w:tab w:val="left" w:pos="360"/>
      </w:tabs>
      <w:ind w:left="360" w:hanging="360" w:hangingChars="200"/>
    </w:pPr>
  </w:style>
  <w:style w:type="paragraph" w:styleId="15">
    <w:name w:val="caption"/>
    <w:basedOn w:val="1"/>
    <w:next w:val="1"/>
    <w:qFormat/>
    <w:uiPriority w:val="0"/>
    <w:pPr>
      <w:autoSpaceDE w:val="0"/>
      <w:autoSpaceDN w:val="0"/>
      <w:adjustRightInd w:val="0"/>
      <w:jc w:val="left"/>
    </w:pPr>
    <w:rPr>
      <w:rFonts w:ascii="Arial" w:hAnsi="Arial" w:eastAsia="黑体" w:cs="Arial"/>
      <w:kern w:val="0"/>
      <w:sz w:val="20"/>
      <w:szCs w:val="20"/>
    </w:rPr>
  </w:style>
  <w:style w:type="paragraph" w:styleId="16">
    <w:name w:val="List Bullet"/>
    <w:basedOn w:val="1"/>
    <w:uiPriority w:val="0"/>
    <w:pPr>
      <w:tabs>
        <w:tab w:val="left" w:pos="360"/>
      </w:tabs>
    </w:pPr>
    <w:rPr>
      <w:rFonts w:ascii="Calibri" w:hAnsi="Calibri"/>
      <w:szCs w:val="22"/>
    </w:rPr>
  </w:style>
  <w:style w:type="paragraph" w:styleId="17">
    <w:name w:val="Document Map"/>
    <w:basedOn w:val="1"/>
    <w:link w:val="114"/>
    <w:uiPriority w:val="0"/>
    <w:pPr>
      <w:shd w:val="clear" w:color="auto" w:fill="000080"/>
    </w:pPr>
  </w:style>
  <w:style w:type="paragraph" w:styleId="18">
    <w:name w:val="annotation text"/>
    <w:basedOn w:val="1"/>
    <w:link w:val="73"/>
    <w:uiPriority w:val="0"/>
    <w:pPr>
      <w:jc w:val="left"/>
    </w:pPr>
  </w:style>
  <w:style w:type="paragraph" w:styleId="19">
    <w:name w:val="Salutation"/>
    <w:basedOn w:val="1"/>
    <w:next w:val="1"/>
    <w:link w:val="137"/>
    <w:uiPriority w:val="0"/>
    <w:pPr>
      <w:tabs>
        <w:tab w:val="left" w:pos="840"/>
      </w:tabs>
      <w:autoSpaceDE w:val="0"/>
      <w:autoSpaceDN w:val="0"/>
      <w:adjustRightInd w:val="0"/>
      <w:jc w:val="left"/>
    </w:pPr>
    <w:rPr>
      <w:rFonts w:ascii="仿宋_GB2312" w:eastAsia="仿宋_GB2312"/>
      <w:b/>
      <w:kern w:val="0"/>
      <w:sz w:val="24"/>
      <w:szCs w:val="32"/>
    </w:rPr>
  </w:style>
  <w:style w:type="paragraph" w:styleId="20">
    <w:name w:val="Body Text 3"/>
    <w:basedOn w:val="1"/>
    <w:link w:val="96"/>
    <w:uiPriority w:val="0"/>
    <w:pPr>
      <w:autoSpaceDE w:val="0"/>
      <w:autoSpaceDN w:val="0"/>
      <w:adjustRightInd w:val="0"/>
      <w:jc w:val="center"/>
    </w:pPr>
    <w:rPr>
      <w:kern w:val="0"/>
      <w:sz w:val="20"/>
      <w:szCs w:val="20"/>
    </w:rPr>
  </w:style>
  <w:style w:type="paragraph" w:styleId="21">
    <w:name w:val="Body Text"/>
    <w:basedOn w:val="1"/>
    <w:link w:val="133"/>
    <w:uiPriority w:val="0"/>
    <w:pPr>
      <w:spacing w:after="120" w:afterLines="0"/>
    </w:pPr>
    <w:rPr>
      <w:rFonts w:ascii="仿宋_GB2312"/>
      <w:b/>
    </w:rPr>
  </w:style>
  <w:style w:type="paragraph" w:styleId="22">
    <w:name w:val="Body Text Indent"/>
    <w:basedOn w:val="1"/>
    <w:link w:val="138"/>
    <w:uiPriority w:val="0"/>
    <w:pPr>
      <w:ind w:left="480" w:hanging="480" w:hangingChars="200"/>
    </w:pPr>
    <w:rPr>
      <w:sz w:val="24"/>
    </w:rPr>
  </w:style>
  <w:style w:type="paragraph" w:styleId="23">
    <w:name w:val="List Number 3"/>
    <w:basedOn w:val="1"/>
    <w:uiPriority w:val="0"/>
    <w:pPr>
      <w:tabs>
        <w:tab w:val="left" w:pos="1200"/>
      </w:tabs>
      <w:ind w:left="1200" w:leftChars="400" w:hanging="360" w:hangingChars="200"/>
    </w:pPr>
  </w:style>
  <w:style w:type="paragraph" w:styleId="24">
    <w:name w:val="List Bullet 2"/>
    <w:basedOn w:val="1"/>
    <w:uiPriority w:val="0"/>
    <w:pPr>
      <w:tabs>
        <w:tab w:val="left" w:pos="780"/>
      </w:tabs>
      <w:spacing w:line="360" w:lineRule="auto"/>
      <w:ind w:left="780" w:leftChars="200" w:hanging="360" w:hangingChars="200"/>
    </w:pPr>
  </w:style>
  <w:style w:type="paragraph" w:styleId="25">
    <w:name w:val="toc 5"/>
    <w:basedOn w:val="1"/>
    <w:next w:val="1"/>
    <w:uiPriority w:val="0"/>
    <w:pPr>
      <w:autoSpaceDE w:val="0"/>
      <w:autoSpaceDN w:val="0"/>
      <w:adjustRightInd w:val="0"/>
      <w:ind w:left="1680" w:leftChars="800"/>
      <w:jc w:val="left"/>
    </w:pPr>
    <w:rPr>
      <w:kern w:val="0"/>
      <w:sz w:val="20"/>
      <w:szCs w:val="20"/>
    </w:rPr>
  </w:style>
  <w:style w:type="paragraph" w:styleId="26">
    <w:name w:val="toc 3"/>
    <w:basedOn w:val="1"/>
    <w:next w:val="1"/>
    <w:uiPriority w:val="0"/>
    <w:pPr>
      <w:ind w:left="840" w:leftChars="400"/>
    </w:pPr>
  </w:style>
  <w:style w:type="paragraph" w:styleId="27">
    <w:name w:val="Plain Text"/>
    <w:basedOn w:val="1"/>
    <w:link w:val="115"/>
    <w:qFormat/>
    <w:uiPriority w:val="0"/>
    <w:pPr>
      <w:widowControl/>
      <w:overflowPunct w:val="0"/>
      <w:autoSpaceDE w:val="0"/>
      <w:autoSpaceDN w:val="0"/>
      <w:adjustRightInd w:val="0"/>
      <w:jc w:val="left"/>
      <w:textAlignment w:val="baseline"/>
    </w:pPr>
    <w:rPr>
      <w:rFonts w:hAnsi="Courier New"/>
      <w:b/>
      <w:kern w:val="0"/>
      <w:szCs w:val="21"/>
    </w:rPr>
  </w:style>
  <w:style w:type="paragraph" w:styleId="28">
    <w:name w:val="List Number 4"/>
    <w:basedOn w:val="1"/>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29">
    <w:name w:val="toc 8"/>
    <w:basedOn w:val="1"/>
    <w:next w:val="1"/>
    <w:uiPriority w:val="0"/>
    <w:pPr>
      <w:autoSpaceDE w:val="0"/>
      <w:autoSpaceDN w:val="0"/>
      <w:adjustRightInd w:val="0"/>
      <w:ind w:left="2940" w:leftChars="1400"/>
      <w:jc w:val="left"/>
    </w:pPr>
    <w:rPr>
      <w:kern w:val="0"/>
      <w:sz w:val="20"/>
      <w:szCs w:val="20"/>
    </w:rPr>
  </w:style>
  <w:style w:type="paragraph" w:styleId="30">
    <w:name w:val="Date"/>
    <w:basedOn w:val="1"/>
    <w:next w:val="1"/>
    <w:link w:val="193"/>
    <w:uiPriority w:val="0"/>
    <w:pPr>
      <w:ind w:left="100" w:leftChars="2500"/>
    </w:pPr>
  </w:style>
  <w:style w:type="paragraph" w:styleId="31">
    <w:name w:val="Body Text Indent 2"/>
    <w:basedOn w:val="1"/>
    <w:link w:val="108"/>
    <w:uiPriority w:val="0"/>
    <w:pPr>
      <w:spacing w:line="500" w:lineRule="exact"/>
      <w:ind w:firstLine="511" w:firstLineChars="213"/>
    </w:pPr>
    <w:rPr>
      <w:sz w:val="24"/>
    </w:rPr>
  </w:style>
  <w:style w:type="paragraph" w:styleId="32">
    <w:name w:val="Balloon Text"/>
    <w:basedOn w:val="1"/>
    <w:link w:val="125"/>
    <w:uiPriority w:val="0"/>
    <w:rPr>
      <w:sz w:val="18"/>
      <w:szCs w:val="18"/>
    </w:rPr>
  </w:style>
  <w:style w:type="paragraph" w:styleId="33">
    <w:name w:val="footer"/>
    <w:basedOn w:val="1"/>
    <w:link w:val="80"/>
    <w:uiPriority w:val="0"/>
    <w:pPr>
      <w:tabs>
        <w:tab w:val="center" w:pos="4153"/>
        <w:tab w:val="right" w:pos="8306"/>
      </w:tabs>
      <w:snapToGrid w:val="0"/>
      <w:jc w:val="left"/>
    </w:pPr>
    <w:rPr>
      <w:sz w:val="18"/>
      <w:szCs w:val="18"/>
    </w:rPr>
  </w:style>
  <w:style w:type="paragraph" w:styleId="34">
    <w:name w:val="header"/>
    <w:basedOn w:val="1"/>
    <w:link w:val="161"/>
    <w:uiPriority w:val="0"/>
    <w:pPr>
      <w:pBdr>
        <w:bottom w:val="single" w:color="auto" w:sz="6" w:space="1"/>
      </w:pBdr>
      <w:tabs>
        <w:tab w:val="center" w:pos="4153"/>
        <w:tab w:val="right" w:pos="8306"/>
      </w:tabs>
      <w:snapToGrid w:val="0"/>
      <w:jc w:val="center"/>
    </w:pPr>
    <w:rPr>
      <w:sz w:val="18"/>
      <w:szCs w:val="18"/>
    </w:rPr>
  </w:style>
  <w:style w:type="paragraph" w:styleId="35">
    <w:name w:val="Signature"/>
    <w:basedOn w:val="1"/>
    <w:link w:val="116"/>
    <w:uiPriority w:val="0"/>
    <w:pPr>
      <w:autoSpaceDE w:val="0"/>
      <w:autoSpaceDN w:val="0"/>
      <w:adjustRightInd w:val="0"/>
      <w:spacing w:after="600" w:afterLines="0" w:line="312" w:lineRule="atLeast"/>
      <w:jc w:val="center"/>
      <w:textAlignment w:val="baseline"/>
    </w:pPr>
    <w:rPr>
      <w:rFonts w:ascii="仿宋_GB2312" w:eastAsia="仿宋_GB2312"/>
      <w:b/>
      <w:kern w:val="0"/>
      <w:sz w:val="24"/>
      <w:szCs w:val="32"/>
    </w:rPr>
  </w:style>
  <w:style w:type="paragraph" w:styleId="36">
    <w:name w:val="toc 1"/>
    <w:basedOn w:val="1"/>
    <w:next w:val="1"/>
    <w:uiPriority w:val="0"/>
  </w:style>
  <w:style w:type="paragraph" w:styleId="37">
    <w:name w:val="toc 4"/>
    <w:basedOn w:val="1"/>
    <w:next w:val="1"/>
    <w:uiPriority w:val="0"/>
    <w:pPr>
      <w:autoSpaceDE w:val="0"/>
      <w:autoSpaceDN w:val="0"/>
      <w:adjustRightInd w:val="0"/>
      <w:ind w:left="1260" w:leftChars="600"/>
      <w:jc w:val="left"/>
    </w:pPr>
    <w:rPr>
      <w:kern w:val="0"/>
      <w:sz w:val="20"/>
      <w:szCs w:val="20"/>
    </w:rPr>
  </w:style>
  <w:style w:type="paragraph" w:styleId="38">
    <w:name w:val="Subtitle"/>
    <w:basedOn w:val="1"/>
    <w:next w:val="1"/>
    <w:link w:val="134"/>
    <w:qFormat/>
    <w:uiPriority w:val="0"/>
    <w:pPr>
      <w:spacing w:before="240" w:beforeLines="0" w:after="60" w:afterLines="0" w:line="312" w:lineRule="auto"/>
      <w:jc w:val="center"/>
      <w:outlineLvl w:val="1"/>
    </w:pPr>
    <w:rPr>
      <w:rFonts w:ascii="Cambria" w:hAnsi="Cambria"/>
      <w:b/>
      <w:bCs/>
      <w:kern w:val="28"/>
      <w:sz w:val="32"/>
      <w:szCs w:val="32"/>
    </w:rPr>
  </w:style>
  <w:style w:type="paragraph" w:styleId="39">
    <w:name w:val="List Number 5"/>
    <w:basedOn w:val="1"/>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0">
    <w:name w:val="List"/>
    <w:basedOn w:val="1"/>
    <w:uiPriority w:val="0"/>
    <w:pPr>
      <w:spacing w:line="240" w:lineRule="auto"/>
      <w:ind w:left="200" w:hanging="200" w:hangingChars="200"/>
      <w:jc w:val="both"/>
    </w:pPr>
    <w:rPr>
      <w:rFonts w:ascii="Times New Roman" w:hAnsi="Times New Roman" w:eastAsia="宋体" w:cs="Times New Roman"/>
      <w:sz w:val="21"/>
      <w:szCs w:val="24"/>
    </w:rPr>
  </w:style>
  <w:style w:type="paragraph" w:styleId="41">
    <w:name w:val="toc 6"/>
    <w:basedOn w:val="1"/>
    <w:next w:val="1"/>
    <w:uiPriority w:val="0"/>
    <w:pPr>
      <w:autoSpaceDE w:val="0"/>
      <w:autoSpaceDN w:val="0"/>
      <w:adjustRightInd w:val="0"/>
      <w:ind w:left="2100" w:leftChars="1000"/>
      <w:jc w:val="left"/>
    </w:pPr>
    <w:rPr>
      <w:kern w:val="0"/>
      <w:sz w:val="20"/>
      <w:szCs w:val="20"/>
    </w:rPr>
  </w:style>
  <w:style w:type="paragraph" w:styleId="42">
    <w:name w:val="Body Text Indent 3"/>
    <w:basedOn w:val="1"/>
    <w:link w:val="189"/>
    <w:uiPriority w:val="0"/>
    <w:pPr>
      <w:spacing w:line="500" w:lineRule="exact"/>
      <w:ind w:left="511" w:hanging="511" w:hangingChars="213"/>
    </w:pPr>
    <w:rPr>
      <w:sz w:val="24"/>
    </w:rPr>
  </w:style>
  <w:style w:type="paragraph" w:styleId="43">
    <w:name w:val="toc 2"/>
    <w:basedOn w:val="1"/>
    <w:next w:val="1"/>
    <w:uiPriority w:val="0"/>
    <w:pPr>
      <w:ind w:left="420" w:leftChars="200"/>
    </w:pPr>
  </w:style>
  <w:style w:type="paragraph" w:styleId="44">
    <w:name w:val="toc 9"/>
    <w:basedOn w:val="1"/>
    <w:next w:val="1"/>
    <w:uiPriority w:val="0"/>
    <w:pPr>
      <w:autoSpaceDE w:val="0"/>
      <w:autoSpaceDN w:val="0"/>
      <w:adjustRightInd w:val="0"/>
      <w:ind w:left="3360" w:leftChars="1600"/>
      <w:jc w:val="left"/>
    </w:pPr>
    <w:rPr>
      <w:kern w:val="0"/>
      <w:sz w:val="20"/>
      <w:szCs w:val="20"/>
    </w:rPr>
  </w:style>
  <w:style w:type="paragraph" w:styleId="45">
    <w:name w:val="Body Text 2"/>
    <w:basedOn w:val="1"/>
    <w:link w:val="153"/>
    <w:uiPriority w:val="0"/>
    <w:pPr>
      <w:autoSpaceDE w:val="0"/>
      <w:autoSpaceDN w:val="0"/>
      <w:adjustRightInd w:val="0"/>
      <w:spacing w:after="120" w:afterLines="0" w:line="480" w:lineRule="auto"/>
      <w:jc w:val="left"/>
    </w:pPr>
    <w:rPr>
      <w:kern w:val="0"/>
      <w:sz w:val="20"/>
      <w:szCs w:val="20"/>
    </w:rPr>
  </w:style>
  <w:style w:type="paragraph" w:styleId="46">
    <w:name w:val="Normal (Web)"/>
    <w:basedOn w:val="1"/>
    <w:uiPriority w:val="99"/>
    <w:pPr>
      <w:widowControl/>
      <w:spacing w:before="100" w:beforeLines="0" w:beforeAutospacing="1" w:after="100" w:afterLines="0" w:afterAutospacing="1"/>
      <w:jc w:val="left"/>
    </w:pPr>
    <w:rPr>
      <w:rFonts w:ascii="宋体" w:hAnsi="宋体" w:cs="宋体"/>
      <w:kern w:val="0"/>
      <w:sz w:val="24"/>
    </w:rPr>
  </w:style>
  <w:style w:type="paragraph" w:styleId="47">
    <w:name w:val="Title"/>
    <w:basedOn w:val="1"/>
    <w:next w:val="1"/>
    <w:link w:val="99"/>
    <w:qFormat/>
    <w:uiPriority w:val="0"/>
    <w:pPr>
      <w:spacing w:before="240" w:beforeLines="0" w:after="60" w:afterLines="0"/>
      <w:jc w:val="center"/>
      <w:outlineLvl w:val="0"/>
    </w:pPr>
    <w:rPr>
      <w:rFonts w:ascii="Cambria" w:hAnsi="Cambria"/>
      <w:b/>
      <w:bCs/>
      <w:sz w:val="32"/>
      <w:szCs w:val="32"/>
    </w:rPr>
  </w:style>
  <w:style w:type="paragraph" w:styleId="48">
    <w:name w:val="annotation subject"/>
    <w:basedOn w:val="18"/>
    <w:next w:val="18"/>
    <w:link w:val="167"/>
    <w:uiPriority w:val="0"/>
    <w:rPr>
      <w:b/>
      <w:bCs/>
    </w:rPr>
  </w:style>
  <w:style w:type="paragraph" w:styleId="49">
    <w:name w:val="Body Text First Indent"/>
    <w:basedOn w:val="21"/>
    <w:link w:val="184"/>
    <w:uiPriority w:val="0"/>
    <w:pPr>
      <w:autoSpaceDE w:val="0"/>
      <w:autoSpaceDN w:val="0"/>
      <w:adjustRightInd w:val="0"/>
      <w:ind w:firstLine="420" w:firstLineChars="100"/>
      <w:jc w:val="left"/>
    </w:pPr>
    <w:rPr>
      <w:rFonts w:ascii="宋体"/>
      <w:b w:val="0"/>
      <w:kern w:val="0"/>
      <w:sz w:val="20"/>
      <w:szCs w:val="20"/>
    </w:rPr>
  </w:style>
  <w:style w:type="table" w:styleId="51">
    <w:name w:val="Table Grid"/>
    <w:basedOn w:val="50"/>
    <w:unhideWhenUsed/>
    <w:uiPriority w:val="99"/>
    <w:pPr>
      <w:widowControl w:val="0"/>
      <w:jc w:val="both"/>
    </w:p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0"/>
    <w:rPr>
      <w:rFonts w:ascii="仿宋_GB2312" w:eastAsia="仿宋_GB2312"/>
      <w:bCs/>
      <w:sz w:val="32"/>
      <w:szCs w:val="32"/>
    </w:rPr>
  </w:style>
  <w:style w:type="character" w:styleId="54">
    <w:name w:val="page number"/>
    <w:basedOn w:val="52"/>
    <w:uiPriority w:val="0"/>
  </w:style>
  <w:style w:type="character" w:styleId="55">
    <w:name w:val="FollowedHyperlink"/>
    <w:uiPriority w:val="0"/>
    <w:rPr>
      <w:rFonts w:ascii="仿宋_GB2312" w:eastAsia="仿宋_GB2312"/>
      <w:b/>
      <w:color w:val="800080"/>
      <w:sz w:val="32"/>
      <w:szCs w:val="32"/>
      <w:u w:val="none"/>
    </w:rPr>
  </w:style>
  <w:style w:type="character" w:styleId="56">
    <w:name w:val="Emphasis"/>
    <w:qFormat/>
    <w:uiPriority w:val="0"/>
    <w:rPr>
      <w:i/>
      <w:iCs/>
    </w:rPr>
  </w:style>
  <w:style w:type="character" w:styleId="57">
    <w:name w:val="line number"/>
    <w:basedOn w:val="52"/>
    <w:uiPriority w:val="0"/>
  </w:style>
  <w:style w:type="character" w:styleId="58">
    <w:name w:val="Hyperlink"/>
    <w:uiPriority w:val="0"/>
    <w:rPr>
      <w:rFonts w:ascii="仿宋_GB2312" w:eastAsia="仿宋_GB2312"/>
      <w:b/>
      <w:color w:val="0000FF"/>
      <w:sz w:val="32"/>
      <w:szCs w:val="32"/>
      <w:u w:val="none"/>
    </w:rPr>
  </w:style>
  <w:style w:type="character" w:styleId="59">
    <w:name w:val="annotation reference"/>
    <w:uiPriority w:val="0"/>
    <w:rPr>
      <w:sz w:val="21"/>
      <w:szCs w:val="21"/>
    </w:rPr>
  </w:style>
  <w:style w:type="character" w:styleId="60">
    <w:name w:val="HTML Cite"/>
    <w:uiPriority w:val="0"/>
    <w:rPr>
      <w:color w:val="008000"/>
    </w:rPr>
  </w:style>
  <w:style w:type="character" w:customStyle="1" w:styleId="61">
    <w:name w:val="heading 4 Char"/>
    <w:aliases w:val="H4 Char,Ref Heading 1 Char,rh1 Char,Heading sql Char,sect 1.2.3.4 Char,h4 Char,sect 1.2.3.41 Char,Ref Heading 11 Char,rh11 Char,sect 1.2.3.42 Char,Ref Heading 12 Char,rh12 Char,sect 1.2.3.411 Char,Ref Heading 111 Char,rh111 Char,rh13 Char"/>
    <w:uiPriority w:val="0"/>
    <w:rPr>
      <w:rFonts w:ascii="Arial" w:hAnsi="Arial" w:eastAsia="黑体" w:cs="Times New Roman"/>
      <w:sz w:val="21"/>
      <w:szCs w:val="21"/>
    </w:rPr>
  </w:style>
  <w:style w:type="character" w:customStyle="1" w:styleId="62">
    <w:name w:val="标题 8 Char"/>
    <w:link w:val="11"/>
    <w:uiPriority w:val="0"/>
    <w:rPr>
      <w:rFonts w:ascii="Arial" w:hAnsi="Arial" w:eastAsia="黑体"/>
      <w:kern w:val="2"/>
      <w:sz w:val="24"/>
      <w:lang w:val="en-US" w:eastAsia="zh-CN" w:bidi="ar-SA"/>
    </w:rPr>
  </w:style>
  <w:style w:type="character" w:customStyle="1" w:styleId="63">
    <w:name w:val="dandyren_title1"/>
    <w:uiPriority w:val="0"/>
    <w:rPr>
      <w:b/>
      <w:bCs/>
      <w:color w:val="FF6633"/>
      <w:sz w:val="18"/>
      <w:szCs w:val="18"/>
    </w:rPr>
  </w:style>
  <w:style w:type="character" w:customStyle="1" w:styleId="64">
    <w:name w:val="Char Char15"/>
    <w:uiPriority w:val="0"/>
    <w:rPr>
      <w:rFonts w:ascii="Arial" w:hAnsi="Arial" w:eastAsia="黑体"/>
      <w:sz w:val="24"/>
      <w:szCs w:val="24"/>
    </w:rPr>
  </w:style>
  <w:style w:type="character" w:styleId="65">
    <w:name w:val=""/>
    <w:qFormat/>
    <w:uiPriority w:val="0"/>
    <w:rPr>
      <w:b/>
      <w:bCs/>
      <w:i/>
      <w:iCs/>
      <w:color w:val="4F81BD"/>
    </w:rPr>
  </w:style>
  <w:style w:type="character" w:customStyle="1" w:styleId="66">
    <w:name w:val="heading 2 Char2"/>
    <w:aliases w:val="Heading 2 Hidden Char2,Heading 2 CCBS Char2,H2 Char2,2 Char2,h2 Char2,Level 2 Head Char2,第*章 Char2,sect 1.2 Char2,节 Char2,标题 1.1 Char2,Underrubrik1 Char2,prop2 Char2,l2 Char2,Chapter Title Char2,DO NOT USE_h2 Char2,chn Char2,Titre2 Char2"/>
    <w:uiPriority w:val="0"/>
    <w:rPr>
      <w:rFonts w:ascii="Cambria" w:hAnsi="Cambria"/>
      <w:b/>
      <w:bCs/>
      <w:kern w:val="2"/>
      <w:sz w:val="32"/>
      <w:szCs w:val="32"/>
    </w:rPr>
  </w:style>
  <w:style w:type="character" w:customStyle="1" w:styleId="67">
    <w:name w:val="PI Char"/>
    <w:aliases w:val="正文文字首行缩进 Char,HD正文1 Char,正文小标题 Char,正文顶格 Char Char"/>
    <w:uiPriority w:val="0"/>
    <w:rPr>
      <w:rFonts w:ascii="宋体" w:hAnsi="宋体"/>
      <w:sz w:val="24"/>
    </w:rPr>
  </w:style>
  <w:style w:type="character" w:customStyle="1" w:styleId="68">
    <w:name w:val="heading 5 Char1"/>
    <w:aliases w:val="H5 Char1,dash Char1,ds Char1,dd Char1,Roman list Char1,h5 Char1,PIM 5 Char1,5 Char1,第四层条 Char1,Titre5 Char Char1"/>
    <w:uiPriority w:val="0"/>
    <w:rPr>
      <w:rFonts w:eastAsia="宋体"/>
      <w:b/>
      <w:bCs/>
      <w:kern w:val="2"/>
      <w:sz w:val="28"/>
      <w:szCs w:val="28"/>
      <w:lang w:val="en-US" w:eastAsia="zh-CN" w:bidi="ar-SA"/>
    </w:rPr>
  </w:style>
  <w:style w:type="character" w:customStyle="1" w:styleId="69">
    <w:name w:val=" Char Char1"/>
    <w:uiPriority w:val="0"/>
    <w:rPr>
      <w:rFonts w:eastAsia="宋体"/>
      <w:sz w:val="21"/>
      <w:lang w:val="en-US" w:eastAsia="zh-CN" w:bidi="ar-SA"/>
    </w:rPr>
  </w:style>
  <w:style w:type="character" w:customStyle="1" w:styleId="70">
    <w:name w:val="标题 6 Char"/>
    <w:link w:val="8"/>
    <w:uiPriority w:val="0"/>
    <w:rPr>
      <w:rFonts w:ascii="Arial" w:hAnsi="Arial" w:eastAsia="黑体"/>
      <w:b/>
      <w:kern w:val="2"/>
      <w:sz w:val="24"/>
      <w:lang w:val="en-US" w:eastAsia="zh-CN" w:bidi="ar-SA"/>
    </w:rPr>
  </w:style>
  <w:style w:type="character" w:customStyle="1" w:styleId="71">
    <w:name w:val="style13"/>
    <w:basedOn w:val="52"/>
    <w:uiPriority w:val="0"/>
  </w:style>
  <w:style w:type="character" w:customStyle="1" w:styleId="72">
    <w:name w:val="Char Char Char1"/>
    <w:uiPriority w:val="0"/>
    <w:rPr>
      <w:rFonts w:ascii="宋体" w:hAnsi="Courier New"/>
      <w:sz w:val="21"/>
      <w:szCs w:val="21"/>
    </w:rPr>
  </w:style>
  <w:style w:type="character" w:customStyle="1" w:styleId="73">
    <w:name w:val="批注文字 Char"/>
    <w:link w:val="18"/>
    <w:uiPriority w:val="0"/>
    <w:rPr>
      <w:rFonts w:eastAsia="宋体"/>
      <w:kern w:val="2"/>
      <w:sz w:val="21"/>
      <w:szCs w:val="24"/>
      <w:lang w:val="en-US" w:eastAsia="zh-CN" w:bidi="ar-SA"/>
    </w:rPr>
  </w:style>
  <w:style w:type="character" w:customStyle="1" w:styleId="74">
    <w:name w:val=" Char Char27"/>
    <w:uiPriority w:val="0"/>
    <w:rPr>
      <w:rFonts w:eastAsia="宋体"/>
      <w:kern w:val="2"/>
      <w:sz w:val="28"/>
      <w:lang w:val="en-US" w:eastAsia="zh-CN" w:bidi="ar-SA"/>
    </w:rPr>
  </w:style>
  <w:style w:type="character" w:customStyle="1" w:styleId="75">
    <w:name w:val="PI Char1"/>
    <w:aliases w:val="正文文字首行缩进 Char1,HD正文1 Char1,正文小标题 Char1,正文顶格 Char Char1"/>
    <w:uiPriority w:val="0"/>
    <w:rPr>
      <w:rFonts w:eastAsia="宋体"/>
      <w:kern w:val="2"/>
      <w:sz w:val="24"/>
      <w:szCs w:val="24"/>
      <w:lang w:val="en-US" w:eastAsia="zh-CN" w:bidi="ar-SA"/>
    </w:rPr>
  </w:style>
  <w:style w:type="character" w:customStyle="1" w:styleId="76">
    <w:name w:val="heading 4 Char2"/>
    <w:aliases w:val="H4 Char2,Ref Heading 1 Char2,rh1 Char2,Heading sql Char2,sect 1.2.3.4 Char2,h4 Char2,sect 1.2.3.41 Char2,Ref Heading 11 Char2,rh11 Char2,sect 1.2.3.42 Char2,Ref Heading 12 Char2,rh12 Char2,sect 1.2.3.411 Char2,Ref Heading 111 Char2"/>
    <w:uiPriority w:val="0"/>
    <w:rPr>
      <w:rFonts w:ascii="Cambria" w:hAnsi="Cambria"/>
      <w:b/>
      <w:bCs/>
      <w:kern w:val="2"/>
      <w:sz w:val="28"/>
      <w:szCs w:val="28"/>
    </w:rPr>
  </w:style>
  <w:style w:type="character" w:customStyle="1" w:styleId="77">
    <w:name w:val="Char Char61"/>
    <w:uiPriority w:val="0"/>
    <w:rPr>
      <w:rFonts w:ascii="Times New Roman" w:hAnsi="Times New Roman" w:eastAsia="宋体" w:cs="Times New Roman"/>
      <w:szCs w:val="24"/>
    </w:rPr>
  </w:style>
  <w:style w:type="character" w:customStyle="1" w:styleId="78">
    <w:name w:val="Footer-Even Char"/>
    <w:aliases w:val="FtrF Char Char"/>
    <w:uiPriority w:val="0"/>
    <w:rPr>
      <w:sz w:val="18"/>
      <w:szCs w:val="18"/>
    </w:rPr>
  </w:style>
  <w:style w:type="character" w:customStyle="1" w:styleId="79">
    <w:name w:val=" Char Char Char"/>
    <w:uiPriority w:val="0"/>
    <w:rPr>
      <w:rFonts w:ascii="宋体" w:hAnsi="Courier New" w:eastAsia="宋体"/>
      <w:b/>
      <w:sz w:val="21"/>
      <w:szCs w:val="21"/>
      <w:lang w:val="en-US" w:eastAsia="zh-CN" w:bidi="ar-SA"/>
    </w:rPr>
  </w:style>
  <w:style w:type="character" w:customStyle="1" w:styleId="80">
    <w:name w:val="页脚 Char"/>
    <w:link w:val="33"/>
    <w:uiPriority w:val="0"/>
    <w:rPr>
      <w:rFonts w:eastAsia="宋体"/>
      <w:kern w:val="2"/>
      <w:sz w:val="18"/>
      <w:szCs w:val="18"/>
      <w:lang w:val="en-US" w:eastAsia="zh-CN" w:bidi="ar-SA"/>
    </w:rPr>
  </w:style>
  <w:style w:type="character" w:customStyle="1" w:styleId="81">
    <w:name w:val="批注文字 字符"/>
    <w:uiPriority w:val="0"/>
    <w:rPr>
      <w:rFonts w:eastAsia="宋体"/>
      <w:kern w:val="2"/>
      <w:sz w:val="21"/>
      <w:szCs w:val="24"/>
      <w:lang w:val="en-US" w:eastAsia="zh-CN" w:bidi="ar-SA"/>
    </w:rPr>
  </w:style>
  <w:style w:type="character" w:customStyle="1" w:styleId="82">
    <w:name w:val="pt141"/>
    <w:uiPriority w:val="0"/>
    <w:rPr>
      <w:color w:val="330066"/>
      <w:spacing w:val="450"/>
      <w:sz w:val="22"/>
      <w:szCs w:val="22"/>
    </w:rPr>
  </w:style>
  <w:style w:type="character" w:customStyle="1" w:styleId="83">
    <w:name w:val="Char Char12"/>
    <w:uiPriority w:val="0"/>
    <w:rPr>
      <w:rFonts w:eastAsia="宋体"/>
      <w:kern w:val="2"/>
      <w:sz w:val="21"/>
      <w:szCs w:val="24"/>
      <w:lang w:val="en-US" w:eastAsia="zh-CN" w:bidi="ar-SA"/>
    </w:rPr>
  </w:style>
  <w:style w:type="character" w:customStyle="1" w:styleId="84">
    <w:name w:val=" ändrad Char1"/>
    <w:aliases w:val="Indent Char1,Ind Char1,鋘drad Char1,paragraph 2 Char1,paragraph 21 Char1,``` Char1,contents Char Char Char2,contents Char Char Char Char1,contents Char1,特殊文字 Char Char Char Char2,特殊文字 Char Char Char Char Char1,ändra Char Char"/>
    <w:uiPriority w:val="0"/>
    <w:rPr>
      <w:rFonts w:ascii="仿宋_GB2312" w:eastAsia="宋体"/>
      <w:b/>
      <w:kern w:val="2"/>
      <w:sz w:val="21"/>
      <w:szCs w:val="24"/>
      <w:lang w:val="en-US" w:eastAsia="zh-CN" w:bidi="ar-SA"/>
    </w:rPr>
  </w:style>
  <w:style w:type="character" w:customStyle="1" w:styleId="85">
    <w:name w:val="heading 1 Char"/>
    <w:aliases w:val="标书1 Char,h1 Char,H1 Char,L1 Char,boc Char,Section Head Char,1st level Char,l1 Char,H11 Char,H12 Char,H13 Char,H14 Char,H15 Char,H16 Char,H17 Char,Level 1 Topic Heading Char,L1 Heading 1 Char,h11 Char,1st level1 Char,heading 11 Char"/>
    <w:uiPriority w:val="0"/>
    <w:rPr>
      <w:rFonts w:ascii="Arial" w:hAnsi="Arial" w:eastAsia="黑体"/>
      <w:b/>
      <w:sz w:val="36"/>
      <w:szCs w:val="36"/>
    </w:rPr>
  </w:style>
  <w:style w:type="character" w:customStyle="1" w:styleId="86">
    <w:name w:val="ändrad Char"/>
    <w:aliases w:val="Indent Char,Ind Char,鋘drad Char,paragraph 2 Char,paragraph 21 Char,``` Char,contents Char Char Char1,contents Char Char Char Char,contents Char,特殊文字 Char Char Char Char1,特殊文字 Char Char Char Char Char,特殊文字 Char Char Char Cha Char Char Char1"/>
    <w:uiPriority w:val="0"/>
    <w:rPr>
      <w:rFonts w:eastAsia="宋体"/>
      <w:kern w:val="2"/>
      <w:sz w:val="21"/>
      <w:szCs w:val="24"/>
      <w:lang w:val="en-US" w:eastAsia="zh-CN" w:bidi="ar-SA"/>
    </w:rPr>
  </w:style>
  <w:style w:type="character" w:customStyle="1" w:styleId="87">
    <w:name w:val=" Char Char24"/>
    <w:uiPriority w:val="0"/>
    <w:rPr>
      <w:rFonts w:eastAsia="宋体"/>
      <w:b/>
      <w:kern w:val="2"/>
      <w:sz w:val="28"/>
      <w:lang w:val="en-US" w:eastAsia="zh-CN" w:bidi="ar-SA"/>
    </w:rPr>
  </w:style>
  <w:style w:type="character" w:customStyle="1" w:styleId="88">
    <w:name w:val="标题 7 Char"/>
    <w:link w:val="10"/>
    <w:uiPriority w:val="0"/>
    <w:rPr>
      <w:rFonts w:eastAsia="宋体"/>
      <w:b/>
      <w:kern w:val="2"/>
      <w:sz w:val="24"/>
      <w:lang w:val="en-US" w:eastAsia="zh-CN" w:bidi="ar-SA"/>
    </w:rPr>
  </w:style>
  <w:style w:type="character" w:customStyle="1" w:styleId="89">
    <w:name w:val="样式2 Char Char"/>
    <w:link w:val="90"/>
    <w:uiPriority w:val="0"/>
    <w:rPr>
      <w:rFonts w:ascii="宋体" w:hAnsi="宋体" w:eastAsia="宋体"/>
      <w:bCs/>
      <w:kern w:val="2"/>
      <w:sz w:val="28"/>
      <w:szCs w:val="28"/>
      <w:lang w:val="en-US" w:eastAsia="zh-CN" w:bidi="ar-SA"/>
    </w:rPr>
  </w:style>
  <w:style w:type="paragraph" w:customStyle="1" w:styleId="90">
    <w:name w:val="样式2"/>
    <w:basedOn w:val="5"/>
    <w:link w:val="89"/>
    <w:uiPriority w:val="0"/>
    <w:pPr>
      <w:keepLines/>
      <w:numPr>
        <w:ilvl w:val="1"/>
        <w:numId w:val="0"/>
      </w:numPr>
      <w:snapToGrid w:val="0"/>
      <w:spacing w:before="260" w:beforeLines="0" w:after="156" w:afterLines="50" w:line="480" w:lineRule="exact"/>
      <w:ind w:firstLine="556"/>
    </w:pPr>
    <w:rPr>
      <w:rFonts w:ascii="宋体"/>
      <w:b w:val="0"/>
      <w:bCs/>
      <w:szCs w:val="28"/>
    </w:rPr>
  </w:style>
  <w:style w:type="character" w:customStyle="1" w:styleId="91">
    <w:name w:val="标题 2 Char"/>
    <w:link w:val="5"/>
    <w:uiPriority w:val="0"/>
    <w:rPr>
      <w:rFonts w:ascii="仿宋_GB2312" w:eastAsia="宋体"/>
      <w:b/>
      <w:kern w:val="2"/>
      <w:sz w:val="28"/>
      <w:szCs w:val="32"/>
      <w:lang w:val="en-US" w:eastAsia="zh-CN" w:bidi="ar-SA"/>
    </w:rPr>
  </w:style>
  <w:style w:type="character" w:customStyle="1" w:styleId="92">
    <w:name w:val="表正文 Char2"/>
    <w:aliases w:val="正文非缩进 Char2,特点 Char2,缩进 Char1,ALT+Z Char1,标题4 Char1,段1 Char1,正文不缩进 Char2,首行缩进 Char1,正文（首行缩进两字） Char Char1,表正文 Char Char1,正文非缩进 Char Char1,特点 Char Char1,正文不缩进 Char Char1,正文（首行缩进两字） Char2,Normal Indent（正文缩进） Char1,Body Text(ch) Char1,表正文1 Char1"/>
    <w:uiPriority w:val="0"/>
    <w:rPr>
      <w:rFonts w:ascii="Times New Roman" w:hAnsi="Times New Roman" w:eastAsia="宋体" w:cs="Times New Roman"/>
      <w:szCs w:val="24"/>
    </w:rPr>
  </w:style>
  <w:style w:type="character" w:customStyle="1" w:styleId="93">
    <w:name w:val="Char Char16"/>
    <w:uiPriority w:val="0"/>
    <w:rPr>
      <w:b/>
      <w:bCs/>
      <w:kern w:val="2"/>
      <w:sz w:val="28"/>
      <w:szCs w:val="28"/>
    </w:rPr>
  </w:style>
  <w:style w:type="character" w:customStyle="1" w:styleId="94">
    <w:name w:val="Char Char11"/>
    <w:uiPriority w:val="0"/>
    <w:rPr>
      <w:rFonts w:ascii="Times New Roman" w:hAnsi="Times New Roman" w:eastAsia="宋体" w:cs="Times New Roman"/>
      <w:sz w:val="18"/>
      <w:szCs w:val="18"/>
    </w:rPr>
  </w:style>
  <w:style w:type="character" w:customStyle="1" w:styleId="95">
    <w:name w:val="heading 3 Char1"/>
    <w:aliases w:val="H3 Char1,l3 Char1,CT Char1,h3 Char1,3rd level Char1,Heading 3 - old Char1,3 Char1,Head 3 Char1,level_3 Char1,PIM 3 Char1,Level 3 Head Char1,sect1.2.3 Char1,ISO2 Char1,L3 Char1,sect1.2.31 Char1,sect1.2.32 Char1,sect1.2.311 Char1,三级 Char"/>
    <w:uiPriority w:val="0"/>
    <w:rPr>
      <w:rFonts w:eastAsia="宋体"/>
      <w:b/>
      <w:bCs/>
      <w:kern w:val="2"/>
      <w:sz w:val="32"/>
      <w:szCs w:val="32"/>
      <w:lang w:val="en-US" w:eastAsia="zh-CN" w:bidi="ar-SA"/>
    </w:rPr>
  </w:style>
  <w:style w:type="character" w:customStyle="1" w:styleId="96">
    <w:name w:val="正文文本 3 Char"/>
    <w:basedOn w:val="52"/>
    <w:link w:val="20"/>
    <w:uiPriority w:val="0"/>
  </w:style>
  <w:style w:type="character" w:customStyle="1" w:styleId="97">
    <w:name w:val="表格 Char Char"/>
    <w:link w:val="98"/>
    <w:uiPriority w:val="0"/>
    <w:rPr>
      <w:rFonts w:ascii="宋体" w:hAnsi="宋体" w:eastAsia="宋体"/>
      <w:lang w:val="en-US" w:eastAsia="zh-CN" w:bidi="ar-SA"/>
    </w:rPr>
  </w:style>
  <w:style w:type="paragraph" w:customStyle="1" w:styleId="98">
    <w:name w:val="表格"/>
    <w:basedOn w:val="1"/>
    <w:link w:val="97"/>
    <w:uiPriority w:val="0"/>
    <w:pPr>
      <w:autoSpaceDE w:val="0"/>
      <w:autoSpaceDN w:val="0"/>
      <w:adjustRightInd w:val="0"/>
      <w:snapToGrid w:val="0"/>
      <w:ind w:firstLine="42" w:firstLineChars="21"/>
      <w:jc w:val="left"/>
    </w:pPr>
    <w:rPr>
      <w:kern w:val="0"/>
      <w:sz w:val="20"/>
      <w:szCs w:val="20"/>
    </w:rPr>
  </w:style>
  <w:style w:type="character" w:customStyle="1" w:styleId="99">
    <w:name w:val="标题 Char"/>
    <w:link w:val="47"/>
    <w:uiPriority w:val="0"/>
    <w:rPr>
      <w:rFonts w:ascii="Cambria" w:hAnsi="Cambria" w:eastAsia="宋体"/>
      <w:b/>
      <w:bCs/>
      <w:kern w:val="2"/>
      <w:sz w:val="32"/>
      <w:szCs w:val="32"/>
      <w:lang w:val="en-US" w:eastAsia="zh-CN" w:bidi="ar-SA"/>
    </w:rPr>
  </w:style>
  <w:style w:type="character" w:customStyle="1" w:styleId="100">
    <w:name w:val="Char Char22"/>
    <w:uiPriority w:val="0"/>
    <w:rPr>
      <w:rFonts w:ascii="Arial" w:hAnsi="Arial" w:eastAsia="黑体"/>
      <w:b/>
      <w:bCs/>
      <w:kern w:val="44"/>
      <w:sz w:val="30"/>
      <w:szCs w:val="44"/>
      <w:lang w:val="en-US" w:eastAsia="zh-CN" w:bidi="ar-SA"/>
    </w:rPr>
  </w:style>
  <w:style w:type="character" w:customStyle="1" w:styleId="101">
    <w:name w:val=" Char Char12"/>
    <w:uiPriority w:val="0"/>
    <w:rPr>
      <w:rFonts w:eastAsia="宋体"/>
      <w:kern w:val="2"/>
      <w:sz w:val="21"/>
      <w:szCs w:val="24"/>
      <w:lang w:val="en-US" w:eastAsia="zh-CN" w:bidi="ar-SA"/>
    </w:rPr>
  </w:style>
  <w:style w:type="character" w:customStyle="1" w:styleId="102">
    <w:name w:val="标题 9 Char"/>
    <w:link w:val="12"/>
    <w:uiPriority w:val="0"/>
    <w:rPr>
      <w:rFonts w:ascii="Arial" w:hAnsi="Arial" w:eastAsia="黑体"/>
      <w:kern w:val="2"/>
      <w:sz w:val="21"/>
      <w:lang w:val="en-US" w:eastAsia="zh-CN" w:bidi="ar-SA"/>
    </w:rPr>
  </w:style>
  <w:style w:type="character" w:styleId="103">
    <w:name w:val=""/>
    <w:qFormat/>
    <w:uiPriority w:val="0"/>
    <w:rPr>
      <w:b/>
      <w:bCs/>
      <w:smallCaps/>
      <w:spacing w:val="5"/>
    </w:rPr>
  </w:style>
  <w:style w:type="character" w:customStyle="1" w:styleId="104">
    <w:name w:val="blue1"/>
    <w:basedOn w:val="52"/>
    <w:uiPriority w:val="0"/>
  </w:style>
  <w:style w:type="character" w:customStyle="1" w:styleId="105">
    <w:name w:val="style41"/>
    <w:uiPriority w:val="0"/>
    <w:rPr>
      <w:color w:val="auto"/>
    </w:rPr>
  </w:style>
  <w:style w:type="character" w:customStyle="1" w:styleId="106">
    <w:name w:val="heading 4 Char1"/>
    <w:aliases w:val="H4 Char1,Ref Heading 1 Char1,rh1 Char1,Heading sql Char1,sect 1.2.3.4 Char1,h4 Char1,sect 1.2.3.41 Char1,Ref Heading 11 Char1,rh11 Char1,sect 1.2.3.42 Char1,Ref Heading 12 Char1,rh12 Char1,sect 1.2.3.411 Char1,Ref Heading 111 Char1"/>
    <w:uiPriority w:val="0"/>
    <w:rPr>
      <w:rFonts w:ascii="Cambria" w:hAnsi="Cambria" w:eastAsia="宋体"/>
      <w:b/>
      <w:bCs/>
      <w:kern w:val="2"/>
      <w:sz w:val="28"/>
      <w:szCs w:val="28"/>
      <w:lang w:val="en-US" w:eastAsia="zh-CN" w:bidi="ar-SA"/>
    </w:rPr>
  </w:style>
  <w:style w:type="character" w:customStyle="1" w:styleId="107">
    <w:name w:val="heading 3 Char"/>
    <w:aliases w:val="H3 Char,l3 Char,CT Char,h3 Char,3rd level Char,Heading 3 - old Char,3 Char,Head 3 Char,level_3 Char,PIM 3 Char,Level 3 Head Char,sect1.2.3 Char,ISO2 Char,L3 Char,sect1.2.31 Char,sect1.2.32 Char,sect1.2.311 Char,sect1.2.33 Char,BOD 0 Char"/>
    <w:uiPriority w:val="0"/>
    <w:rPr>
      <w:rFonts w:ascii="Arial" w:hAnsi="Arial" w:eastAsia="黑体"/>
      <w:sz w:val="28"/>
      <w:szCs w:val="24"/>
    </w:rPr>
  </w:style>
  <w:style w:type="character" w:customStyle="1" w:styleId="108">
    <w:name w:val="正文文本缩进 2 Char"/>
    <w:link w:val="31"/>
    <w:uiPriority w:val="0"/>
    <w:rPr>
      <w:rFonts w:eastAsia="宋体"/>
      <w:kern w:val="2"/>
      <w:sz w:val="24"/>
      <w:szCs w:val="24"/>
      <w:lang w:val="en-US" w:eastAsia="zh-CN" w:bidi="ar-SA"/>
    </w:rPr>
  </w:style>
  <w:style w:type="character" w:customStyle="1" w:styleId="109">
    <w:name w:val="明显引用 Char"/>
    <w:link w:val="110"/>
    <w:uiPriority w:val="0"/>
    <w:rPr>
      <w:rFonts w:ascii="Calibri" w:hAnsi="Calibri" w:eastAsia="宋体"/>
      <w:b/>
      <w:bCs/>
      <w:i/>
      <w:iCs/>
      <w:color w:val="4F81BD"/>
      <w:lang w:val="en-US" w:eastAsia="zh-CN" w:bidi="ar-SA"/>
    </w:rPr>
  </w:style>
  <w:style w:type="paragraph" w:styleId="110">
    <w:name w:val="Intense Quote"/>
    <w:basedOn w:val="1"/>
    <w:next w:val="1"/>
    <w:link w:val="109"/>
    <w:qFormat/>
    <w:uiPriority w:val="0"/>
    <w:pPr>
      <w:pBdr>
        <w:bottom w:val="single" w:color="4F81BD" w:sz="4" w:space="4"/>
      </w:pBdr>
      <w:spacing w:before="200" w:beforeLines="0" w:after="280" w:afterLines="0"/>
      <w:ind w:left="936" w:right="936"/>
    </w:pPr>
    <w:rPr>
      <w:rFonts w:ascii="Calibri" w:hAnsi="Calibri"/>
      <w:b/>
      <w:bCs/>
      <w:i/>
      <w:iCs/>
      <w:color w:val="4F81BD"/>
      <w:kern w:val="0"/>
      <w:sz w:val="20"/>
      <w:szCs w:val="20"/>
    </w:rPr>
  </w:style>
  <w:style w:type="character" w:customStyle="1" w:styleId="111">
    <w:name w:val="引用 Char"/>
    <w:link w:val="112"/>
    <w:uiPriority w:val="0"/>
    <w:rPr>
      <w:rFonts w:ascii="Calibri" w:hAnsi="Calibri" w:eastAsia="宋体"/>
      <w:i/>
      <w:iCs/>
      <w:color w:val="000000"/>
      <w:lang w:val="en-US" w:eastAsia="zh-CN" w:bidi="ar-SA"/>
    </w:rPr>
  </w:style>
  <w:style w:type="paragraph" w:styleId="112">
    <w:name w:val="Quote"/>
    <w:basedOn w:val="1"/>
    <w:next w:val="1"/>
    <w:link w:val="111"/>
    <w:qFormat/>
    <w:uiPriority w:val="0"/>
    <w:rPr>
      <w:rFonts w:ascii="Calibri" w:hAnsi="Calibri"/>
      <w:i/>
      <w:iCs/>
      <w:color w:val="000000"/>
      <w:kern w:val="0"/>
      <w:sz w:val="20"/>
      <w:szCs w:val="20"/>
    </w:rPr>
  </w:style>
  <w:style w:type="character" w:customStyle="1" w:styleId="113">
    <w:name w:val="heading 1 Char1"/>
    <w:aliases w:val="标书1 Char1,h1 Char1,H1 Char1,L1 Char1,boc Char1,Section Head Char1,1st level Char1,l1 Char1,1 Char1,H11 Char1,H12 Char1,H13 Char1,H14 Char1,H15 Char1,H16 Char1,H17 Char1,Level 1 Topic Heading Char1,L1 Heading 1 Char1,h11 Char1,h12 Char"/>
    <w:uiPriority w:val="0"/>
    <w:rPr>
      <w:rFonts w:eastAsia="宋体"/>
      <w:b/>
      <w:bCs/>
      <w:kern w:val="44"/>
      <w:sz w:val="44"/>
      <w:szCs w:val="44"/>
      <w:lang w:val="en-US" w:eastAsia="zh-CN" w:bidi="ar-SA"/>
    </w:rPr>
  </w:style>
  <w:style w:type="character" w:customStyle="1" w:styleId="114">
    <w:name w:val="文档结构图 Char"/>
    <w:link w:val="17"/>
    <w:uiPriority w:val="0"/>
    <w:rPr>
      <w:rFonts w:eastAsia="宋体"/>
      <w:kern w:val="2"/>
      <w:sz w:val="21"/>
      <w:szCs w:val="24"/>
      <w:lang w:val="en-US" w:eastAsia="zh-CN" w:bidi="ar-SA"/>
    </w:rPr>
  </w:style>
  <w:style w:type="character" w:customStyle="1" w:styleId="115">
    <w:name w:val="纯文本 Char"/>
    <w:link w:val="27"/>
    <w:uiPriority w:val="0"/>
    <w:rPr>
      <w:rFonts w:ascii="宋体" w:hAnsi="Courier New" w:eastAsia="宋体"/>
      <w:b/>
      <w:sz w:val="21"/>
      <w:szCs w:val="21"/>
      <w:lang w:val="en-US" w:eastAsia="zh-CN" w:bidi="ar-SA"/>
    </w:rPr>
  </w:style>
  <w:style w:type="character" w:customStyle="1" w:styleId="116">
    <w:name w:val="签名 Char"/>
    <w:link w:val="35"/>
    <w:uiPriority w:val="0"/>
    <w:rPr>
      <w:rFonts w:ascii="仿宋_GB2312" w:eastAsia="仿宋_GB2312"/>
      <w:b/>
      <w:sz w:val="24"/>
      <w:szCs w:val="32"/>
    </w:rPr>
  </w:style>
  <w:style w:type="character" w:customStyle="1" w:styleId="117">
    <w:name w:val="明显强调1"/>
    <w:qFormat/>
    <w:uiPriority w:val="0"/>
    <w:rPr>
      <w:b/>
      <w:bCs/>
      <w:i/>
      <w:iCs/>
      <w:color w:val="4F81BD"/>
    </w:rPr>
  </w:style>
  <w:style w:type="character" w:customStyle="1" w:styleId="118">
    <w:name w:val="PI Char2"/>
    <w:aliases w:val="正文文字首行缩进 Char2,HD正文1 Char2,正文小标题 Char2,正文顶格 Char Char2"/>
    <w:uiPriority w:val="0"/>
    <w:rPr>
      <w:kern w:val="2"/>
      <w:sz w:val="24"/>
      <w:szCs w:val="24"/>
    </w:rPr>
  </w:style>
  <w:style w:type="character" w:customStyle="1" w:styleId="119">
    <w:name w:val="Char Char18"/>
    <w:uiPriority w:val="0"/>
    <w:rPr>
      <w:b/>
      <w:bCs/>
      <w:kern w:val="2"/>
      <w:sz w:val="32"/>
      <w:szCs w:val="32"/>
    </w:rPr>
  </w:style>
  <w:style w:type="character" w:customStyle="1" w:styleId="120">
    <w:name w:val="Table Text Char Char"/>
    <w:link w:val="121"/>
    <w:uiPriority w:val="0"/>
    <w:rPr>
      <w:sz w:val="21"/>
      <w:lang w:val="en-US" w:eastAsia="en-US" w:bidi="ar-SA"/>
    </w:rPr>
  </w:style>
  <w:style w:type="paragraph" w:customStyle="1" w:styleId="121">
    <w:name w:val="Table Text"/>
    <w:basedOn w:val="1"/>
    <w:link w:val="120"/>
    <w:uiPriority w:val="0"/>
    <w:pPr>
      <w:widowControl/>
      <w:tabs>
        <w:tab w:val="decimal" w:pos="0"/>
      </w:tabs>
      <w:overflowPunct w:val="0"/>
      <w:autoSpaceDE w:val="0"/>
      <w:autoSpaceDN w:val="0"/>
      <w:adjustRightInd w:val="0"/>
      <w:jc w:val="left"/>
      <w:textAlignment w:val="baseline"/>
    </w:pPr>
    <w:rPr>
      <w:kern w:val="0"/>
      <w:szCs w:val="20"/>
      <w:lang w:eastAsia="en-US"/>
    </w:rPr>
  </w:style>
  <w:style w:type="character" w:customStyle="1" w:styleId="122">
    <w:name w:val="样式 宋体"/>
    <w:uiPriority w:val="0"/>
    <w:rPr>
      <w:rFonts w:ascii="宋体" w:hAnsi="宋体" w:eastAsia="宋体"/>
      <w:sz w:val="24"/>
      <w:szCs w:val="24"/>
    </w:rPr>
  </w:style>
  <w:style w:type="character" w:customStyle="1" w:styleId="123">
    <w:name w:val="书籍标题1"/>
    <w:qFormat/>
    <w:uiPriority w:val="0"/>
    <w:rPr>
      <w:b/>
      <w:bCs/>
      <w:smallCaps/>
      <w:spacing w:val="5"/>
    </w:rPr>
  </w:style>
  <w:style w:type="character" w:customStyle="1" w:styleId="124">
    <w:name w:val="style111"/>
    <w:uiPriority w:val="0"/>
    <w:rPr>
      <w:sz w:val="27"/>
      <w:szCs w:val="27"/>
    </w:rPr>
  </w:style>
  <w:style w:type="character" w:customStyle="1" w:styleId="125">
    <w:name w:val="批注框文本 Char"/>
    <w:link w:val="32"/>
    <w:uiPriority w:val="0"/>
    <w:rPr>
      <w:rFonts w:eastAsia="宋体"/>
      <w:kern w:val="2"/>
      <w:sz w:val="18"/>
      <w:szCs w:val="18"/>
      <w:lang w:val="en-US" w:eastAsia="zh-CN" w:bidi="ar-SA"/>
    </w:rPr>
  </w:style>
  <w:style w:type="character" w:customStyle="1" w:styleId="126">
    <w:name w:val="Char Char4"/>
    <w:uiPriority w:val="0"/>
    <w:rPr>
      <w:rFonts w:ascii="Cambria" w:hAnsi="Cambria" w:eastAsia="宋体"/>
      <w:b/>
      <w:bCs/>
      <w:sz w:val="32"/>
      <w:szCs w:val="32"/>
      <w:lang w:bidi="ar-SA"/>
    </w:rPr>
  </w:style>
  <w:style w:type="character" w:styleId="127">
    <w:name w:val=""/>
    <w:qFormat/>
    <w:uiPriority w:val="0"/>
    <w:rPr>
      <w:b/>
      <w:bCs/>
      <w:smallCaps/>
      <w:color w:val="C0504D"/>
      <w:spacing w:val="5"/>
      <w:u w:val="single"/>
    </w:rPr>
  </w:style>
  <w:style w:type="character" w:customStyle="1" w:styleId="128">
    <w:name w:val="Style2"/>
    <w:uiPriority w:val="0"/>
    <w:rPr>
      <w:rFonts w:ascii="Calibri" w:hAnsi="宋体" w:eastAsia="宋体" w:cs="Times New Roman"/>
      <w:sz w:val="22"/>
      <w:szCs w:val="22"/>
      <w:lang w:eastAsia="zh-CN"/>
    </w:rPr>
  </w:style>
  <w:style w:type="character" w:customStyle="1" w:styleId="129">
    <w:name w:val=" Char Char4"/>
    <w:uiPriority w:val="0"/>
    <w:rPr>
      <w:rFonts w:ascii="Cambria" w:hAnsi="Cambria" w:eastAsia="宋体"/>
      <w:b/>
      <w:bCs/>
      <w:sz w:val="32"/>
      <w:szCs w:val="32"/>
      <w:lang w:bidi="ar-SA"/>
    </w:rPr>
  </w:style>
  <w:style w:type="character" w:customStyle="1" w:styleId="130">
    <w:name w:val="Char Char21"/>
    <w:uiPriority w:val="0"/>
    <w:rPr>
      <w:rFonts w:ascii="Times New Roman" w:hAnsi="Times New Roman" w:eastAsia="宋体" w:cs="Times New Roman"/>
      <w:b/>
      <w:bCs/>
      <w:kern w:val="44"/>
      <w:sz w:val="44"/>
      <w:szCs w:val="44"/>
    </w:rPr>
  </w:style>
  <w:style w:type="character" w:customStyle="1" w:styleId="131">
    <w:name w:val="textcolor1"/>
    <w:uiPriority w:val="0"/>
    <w:rPr>
      <w:rFonts w:ascii="仿宋_GB2312" w:eastAsia="仿宋_GB2312"/>
      <w:b/>
      <w:color w:val="FF6600"/>
      <w:sz w:val="32"/>
      <w:szCs w:val="32"/>
    </w:rPr>
  </w:style>
  <w:style w:type="character" w:customStyle="1" w:styleId="132">
    <w:name w:val="Ò³Ã¼ Char Char2"/>
    <w:uiPriority w:val="0"/>
    <w:rPr>
      <w:kern w:val="2"/>
      <w:sz w:val="18"/>
      <w:szCs w:val="18"/>
    </w:rPr>
  </w:style>
  <w:style w:type="character" w:customStyle="1" w:styleId="133">
    <w:name w:val="正文文本 Char"/>
    <w:link w:val="21"/>
    <w:uiPriority w:val="0"/>
    <w:rPr>
      <w:rFonts w:ascii="仿宋_GB2312" w:eastAsia="宋体"/>
      <w:b/>
      <w:kern w:val="2"/>
      <w:sz w:val="21"/>
      <w:szCs w:val="24"/>
      <w:lang w:val="en-US" w:eastAsia="zh-CN" w:bidi="ar-SA"/>
    </w:rPr>
  </w:style>
  <w:style w:type="character" w:customStyle="1" w:styleId="134">
    <w:name w:val="副标题 Char"/>
    <w:link w:val="38"/>
    <w:uiPriority w:val="0"/>
    <w:rPr>
      <w:rFonts w:ascii="Cambria" w:hAnsi="Cambria" w:eastAsia="宋体"/>
      <w:b/>
      <w:bCs/>
      <w:kern w:val="28"/>
      <w:sz w:val="32"/>
      <w:szCs w:val="32"/>
      <w:lang w:val="en-US" w:eastAsia="zh-CN" w:bidi="ar-SA"/>
    </w:rPr>
  </w:style>
  <w:style w:type="character" w:customStyle="1" w:styleId="135">
    <w:name w:val="Char Char Char Char Char Char Char Char Char"/>
    <w:uiPriority w:val="0"/>
    <w:rPr>
      <w:rFonts w:ascii="宋体" w:hAnsi="Courier New" w:eastAsia="宋体"/>
      <w:sz w:val="21"/>
      <w:szCs w:val="21"/>
      <w:lang w:val="en-US" w:eastAsia="zh-CN" w:bidi="ar-SA"/>
    </w:rPr>
  </w:style>
  <w:style w:type="character" w:customStyle="1" w:styleId="136">
    <w:name w:val="Style4"/>
    <w:uiPriority w:val="0"/>
    <w:rPr>
      <w:rFonts w:ascii="Calibri" w:hAnsi="宋体" w:eastAsia="宋体" w:cs="Times New Roman"/>
      <w:szCs w:val="22"/>
      <w:lang w:eastAsia="zh-CN"/>
    </w:rPr>
  </w:style>
  <w:style w:type="character" w:customStyle="1" w:styleId="137">
    <w:name w:val="称呼 Char"/>
    <w:link w:val="19"/>
    <w:uiPriority w:val="0"/>
    <w:rPr>
      <w:rFonts w:ascii="仿宋_GB2312" w:eastAsia="仿宋_GB2312"/>
      <w:b/>
      <w:sz w:val="24"/>
      <w:szCs w:val="32"/>
    </w:rPr>
  </w:style>
  <w:style w:type="character" w:customStyle="1" w:styleId="138">
    <w:name w:val="正文文本缩进 Char"/>
    <w:link w:val="22"/>
    <w:uiPriority w:val="0"/>
    <w:rPr>
      <w:rFonts w:eastAsia="宋体"/>
      <w:kern w:val="2"/>
      <w:sz w:val="24"/>
      <w:szCs w:val="24"/>
      <w:lang w:val="en-US" w:eastAsia="zh-CN" w:bidi="ar-SA"/>
    </w:rPr>
  </w:style>
  <w:style w:type="character" w:customStyle="1" w:styleId="139">
    <w:name w:val="Style3"/>
    <w:uiPriority w:val="0"/>
    <w:rPr>
      <w:rFonts w:ascii="Calibri" w:hAnsi="宋体" w:eastAsia="宋体" w:cs="Times New Roman"/>
      <w:szCs w:val="22"/>
      <w:lang w:eastAsia="zh-CN"/>
    </w:rPr>
  </w:style>
  <w:style w:type="character" w:customStyle="1" w:styleId="140">
    <w:name w:val="标题 4 Char"/>
    <w:link w:val="2"/>
    <w:uiPriority w:val="0"/>
    <w:rPr>
      <w:rFonts w:eastAsia="宋体"/>
      <w:kern w:val="2"/>
      <w:sz w:val="28"/>
      <w:szCs w:val="28"/>
      <w:lang w:val="en-US" w:eastAsia="zh-CN" w:bidi="ar-SA"/>
    </w:rPr>
  </w:style>
  <w:style w:type="character" w:customStyle="1" w:styleId="141">
    <w:name w:val="Char Char211"/>
    <w:uiPriority w:val="0"/>
    <w:rPr>
      <w:rFonts w:ascii="Times New Roman" w:hAnsi="Times New Roman" w:eastAsia="宋体" w:cs="Times New Roman"/>
      <w:b/>
      <w:bCs/>
      <w:kern w:val="44"/>
      <w:sz w:val="44"/>
      <w:szCs w:val="44"/>
    </w:rPr>
  </w:style>
  <w:style w:type="character" w:customStyle="1" w:styleId="142">
    <w:name w:val="正文缩进 Char"/>
    <w:link w:val="9"/>
    <w:uiPriority w:val="0"/>
    <w:rPr>
      <w:rFonts w:ascii="仿宋_GB2312" w:eastAsia="宋体"/>
      <w:b/>
      <w:sz w:val="21"/>
      <w:szCs w:val="32"/>
      <w:lang w:val="en-US" w:eastAsia="zh-CN" w:bidi="ar-SA"/>
    </w:rPr>
  </w:style>
  <w:style w:type="character" w:customStyle="1" w:styleId="143">
    <w:name w:val="style21"/>
    <w:uiPriority w:val="0"/>
    <w:rPr>
      <w:sz w:val="15"/>
      <w:szCs w:val="15"/>
    </w:rPr>
  </w:style>
  <w:style w:type="character" w:customStyle="1" w:styleId="144">
    <w:name w:val="Char Char24"/>
    <w:uiPriority w:val="0"/>
    <w:rPr>
      <w:rFonts w:eastAsia="宋体"/>
      <w:b/>
      <w:kern w:val="2"/>
      <w:sz w:val="28"/>
      <w:lang w:val="en-US" w:eastAsia="zh-CN" w:bidi="ar-SA"/>
    </w:rPr>
  </w:style>
  <w:style w:type="character" w:customStyle="1" w:styleId="145">
    <w:name w:val="Char Char20"/>
    <w:uiPriority w:val="0"/>
    <w:rPr>
      <w:b/>
      <w:bCs/>
      <w:kern w:val="44"/>
      <w:sz w:val="44"/>
      <w:szCs w:val="44"/>
    </w:rPr>
  </w:style>
  <w:style w:type="character" w:customStyle="1" w:styleId="146">
    <w:name w:val="Char Char6"/>
    <w:uiPriority w:val="0"/>
    <w:rPr>
      <w:rFonts w:ascii="Times New Roman" w:hAnsi="Times New Roman" w:eastAsia="宋体" w:cs="Times New Roman"/>
      <w:szCs w:val="24"/>
    </w:rPr>
  </w:style>
  <w:style w:type="character" w:styleId="147">
    <w:name w:val=""/>
    <w:qFormat/>
    <w:uiPriority w:val="0"/>
    <w:rPr>
      <w:i/>
      <w:iCs/>
      <w:color w:val="808080"/>
    </w:rPr>
  </w:style>
  <w:style w:type="character" w:customStyle="1" w:styleId="148">
    <w:name w:val="Footer-Even Char2"/>
    <w:aliases w:val="FtrF Char Char2"/>
    <w:uiPriority w:val="0"/>
    <w:rPr>
      <w:kern w:val="2"/>
      <w:sz w:val="18"/>
      <w:szCs w:val="18"/>
    </w:rPr>
  </w:style>
  <w:style w:type="character" w:customStyle="1" w:styleId="149">
    <w:name w:val="heading 2 Char1"/>
    <w:aliases w:val="Heading 2 Hidden Char1,Heading 2 CCBS Char1,H2 Char1,2 Char1,h2 Char1,Level 2 Head Char1,第*章 Char1,sect 1.2 Char1,节 Char1,标题 1.1 Char1,Underrubrik1 Char1,prop2 Char1,l2 Char1,Chapter Title Char1,DO NOT USE_h2 Char1,chn Char1,Titre2 Char1"/>
    <w:uiPriority w:val="0"/>
    <w:rPr>
      <w:rFonts w:ascii="Cambria" w:hAnsi="Cambria" w:eastAsia="宋体"/>
      <w:b/>
      <w:bCs/>
      <w:kern w:val="2"/>
      <w:sz w:val="32"/>
      <w:szCs w:val="32"/>
      <w:lang w:val="en-US" w:eastAsia="zh-CN" w:bidi="ar-SA"/>
    </w:rPr>
  </w:style>
  <w:style w:type="character" w:customStyle="1" w:styleId="150">
    <w:name w:val="heading 6 Char1"/>
    <w:aliases w:val="H6 Char1,BOD 4 Char Char1"/>
    <w:uiPriority w:val="0"/>
    <w:rPr>
      <w:rFonts w:ascii="Arial" w:hAnsi="Arial" w:eastAsia="黑体"/>
      <w:kern w:val="2"/>
      <w:sz w:val="24"/>
      <w:szCs w:val="24"/>
      <w:lang w:val="en-US" w:eastAsia="zh-CN" w:bidi="ar-SA"/>
    </w:rPr>
  </w:style>
  <w:style w:type="character" w:customStyle="1" w:styleId="151">
    <w:name w:val="不明显强调1"/>
    <w:qFormat/>
    <w:uiPriority w:val="0"/>
    <w:rPr>
      <w:i/>
      <w:iCs/>
      <w:color w:val="808080"/>
    </w:rPr>
  </w:style>
  <w:style w:type="character" w:customStyle="1" w:styleId="152">
    <w:name w:val="Ò³Ã¼ Char Char"/>
    <w:uiPriority w:val="0"/>
    <w:rPr>
      <w:sz w:val="18"/>
      <w:szCs w:val="18"/>
    </w:rPr>
  </w:style>
  <w:style w:type="character" w:customStyle="1" w:styleId="153">
    <w:name w:val="正文文本 2 Char"/>
    <w:basedOn w:val="52"/>
    <w:link w:val="45"/>
    <w:uiPriority w:val="0"/>
  </w:style>
  <w:style w:type="character" w:customStyle="1" w:styleId="154">
    <w:name w:val="宏文本 Char"/>
    <w:link w:val="3"/>
    <w:uiPriority w:val="0"/>
    <w:rPr>
      <w:rFonts w:ascii="Courier New" w:hAnsi="Courier New" w:eastAsia="Times New Roman"/>
      <w:kern w:val="2"/>
      <w:sz w:val="24"/>
      <w:szCs w:val="24"/>
      <w:lang w:val="en-US" w:eastAsia="zh-CN" w:bidi="ar-SA"/>
    </w:rPr>
  </w:style>
  <w:style w:type="character" w:customStyle="1" w:styleId="155">
    <w:name w:val="heading 5 Char2"/>
    <w:aliases w:val="H5 Char2,dash Char2,ds Char2,dd Char2,Roman list Char2,h5 Char2,PIM 5 Char2,5 Char2,第四层条 Char2,Titre5 Char Char2"/>
    <w:uiPriority w:val="0"/>
    <w:rPr>
      <w:b/>
      <w:bCs/>
      <w:kern w:val="2"/>
      <w:sz w:val="28"/>
      <w:szCs w:val="28"/>
    </w:rPr>
  </w:style>
  <w:style w:type="character" w:customStyle="1" w:styleId="156">
    <w:name w:val="无间隔 Char"/>
    <w:link w:val="157"/>
    <w:uiPriority w:val="0"/>
    <w:rPr>
      <w:rFonts w:ascii="Calibri" w:hAnsi="Calibri" w:eastAsia="Times New Roman"/>
      <w:sz w:val="22"/>
      <w:szCs w:val="22"/>
      <w:lang w:val="en-US" w:eastAsia="zh-CN" w:bidi="ar-SA"/>
    </w:rPr>
  </w:style>
  <w:style w:type="paragraph" w:styleId="157">
    <w:name w:val="No Spacing"/>
    <w:link w:val="156"/>
    <w:qFormat/>
    <w:uiPriority w:val="0"/>
    <w:rPr>
      <w:rFonts w:ascii="Calibri" w:hAnsi="Calibri" w:eastAsia="Times New Roman"/>
      <w:sz w:val="22"/>
      <w:szCs w:val="22"/>
      <w:lang w:val="en-US" w:eastAsia="zh-CN" w:bidi="ar-SA"/>
    </w:rPr>
  </w:style>
  <w:style w:type="character" w:customStyle="1" w:styleId="158">
    <w:name w:val="heading 8 Char1"/>
    <w:aliases w:val="图名 Char Char1"/>
    <w:uiPriority w:val="0"/>
    <w:rPr>
      <w:rFonts w:ascii="Arial" w:hAnsi="Arial" w:eastAsia="黑体"/>
      <w:sz w:val="24"/>
      <w:lang w:val="en-US" w:eastAsia="zh-CN" w:bidi="ar-SA"/>
    </w:rPr>
  </w:style>
  <w:style w:type="character" w:customStyle="1" w:styleId="159">
    <w:name w:val="正文1 Char Char"/>
    <w:link w:val="160"/>
    <w:uiPriority w:val="0"/>
    <w:rPr>
      <w:rFonts w:ascii="宋体" w:hAnsi="宋体" w:eastAsia="宋体" w:cs="宋体"/>
      <w:sz w:val="21"/>
      <w:lang w:val="en-US" w:eastAsia="zh-CN" w:bidi="ar-SA"/>
    </w:rPr>
  </w:style>
  <w:style w:type="paragraph" w:customStyle="1" w:styleId="160">
    <w:name w:val="正文1"/>
    <w:basedOn w:val="1"/>
    <w:link w:val="159"/>
    <w:uiPriority w:val="0"/>
    <w:pPr>
      <w:widowControl/>
      <w:spacing w:line="360" w:lineRule="auto"/>
      <w:ind w:left="360" w:firstLine="420"/>
      <w:jc w:val="left"/>
    </w:pPr>
    <w:rPr>
      <w:rFonts w:cs="宋体"/>
      <w:kern w:val="0"/>
      <w:szCs w:val="20"/>
    </w:rPr>
  </w:style>
  <w:style w:type="character" w:customStyle="1" w:styleId="161">
    <w:name w:val="页眉 Char"/>
    <w:link w:val="34"/>
    <w:uiPriority w:val="0"/>
    <w:rPr>
      <w:rFonts w:eastAsia="宋体"/>
      <w:kern w:val="2"/>
      <w:sz w:val="18"/>
      <w:szCs w:val="18"/>
      <w:lang w:val="en-US" w:eastAsia="zh-CN" w:bidi="ar-SA"/>
    </w:rPr>
  </w:style>
  <w:style w:type="character" w:customStyle="1" w:styleId="162">
    <w:name w:val="smalltxt1"/>
    <w:uiPriority w:val="0"/>
    <w:rPr>
      <w:rFonts w:hint="default" w:ascii="ˎ̥" w:hAnsi="ˎ̥"/>
      <w:sz w:val="24"/>
      <w:szCs w:val="24"/>
    </w:rPr>
  </w:style>
  <w:style w:type="character" w:customStyle="1" w:styleId="163">
    <w:name w:val="Char Char2"/>
    <w:uiPriority w:val="0"/>
    <w:rPr>
      <w:rFonts w:ascii="Arial" w:hAnsi="Arial" w:eastAsia="黑体"/>
      <w:b/>
      <w:bCs/>
      <w:kern w:val="44"/>
      <w:sz w:val="30"/>
      <w:szCs w:val="44"/>
      <w:lang w:val="en-US" w:eastAsia="zh-CN" w:bidi="ar-SA"/>
    </w:rPr>
  </w:style>
  <w:style w:type="character" w:customStyle="1" w:styleId="164">
    <w:name w:val="Texte Char Char"/>
    <w:uiPriority w:val="0"/>
    <w:rPr>
      <w:rFonts w:ascii="宋体" w:hAnsi="Courier New" w:eastAsia="宋体"/>
      <w:sz w:val="21"/>
      <w:szCs w:val="21"/>
      <w:lang w:val="en-US" w:eastAsia="zh-CN" w:bidi="ar-SA"/>
    </w:rPr>
  </w:style>
  <w:style w:type="character" w:customStyle="1" w:styleId="165">
    <w:name w:val="gray6"/>
    <w:basedOn w:val="52"/>
    <w:uiPriority w:val="0"/>
  </w:style>
  <w:style w:type="character" w:customStyle="1" w:styleId="166">
    <w:name w:val="heading 7 Char1"/>
    <w:aliases w:val="表名 Char Char1"/>
    <w:uiPriority w:val="0"/>
    <w:rPr>
      <w:rFonts w:ascii="Arial" w:hAnsi="Arial" w:eastAsia="黑体"/>
      <w:sz w:val="21"/>
      <w:szCs w:val="21"/>
      <w:lang w:val="en-US" w:eastAsia="zh-CN" w:bidi="ar-SA"/>
    </w:rPr>
  </w:style>
  <w:style w:type="character" w:customStyle="1" w:styleId="167">
    <w:name w:val="批注主题 Char"/>
    <w:link w:val="48"/>
    <w:uiPriority w:val="0"/>
    <w:rPr>
      <w:rFonts w:eastAsia="宋体"/>
      <w:b/>
      <w:bCs/>
      <w:kern w:val="2"/>
      <w:sz w:val="21"/>
      <w:szCs w:val="24"/>
      <w:lang w:val="en-US" w:eastAsia="zh-CN" w:bidi="ar-SA"/>
    </w:rPr>
  </w:style>
  <w:style w:type="character" w:customStyle="1" w:styleId="168">
    <w:name w:val="Style5"/>
    <w:uiPriority w:val="0"/>
    <w:rPr>
      <w:rFonts w:ascii="Calibri" w:hAnsi="宋体" w:eastAsia="宋体" w:cs="Times New Roman"/>
      <w:sz w:val="22"/>
      <w:szCs w:val="22"/>
      <w:lang w:eastAsia="zh-CN"/>
    </w:rPr>
  </w:style>
  <w:style w:type="character" w:customStyle="1" w:styleId="169">
    <w:name w:val="标题 5 Char"/>
    <w:link w:val="7"/>
    <w:qFormat/>
    <w:uiPriority w:val="0"/>
    <w:rPr>
      <w:rFonts w:eastAsia="宋体"/>
      <w:b/>
      <w:bCs/>
      <w:sz w:val="28"/>
      <w:szCs w:val="28"/>
      <w:lang w:bidi="ar-SA"/>
    </w:rPr>
  </w:style>
  <w:style w:type="character" w:customStyle="1" w:styleId="170">
    <w:name w:val="Plain Text Char"/>
    <w:uiPriority w:val="0"/>
    <w:rPr>
      <w:rFonts w:ascii="宋体" w:hAnsi="Courier New" w:eastAsia="宋体" w:cs="Times New Roman"/>
      <w:sz w:val="21"/>
      <w:szCs w:val="21"/>
    </w:rPr>
  </w:style>
  <w:style w:type="character" w:customStyle="1" w:styleId="171">
    <w:name w:val="Char Char27"/>
    <w:uiPriority w:val="0"/>
    <w:rPr>
      <w:rFonts w:eastAsia="宋体"/>
      <w:kern w:val="2"/>
      <w:sz w:val="28"/>
      <w:lang w:val="en-US" w:eastAsia="zh-CN" w:bidi="ar-SA"/>
    </w:rPr>
  </w:style>
  <w:style w:type="character" w:customStyle="1" w:styleId="172">
    <w:name w:val="样式 标题 3 + 黑体 小四 Char Char"/>
    <w:link w:val="173"/>
    <w:uiPriority w:val="0"/>
    <w:rPr>
      <w:rFonts w:ascii="黑体" w:hAnsi="Arial" w:eastAsia="黑体"/>
      <w:bCs/>
      <w:sz w:val="24"/>
      <w:szCs w:val="24"/>
      <w:lang w:bidi="ar-SA"/>
    </w:rPr>
  </w:style>
  <w:style w:type="paragraph" w:customStyle="1" w:styleId="173">
    <w:name w:val="样式 标题 3 + 黑体 小四"/>
    <w:basedOn w:val="6"/>
    <w:link w:val="172"/>
    <w:uiPriority w:val="0"/>
    <w:pPr>
      <w:numPr>
        <w:ilvl w:val="2"/>
        <w:numId w:val="0"/>
      </w:numPr>
      <w:spacing w:before="260" w:beforeLines="0" w:after="260" w:afterLines="0" w:line="415" w:lineRule="auto"/>
    </w:pPr>
    <w:rPr>
      <w:rFonts w:ascii="黑体" w:hAnsi="Arial"/>
      <w:b w:val="0"/>
      <w:bCs/>
      <w:kern w:val="0"/>
      <w:sz w:val="24"/>
      <w:szCs w:val="24"/>
    </w:rPr>
  </w:style>
  <w:style w:type="character" w:customStyle="1" w:styleId="174">
    <w:name w:val="Char Char201"/>
    <w:uiPriority w:val="0"/>
    <w:rPr>
      <w:rFonts w:ascii="Cambria" w:hAnsi="Cambria" w:eastAsia="宋体" w:cs="Times New Roman"/>
      <w:b/>
      <w:bCs/>
      <w:sz w:val="32"/>
      <w:szCs w:val="32"/>
    </w:rPr>
  </w:style>
  <w:style w:type="character" w:styleId="175">
    <w:name w:val=""/>
    <w:qFormat/>
    <w:uiPriority w:val="0"/>
    <w:rPr>
      <w:smallCaps/>
      <w:color w:val="C0504D"/>
      <w:u w:val="single"/>
    </w:rPr>
  </w:style>
  <w:style w:type="character" w:customStyle="1" w:styleId="176">
    <w:name w:val="标题 1 Char"/>
    <w:link w:val="4"/>
    <w:uiPriority w:val="0"/>
    <w:rPr>
      <w:rFonts w:eastAsia="黑体"/>
      <w:b/>
      <w:kern w:val="2"/>
      <w:sz w:val="32"/>
      <w:lang w:val="en-US" w:eastAsia="zh-CN" w:bidi="ar-SA"/>
    </w:rPr>
  </w:style>
  <w:style w:type="character" w:customStyle="1" w:styleId="177">
    <w:name w:val="heading 2 Char"/>
    <w:aliases w:val="Heading 2 Hidden Char,Heading 2 CCBS Char,H2 Char,2 Char,h2 Char,Level 2 Head Char,第*章 Char,sect 1.2 Char,节 Char,标题 1.1 Char,Underrubrik1 Char,prop2 Char,l2 Char,Chapter Title Char,DO NOT USE_h2 Char,chn Char,2nd level Char,Titre2 Char"/>
    <w:uiPriority w:val="0"/>
    <w:rPr>
      <w:rFonts w:ascii="Arial" w:hAnsi="Arial" w:eastAsia="黑体" w:cs="Times New Roman"/>
      <w:sz w:val="30"/>
      <w:szCs w:val="24"/>
    </w:rPr>
  </w:style>
  <w:style w:type="character" w:customStyle="1" w:styleId="178">
    <w:name w:val="heading 5 Char"/>
    <w:aliases w:val="H5 Char,dash Char,ds Char,dd Char,Roman list Char,h5 Char,PIM 5 Char,5 Char,第四层条 Char,Titre5 Char Char"/>
    <w:uiPriority w:val="0"/>
    <w:rPr>
      <w:rFonts w:ascii="Arial" w:hAnsi="Arial" w:eastAsia="黑体"/>
      <w:sz w:val="21"/>
      <w:szCs w:val="21"/>
    </w:rPr>
  </w:style>
  <w:style w:type="character" w:customStyle="1" w:styleId="179">
    <w:name w:val="heading 1 Char2"/>
    <w:aliases w:val="标书1 Char2,h1 Char2,H1 Char2,L1 Char2,boc Char2,Section Head Char2,1st level Char2,l1 Char2,1 Char2,H11 Char2,H12 Char2,H13 Char2,H14 Char2,H15 Char2,H16 Char2,H17 Char2,Level 1 Topic Heading Char2,L1 Heading 1 Char2,h11 Char2,h12 Char1"/>
    <w:uiPriority w:val="0"/>
    <w:rPr>
      <w:b/>
      <w:bCs/>
      <w:kern w:val="44"/>
      <w:sz w:val="44"/>
      <w:szCs w:val="44"/>
    </w:rPr>
  </w:style>
  <w:style w:type="character" w:customStyle="1" w:styleId="180">
    <w:name w:val="Style1"/>
    <w:uiPriority w:val="0"/>
    <w:rPr>
      <w:rFonts w:ascii="Calibri" w:hAnsi="宋体" w:eastAsia="宋体" w:cs="Times New Roman"/>
      <w:sz w:val="22"/>
      <w:szCs w:val="22"/>
      <w:lang w:eastAsia="zh-CN"/>
    </w:rPr>
  </w:style>
  <w:style w:type="character" w:customStyle="1" w:styleId="181">
    <w:name w:val="不明显参考1"/>
    <w:qFormat/>
    <w:uiPriority w:val="0"/>
    <w:rPr>
      <w:smallCaps/>
      <w:color w:val="C0504D"/>
      <w:u w:val="single"/>
    </w:rPr>
  </w:style>
  <w:style w:type="character" w:customStyle="1" w:styleId="182">
    <w:name w:val="Footer-Even Char1"/>
    <w:aliases w:val="FtrF Char Char1"/>
    <w:uiPriority w:val="0"/>
    <w:rPr>
      <w:rFonts w:eastAsia="宋体"/>
      <w:kern w:val="2"/>
      <w:sz w:val="18"/>
      <w:szCs w:val="18"/>
      <w:lang w:val="en-US" w:eastAsia="zh-CN" w:bidi="ar-SA"/>
    </w:rPr>
  </w:style>
  <w:style w:type="character" w:customStyle="1" w:styleId="183">
    <w:name w:val="Ò³Ã¼ Char Char1"/>
    <w:uiPriority w:val="0"/>
    <w:rPr>
      <w:rFonts w:eastAsia="宋体"/>
      <w:kern w:val="2"/>
      <w:sz w:val="18"/>
      <w:szCs w:val="18"/>
      <w:lang w:val="en-US" w:eastAsia="zh-CN" w:bidi="ar-SA"/>
    </w:rPr>
  </w:style>
  <w:style w:type="character" w:customStyle="1" w:styleId="184">
    <w:name w:val="正文首行缩进 Char"/>
    <w:link w:val="49"/>
    <w:uiPriority w:val="0"/>
    <w:rPr>
      <w:rFonts w:eastAsia="宋体"/>
      <w:lang w:val="en-US" w:eastAsia="zh-CN" w:bidi="ar-SA"/>
    </w:rPr>
  </w:style>
  <w:style w:type="character" w:customStyle="1" w:styleId="185">
    <w:name w:val="Char Char17"/>
    <w:uiPriority w:val="0"/>
    <w:rPr>
      <w:rFonts w:ascii="Cambria" w:hAnsi="Cambria"/>
      <w:b/>
      <w:bCs/>
      <w:kern w:val="2"/>
      <w:sz w:val="28"/>
      <w:szCs w:val="28"/>
    </w:rPr>
  </w:style>
  <w:style w:type="character" w:customStyle="1" w:styleId="186">
    <w:name w:val="heading 3 Char2"/>
    <w:aliases w:val="H3 Char2,l3 Char2,CT Char2,h3 Char2,3rd level Char2,Heading 3 - old Char2,3 Char2,Head 3 Char2,level_3 Char2,PIM 3 Char2,Level 3 Head Char2,sect1.2.3 Char2,ISO2 Char2,L3 Char2,sect1.2.31 Char2,sect1.2.32 Char2,sect1.2.311 Char2,三级 Char1"/>
    <w:uiPriority w:val="0"/>
    <w:rPr>
      <w:b/>
      <w:bCs/>
      <w:kern w:val="2"/>
      <w:sz w:val="32"/>
      <w:szCs w:val="32"/>
    </w:rPr>
  </w:style>
  <w:style w:type="character" w:customStyle="1" w:styleId="187">
    <w:name w:val="标题 3 Char"/>
    <w:link w:val="6"/>
    <w:uiPriority w:val="0"/>
    <w:rPr>
      <w:rFonts w:eastAsia="黑体"/>
      <w:b/>
      <w:kern w:val="2"/>
      <w:sz w:val="28"/>
      <w:lang w:val="en-US" w:eastAsia="zh-CN" w:bidi="ar-SA"/>
    </w:rPr>
  </w:style>
  <w:style w:type="character" w:customStyle="1" w:styleId="188">
    <w:name w:val="Char Char19"/>
    <w:uiPriority w:val="0"/>
    <w:rPr>
      <w:rFonts w:ascii="Cambria" w:hAnsi="Cambria"/>
      <w:b/>
      <w:bCs/>
      <w:kern w:val="2"/>
      <w:sz w:val="32"/>
      <w:szCs w:val="32"/>
    </w:rPr>
  </w:style>
  <w:style w:type="character" w:customStyle="1" w:styleId="189">
    <w:name w:val="正文文本缩进 3 Char"/>
    <w:link w:val="42"/>
    <w:uiPriority w:val="0"/>
    <w:rPr>
      <w:rFonts w:eastAsia="宋体"/>
      <w:kern w:val="2"/>
      <w:sz w:val="24"/>
      <w:szCs w:val="24"/>
      <w:lang w:val="en-US" w:eastAsia="zh-CN" w:bidi="ar-SA"/>
    </w:rPr>
  </w:style>
  <w:style w:type="character" w:customStyle="1" w:styleId="190">
    <w:name w:val="heading 9 Char1"/>
    <w:aliases w:val="未用 Char Char1"/>
    <w:uiPriority w:val="0"/>
    <w:rPr>
      <w:rFonts w:ascii="Arial" w:hAnsi="Arial" w:eastAsia="黑体"/>
      <w:sz w:val="21"/>
      <w:lang w:val="en-US" w:eastAsia="zh-CN" w:bidi="ar-SA"/>
    </w:rPr>
  </w:style>
  <w:style w:type="character" w:customStyle="1" w:styleId="191">
    <w:name w:val="明显参考1"/>
    <w:qFormat/>
    <w:uiPriority w:val="0"/>
    <w:rPr>
      <w:b/>
      <w:bCs/>
      <w:smallCaps/>
      <w:color w:val="C0504D"/>
      <w:spacing w:val="5"/>
      <w:u w:val="single"/>
    </w:rPr>
  </w:style>
  <w:style w:type="character" w:customStyle="1" w:styleId="192">
    <w:name w:val="Char Char111"/>
    <w:uiPriority w:val="0"/>
    <w:rPr>
      <w:rFonts w:ascii="Times New Roman" w:hAnsi="Times New Roman" w:eastAsia="宋体" w:cs="Times New Roman"/>
      <w:sz w:val="18"/>
      <w:szCs w:val="18"/>
    </w:rPr>
  </w:style>
  <w:style w:type="character" w:customStyle="1" w:styleId="193">
    <w:name w:val="日期 Char"/>
    <w:link w:val="30"/>
    <w:uiPriority w:val="0"/>
    <w:rPr>
      <w:rFonts w:eastAsia="宋体"/>
      <w:kern w:val="2"/>
      <w:sz w:val="21"/>
      <w:szCs w:val="24"/>
      <w:lang w:val="en-US" w:eastAsia="zh-CN" w:bidi="ar-SA"/>
    </w:rPr>
  </w:style>
  <w:style w:type="paragraph" w:customStyle="1" w:styleId="194">
    <w:name w:val="xl6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color w:val="000000"/>
      <w:kern w:val="0"/>
      <w:sz w:val="24"/>
    </w:rPr>
  </w:style>
  <w:style w:type="paragraph" w:customStyle="1" w:styleId="195">
    <w:name w:val="样式5"/>
    <w:basedOn w:val="9"/>
    <w:uiPriority w:val="0"/>
    <w:pPr>
      <w:adjustRightInd/>
      <w:spacing w:line="360" w:lineRule="auto"/>
      <w:ind w:firstLine="200" w:firstLineChars="200"/>
      <w:textAlignment w:val="auto"/>
    </w:pPr>
    <w:rPr>
      <w:sz w:val="28"/>
      <w:szCs w:val="21"/>
    </w:rPr>
  </w:style>
  <w:style w:type="paragraph" w:customStyle="1" w:styleId="196">
    <w:name w:val="正文－恩普"/>
    <w:basedOn w:val="9"/>
    <w:uiPriority w:val="0"/>
    <w:pPr>
      <w:adjustRightInd/>
      <w:spacing w:line="360" w:lineRule="auto"/>
      <w:ind w:firstLine="200" w:firstLineChars="200"/>
      <w:textAlignment w:val="auto"/>
    </w:pPr>
    <w:rPr>
      <w:kern w:val="2"/>
      <w:sz w:val="24"/>
      <w:szCs w:val="24"/>
    </w:rPr>
  </w:style>
  <w:style w:type="paragraph" w:customStyle="1" w:styleId="197">
    <w:name w:val="二级条标题"/>
    <w:basedOn w:val="198"/>
    <w:next w:val="1"/>
    <w:uiPriority w:val="0"/>
    <w:pPr>
      <w:tabs>
        <w:tab w:val="left" w:pos="4309"/>
      </w:tabs>
      <w:ind w:left="4309"/>
      <w:outlineLvl w:val="3"/>
    </w:pPr>
  </w:style>
  <w:style w:type="paragraph" w:customStyle="1" w:styleId="198">
    <w:name w:val="一级条标题"/>
    <w:next w:val="1"/>
    <w:uiPriority w:val="0"/>
    <w:pPr>
      <w:tabs>
        <w:tab w:val="left" w:pos="3889"/>
      </w:tabs>
      <w:ind w:left="3889" w:hanging="420"/>
      <w:outlineLvl w:val="2"/>
    </w:pPr>
    <w:rPr>
      <w:rFonts w:eastAsia="黑体"/>
      <w:sz w:val="21"/>
      <w:lang w:val="en-US" w:eastAsia="zh-CN" w:bidi="ar-SA"/>
    </w:rPr>
  </w:style>
  <w:style w:type="paragraph" w:customStyle="1" w:styleId="199">
    <w:name w:val="Char Char Char Char Char Char Char Char Char Char Char Char Char Char Char Char Char Char Char1"/>
    <w:basedOn w:val="1"/>
    <w:uiPriority w:val="0"/>
    <w:rPr>
      <w:rFonts w:ascii="仿宋_GB2312" w:eastAsia="仿宋_GB2312"/>
      <w:b/>
      <w:sz w:val="32"/>
      <w:szCs w:val="32"/>
    </w:rPr>
  </w:style>
  <w:style w:type="paragraph" w:customStyle="1" w:styleId="200">
    <w:name w:val="标书正文带编号"/>
    <w:basedOn w:val="1"/>
    <w:uiPriority w:val="0"/>
    <w:pPr>
      <w:tabs>
        <w:tab w:val="left" w:pos="397"/>
      </w:tabs>
      <w:autoSpaceDE w:val="0"/>
      <w:autoSpaceDN w:val="0"/>
      <w:adjustRightInd w:val="0"/>
      <w:ind w:firstLine="397"/>
      <w:jc w:val="left"/>
    </w:pPr>
    <w:rPr>
      <w:rFonts w:cs="宋体"/>
      <w:kern w:val="0"/>
      <w:sz w:val="20"/>
      <w:szCs w:val="21"/>
    </w:rPr>
  </w:style>
  <w:style w:type="paragraph" w:customStyle="1" w:styleId="201">
    <w:name w:val="xl25"/>
    <w:basedOn w:val="1"/>
    <w:uiPriority w:val="0"/>
    <w:pPr>
      <w:widowControl/>
      <w:autoSpaceDE w:val="0"/>
      <w:autoSpaceDN w:val="0"/>
      <w:adjustRightInd w:val="0"/>
      <w:spacing w:before="100" w:beforeLines="0" w:beforeAutospacing="1" w:after="100" w:afterLines="0" w:afterAutospacing="1"/>
      <w:jc w:val="center"/>
      <w:textAlignment w:val="center"/>
    </w:pPr>
    <w:rPr>
      <w:rFonts w:hint="eastAsia" w:ascii="楷体_GB2312" w:hAnsi="宋体" w:eastAsia="楷体_GB2312"/>
      <w:kern w:val="0"/>
      <w:sz w:val="24"/>
      <w:szCs w:val="20"/>
    </w:rPr>
  </w:style>
  <w:style w:type="paragraph" w:customStyle="1" w:styleId="202">
    <w:name w:val="样式 标题 1Level 1Level 11h1II+IHeading1H1-Heading 1Header 1..."/>
    <w:basedOn w:val="4"/>
    <w:uiPriority w:val="0"/>
    <w:pPr>
      <w:keepLines/>
      <w:pageBreakBefore/>
      <w:numPr>
        <w:ilvl w:val="0"/>
        <w:numId w:val="0"/>
      </w:numPr>
      <w:spacing w:before="100" w:beforeLines="0" w:after="100" w:afterLines="0" w:line="360" w:lineRule="auto"/>
      <w:ind w:left="1680" w:hanging="420"/>
      <w:jc w:val="left"/>
    </w:pPr>
    <w:rPr>
      <w:rFonts w:ascii="Arial" w:hAnsi="Arial" w:cs="宋体"/>
      <w:bCs/>
      <w:kern w:val="44"/>
      <w:sz w:val="44"/>
    </w:rPr>
  </w:style>
  <w:style w:type="paragraph" w:customStyle="1" w:styleId="203">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04">
    <w:name w:val="features1"/>
    <w:basedOn w:val="1"/>
    <w:uiPriority w:val="0"/>
    <w:pPr>
      <w:widowControl/>
      <w:spacing w:before="100" w:beforeLines="0" w:beforeAutospacing="1" w:after="100" w:afterLines="0" w:afterAutospacing="1"/>
      <w:jc w:val="left"/>
    </w:pPr>
    <w:rPr>
      <w:rFonts w:ascii="宋体" w:hAnsi="宋体" w:cs="宋体"/>
      <w:b/>
      <w:bCs/>
      <w:kern w:val="0"/>
      <w:sz w:val="18"/>
      <w:szCs w:val="18"/>
    </w:rPr>
  </w:style>
  <w:style w:type="paragraph" w:customStyle="1" w:styleId="205">
    <w:name w:val="Test2"/>
    <w:basedOn w:val="5"/>
    <w:uiPriority w:val="0"/>
    <w:pPr>
      <w:keepNext w:val="0"/>
      <w:widowControl/>
      <w:numPr>
        <w:ilvl w:val="1"/>
        <w:numId w:val="0"/>
      </w:numPr>
      <w:tabs>
        <w:tab w:val="left" w:pos="774"/>
      </w:tabs>
      <w:autoSpaceDE w:val="0"/>
      <w:autoSpaceDN w:val="0"/>
      <w:adjustRightInd w:val="0"/>
      <w:snapToGrid w:val="0"/>
      <w:spacing w:before="360" w:beforeLines="0" w:after="360" w:afterLines="0" w:line="240" w:lineRule="atLeast"/>
      <w:ind w:left="774" w:hanging="576"/>
      <w:jc w:val="left"/>
    </w:pPr>
    <w:rPr>
      <w:rFonts w:ascii="宋体" w:hAnsi="Arial"/>
      <w:snapToGrid w:val="0"/>
      <w:kern w:val="0"/>
      <w:szCs w:val="32"/>
    </w:rPr>
  </w:style>
  <w:style w:type="paragraph" w:customStyle="1" w:styleId="206">
    <w:name w:val="简单回函地址"/>
    <w:basedOn w:val="1"/>
    <w:uiPriority w:val="0"/>
  </w:style>
  <w:style w:type="paragraph" w:customStyle="1" w:styleId="207">
    <w:name w:val="Char Char1"/>
    <w:basedOn w:val="1"/>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08">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szCs w:val="20"/>
      <w:lang w:val="zh-CN" w:eastAsia="zh-CN"/>
    </w:rPr>
  </w:style>
  <w:style w:type="paragraph" w:customStyle="1" w:styleId="2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10">
    <w:name w:val="Table Heading"/>
    <w:uiPriority w:val="0"/>
    <w:pPr>
      <w:keepNext/>
      <w:snapToGrid w:val="0"/>
      <w:spacing w:before="80" w:after="80"/>
      <w:jc w:val="center"/>
    </w:pPr>
    <w:rPr>
      <w:rFonts w:ascii="Calibri" w:hAnsi="Calibri" w:eastAsia="黑体" w:cs="Arial"/>
      <w:kern w:val="2"/>
      <w:sz w:val="18"/>
      <w:szCs w:val="18"/>
      <w:lang w:val="en-US" w:eastAsia="zh-CN" w:bidi="ar-SA"/>
    </w:rPr>
  </w:style>
  <w:style w:type="paragraph" w:customStyle="1" w:styleId="211">
    <w:name w:val="Char1"/>
    <w:basedOn w:val="1"/>
    <w:uiPriority w:val="0"/>
    <w:pPr>
      <w:autoSpaceDE w:val="0"/>
      <w:autoSpaceDN w:val="0"/>
      <w:adjustRightInd w:val="0"/>
      <w:jc w:val="left"/>
    </w:pPr>
    <w:rPr>
      <w:rFonts w:ascii="仿宋_GB2312" w:eastAsia="仿宋_GB2312"/>
      <w:b/>
      <w:kern w:val="0"/>
      <w:sz w:val="32"/>
      <w:szCs w:val="32"/>
    </w:rPr>
  </w:style>
  <w:style w:type="paragraph" w:customStyle="1" w:styleId="212">
    <w:name w:val="Table Contents"/>
    <w:basedOn w:val="1"/>
    <w:uiPriority w:val="0"/>
    <w:pPr>
      <w:suppressAutoHyphens/>
      <w:autoSpaceDE w:val="0"/>
      <w:autoSpaceDN w:val="0"/>
      <w:adjustRightInd w:val="0"/>
      <w:spacing w:after="120" w:afterLines="0"/>
      <w:jc w:val="left"/>
    </w:pPr>
    <w:rPr>
      <w:rFonts w:ascii="Helvetica" w:hAnsi="Helvetica"/>
      <w:kern w:val="1"/>
      <w:sz w:val="20"/>
      <w:szCs w:val="20"/>
    </w:rPr>
  </w:style>
  <w:style w:type="paragraph" w:customStyle="1" w:styleId="213">
    <w:name w:val="button"/>
    <w:basedOn w:val="1"/>
    <w:uiPriority w:val="0"/>
    <w:pPr>
      <w:widowControl/>
      <w:autoSpaceDE w:val="0"/>
      <w:autoSpaceDN w:val="0"/>
      <w:adjustRightInd w:val="0"/>
      <w:spacing w:before="100" w:beforeLines="0" w:beforeAutospacing="1" w:after="100" w:afterLines="0" w:afterAutospacing="1"/>
      <w:jc w:val="left"/>
    </w:pPr>
    <w:rPr>
      <w:rFonts w:ascii="Arial Unicode MS" w:hAnsi="Arial Unicode MS"/>
      <w:color w:val="000000"/>
      <w:kern w:val="0"/>
      <w:sz w:val="24"/>
      <w:szCs w:val="20"/>
    </w:rPr>
  </w:style>
  <w:style w:type="paragraph" w:customStyle="1" w:styleId="214">
    <w:name w:val="Char Char Char Char Char Char Char Char Char Char Char Char Char Char Char Char Char Char Char"/>
    <w:basedOn w:val="1"/>
    <w:uiPriority w:val="0"/>
    <w:rPr>
      <w:rFonts w:ascii="仿宋_GB2312" w:eastAsia="仿宋_GB2312"/>
      <w:b/>
      <w:sz w:val="32"/>
      <w:szCs w:val="32"/>
    </w:rPr>
  </w:style>
  <w:style w:type="paragraph" w:customStyle="1" w:styleId="215">
    <w:name w:val="排列"/>
    <w:basedOn w:val="1"/>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216">
    <w:name w:val="Char Char Char Char Char Char Char Char Char Char"/>
    <w:basedOn w:val="1"/>
    <w:uiPriority w:val="0"/>
    <w:pPr>
      <w:autoSpaceDE w:val="0"/>
      <w:autoSpaceDN w:val="0"/>
      <w:adjustRightInd w:val="0"/>
      <w:jc w:val="left"/>
    </w:pPr>
    <w:rPr>
      <w:rFonts w:ascii="仿宋_GB2312" w:eastAsia="仿宋_GB2312"/>
      <w:b/>
      <w:kern w:val="0"/>
      <w:sz w:val="32"/>
      <w:szCs w:val="32"/>
    </w:rPr>
  </w:style>
  <w:style w:type="paragraph" w:customStyle="1" w:styleId="217">
    <w:name w:val="xl7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color w:val="000000"/>
      <w:kern w:val="0"/>
      <w:sz w:val="24"/>
    </w:rPr>
  </w:style>
  <w:style w:type="paragraph" w:customStyle="1" w:styleId="218">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新宋体" w:hAnsi="新宋体" w:eastAsia="新宋体" w:cs="宋体"/>
      <w:color w:val="000000"/>
      <w:kern w:val="0"/>
      <w:sz w:val="24"/>
    </w:rPr>
  </w:style>
  <w:style w:type="paragraph" w:customStyle="1" w:styleId="219">
    <w:name w:val="font6"/>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20">
    <w:name w:val="Char Char Char Char Char Char Char Char Char Char Char Char Char"/>
    <w:basedOn w:val="1"/>
    <w:qFormat/>
    <w:uiPriority w:val="0"/>
    <w:rPr>
      <w:rFonts w:ascii="Tahoma" w:hAnsi="Tahoma"/>
      <w:sz w:val="24"/>
      <w:szCs w:val="20"/>
    </w:rPr>
  </w:style>
  <w:style w:type="paragraph" w:customStyle="1" w:styleId="221">
    <w:name w:val="列项——（一级）"/>
    <w:uiPriority w:val="0"/>
    <w:pPr>
      <w:widowControl w:val="0"/>
      <w:tabs>
        <w:tab w:val="left" w:pos="854"/>
        <w:tab w:val="left" w:pos="1260"/>
      </w:tabs>
      <w:ind w:left="1260" w:hanging="420"/>
      <w:jc w:val="both"/>
    </w:pPr>
    <w:rPr>
      <w:sz w:val="21"/>
      <w:lang w:val="en-US" w:eastAsia="zh-CN" w:bidi="ar-SA"/>
    </w:rPr>
  </w:style>
  <w:style w:type="paragraph" w:customStyle="1" w:styleId="222">
    <w:name w:val="WW-正文文字缩进 2"/>
    <w:basedOn w:val="1"/>
    <w:uiPriority w:val="0"/>
    <w:pPr>
      <w:suppressAutoHyphens/>
      <w:autoSpaceDE w:val="0"/>
      <w:autoSpaceDN w:val="0"/>
      <w:adjustRightInd w:val="0"/>
      <w:ind w:firstLine="420"/>
      <w:jc w:val="left"/>
    </w:pPr>
    <w:rPr>
      <w:kern w:val="1"/>
      <w:sz w:val="20"/>
      <w:szCs w:val="20"/>
    </w:rPr>
  </w:style>
  <w:style w:type="paragraph" w:customStyle="1" w:styleId="223">
    <w:name w:val="文字"/>
    <w:basedOn w:val="1"/>
    <w:uiPriority w:val="0"/>
    <w:pPr>
      <w:tabs>
        <w:tab w:val="left" w:pos="8520"/>
      </w:tabs>
      <w:spacing w:line="312" w:lineRule="auto"/>
      <w:ind w:right="-210" w:firstLine="556"/>
    </w:pPr>
    <w:rPr>
      <w:rFonts w:ascii="宋体"/>
      <w:sz w:val="28"/>
      <w:szCs w:val="20"/>
    </w:rPr>
  </w:style>
  <w:style w:type="paragraph" w:customStyle="1" w:styleId="224">
    <w:name w:val="xl83"/>
    <w:basedOn w:val="1"/>
    <w:uiPriority w:val="0"/>
    <w:pPr>
      <w:widowControl/>
      <w:pBdr>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25">
    <w:name w:val="Char1 Char Char Char Char Char Char"/>
    <w:basedOn w:val="1"/>
    <w:uiPriority w:val="0"/>
    <w:rPr>
      <w:rFonts w:ascii="宋体" w:hAnsi="宋体"/>
      <w:color w:val="000000"/>
      <w:sz w:val="24"/>
    </w:rPr>
  </w:style>
  <w:style w:type="paragraph" w:customStyle="1" w:styleId="226">
    <w:name w:val="aspnumfaautoadjustrightr"/>
    <w:uiPriority w:val="0"/>
    <w:pPr>
      <w:widowControl w:val="0"/>
      <w:autoSpaceDE w:val="0"/>
      <w:autoSpaceDN w:val="0"/>
      <w:adjustRightInd w:val="0"/>
      <w:ind w:firstLine="720"/>
      <w:jc w:val="both"/>
    </w:pPr>
    <w:rPr>
      <w:lang w:val="en-US" w:eastAsia="zh-CN" w:bidi="ar-SA"/>
    </w:rPr>
  </w:style>
  <w:style w:type="paragraph" w:customStyle="1" w:styleId="227">
    <w:name w:val="xl91"/>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28">
    <w:name w:val="xl76"/>
    <w:basedOn w:val="1"/>
    <w:uiPriority w:val="0"/>
    <w:pPr>
      <w:widowControl/>
      <w:pBdr>
        <w:top w:val="single" w:color="auto" w:sz="4" w:space="0"/>
        <w:bottom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29">
    <w:name w:val="列出段落1"/>
    <w:basedOn w:val="1"/>
    <w:qFormat/>
    <w:uiPriority w:val="0"/>
    <w:pPr>
      <w:ind w:firstLine="420" w:firstLineChars="200"/>
    </w:pPr>
    <w:rPr>
      <w:szCs w:val="20"/>
    </w:rPr>
  </w:style>
  <w:style w:type="paragraph" w:customStyle="1" w:styleId="230">
    <w:name w:val=" Char1"/>
    <w:basedOn w:val="1"/>
    <w:uiPriority w:val="0"/>
    <w:rPr>
      <w:rFonts w:ascii="仿宋_GB2312" w:eastAsia="仿宋_GB2312"/>
      <w:b/>
      <w:sz w:val="32"/>
      <w:szCs w:val="32"/>
    </w:rPr>
  </w:style>
  <w:style w:type="paragraph" w:customStyle="1" w:styleId="231">
    <w:name w:val="xl7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jc w:val="left"/>
    </w:pPr>
    <w:rPr>
      <w:rFonts w:ascii="新宋体" w:hAnsi="新宋体" w:eastAsia="新宋体" w:cs="宋体"/>
      <w:b/>
      <w:bCs/>
      <w:color w:val="FF0000"/>
      <w:kern w:val="0"/>
      <w:sz w:val="24"/>
    </w:rPr>
  </w:style>
  <w:style w:type="paragraph" w:customStyle="1" w:styleId="232">
    <w:name w:val="Char Char Char Char Char Char Char"/>
    <w:basedOn w:val="1"/>
    <w:uiPriority w:val="0"/>
    <w:rPr>
      <w:rFonts w:ascii="仿宋_GB2312" w:eastAsia="仿宋_GB2312"/>
      <w:b/>
      <w:sz w:val="32"/>
      <w:szCs w:val="32"/>
    </w:rPr>
  </w:style>
  <w:style w:type="paragraph" w:customStyle="1" w:styleId="233">
    <w:name w:val="a"/>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34">
    <w:name w:val=" Char Char Char Char Char Char Char"/>
    <w:basedOn w:val="1"/>
    <w:uiPriority w:val="0"/>
    <w:rPr>
      <w:rFonts w:ascii="仿宋_GB2312" w:eastAsia="仿宋_GB2312"/>
      <w:b/>
      <w:sz w:val="32"/>
      <w:szCs w:val="32"/>
    </w:rPr>
  </w:style>
  <w:style w:type="paragraph" w:customStyle="1" w:styleId="235">
    <w:name w:val="样式 左侧:  0.85 厘米 首行缩进:  0.85 厘米"/>
    <w:basedOn w:val="1"/>
    <w:uiPriority w:val="0"/>
    <w:pPr>
      <w:autoSpaceDE w:val="0"/>
      <w:autoSpaceDN w:val="0"/>
      <w:adjustRightInd w:val="0"/>
      <w:spacing w:line="360" w:lineRule="auto"/>
      <w:ind w:firstLine="482"/>
      <w:jc w:val="left"/>
    </w:pPr>
    <w:rPr>
      <w:rFonts w:cs="宋体"/>
      <w:kern w:val="0"/>
      <w:sz w:val="24"/>
      <w:szCs w:val="20"/>
    </w:rPr>
  </w:style>
  <w:style w:type="paragraph" w:customStyle="1" w:styleId="236">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237">
    <w:name w:val="样式1"/>
    <w:basedOn w:val="1"/>
    <w:qFormat/>
    <w:uiPriority w:val="0"/>
    <w:pPr>
      <w:autoSpaceDE w:val="0"/>
      <w:autoSpaceDN w:val="0"/>
      <w:adjustRightInd w:val="0"/>
      <w:spacing w:line="400" w:lineRule="exact"/>
      <w:jc w:val="both"/>
    </w:pPr>
    <w:rPr>
      <w:rFonts w:ascii="宋体" w:hAnsi="Times New Roman" w:eastAsia="宋体" w:cs="宋体"/>
      <w:kern w:val="0"/>
      <w:szCs w:val="24"/>
    </w:rPr>
  </w:style>
  <w:style w:type="paragraph" w:customStyle="1" w:styleId="238">
    <w:name w:val="xl7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Arial Unicode MS" w:hAnsi="Arial Unicode MS"/>
      <w:b/>
      <w:bCs/>
      <w:kern w:val="0"/>
      <w:sz w:val="28"/>
      <w:szCs w:val="28"/>
    </w:rPr>
  </w:style>
  <w:style w:type="paragraph" w:customStyle="1" w:styleId="239">
    <w:name w:val="保留正文"/>
    <w:basedOn w:val="21"/>
    <w:uiPriority w:val="0"/>
    <w:pPr>
      <w:keepNext/>
      <w:spacing w:after="160" w:afterLines="0"/>
    </w:pPr>
    <w:rPr>
      <w:szCs w:val="20"/>
    </w:rPr>
  </w:style>
  <w:style w:type="paragraph" w:customStyle="1" w:styleId="240">
    <w:name w:val="**正文"/>
    <w:basedOn w:val="1"/>
    <w:qFormat/>
    <w:uiPriority w:val="0"/>
    <w:pPr>
      <w:ind w:firstLine="482" w:firstLineChars="0"/>
    </w:pPr>
    <w:rPr>
      <w:rFonts w:ascii="宋体" w:eastAsia="宋体"/>
      <w:kern w:val="0"/>
      <w:sz w:val="20"/>
      <w:szCs w:val="24"/>
    </w:rPr>
  </w:style>
  <w:style w:type="paragraph" w:customStyle="1" w:styleId="241">
    <w:name w:val="段"/>
    <w:uiPriority w:val="0"/>
    <w:pPr>
      <w:autoSpaceDE w:val="0"/>
      <w:autoSpaceDN w:val="0"/>
      <w:ind w:firstLine="200" w:firstLineChars="200"/>
      <w:jc w:val="both"/>
    </w:pPr>
    <w:rPr>
      <w:sz w:val="21"/>
      <w:lang w:val="en-US" w:eastAsia="zh-CN" w:bidi="ar-SA"/>
    </w:rPr>
  </w:style>
  <w:style w:type="paragraph" w:customStyle="1" w:styleId="242">
    <w:name w:val="此正文"/>
    <w:basedOn w:val="1"/>
    <w:uiPriority w:val="0"/>
    <w:pPr>
      <w:autoSpaceDE w:val="0"/>
      <w:autoSpaceDN w:val="0"/>
      <w:adjustRightInd w:val="0"/>
      <w:spacing w:line="360" w:lineRule="auto"/>
      <w:ind w:firstLine="200" w:firstLineChars="200"/>
      <w:jc w:val="left"/>
    </w:pPr>
    <w:rPr>
      <w:kern w:val="0"/>
      <w:sz w:val="24"/>
      <w:szCs w:val="20"/>
    </w:rPr>
  </w:style>
  <w:style w:type="paragraph" w:customStyle="1" w:styleId="243">
    <w:name w:val="xl8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44">
    <w:name w:val="Table Paragraph"/>
    <w:basedOn w:val="1"/>
    <w:qFormat/>
    <w:uiPriority w:val="1"/>
    <w:pPr>
      <w:autoSpaceDE w:val="0"/>
      <w:autoSpaceDN w:val="0"/>
      <w:ind w:firstLine="0" w:firstLineChars="0"/>
    </w:pPr>
    <w:rPr>
      <w:rFonts w:ascii="Times New Roman" w:hAnsi="Times New Roman" w:eastAsia="宋体" w:cs="宋体"/>
      <w:kern w:val="0"/>
      <w:sz w:val="22"/>
      <w:szCs w:val="22"/>
      <w:lang w:eastAsia="en-US"/>
    </w:rPr>
  </w:style>
  <w:style w:type="paragraph" w:customStyle="1" w:styleId="245">
    <w:name w:val="Char"/>
    <w:basedOn w:val="1"/>
    <w:qFormat/>
    <w:uiPriority w:val="0"/>
    <w:rPr>
      <w:rFonts w:ascii="仿宋_GB2312" w:eastAsia="仿宋_GB2312"/>
      <w:b/>
      <w:sz w:val="32"/>
      <w:szCs w:val="32"/>
    </w:rPr>
  </w:style>
  <w:style w:type="paragraph" w:customStyle="1" w:styleId="246">
    <w:name w:val="È±Ê¡ÎÄ±¾ Char"/>
    <w:basedOn w:val="1"/>
    <w:qFormat/>
    <w:uiPriority w:val="0"/>
    <w:pPr>
      <w:widowControl/>
      <w:overflowPunct w:val="0"/>
      <w:autoSpaceDE w:val="0"/>
      <w:autoSpaceDN w:val="0"/>
      <w:adjustRightInd w:val="0"/>
      <w:spacing w:line="240" w:lineRule="auto"/>
      <w:textAlignment w:val="baseline"/>
    </w:pPr>
    <w:rPr>
      <w:rFonts w:ascii="Times New Roman" w:hAnsi="Times New Roman" w:eastAsia="宋体" w:cs="Times New Roman"/>
      <w:szCs w:val="21"/>
      <w:lang w:val="zh-CN" w:eastAsia="zh-CN"/>
    </w:rPr>
  </w:style>
  <w:style w:type="paragraph" w:customStyle="1" w:styleId="247">
    <w:name w:val="章标题"/>
    <w:next w:val="1"/>
    <w:uiPriority w:val="0"/>
    <w:pPr>
      <w:tabs>
        <w:tab w:val="left" w:pos="3469"/>
      </w:tabs>
      <w:spacing w:before="156" w:beforeLines="50" w:after="156" w:afterLines="50"/>
      <w:ind w:left="3469" w:hanging="420"/>
      <w:jc w:val="both"/>
      <w:outlineLvl w:val="1"/>
    </w:pPr>
    <w:rPr>
      <w:rFonts w:ascii="黑体" w:eastAsia="黑体"/>
      <w:sz w:val="21"/>
      <w:lang w:val="en-US" w:eastAsia="zh-CN" w:bidi="ar-SA"/>
    </w:rPr>
  </w:style>
  <w:style w:type="paragraph" w:customStyle="1" w:styleId="248">
    <w:name w:val="Plain Text"/>
    <w:basedOn w:val="1"/>
    <w:uiPriority w:val="0"/>
    <w:pPr>
      <w:adjustRightInd w:val="0"/>
      <w:textAlignment w:val="baseline"/>
    </w:pPr>
    <w:rPr>
      <w:rFonts w:ascii="宋体" w:hAnsi="Courier New" w:eastAsia="楷体_GB2312"/>
      <w:sz w:val="28"/>
      <w:szCs w:val="20"/>
    </w:rPr>
  </w:style>
  <w:style w:type="paragraph" w:customStyle="1" w:styleId="249">
    <w:name w:val="xl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50">
    <w:name w:val="三级条标题"/>
    <w:basedOn w:val="197"/>
    <w:next w:val="1"/>
    <w:uiPriority w:val="0"/>
    <w:pPr>
      <w:numPr>
        <w:ilvl w:val="0"/>
        <w:numId w:val="0"/>
      </w:numPr>
      <w:tabs>
        <w:tab w:val="left" w:pos="4729"/>
        <w:tab w:val="clear" w:pos="4309"/>
      </w:tabs>
      <w:ind w:left="4729" w:hanging="420"/>
      <w:outlineLvl w:val="4"/>
    </w:pPr>
  </w:style>
  <w:style w:type="paragraph" w:customStyle="1" w:styleId="251">
    <w:name w:val="小标题"/>
    <w:basedOn w:val="1"/>
    <w:uiPriority w:val="0"/>
    <w:pPr>
      <w:autoSpaceDE w:val="0"/>
      <w:autoSpaceDN w:val="0"/>
      <w:adjustRightInd w:val="0"/>
      <w:spacing w:before="120" w:beforeLines="0" w:line="360" w:lineRule="atLeast"/>
      <w:ind w:left="1134"/>
      <w:jc w:val="left"/>
      <w:textAlignment w:val="baseline"/>
    </w:pPr>
    <w:rPr>
      <w:rFonts w:eastAsia="黑体"/>
      <w:kern w:val="0"/>
      <w:sz w:val="20"/>
      <w:szCs w:val="20"/>
    </w:rPr>
  </w:style>
  <w:style w:type="paragraph" w:customStyle="1" w:styleId="252">
    <w:name w:val="四级条标题"/>
    <w:basedOn w:val="250"/>
    <w:next w:val="1"/>
    <w:uiPriority w:val="0"/>
    <w:pPr>
      <w:tabs>
        <w:tab w:val="left" w:pos="5149"/>
        <w:tab w:val="clear" w:pos="4729"/>
      </w:tabs>
      <w:ind w:left="5149"/>
      <w:outlineLvl w:val="5"/>
    </w:pPr>
  </w:style>
  <w:style w:type="paragraph" w:customStyle="1" w:styleId="253">
    <w:name w:val="文档正文"/>
    <w:basedOn w:val="1"/>
    <w:uiPriority w:val="0"/>
    <w:pPr>
      <w:adjustRightInd w:val="0"/>
      <w:spacing w:line="300" w:lineRule="auto"/>
      <w:ind w:firstLine="567"/>
      <w:textAlignment w:val="baseline"/>
    </w:pPr>
    <w:rPr>
      <w:kern w:val="0"/>
      <w:sz w:val="24"/>
      <w:szCs w:val="20"/>
    </w:rPr>
  </w:style>
  <w:style w:type="paragraph" w:customStyle="1" w:styleId="254">
    <w:name w:val="样式 标题 3 + 黑色 段前: 5 磅 段后: 5 磅 行距: 1.5 倍行距"/>
    <w:basedOn w:val="1"/>
    <w:uiPriority w:val="0"/>
    <w:pPr>
      <w:ind w:left="855" w:hanging="855"/>
    </w:pPr>
    <w:rPr>
      <w:sz w:val="24"/>
      <w:szCs w:val="20"/>
    </w:rPr>
  </w:style>
  <w:style w:type="paragraph" w:customStyle="1" w:styleId="255">
    <w:name w:val="VIT-Text"/>
    <w:basedOn w:val="1"/>
    <w:uiPriority w:val="0"/>
    <w:pPr>
      <w:widowControl/>
      <w:tabs>
        <w:tab w:val="left" w:pos="709"/>
        <w:tab w:val="left" w:pos="3402"/>
        <w:tab w:val="left" w:pos="4536"/>
        <w:tab w:val="left" w:pos="5670"/>
        <w:tab w:val="decimal" w:pos="6804"/>
        <w:tab w:val="right" w:pos="9072"/>
      </w:tabs>
      <w:jc w:val="left"/>
    </w:pPr>
    <w:rPr>
      <w:rFonts w:ascii="Arial" w:hAnsi="Arial" w:eastAsia="PMingLiU"/>
      <w:kern w:val="0"/>
      <w:sz w:val="22"/>
      <w:szCs w:val="20"/>
      <w:lang w:val="de-DE" w:eastAsia="zh-TW"/>
    </w:rPr>
  </w:style>
  <w:style w:type="paragraph" w:customStyle="1" w:styleId="256">
    <w:name w:val="正文（首行缩进）"/>
    <w:basedOn w:val="22"/>
    <w:uiPriority w:val="0"/>
    <w:pPr>
      <w:widowControl/>
      <w:overflowPunct w:val="0"/>
      <w:autoSpaceDE w:val="0"/>
      <w:autoSpaceDN w:val="0"/>
      <w:adjustRightInd w:val="0"/>
      <w:spacing w:before="156" w:beforeLines="50" w:after="120" w:afterLines="0" w:line="400" w:lineRule="exact"/>
      <w:ind w:left="200" w:leftChars="200" w:firstLine="200" w:firstLineChars="200"/>
      <w:jc w:val="left"/>
      <w:textAlignment w:val="baseline"/>
    </w:pPr>
    <w:rPr>
      <w:spacing w:val="10"/>
      <w:kern w:val="0"/>
      <w:szCs w:val="20"/>
    </w:rPr>
  </w:style>
  <w:style w:type="paragraph" w:customStyle="1" w:styleId="257">
    <w:name w:val="Char Char Char Char"/>
    <w:basedOn w:val="1"/>
    <w:uiPriority w:val="0"/>
    <w:pPr>
      <w:autoSpaceDE w:val="0"/>
      <w:autoSpaceDN w:val="0"/>
      <w:adjustRightInd w:val="0"/>
      <w:jc w:val="left"/>
    </w:pPr>
    <w:rPr>
      <w:rFonts w:ascii="Tahoma" w:hAnsi="Tahoma"/>
      <w:kern w:val="0"/>
      <w:sz w:val="24"/>
      <w:szCs w:val="20"/>
    </w:rPr>
  </w:style>
  <w:style w:type="paragraph" w:customStyle="1" w:styleId="258">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59">
    <w:name w:val="标题五"/>
    <w:basedOn w:val="1"/>
    <w:uiPriority w:val="0"/>
    <w:pPr>
      <w:tabs>
        <w:tab w:val="left" w:pos="1440"/>
      </w:tabs>
      <w:autoSpaceDE w:val="0"/>
      <w:autoSpaceDN w:val="0"/>
      <w:adjustRightInd w:val="0"/>
      <w:spacing w:before="156" w:beforeLines="50" w:line="360" w:lineRule="auto"/>
      <w:ind w:left="1440" w:hanging="420"/>
      <w:jc w:val="left"/>
    </w:pPr>
    <w:rPr>
      <w:b/>
      <w:kern w:val="0"/>
      <w:sz w:val="24"/>
      <w:szCs w:val="20"/>
    </w:rPr>
  </w:style>
  <w:style w:type="paragraph" w:customStyle="1" w:styleId="260">
    <w:name w:val="1 Char"/>
    <w:basedOn w:val="9"/>
    <w:uiPriority w:val="0"/>
    <w:pPr>
      <w:adjustRightInd/>
      <w:spacing w:line="360" w:lineRule="auto"/>
      <w:ind w:firstLine="200" w:firstLineChars="200"/>
      <w:textAlignment w:val="auto"/>
    </w:pPr>
    <w:rPr>
      <w:kern w:val="2"/>
    </w:rPr>
  </w:style>
  <w:style w:type="paragraph" w:customStyle="1" w:styleId="261">
    <w:name w:val="正文文字表格居中"/>
    <w:basedOn w:val="1"/>
    <w:next w:val="45"/>
    <w:uiPriority w:val="0"/>
    <w:pPr>
      <w:autoSpaceDE w:val="0"/>
      <w:autoSpaceDN w:val="0"/>
      <w:adjustRightInd w:val="0"/>
      <w:snapToGrid w:val="0"/>
      <w:spacing w:line="360" w:lineRule="auto"/>
      <w:jc w:val="left"/>
    </w:pPr>
    <w:rPr>
      <w:rFonts w:ascii="宋体"/>
      <w:b/>
      <w:kern w:val="0"/>
      <w:sz w:val="24"/>
      <w:szCs w:val="20"/>
    </w:rPr>
  </w:style>
  <w:style w:type="paragraph" w:customStyle="1" w:styleId="262">
    <w:name w:val="a3"/>
    <w:basedOn w:val="6"/>
    <w:qFormat/>
    <w:uiPriority w:val="0"/>
    <w:pPr>
      <w:spacing w:before="60" w:beforeAutospacing="0" w:after="60" w:afterAutospacing="0"/>
      <w:ind w:right="100" w:rightChars="100" w:firstLine="0" w:firstLineChars="0"/>
    </w:pPr>
    <w:rPr>
      <w:rFonts w:ascii="Calibri" w:hAnsi="Calibri"/>
      <w:kern w:val="2"/>
      <w:sz w:val="28"/>
      <w:szCs w:val="28"/>
    </w:rPr>
  </w:style>
  <w:style w:type="paragraph" w:customStyle="1" w:styleId="263">
    <w:name w:val="xl8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新宋体" w:hAnsi="新宋体" w:eastAsia="新宋体" w:cs="宋体"/>
      <w:b/>
      <w:bCs/>
      <w:color w:val="000000"/>
      <w:kern w:val="0"/>
      <w:sz w:val="24"/>
    </w:rPr>
  </w:style>
  <w:style w:type="paragraph" w:customStyle="1" w:styleId="264">
    <w:name w:val="xl66"/>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宋体" w:hAnsi="宋体" w:cs="宋体"/>
      <w:b/>
      <w:bCs/>
      <w:color w:val="000000"/>
      <w:kern w:val="0"/>
      <w:sz w:val="24"/>
    </w:rPr>
  </w:style>
  <w:style w:type="paragraph" w:customStyle="1" w:styleId="265">
    <w:name w:val="1.1.1"/>
    <w:basedOn w:val="1"/>
    <w:uiPriority w:val="0"/>
    <w:pPr>
      <w:tabs>
        <w:tab w:val="left" w:pos="0"/>
        <w:tab w:val="left" w:pos="1134"/>
        <w:tab w:val="left" w:pos="8505"/>
      </w:tabs>
      <w:autoSpaceDE w:val="0"/>
      <w:autoSpaceDN w:val="0"/>
      <w:adjustRightInd w:val="0"/>
      <w:spacing w:before="240" w:beforeLines="0" w:after="60" w:afterLines="0" w:line="360" w:lineRule="atLeast"/>
    </w:pPr>
    <w:rPr>
      <w:rFonts w:ascii="宋体"/>
      <w:b/>
      <w:kern w:val="0"/>
      <w:sz w:val="24"/>
      <w:szCs w:val="20"/>
    </w:rPr>
  </w:style>
  <w:style w:type="paragraph" w:customStyle="1" w:styleId="266">
    <w:name w:val="五级条标题"/>
    <w:basedOn w:val="252"/>
    <w:next w:val="1"/>
    <w:uiPriority w:val="0"/>
    <w:pPr>
      <w:tabs>
        <w:tab w:val="left" w:pos="5569"/>
        <w:tab w:val="clear" w:pos="5149"/>
      </w:tabs>
      <w:ind w:left="5569"/>
      <w:outlineLvl w:val="6"/>
    </w:pPr>
  </w:style>
  <w:style w:type="paragraph" w:styleId="267">
    <w:name w:val="List Paragraph"/>
    <w:basedOn w:val="1"/>
    <w:qFormat/>
    <w:uiPriority w:val="0"/>
    <w:pPr>
      <w:ind w:firstLine="420" w:firstLineChars="200"/>
    </w:pPr>
    <w:rPr>
      <w:rFonts w:ascii="Calibri" w:hAnsi="Calibri"/>
      <w:szCs w:val="22"/>
    </w:rPr>
  </w:style>
  <w:style w:type="paragraph" w:customStyle="1" w:styleId="268">
    <w:name w:val="Default"/>
    <w:uiPriority w:val="0"/>
    <w:pPr>
      <w:widowControl w:val="0"/>
      <w:autoSpaceDE w:val="0"/>
      <w:autoSpaceDN w:val="0"/>
      <w:adjustRightInd w:val="0"/>
    </w:pPr>
    <w:rPr>
      <w:rFonts w:cs="宋体"/>
      <w:color w:val="000000"/>
      <w:sz w:val="24"/>
      <w:szCs w:val="24"/>
      <w:lang w:val="en-US" w:eastAsia="zh-CN" w:bidi="ar-SA"/>
    </w:rPr>
  </w:style>
  <w:style w:type="paragraph" w:customStyle="1" w:styleId="269">
    <w:name w:val="表格文字（大）"/>
    <w:basedOn w:val="1"/>
    <w:uiPriority w:val="0"/>
    <w:pPr>
      <w:autoSpaceDE w:val="0"/>
      <w:autoSpaceDN w:val="0"/>
      <w:adjustRightInd w:val="0"/>
      <w:spacing w:before="20" w:beforeLines="0" w:after="20" w:afterLines="0"/>
      <w:jc w:val="left"/>
    </w:pPr>
    <w:rPr>
      <w:rFonts w:ascii="Century Gothic" w:hAnsi="Century Gothic" w:cs="Century Gothic"/>
      <w:kern w:val="0"/>
      <w:sz w:val="24"/>
      <w:szCs w:val="20"/>
    </w:rPr>
  </w:style>
  <w:style w:type="paragraph" w:customStyle="1" w:styleId="270">
    <w:name w:val="Char2"/>
    <w:basedOn w:val="1"/>
    <w:uiPriority w:val="0"/>
    <w:pPr>
      <w:autoSpaceDE w:val="0"/>
      <w:autoSpaceDN w:val="0"/>
      <w:adjustRightInd w:val="0"/>
      <w:jc w:val="left"/>
    </w:pPr>
    <w:rPr>
      <w:rFonts w:ascii="仿宋_GB2312" w:eastAsia="仿宋_GB2312"/>
      <w:b/>
      <w:kern w:val="0"/>
      <w:sz w:val="32"/>
      <w:szCs w:val="32"/>
    </w:rPr>
  </w:style>
  <w:style w:type="paragraph" w:customStyle="1" w:styleId="271">
    <w:name w:val="正文缩进1"/>
    <w:basedOn w:val="1"/>
    <w:next w:val="22"/>
    <w:uiPriority w:val="0"/>
    <w:pPr>
      <w:autoSpaceDE w:val="0"/>
      <w:autoSpaceDN w:val="0"/>
      <w:adjustRightInd w:val="0"/>
      <w:snapToGrid w:val="0"/>
      <w:spacing w:after="120" w:afterLines="0" w:line="360" w:lineRule="auto"/>
      <w:ind w:left="420" w:leftChars="200" w:firstLine="480" w:firstLineChars="200"/>
      <w:jc w:val="left"/>
    </w:pPr>
    <w:rPr>
      <w:kern w:val="0"/>
      <w:sz w:val="24"/>
      <w:szCs w:val="21"/>
    </w:rPr>
  </w:style>
  <w:style w:type="paragraph" w:customStyle="1" w:styleId="272">
    <w:name w:val="Char Char1 Char Char Char Char Char Char Char Char Char Char Char Char Char Char"/>
    <w:basedOn w:val="1"/>
    <w:uiPriority w:val="0"/>
    <w:pPr>
      <w:widowControl/>
      <w:autoSpaceDE w:val="0"/>
      <w:autoSpaceDN w:val="0"/>
      <w:adjustRightInd w:val="0"/>
      <w:spacing w:after="160" w:afterLines="0" w:line="240" w:lineRule="exact"/>
      <w:jc w:val="left"/>
    </w:pPr>
    <w:rPr>
      <w:kern w:val="0"/>
      <w:sz w:val="20"/>
      <w:szCs w:val="20"/>
    </w:rPr>
  </w:style>
  <w:style w:type="paragraph" w:customStyle="1" w:styleId="273">
    <w:name w:val="xl85"/>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Lines="0" w:beforeAutospacing="1" w:after="100" w:afterLines="0" w:afterAutospacing="1"/>
      <w:jc w:val="center"/>
    </w:pPr>
    <w:rPr>
      <w:rFonts w:ascii="新宋体" w:hAnsi="新宋体" w:eastAsia="新宋体" w:cs="宋体"/>
      <w:b/>
      <w:bCs/>
      <w:color w:val="000000"/>
      <w:kern w:val="0"/>
      <w:sz w:val="24"/>
    </w:rPr>
  </w:style>
  <w:style w:type="paragraph" w:customStyle="1" w:styleId="274">
    <w:name w:val="样式 样式 正文文本缩进 + 仿宋_GB2312 小四 首行缩进:  0 厘米 行距: 1.5 倍行距 + (中文) 仿宋_GB... Char Char"/>
    <w:basedOn w:val="1"/>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275">
    <w:name w:val="14"/>
    <w:basedOn w:val="1"/>
    <w:uiPriority w:val="0"/>
    <w:pPr>
      <w:snapToGrid w:val="0"/>
      <w:spacing w:before="93" w:beforeLines="30" w:line="288" w:lineRule="auto"/>
      <w:ind w:left="852" w:leftChars="355" w:firstLine="420" w:firstLineChars="175"/>
    </w:pPr>
    <w:rPr>
      <w:rFonts w:ascii="新宋体" w:hAnsi="新宋体"/>
      <w:sz w:val="24"/>
      <w:szCs w:val="20"/>
    </w:rPr>
  </w:style>
  <w:style w:type="paragraph" w:customStyle="1" w:styleId="276">
    <w:name w:val="正文字缩2字"/>
    <w:basedOn w:val="1"/>
    <w:uiPriority w:val="0"/>
    <w:pPr>
      <w:spacing w:before="60" w:beforeLines="0" w:after="60" w:afterLines="0" w:line="360" w:lineRule="auto"/>
      <w:ind w:left="200" w:leftChars="200" w:firstLine="200" w:firstLineChars="200"/>
    </w:pPr>
    <w:rPr>
      <w:sz w:val="24"/>
    </w:rPr>
  </w:style>
  <w:style w:type="paragraph" w:customStyle="1" w:styleId="277">
    <w:name w:val="Item List in Table"/>
    <w:uiPriority w:val="0"/>
    <w:pPr>
      <w:tabs>
        <w:tab w:val="left" w:pos="284"/>
        <w:tab w:val="left" w:pos="720"/>
      </w:tabs>
      <w:spacing w:before="40" w:after="40"/>
      <w:ind w:left="720" w:hanging="720"/>
      <w:jc w:val="both"/>
    </w:pPr>
    <w:rPr>
      <w:rFonts w:ascii="Calibri" w:hAnsi="Calibri" w:cs="Arial"/>
      <w:kern w:val="2"/>
      <w:sz w:val="18"/>
      <w:szCs w:val="18"/>
      <w:lang w:val="en-US" w:eastAsia="zh-CN" w:bidi="ar-SA"/>
    </w:rPr>
  </w:style>
  <w:style w:type="paragraph" w:customStyle="1" w:styleId="278">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79">
    <w:name w:val=" Char Char Char Char"/>
    <w:basedOn w:val="17"/>
    <w:uiPriority w:val="0"/>
    <w:rPr>
      <w:rFonts w:ascii="Tahoma" w:hAnsi="Tahoma"/>
      <w:sz w:val="24"/>
    </w:rPr>
  </w:style>
  <w:style w:type="paragraph" w:customStyle="1" w:styleId="280">
    <w:name w:val="部分1"/>
    <w:basedOn w:val="1"/>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281">
    <w:name w:val="NICMAN Body Text"/>
    <w:basedOn w:val="1"/>
    <w:next w:val="21"/>
    <w:uiPriority w:val="0"/>
    <w:pPr>
      <w:autoSpaceDE w:val="0"/>
      <w:autoSpaceDN w:val="0"/>
      <w:adjustRightInd w:val="0"/>
      <w:spacing w:after="120" w:afterLines="0"/>
      <w:jc w:val="left"/>
    </w:pPr>
    <w:rPr>
      <w:kern w:val="0"/>
      <w:sz w:val="20"/>
      <w:szCs w:val="20"/>
    </w:rPr>
  </w:style>
  <w:style w:type="paragraph" w:customStyle="1" w:styleId="282">
    <w:name w:val="xl89"/>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83">
    <w:name w:val="正文样式 首行缩进:  0.74 厘米"/>
    <w:basedOn w:val="1"/>
    <w:uiPriority w:val="0"/>
    <w:pPr>
      <w:autoSpaceDE w:val="0"/>
      <w:autoSpaceDN w:val="0"/>
      <w:adjustRightInd w:val="0"/>
      <w:spacing w:before="156" w:beforeLines="50" w:line="360" w:lineRule="auto"/>
      <w:ind w:firstLine="420"/>
      <w:jc w:val="left"/>
    </w:pPr>
    <w:rPr>
      <w:rFonts w:cs="宋体"/>
      <w:kern w:val="0"/>
      <w:sz w:val="24"/>
      <w:szCs w:val="20"/>
    </w:rPr>
  </w:style>
  <w:style w:type="paragraph" w:customStyle="1" w:styleId="284">
    <w:name w:val=" Char Char Char Char Char Char Char Char Char Char Char Char Char"/>
    <w:basedOn w:val="1"/>
    <w:uiPriority w:val="0"/>
  </w:style>
  <w:style w:type="paragraph" w:customStyle="1" w:styleId="285">
    <w:name w:val="前言、引言标题"/>
    <w:next w:val="1"/>
    <w:uiPriority w:val="0"/>
    <w:pPr>
      <w:shd w:val="clear" w:color="FFFFFF" w:fill="FFFFFF"/>
      <w:tabs>
        <w:tab w:val="left" w:pos="3349"/>
      </w:tabs>
      <w:spacing w:before="640" w:after="560"/>
      <w:ind w:left="3349" w:hanging="720"/>
      <w:jc w:val="center"/>
      <w:outlineLvl w:val="0"/>
    </w:pPr>
    <w:rPr>
      <w:rFonts w:ascii="黑体" w:eastAsia="黑体"/>
      <w:sz w:val="32"/>
      <w:lang w:val="en-US" w:eastAsia="zh-CN" w:bidi="ar-SA"/>
    </w:rPr>
  </w:style>
  <w:style w:type="paragraph" w:customStyle="1" w:styleId="286">
    <w:name w:val="样式 标题 3 + 黑体 小四 非加粗"/>
    <w:basedOn w:val="6"/>
    <w:uiPriority w:val="0"/>
    <w:pPr>
      <w:numPr>
        <w:ilvl w:val="2"/>
        <w:numId w:val="0"/>
      </w:numPr>
      <w:spacing w:before="260" w:beforeLines="0" w:after="260" w:afterLines="0" w:line="415" w:lineRule="auto"/>
    </w:pPr>
    <w:rPr>
      <w:rFonts w:ascii="黑体" w:hAnsi="黑体"/>
      <w:b w:val="0"/>
      <w:kern w:val="0"/>
      <w:sz w:val="24"/>
      <w:szCs w:val="32"/>
    </w:rPr>
  </w:style>
  <w:style w:type="paragraph" w:customStyle="1" w:styleId="287">
    <w:name w:val="正文-宋体四号"/>
    <w:basedOn w:val="1"/>
    <w:uiPriority w:val="0"/>
    <w:pPr>
      <w:spacing w:line="360" w:lineRule="auto"/>
      <w:ind w:firstLine="560" w:firstLineChars="200"/>
    </w:pPr>
    <w:rPr>
      <w:rFonts w:cs="宋体"/>
      <w:sz w:val="28"/>
      <w:szCs w:val="20"/>
    </w:rPr>
  </w:style>
  <w:style w:type="paragraph" w:customStyle="1" w:styleId="288">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textAlignment w:val="top"/>
    </w:pPr>
    <w:rPr>
      <w:rFonts w:ascii="新宋体" w:hAnsi="新宋体" w:eastAsia="新宋体" w:cs="宋体"/>
      <w:color w:val="000000"/>
      <w:kern w:val="0"/>
      <w:sz w:val="24"/>
    </w:rPr>
  </w:style>
  <w:style w:type="paragraph" w:customStyle="1" w:styleId="289">
    <w:name w:val="默认段落字体 Para Char Char Char Char Char Char Char"/>
    <w:basedOn w:val="1"/>
    <w:uiPriority w:val="0"/>
  </w:style>
  <w:style w:type="paragraph" w:customStyle="1" w:styleId="290">
    <w:name w:val="列表内容"/>
    <w:basedOn w:val="1"/>
    <w:next w:val="1"/>
    <w:uiPriority w:val="0"/>
    <w:pPr>
      <w:widowControl/>
      <w:autoSpaceDE w:val="0"/>
      <w:autoSpaceDN w:val="0"/>
      <w:adjustRightInd w:val="0"/>
      <w:ind w:firstLine="200"/>
      <w:jc w:val="left"/>
    </w:pPr>
    <w:rPr>
      <w:kern w:val="0"/>
      <w:sz w:val="18"/>
      <w:szCs w:val="20"/>
    </w:rPr>
  </w:style>
  <w:style w:type="paragraph" w:customStyle="1" w:styleId="291">
    <w:name w:val="List Paragraph"/>
    <w:basedOn w:val="1"/>
    <w:qFormat/>
    <w:uiPriority w:val="0"/>
    <w:pPr>
      <w:ind w:firstLine="420" w:firstLineChars="200"/>
    </w:pPr>
  </w:style>
  <w:style w:type="paragraph" w:customStyle="1" w:styleId="292">
    <w:name w:val="xl9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293">
    <w:name w:val="xl9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294">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295">
    <w:name w:val="tabletext"/>
    <w:basedOn w:val="1"/>
    <w:uiPriority w:val="0"/>
    <w:pPr>
      <w:widowControl/>
      <w:spacing w:line="300" w:lineRule="atLeast"/>
      <w:jc w:val="left"/>
    </w:pPr>
    <w:rPr>
      <w:rFonts w:ascii="宋体" w:hAnsi="宋体" w:cs="宋体"/>
      <w:kern w:val="0"/>
      <w:sz w:val="18"/>
      <w:szCs w:val="18"/>
    </w:rPr>
  </w:style>
  <w:style w:type="paragraph" w:customStyle="1" w:styleId="296">
    <w:name w:val="标准段落"/>
    <w:basedOn w:val="1"/>
    <w:uiPriority w:val="0"/>
    <w:pPr>
      <w:spacing w:after="120" w:afterLines="0" w:line="360" w:lineRule="auto"/>
      <w:ind w:firstLine="420"/>
    </w:pPr>
    <w:rPr>
      <w:rFonts w:ascii="黑体" w:hAnsi="宋体" w:eastAsia="黑体"/>
      <w:b/>
      <w:spacing w:val="6"/>
      <w:szCs w:val="22"/>
    </w:rPr>
  </w:style>
  <w:style w:type="paragraph" w:customStyle="1" w:styleId="297">
    <w:name w:val="正文文本 21"/>
    <w:basedOn w:val="1"/>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298">
    <w:name w:val=" Char13"/>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299">
    <w:name w:val="xl8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300">
    <w:name w:val="xl7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01">
    <w:name w:val="xl29"/>
    <w:basedOn w:val="1"/>
    <w:uiPriority w:val="0"/>
    <w:pPr>
      <w:widowControl/>
      <w:autoSpaceDE w:val="0"/>
      <w:autoSpaceDN w:val="0"/>
      <w:adjustRightInd w:val="0"/>
      <w:spacing w:before="100" w:beforeLines="0" w:beforeAutospacing="1" w:after="100" w:afterLines="0" w:afterAutospacing="1"/>
      <w:jc w:val="center"/>
    </w:pPr>
    <w:rPr>
      <w:rFonts w:ascii="Arial Unicode MS" w:hAnsi="Arial Unicode MS" w:eastAsia="Arial Unicode MS"/>
      <w:kern w:val="0"/>
      <w:sz w:val="24"/>
      <w:szCs w:val="20"/>
    </w:rPr>
  </w:style>
  <w:style w:type="paragraph" w:customStyle="1" w:styleId="302">
    <w:name w:val="正文2"/>
    <w:basedOn w:val="1"/>
    <w:uiPriority w:val="0"/>
    <w:pPr>
      <w:autoSpaceDE w:val="0"/>
      <w:autoSpaceDN w:val="0"/>
      <w:adjustRightInd w:val="0"/>
      <w:spacing w:before="156" w:beforeLines="0" w:line="360" w:lineRule="auto"/>
      <w:ind w:firstLine="510" w:firstLineChars="200"/>
      <w:jc w:val="left"/>
    </w:pPr>
    <w:rPr>
      <w:kern w:val="0"/>
      <w:sz w:val="24"/>
      <w:szCs w:val="20"/>
    </w:rPr>
  </w:style>
  <w:style w:type="paragraph" w:customStyle="1" w:styleId="303">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304">
    <w:name w:val="ÕýÎÄÊ×ÐÐËõ½ø"/>
    <w:basedOn w:val="1"/>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305">
    <w:name w:val="正文 首行缩进:  2 字符 Char"/>
    <w:basedOn w:val="1"/>
    <w:uiPriority w:val="0"/>
    <w:pPr>
      <w:spacing w:line="360" w:lineRule="auto"/>
      <w:ind w:firstLine="480"/>
    </w:pPr>
    <w:rPr>
      <w:rFonts w:cs="宋体"/>
      <w:sz w:val="24"/>
      <w:szCs w:val="20"/>
    </w:rPr>
  </w:style>
  <w:style w:type="paragraph" w:styleId="306">
    <w:name w:val=""/>
    <w:basedOn w:val="4"/>
    <w:next w:val="1"/>
    <w:qFormat/>
    <w:uiPriority w:val="0"/>
    <w:pPr>
      <w:keepLines/>
      <w:widowControl/>
      <w:numPr>
        <w:ilvl w:val="0"/>
        <w:numId w:val="0"/>
      </w:numPr>
      <w:spacing w:before="480" w:beforeLines="0" w:line="276" w:lineRule="auto"/>
      <w:jc w:val="left"/>
      <w:outlineLvl w:val="9"/>
    </w:pPr>
    <w:rPr>
      <w:rFonts w:ascii="Cambria" w:hAnsi="Cambria" w:eastAsia="宋体"/>
      <w:bCs/>
      <w:color w:val="365F91"/>
      <w:kern w:val="0"/>
      <w:sz w:val="28"/>
      <w:szCs w:val="28"/>
    </w:rPr>
  </w:style>
  <w:style w:type="paragraph" w:customStyle="1" w:styleId="307">
    <w:name w:val="font5"/>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308">
    <w:name w:val="技术报告正文"/>
    <w:basedOn w:val="1"/>
    <w:uiPriority w:val="0"/>
    <w:pPr>
      <w:autoSpaceDE w:val="0"/>
      <w:autoSpaceDN w:val="0"/>
      <w:adjustRightInd w:val="0"/>
      <w:spacing w:before="156" w:beforeLines="50" w:line="440" w:lineRule="exact"/>
      <w:ind w:firstLine="538" w:firstLineChars="192"/>
      <w:jc w:val="left"/>
    </w:pPr>
    <w:rPr>
      <w:rFonts w:cs="Arial"/>
      <w:bCs/>
      <w:kern w:val="0"/>
      <w:sz w:val="28"/>
      <w:szCs w:val="20"/>
    </w:rPr>
  </w:style>
  <w:style w:type="paragraph" w:customStyle="1" w:styleId="309">
    <w:name w:val="xl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pPr>
    <w:rPr>
      <w:rFonts w:ascii="新宋体" w:hAnsi="新宋体" w:eastAsia="新宋体" w:cs="宋体"/>
      <w:color w:val="000000"/>
      <w:kern w:val="0"/>
      <w:sz w:val="24"/>
    </w:rPr>
  </w:style>
  <w:style w:type="paragraph" w:customStyle="1" w:styleId="310">
    <w:name w:val="标准小四"/>
    <w:basedOn w:val="1"/>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311">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新宋体" w:hAnsi="新宋体" w:eastAsia="新宋体" w:cs="宋体"/>
      <w:color w:val="000000"/>
      <w:kern w:val="0"/>
      <w:sz w:val="24"/>
    </w:rPr>
  </w:style>
  <w:style w:type="paragraph" w:customStyle="1" w:styleId="312">
    <w:name w:val="p0"/>
    <w:basedOn w:val="1"/>
    <w:uiPriority w:val="0"/>
    <w:pPr>
      <w:widowControl/>
    </w:pPr>
    <w:rPr>
      <w:kern w:val="0"/>
      <w:szCs w:val="21"/>
    </w:rPr>
  </w:style>
  <w:style w:type="paragraph" w:customStyle="1" w:styleId="313">
    <w:name w:val="xl35"/>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textAlignment w:val="center"/>
    </w:pPr>
    <w:rPr>
      <w:rFonts w:ascii="Arial Unicode MS" w:hAnsi="Arial Unicode MS" w:eastAsia="Arial Unicode MS"/>
      <w:kern w:val="0"/>
      <w:szCs w:val="22"/>
    </w:rPr>
  </w:style>
  <w:style w:type="paragraph" w:customStyle="1" w:styleId="314">
    <w:name w:val="xl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315">
    <w:name w:val="样式"/>
    <w:basedOn w:val="1"/>
    <w:uiPriority w:val="0"/>
    <w:pPr>
      <w:autoSpaceDE w:val="0"/>
      <w:autoSpaceDN w:val="0"/>
      <w:adjustRightInd w:val="0"/>
      <w:snapToGrid w:val="0"/>
      <w:spacing w:before="120" w:beforeLines="0" w:after="120" w:afterLines="0" w:line="360" w:lineRule="auto"/>
      <w:jc w:val="left"/>
    </w:pPr>
    <w:rPr>
      <w:rFonts w:ascii="宋体"/>
      <w:kern w:val="0"/>
      <w:sz w:val="24"/>
      <w:szCs w:val="20"/>
    </w:rPr>
  </w:style>
  <w:style w:type="paragraph" w:customStyle="1" w:styleId="316">
    <w:name w:val="xl8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jc w:val="left"/>
    </w:pPr>
    <w:rPr>
      <w:rFonts w:ascii="新宋体" w:hAnsi="新宋体" w:eastAsia="新宋体" w:cs="宋体"/>
      <w:color w:val="000000"/>
      <w:kern w:val="0"/>
      <w:sz w:val="24"/>
    </w:rPr>
  </w:style>
  <w:style w:type="paragraph" w:customStyle="1" w:styleId="317">
    <w:name w:val="Char Char"/>
    <w:basedOn w:val="1"/>
    <w:uiPriority w:val="0"/>
    <w:rPr>
      <w:rFonts w:ascii="仿宋_GB2312" w:eastAsia="仿宋_GB2312"/>
      <w:b/>
      <w:sz w:val="32"/>
      <w:szCs w:val="32"/>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1.png" Type="http://schemas.openxmlformats.org/officeDocument/2006/relationships/image"/><Relationship Id="rId11" Target="media/image2.png" Type="http://schemas.openxmlformats.org/officeDocument/2006/relationships/image"/><Relationship Id="rId12" Target="media/image3.jpeg" Type="http://schemas.openxmlformats.org/officeDocument/2006/relationships/image"/><Relationship Id="rId13" Target="media/image4.jpeg" Type="http://schemas.openxmlformats.org/officeDocument/2006/relationships/image"/><Relationship Id="rId14" Target="media/image5.png" Type="http://schemas.openxmlformats.org/officeDocument/2006/relationships/image"/><Relationship Id="rId15" Target="../customXml/item1.xml" Type="http://schemas.openxmlformats.org/officeDocument/2006/relationships/customXml"/><Relationship Id="rId16" Target="numbering.xml" Type="http://schemas.openxmlformats.org/officeDocument/2006/relationships/numbering"/><Relationship Id="rId17"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footer3.xml" Type="http://schemas.openxmlformats.org/officeDocument/2006/relationships/footer"/><Relationship Id="rId7" Target="header2.xml" Type="http://schemas.openxmlformats.org/officeDocument/2006/relationships/header"/><Relationship Id="rId8" Target="footer4.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中国远东国际贸易总公司</Company>
  <Pages>83</Pages>
  <Words>7423</Words>
  <Characters>42312</Characters>
  <Lines>352</Lines>
  <Paragraphs>99</Paragraphs>
  <TotalTime>15</TotalTime>
  <ScaleCrop>false</ScaleCrop>
  <LinksUpToDate>false</LinksUpToDate>
  <CharactersWithSpaces>49636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2019-09-29T01:21:00Z</dcterms:created>
  <dc:creator>zyq</dc:creator>
  <cp:lastModifiedBy>WPS_1701756769</cp:lastModifiedBy>
  <cp:lastPrinted>2017-12-20T00:47:00Z</cp:lastPrinted>
  <dcterms:modified xsi:type="dcterms:W3CDTF">2024-02-23T02:40:43Z</dcterms:modified>
  <cp:revision>3</cp:revision>
  <dc:title>招标文件目录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385BCA294E2E40FC944569DB7A5CDE1B_13</vt:lpwstr>
  </property>
</Properties>
</file>